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F5370" w14:textId="4B276BA0" w:rsidR="00015128" w:rsidRPr="00770477" w:rsidRDefault="009F2030" w:rsidP="00957E24">
      <w:pPr>
        <w:spacing w:line="360" w:lineRule="auto"/>
        <w:jc w:val="center"/>
        <w:rPr>
          <w:rFonts w:cs="Times New Roman"/>
          <w:sz w:val="32"/>
          <w:szCs w:val="32"/>
        </w:rPr>
      </w:pPr>
      <w:r w:rsidRPr="00770477">
        <w:rPr>
          <w:rFonts w:cs="Times New Roman"/>
          <w:sz w:val="32"/>
          <w:szCs w:val="32"/>
        </w:rPr>
        <w:t>UNIVERSITY OF OKLAHOMA</w:t>
      </w:r>
    </w:p>
    <w:p w14:paraId="4258B4D6" w14:textId="124C43CB" w:rsidR="009F2030" w:rsidRPr="00770477" w:rsidRDefault="009F2030" w:rsidP="00957E24">
      <w:pPr>
        <w:spacing w:line="360" w:lineRule="auto"/>
        <w:jc w:val="center"/>
        <w:rPr>
          <w:rFonts w:cs="Times New Roman"/>
          <w:sz w:val="32"/>
          <w:szCs w:val="32"/>
        </w:rPr>
      </w:pPr>
      <w:r w:rsidRPr="00770477">
        <w:rPr>
          <w:rFonts w:cs="Times New Roman"/>
          <w:sz w:val="32"/>
          <w:szCs w:val="32"/>
        </w:rPr>
        <w:t>GRADUATE COLLEGE</w:t>
      </w:r>
    </w:p>
    <w:p w14:paraId="12D190C0" w14:textId="67AE0F35" w:rsidR="009F2030" w:rsidRPr="00770477" w:rsidRDefault="009F2030" w:rsidP="00957E24">
      <w:pPr>
        <w:spacing w:line="360" w:lineRule="auto"/>
        <w:jc w:val="center"/>
        <w:rPr>
          <w:rFonts w:cs="Times New Roman"/>
          <w:sz w:val="32"/>
          <w:szCs w:val="32"/>
        </w:rPr>
      </w:pPr>
    </w:p>
    <w:p w14:paraId="1B8A5B3E" w14:textId="77777777" w:rsidR="00234A8E" w:rsidRPr="00770477" w:rsidRDefault="00234A8E" w:rsidP="00957E24">
      <w:pPr>
        <w:spacing w:line="360" w:lineRule="auto"/>
        <w:jc w:val="center"/>
        <w:rPr>
          <w:rFonts w:cs="Times New Roman"/>
          <w:sz w:val="32"/>
          <w:szCs w:val="32"/>
        </w:rPr>
      </w:pPr>
    </w:p>
    <w:p w14:paraId="3CA49A7E" w14:textId="11C795DD" w:rsidR="009F2030" w:rsidRPr="00770477" w:rsidRDefault="009F2030" w:rsidP="00957E24">
      <w:pPr>
        <w:spacing w:line="360" w:lineRule="auto"/>
        <w:rPr>
          <w:rFonts w:cs="Times New Roman"/>
          <w:sz w:val="32"/>
          <w:szCs w:val="32"/>
        </w:rPr>
      </w:pPr>
    </w:p>
    <w:p w14:paraId="30CCFAB4" w14:textId="2659C75B" w:rsidR="009F2030" w:rsidRPr="00770477" w:rsidRDefault="00061887" w:rsidP="00957E24">
      <w:pPr>
        <w:spacing w:line="360" w:lineRule="auto"/>
        <w:jc w:val="center"/>
        <w:rPr>
          <w:rFonts w:cs="Times New Roman"/>
          <w:sz w:val="32"/>
          <w:szCs w:val="32"/>
        </w:rPr>
      </w:pPr>
      <w:r w:rsidRPr="00770477">
        <w:rPr>
          <w:rFonts w:cs="Times New Roman"/>
          <w:sz w:val="32"/>
          <w:szCs w:val="32"/>
        </w:rPr>
        <w:t xml:space="preserve">INDUSTRIAL BYPRODUCTS AS A TREATMENT FOR BIORETENTION </w:t>
      </w:r>
      <w:r w:rsidR="005F6377" w:rsidRPr="00770477">
        <w:rPr>
          <w:rFonts w:cs="Times New Roman"/>
          <w:sz w:val="32"/>
          <w:szCs w:val="32"/>
        </w:rPr>
        <w:t xml:space="preserve">UNDERDRAIN </w:t>
      </w:r>
      <w:r w:rsidRPr="00770477">
        <w:rPr>
          <w:rFonts w:cs="Times New Roman"/>
          <w:sz w:val="32"/>
          <w:szCs w:val="32"/>
        </w:rPr>
        <w:t>EFFLUENT: A BENCHTOP PROOF OF CONCEPT</w:t>
      </w:r>
    </w:p>
    <w:p w14:paraId="683AF7BB" w14:textId="25DB1E16" w:rsidR="00B85EC0" w:rsidRPr="00770477" w:rsidRDefault="00B85EC0" w:rsidP="00957E24">
      <w:pPr>
        <w:spacing w:line="360" w:lineRule="auto"/>
        <w:rPr>
          <w:rFonts w:cs="Times New Roman"/>
          <w:sz w:val="32"/>
          <w:szCs w:val="32"/>
        </w:rPr>
      </w:pPr>
    </w:p>
    <w:p w14:paraId="621DED2F" w14:textId="312110F2" w:rsidR="00234A8E" w:rsidRPr="00770477" w:rsidRDefault="00234A8E" w:rsidP="00957E24">
      <w:pPr>
        <w:spacing w:line="360" w:lineRule="auto"/>
        <w:rPr>
          <w:rFonts w:cs="Times New Roman"/>
          <w:sz w:val="32"/>
          <w:szCs w:val="32"/>
        </w:rPr>
      </w:pPr>
    </w:p>
    <w:p w14:paraId="5C93EAD4" w14:textId="31A4BBD4" w:rsidR="00234A8E" w:rsidRPr="00770477" w:rsidRDefault="00234A8E" w:rsidP="00957E24">
      <w:pPr>
        <w:spacing w:line="360" w:lineRule="auto"/>
        <w:rPr>
          <w:rFonts w:cs="Times New Roman"/>
          <w:sz w:val="32"/>
          <w:szCs w:val="32"/>
        </w:rPr>
      </w:pPr>
    </w:p>
    <w:p w14:paraId="17C694AD" w14:textId="77777777" w:rsidR="00234A8E" w:rsidRPr="00770477" w:rsidRDefault="00234A8E" w:rsidP="00957E24">
      <w:pPr>
        <w:spacing w:line="360" w:lineRule="auto"/>
        <w:rPr>
          <w:rFonts w:cs="Times New Roman"/>
          <w:sz w:val="32"/>
          <w:szCs w:val="32"/>
        </w:rPr>
      </w:pPr>
    </w:p>
    <w:p w14:paraId="3456B1FD" w14:textId="18525379" w:rsidR="00B85EC0" w:rsidRPr="00770477" w:rsidRDefault="00B85EC0" w:rsidP="00957E24">
      <w:pPr>
        <w:spacing w:line="360" w:lineRule="auto"/>
        <w:jc w:val="center"/>
        <w:rPr>
          <w:rFonts w:cs="Times New Roman"/>
          <w:sz w:val="32"/>
          <w:szCs w:val="32"/>
        </w:rPr>
      </w:pPr>
      <w:r w:rsidRPr="00770477">
        <w:rPr>
          <w:rFonts w:cs="Times New Roman"/>
          <w:sz w:val="32"/>
          <w:szCs w:val="32"/>
        </w:rPr>
        <w:t>A THESIS</w:t>
      </w:r>
    </w:p>
    <w:p w14:paraId="2958F9D0" w14:textId="0307712D" w:rsidR="00B85EC0" w:rsidRPr="00770477" w:rsidRDefault="00B85EC0" w:rsidP="00957E24">
      <w:pPr>
        <w:spacing w:line="360" w:lineRule="auto"/>
        <w:jc w:val="center"/>
        <w:rPr>
          <w:rFonts w:cs="Times New Roman"/>
          <w:sz w:val="32"/>
          <w:szCs w:val="32"/>
        </w:rPr>
      </w:pPr>
      <w:r w:rsidRPr="00770477">
        <w:rPr>
          <w:rFonts w:cs="Times New Roman"/>
          <w:sz w:val="32"/>
          <w:szCs w:val="32"/>
        </w:rPr>
        <w:t>SUBMITTED TO THE GRADUATE FACULT</w:t>
      </w:r>
      <w:r w:rsidR="00234A8E" w:rsidRPr="00770477">
        <w:rPr>
          <w:rFonts w:cs="Times New Roman"/>
          <w:sz w:val="32"/>
          <w:szCs w:val="32"/>
        </w:rPr>
        <w:t>Y</w:t>
      </w:r>
    </w:p>
    <w:p w14:paraId="642A9934" w14:textId="634F907A" w:rsidR="00B85EC0" w:rsidRPr="00770477" w:rsidRDefault="00B85EC0" w:rsidP="00957E24">
      <w:pPr>
        <w:spacing w:line="360" w:lineRule="auto"/>
        <w:jc w:val="center"/>
        <w:rPr>
          <w:rFonts w:cs="Times New Roman"/>
          <w:sz w:val="32"/>
          <w:szCs w:val="32"/>
        </w:rPr>
      </w:pPr>
      <w:r w:rsidRPr="00770477">
        <w:rPr>
          <w:rFonts w:cs="Times New Roman"/>
          <w:sz w:val="32"/>
          <w:szCs w:val="32"/>
        </w:rPr>
        <w:t>in partial fulfillment of the requirements for the</w:t>
      </w:r>
    </w:p>
    <w:p w14:paraId="7E668244" w14:textId="1225FF0D" w:rsidR="00B85EC0" w:rsidRPr="00770477" w:rsidRDefault="00B85EC0" w:rsidP="00957E24">
      <w:pPr>
        <w:spacing w:line="360" w:lineRule="auto"/>
        <w:jc w:val="center"/>
        <w:rPr>
          <w:rFonts w:cs="Times New Roman"/>
          <w:sz w:val="32"/>
          <w:szCs w:val="32"/>
        </w:rPr>
      </w:pPr>
      <w:r w:rsidRPr="00770477">
        <w:rPr>
          <w:rFonts w:cs="Times New Roman"/>
          <w:sz w:val="32"/>
          <w:szCs w:val="32"/>
        </w:rPr>
        <w:t>Degree of</w:t>
      </w:r>
    </w:p>
    <w:p w14:paraId="56B65D34" w14:textId="5729C27B" w:rsidR="00B85EC0" w:rsidRPr="00770477" w:rsidRDefault="00234A8E" w:rsidP="00957E24">
      <w:pPr>
        <w:spacing w:line="360" w:lineRule="auto"/>
        <w:jc w:val="center"/>
        <w:rPr>
          <w:rFonts w:cs="Times New Roman"/>
          <w:sz w:val="32"/>
          <w:szCs w:val="32"/>
        </w:rPr>
      </w:pPr>
      <w:r w:rsidRPr="00770477">
        <w:rPr>
          <w:rFonts w:cs="Times New Roman"/>
          <w:sz w:val="32"/>
          <w:szCs w:val="32"/>
        </w:rPr>
        <w:t>MASTER OF SCIENCE</w:t>
      </w:r>
    </w:p>
    <w:p w14:paraId="51E2016D" w14:textId="665D85B1" w:rsidR="004670C4" w:rsidRPr="00770477" w:rsidRDefault="004670C4" w:rsidP="00957E24">
      <w:pPr>
        <w:spacing w:line="360" w:lineRule="auto"/>
        <w:jc w:val="center"/>
        <w:rPr>
          <w:rFonts w:cs="Times New Roman"/>
          <w:sz w:val="32"/>
          <w:szCs w:val="32"/>
        </w:rPr>
      </w:pPr>
    </w:p>
    <w:p w14:paraId="454B72DB" w14:textId="77777777" w:rsidR="004670C4" w:rsidRPr="00770477" w:rsidRDefault="004670C4" w:rsidP="00D4195E">
      <w:pPr>
        <w:spacing w:line="360" w:lineRule="auto"/>
        <w:rPr>
          <w:rFonts w:cs="Times New Roman"/>
          <w:sz w:val="32"/>
          <w:szCs w:val="32"/>
        </w:rPr>
      </w:pPr>
    </w:p>
    <w:p w14:paraId="391ECA0F" w14:textId="290EF3E5" w:rsidR="00C1333B" w:rsidRPr="00770477" w:rsidRDefault="00C1333B" w:rsidP="00957E24">
      <w:pPr>
        <w:spacing w:line="360" w:lineRule="auto"/>
        <w:jc w:val="center"/>
        <w:rPr>
          <w:rFonts w:cs="Times New Roman"/>
          <w:sz w:val="32"/>
          <w:szCs w:val="32"/>
        </w:rPr>
      </w:pPr>
      <w:r w:rsidRPr="00770477">
        <w:rPr>
          <w:rFonts w:cs="Times New Roman"/>
          <w:sz w:val="32"/>
          <w:szCs w:val="32"/>
        </w:rPr>
        <w:t>By</w:t>
      </w:r>
    </w:p>
    <w:p w14:paraId="3DAF62BF" w14:textId="1204B3A4" w:rsidR="00C1333B" w:rsidRPr="00770477" w:rsidRDefault="00C1333B" w:rsidP="00957E24">
      <w:pPr>
        <w:spacing w:line="360" w:lineRule="auto"/>
        <w:jc w:val="center"/>
        <w:rPr>
          <w:rFonts w:cs="Times New Roman"/>
          <w:sz w:val="32"/>
          <w:szCs w:val="32"/>
        </w:rPr>
      </w:pPr>
      <w:r w:rsidRPr="00770477">
        <w:rPr>
          <w:rFonts w:cs="Times New Roman"/>
          <w:sz w:val="32"/>
          <w:szCs w:val="32"/>
        </w:rPr>
        <w:t>KYLE MATTHEW MATTINGLY</w:t>
      </w:r>
    </w:p>
    <w:p w14:paraId="596C4297" w14:textId="34DCE592" w:rsidR="0013574E" w:rsidRPr="00770477" w:rsidRDefault="0013574E" w:rsidP="00957E24">
      <w:pPr>
        <w:spacing w:line="360" w:lineRule="auto"/>
        <w:jc w:val="center"/>
        <w:rPr>
          <w:rFonts w:cs="Times New Roman"/>
          <w:sz w:val="32"/>
          <w:szCs w:val="32"/>
        </w:rPr>
      </w:pPr>
      <w:r w:rsidRPr="00770477">
        <w:rPr>
          <w:rFonts w:cs="Times New Roman"/>
          <w:sz w:val="32"/>
          <w:szCs w:val="32"/>
        </w:rPr>
        <w:t>Norman, Oklahoma</w:t>
      </w:r>
    </w:p>
    <w:p w14:paraId="25EBBA34" w14:textId="420F8822" w:rsidR="00D4195E" w:rsidRPr="00770477" w:rsidRDefault="0013574E" w:rsidP="00B05527">
      <w:pPr>
        <w:spacing w:line="360" w:lineRule="auto"/>
        <w:jc w:val="center"/>
        <w:rPr>
          <w:rFonts w:cs="Times New Roman"/>
          <w:sz w:val="32"/>
          <w:szCs w:val="32"/>
        </w:rPr>
      </w:pPr>
      <w:r w:rsidRPr="00770477">
        <w:rPr>
          <w:rFonts w:cs="Times New Roman"/>
          <w:sz w:val="32"/>
          <w:szCs w:val="32"/>
        </w:rPr>
        <w:t>2022</w:t>
      </w:r>
      <w:r w:rsidR="00D4195E" w:rsidRPr="00770477">
        <w:rPr>
          <w:rFonts w:cs="Times New Roman"/>
          <w:sz w:val="32"/>
          <w:szCs w:val="32"/>
        </w:rPr>
        <w:br w:type="page"/>
      </w:r>
    </w:p>
    <w:p w14:paraId="67520131" w14:textId="77777777" w:rsidR="005F6377" w:rsidRPr="00770477" w:rsidRDefault="005F6377" w:rsidP="005F6377">
      <w:pPr>
        <w:spacing w:line="360" w:lineRule="auto"/>
        <w:jc w:val="center"/>
        <w:rPr>
          <w:rFonts w:cs="Times New Roman"/>
          <w:sz w:val="32"/>
          <w:szCs w:val="32"/>
        </w:rPr>
      </w:pPr>
      <w:r w:rsidRPr="00770477">
        <w:rPr>
          <w:rFonts w:cs="Times New Roman"/>
          <w:sz w:val="32"/>
          <w:szCs w:val="32"/>
        </w:rPr>
        <w:lastRenderedPageBreak/>
        <w:t>INDUSTRIAL BYPRODUCTS AS A TREATMENT FOR BIORETENTION UNDERDRAIN EFFLUENT: A BENCHTOP PROOF OF CONCEPT</w:t>
      </w:r>
    </w:p>
    <w:p w14:paraId="129061D7" w14:textId="77777777" w:rsidR="00D4195E" w:rsidRPr="00770477" w:rsidRDefault="00D4195E" w:rsidP="00D4195E">
      <w:pPr>
        <w:spacing w:line="360" w:lineRule="auto"/>
        <w:rPr>
          <w:rFonts w:cs="Times New Roman"/>
          <w:sz w:val="32"/>
          <w:szCs w:val="32"/>
        </w:rPr>
      </w:pPr>
    </w:p>
    <w:p w14:paraId="48061E17" w14:textId="77777777" w:rsidR="00D4195E" w:rsidRPr="00770477" w:rsidRDefault="00D4195E" w:rsidP="00D4195E">
      <w:pPr>
        <w:spacing w:line="360" w:lineRule="auto"/>
        <w:rPr>
          <w:rFonts w:cs="Times New Roman"/>
          <w:sz w:val="32"/>
          <w:szCs w:val="32"/>
        </w:rPr>
      </w:pPr>
    </w:p>
    <w:p w14:paraId="2DBD3FE8" w14:textId="77777777" w:rsidR="00D4195E" w:rsidRPr="00770477" w:rsidRDefault="00D4195E" w:rsidP="00D4195E">
      <w:pPr>
        <w:spacing w:line="360" w:lineRule="auto"/>
        <w:rPr>
          <w:rFonts w:cs="Times New Roman"/>
          <w:sz w:val="32"/>
          <w:szCs w:val="32"/>
        </w:rPr>
      </w:pPr>
    </w:p>
    <w:p w14:paraId="6E747C6A" w14:textId="77777777" w:rsidR="003D169A" w:rsidRPr="00770477" w:rsidRDefault="003D169A" w:rsidP="00D4195E">
      <w:pPr>
        <w:spacing w:line="360" w:lineRule="auto"/>
        <w:jc w:val="center"/>
        <w:rPr>
          <w:rFonts w:cs="Times New Roman"/>
          <w:sz w:val="32"/>
          <w:szCs w:val="32"/>
        </w:rPr>
      </w:pPr>
      <w:r w:rsidRPr="00770477">
        <w:rPr>
          <w:rFonts w:cs="Times New Roman"/>
          <w:sz w:val="32"/>
          <w:szCs w:val="32"/>
        </w:rPr>
        <w:t xml:space="preserve">A THESIS APPROVED FOR THE </w:t>
      </w:r>
    </w:p>
    <w:p w14:paraId="40275670" w14:textId="0689C5C3" w:rsidR="00D4195E" w:rsidRPr="00770477" w:rsidRDefault="003D169A" w:rsidP="00D4195E">
      <w:pPr>
        <w:spacing w:line="360" w:lineRule="auto"/>
        <w:jc w:val="center"/>
        <w:rPr>
          <w:rFonts w:cs="Times New Roman"/>
          <w:sz w:val="32"/>
          <w:szCs w:val="32"/>
        </w:rPr>
      </w:pPr>
      <w:r w:rsidRPr="00770477">
        <w:rPr>
          <w:rFonts w:cs="Times New Roman"/>
          <w:sz w:val="32"/>
          <w:szCs w:val="32"/>
        </w:rPr>
        <w:t>SCHOOL OF GEOSCIENCES</w:t>
      </w:r>
    </w:p>
    <w:p w14:paraId="402BCADF" w14:textId="05D5DFA7" w:rsidR="00D4195E" w:rsidRPr="00770477" w:rsidRDefault="00D4195E" w:rsidP="00D4195E">
      <w:pPr>
        <w:spacing w:line="360" w:lineRule="auto"/>
        <w:rPr>
          <w:rFonts w:cs="Times New Roman"/>
          <w:sz w:val="32"/>
          <w:szCs w:val="32"/>
        </w:rPr>
      </w:pPr>
    </w:p>
    <w:p w14:paraId="78F1C7EE" w14:textId="77777777" w:rsidR="003D169A" w:rsidRPr="00770477" w:rsidRDefault="003D169A" w:rsidP="00D4195E">
      <w:pPr>
        <w:spacing w:line="360" w:lineRule="auto"/>
        <w:rPr>
          <w:rFonts w:cs="Times New Roman"/>
          <w:sz w:val="32"/>
          <w:szCs w:val="32"/>
        </w:rPr>
      </w:pPr>
    </w:p>
    <w:p w14:paraId="3D1BDB27" w14:textId="2E1E1B87" w:rsidR="0013574E" w:rsidRPr="00770477" w:rsidRDefault="003D169A" w:rsidP="003D169A">
      <w:pPr>
        <w:spacing w:line="360" w:lineRule="auto"/>
        <w:jc w:val="center"/>
        <w:rPr>
          <w:rFonts w:cs="Times New Roman"/>
          <w:sz w:val="32"/>
          <w:szCs w:val="32"/>
        </w:rPr>
      </w:pPr>
      <w:r w:rsidRPr="00770477">
        <w:rPr>
          <w:rFonts w:cs="Times New Roman"/>
          <w:sz w:val="32"/>
          <w:szCs w:val="32"/>
        </w:rPr>
        <w:t>BY THE COMMITTEE CONSISTING OF</w:t>
      </w:r>
    </w:p>
    <w:p w14:paraId="5412D053" w14:textId="70CEE886" w:rsidR="00CB1F00" w:rsidRPr="00770477" w:rsidRDefault="00CB1F00" w:rsidP="003D169A">
      <w:pPr>
        <w:spacing w:line="360" w:lineRule="auto"/>
        <w:jc w:val="center"/>
        <w:rPr>
          <w:rFonts w:cs="Times New Roman"/>
          <w:sz w:val="32"/>
          <w:szCs w:val="32"/>
        </w:rPr>
      </w:pPr>
    </w:p>
    <w:p w14:paraId="4CBB5DDB" w14:textId="4B0C7A18" w:rsidR="00CB1F00" w:rsidRPr="00770477" w:rsidRDefault="00CB1F00" w:rsidP="003D169A">
      <w:pPr>
        <w:spacing w:line="360" w:lineRule="auto"/>
        <w:jc w:val="center"/>
        <w:rPr>
          <w:rFonts w:cs="Times New Roman"/>
          <w:sz w:val="32"/>
          <w:szCs w:val="32"/>
        </w:rPr>
      </w:pPr>
    </w:p>
    <w:p w14:paraId="38B4B4E6" w14:textId="078CAEA7" w:rsidR="00CB1F00" w:rsidRPr="00770477" w:rsidRDefault="00CB1F00" w:rsidP="003D169A">
      <w:pPr>
        <w:spacing w:line="360" w:lineRule="auto"/>
        <w:jc w:val="center"/>
        <w:rPr>
          <w:rFonts w:cs="Times New Roman"/>
          <w:sz w:val="32"/>
          <w:szCs w:val="32"/>
        </w:rPr>
      </w:pPr>
    </w:p>
    <w:p w14:paraId="3B150101" w14:textId="2FD45004" w:rsidR="00CB1F00" w:rsidRPr="00770477" w:rsidRDefault="00CB1F00" w:rsidP="003D169A">
      <w:pPr>
        <w:spacing w:line="360" w:lineRule="auto"/>
        <w:jc w:val="center"/>
        <w:rPr>
          <w:rFonts w:cs="Times New Roman"/>
          <w:sz w:val="32"/>
          <w:szCs w:val="32"/>
        </w:rPr>
      </w:pPr>
    </w:p>
    <w:p w14:paraId="7F0E7C52" w14:textId="69C451F1" w:rsidR="00CB1F00" w:rsidRPr="00770477" w:rsidRDefault="00CB1F00" w:rsidP="003D169A">
      <w:pPr>
        <w:spacing w:line="360" w:lineRule="auto"/>
        <w:jc w:val="center"/>
        <w:rPr>
          <w:rFonts w:cs="Times New Roman"/>
          <w:sz w:val="32"/>
          <w:szCs w:val="32"/>
        </w:rPr>
      </w:pPr>
    </w:p>
    <w:p w14:paraId="2B888A01" w14:textId="30232114" w:rsidR="00CB1F00" w:rsidRPr="00770477" w:rsidRDefault="00CB1F00" w:rsidP="003D169A">
      <w:pPr>
        <w:spacing w:line="360" w:lineRule="auto"/>
        <w:jc w:val="center"/>
        <w:rPr>
          <w:rFonts w:cs="Times New Roman"/>
          <w:sz w:val="32"/>
          <w:szCs w:val="32"/>
        </w:rPr>
      </w:pPr>
    </w:p>
    <w:p w14:paraId="4EB8D880" w14:textId="24569758" w:rsidR="00CB1F00" w:rsidRPr="00770477" w:rsidRDefault="00CB1F00" w:rsidP="003D169A">
      <w:pPr>
        <w:spacing w:line="360" w:lineRule="auto"/>
        <w:jc w:val="center"/>
        <w:rPr>
          <w:rFonts w:cs="Times New Roman"/>
          <w:sz w:val="32"/>
          <w:szCs w:val="32"/>
        </w:rPr>
      </w:pPr>
    </w:p>
    <w:p w14:paraId="28F8D393" w14:textId="6CD9889D" w:rsidR="00CB1F00" w:rsidRPr="00770477" w:rsidRDefault="00CB1F00" w:rsidP="003D169A">
      <w:pPr>
        <w:spacing w:line="360" w:lineRule="auto"/>
        <w:jc w:val="center"/>
        <w:rPr>
          <w:rFonts w:cs="Times New Roman"/>
          <w:sz w:val="32"/>
          <w:szCs w:val="32"/>
        </w:rPr>
      </w:pPr>
    </w:p>
    <w:p w14:paraId="2C77C5C6" w14:textId="77777777" w:rsidR="00CB1F00" w:rsidRPr="00770477" w:rsidRDefault="00CB1F00" w:rsidP="003D169A">
      <w:pPr>
        <w:spacing w:line="360" w:lineRule="auto"/>
        <w:jc w:val="center"/>
        <w:rPr>
          <w:rFonts w:cs="Times New Roman"/>
          <w:sz w:val="32"/>
          <w:szCs w:val="32"/>
        </w:rPr>
      </w:pPr>
    </w:p>
    <w:p w14:paraId="4B900F64" w14:textId="0FF820A9" w:rsidR="00257A3E" w:rsidRPr="00770477" w:rsidRDefault="00257A3E" w:rsidP="00257A3E">
      <w:pPr>
        <w:spacing w:line="360" w:lineRule="auto"/>
        <w:jc w:val="right"/>
        <w:rPr>
          <w:rFonts w:cs="Times New Roman"/>
          <w:sz w:val="32"/>
          <w:szCs w:val="32"/>
        </w:rPr>
      </w:pPr>
      <w:r w:rsidRPr="00770477">
        <w:rPr>
          <w:rFonts w:cs="Times New Roman"/>
          <w:sz w:val="32"/>
          <w:szCs w:val="32"/>
        </w:rPr>
        <w:t>Dr. Kato T. Dee, Co-Cha</w:t>
      </w:r>
      <w:r w:rsidR="00CB1F00" w:rsidRPr="00770477">
        <w:rPr>
          <w:rFonts w:cs="Times New Roman"/>
          <w:sz w:val="32"/>
          <w:szCs w:val="32"/>
        </w:rPr>
        <w:t>ir</w:t>
      </w:r>
    </w:p>
    <w:p w14:paraId="69B35911" w14:textId="3D099F61" w:rsidR="00257A3E" w:rsidRPr="00770477" w:rsidRDefault="00257A3E" w:rsidP="00257A3E">
      <w:pPr>
        <w:spacing w:line="360" w:lineRule="auto"/>
        <w:jc w:val="right"/>
        <w:rPr>
          <w:rFonts w:cs="Times New Roman"/>
          <w:sz w:val="32"/>
          <w:szCs w:val="32"/>
        </w:rPr>
      </w:pPr>
      <w:r w:rsidRPr="00770477">
        <w:rPr>
          <w:rFonts w:cs="Times New Roman"/>
          <w:sz w:val="32"/>
          <w:szCs w:val="32"/>
        </w:rPr>
        <w:t>Dr</w:t>
      </w:r>
      <w:r w:rsidR="00CB1F00" w:rsidRPr="00770477">
        <w:rPr>
          <w:rFonts w:cs="Times New Roman"/>
          <w:sz w:val="32"/>
          <w:szCs w:val="32"/>
        </w:rPr>
        <w:t>. Jason Vogel, Co-Chair</w:t>
      </w:r>
    </w:p>
    <w:p w14:paraId="1B045BE3" w14:textId="774E14DA" w:rsidR="00D4195E" w:rsidRPr="00B05527" w:rsidRDefault="00CB1F00" w:rsidP="00B05527">
      <w:pPr>
        <w:spacing w:line="360" w:lineRule="auto"/>
        <w:jc w:val="right"/>
        <w:rPr>
          <w:rFonts w:cs="Times New Roman"/>
          <w:sz w:val="32"/>
          <w:szCs w:val="32"/>
        </w:rPr>
      </w:pPr>
      <w:r w:rsidRPr="00770477">
        <w:rPr>
          <w:rFonts w:cs="Times New Roman"/>
          <w:sz w:val="32"/>
          <w:szCs w:val="32"/>
        </w:rPr>
        <w:t>Dr. Caitlin Hodges</w:t>
      </w:r>
      <w:r w:rsidR="00D4195E" w:rsidRPr="00770477">
        <w:rPr>
          <w:rFonts w:cs="Times New Roman"/>
        </w:rPr>
        <w:br w:type="page"/>
      </w:r>
    </w:p>
    <w:p w14:paraId="008D7C33" w14:textId="77777777" w:rsidR="002C27E1" w:rsidRPr="00770477" w:rsidRDefault="002C27E1">
      <w:pPr>
        <w:spacing w:line="240" w:lineRule="auto"/>
        <w:rPr>
          <w:rFonts w:cs="Times New Roman"/>
        </w:rPr>
      </w:pPr>
    </w:p>
    <w:p w14:paraId="5BF884FF" w14:textId="77777777" w:rsidR="002C27E1" w:rsidRPr="00770477" w:rsidRDefault="002C27E1">
      <w:pPr>
        <w:spacing w:line="240" w:lineRule="auto"/>
        <w:rPr>
          <w:rFonts w:cs="Times New Roman"/>
        </w:rPr>
      </w:pPr>
    </w:p>
    <w:p w14:paraId="3CBC4CB3" w14:textId="77777777" w:rsidR="002C27E1" w:rsidRPr="00770477" w:rsidRDefault="002C27E1">
      <w:pPr>
        <w:spacing w:line="240" w:lineRule="auto"/>
        <w:rPr>
          <w:rFonts w:cs="Times New Roman"/>
        </w:rPr>
      </w:pPr>
    </w:p>
    <w:p w14:paraId="4394C403" w14:textId="77777777" w:rsidR="002C27E1" w:rsidRPr="00770477" w:rsidRDefault="002C27E1">
      <w:pPr>
        <w:spacing w:line="240" w:lineRule="auto"/>
        <w:rPr>
          <w:rFonts w:cs="Times New Roman"/>
        </w:rPr>
      </w:pPr>
    </w:p>
    <w:p w14:paraId="072B4F05" w14:textId="77777777" w:rsidR="002C27E1" w:rsidRPr="00770477" w:rsidRDefault="002C27E1">
      <w:pPr>
        <w:spacing w:line="240" w:lineRule="auto"/>
        <w:rPr>
          <w:rFonts w:cs="Times New Roman"/>
        </w:rPr>
      </w:pPr>
    </w:p>
    <w:p w14:paraId="777DF2A4" w14:textId="77777777" w:rsidR="002C27E1" w:rsidRPr="00770477" w:rsidRDefault="002C27E1">
      <w:pPr>
        <w:spacing w:line="240" w:lineRule="auto"/>
        <w:rPr>
          <w:rFonts w:cs="Times New Roman"/>
        </w:rPr>
      </w:pPr>
    </w:p>
    <w:p w14:paraId="6763F113" w14:textId="77777777" w:rsidR="002C27E1" w:rsidRPr="00770477" w:rsidRDefault="002C27E1">
      <w:pPr>
        <w:spacing w:line="240" w:lineRule="auto"/>
        <w:rPr>
          <w:rFonts w:cs="Times New Roman"/>
        </w:rPr>
      </w:pPr>
    </w:p>
    <w:p w14:paraId="0B09FE0D" w14:textId="77777777" w:rsidR="002C27E1" w:rsidRPr="00770477" w:rsidRDefault="002C27E1">
      <w:pPr>
        <w:spacing w:line="240" w:lineRule="auto"/>
        <w:rPr>
          <w:rFonts w:cs="Times New Roman"/>
        </w:rPr>
      </w:pPr>
    </w:p>
    <w:p w14:paraId="295AE139" w14:textId="77777777" w:rsidR="002C27E1" w:rsidRPr="00770477" w:rsidRDefault="002C27E1">
      <w:pPr>
        <w:spacing w:line="240" w:lineRule="auto"/>
        <w:rPr>
          <w:rFonts w:cs="Times New Roman"/>
        </w:rPr>
      </w:pPr>
    </w:p>
    <w:p w14:paraId="0E3B1957" w14:textId="77777777" w:rsidR="002C27E1" w:rsidRPr="00770477" w:rsidRDefault="002C27E1">
      <w:pPr>
        <w:spacing w:line="240" w:lineRule="auto"/>
        <w:rPr>
          <w:rFonts w:cs="Times New Roman"/>
        </w:rPr>
      </w:pPr>
    </w:p>
    <w:p w14:paraId="3C34BBA4" w14:textId="77777777" w:rsidR="002C27E1" w:rsidRPr="00770477" w:rsidRDefault="002C27E1">
      <w:pPr>
        <w:spacing w:line="240" w:lineRule="auto"/>
        <w:rPr>
          <w:rFonts w:cs="Times New Roman"/>
        </w:rPr>
      </w:pPr>
    </w:p>
    <w:p w14:paraId="3B723803" w14:textId="77777777" w:rsidR="002C27E1" w:rsidRPr="00770477" w:rsidRDefault="002C27E1">
      <w:pPr>
        <w:spacing w:line="240" w:lineRule="auto"/>
        <w:rPr>
          <w:rFonts w:cs="Times New Roman"/>
        </w:rPr>
      </w:pPr>
    </w:p>
    <w:p w14:paraId="2F72DA39" w14:textId="77777777" w:rsidR="002C27E1" w:rsidRPr="00770477" w:rsidRDefault="002C27E1">
      <w:pPr>
        <w:spacing w:line="240" w:lineRule="auto"/>
        <w:rPr>
          <w:rFonts w:cs="Times New Roman"/>
        </w:rPr>
      </w:pPr>
    </w:p>
    <w:p w14:paraId="4D3AF46F" w14:textId="77777777" w:rsidR="002C27E1" w:rsidRPr="00770477" w:rsidRDefault="002C27E1">
      <w:pPr>
        <w:spacing w:line="240" w:lineRule="auto"/>
        <w:rPr>
          <w:rFonts w:cs="Times New Roman"/>
        </w:rPr>
      </w:pPr>
    </w:p>
    <w:p w14:paraId="096E0AA4" w14:textId="77777777" w:rsidR="002C27E1" w:rsidRPr="00770477" w:rsidRDefault="002C27E1">
      <w:pPr>
        <w:spacing w:line="240" w:lineRule="auto"/>
        <w:rPr>
          <w:rFonts w:cs="Times New Roman"/>
        </w:rPr>
      </w:pPr>
    </w:p>
    <w:p w14:paraId="1D1376EE" w14:textId="77777777" w:rsidR="002C27E1" w:rsidRPr="00770477" w:rsidRDefault="002C27E1">
      <w:pPr>
        <w:spacing w:line="240" w:lineRule="auto"/>
        <w:rPr>
          <w:rFonts w:cs="Times New Roman"/>
        </w:rPr>
      </w:pPr>
    </w:p>
    <w:p w14:paraId="680CDFCD" w14:textId="77777777" w:rsidR="002C27E1" w:rsidRPr="00770477" w:rsidRDefault="002C27E1">
      <w:pPr>
        <w:spacing w:line="240" w:lineRule="auto"/>
        <w:rPr>
          <w:rFonts w:cs="Times New Roman"/>
        </w:rPr>
      </w:pPr>
    </w:p>
    <w:p w14:paraId="0B222D01" w14:textId="77777777" w:rsidR="002C27E1" w:rsidRPr="00770477" w:rsidRDefault="002C27E1">
      <w:pPr>
        <w:spacing w:line="240" w:lineRule="auto"/>
        <w:rPr>
          <w:rFonts w:cs="Times New Roman"/>
        </w:rPr>
      </w:pPr>
    </w:p>
    <w:p w14:paraId="66524ECA" w14:textId="77777777" w:rsidR="002C27E1" w:rsidRPr="00770477" w:rsidRDefault="002C27E1">
      <w:pPr>
        <w:spacing w:line="240" w:lineRule="auto"/>
        <w:rPr>
          <w:rFonts w:cs="Times New Roman"/>
        </w:rPr>
      </w:pPr>
    </w:p>
    <w:p w14:paraId="2E15CBCB" w14:textId="77777777" w:rsidR="002C27E1" w:rsidRPr="00770477" w:rsidRDefault="002C27E1">
      <w:pPr>
        <w:spacing w:line="240" w:lineRule="auto"/>
        <w:rPr>
          <w:rFonts w:cs="Times New Roman"/>
        </w:rPr>
      </w:pPr>
    </w:p>
    <w:p w14:paraId="1D886909" w14:textId="77777777" w:rsidR="002C27E1" w:rsidRPr="00770477" w:rsidRDefault="002C27E1">
      <w:pPr>
        <w:spacing w:line="240" w:lineRule="auto"/>
        <w:rPr>
          <w:rFonts w:cs="Times New Roman"/>
        </w:rPr>
      </w:pPr>
    </w:p>
    <w:p w14:paraId="41498275" w14:textId="77777777" w:rsidR="002C27E1" w:rsidRPr="00770477" w:rsidRDefault="002C27E1">
      <w:pPr>
        <w:spacing w:line="240" w:lineRule="auto"/>
        <w:rPr>
          <w:rFonts w:cs="Times New Roman"/>
        </w:rPr>
      </w:pPr>
    </w:p>
    <w:p w14:paraId="7B4FC56F" w14:textId="77777777" w:rsidR="002C27E1" w:rsidRPr="00770477" w:rsidRDefault="002C27E1">
      <w:pPr>
        <w:spacing w:line="240" w:lineRule="auto"/>
        <w:rPr>
          <w:rFonts w:cs="Times New Roman"/>
        </w:rPr>
      </w:pPr>
    </w:p>
    <w:p w14:paraId="0A996417" w14:textId="77777777" w:rsidR="002C27E1" w:rsidRPr="00770477" w:rsidRDefault="002C27E1">
      <w:pPr>
        <w:spacing w:line="240" w:lineRule="auto"/>
        <w:rPr>
          <w:rFonts w:cs="Times New Roman"/>
        </w:rPr>
      </w:pPr>
    </w:p>
    <w:p w14:paraId="0119A595" w14:textId="77777777" w:rsidR="002C27E1" w:rsidRPr="00770477" w:rsidRDefault="002C27E1">
      <w:pPr>
        <w:spacing w:line="240" w:lineRule="auto"/>
        <w:rPr>
          <w:rFonts w:cs="Times New Roman"/>
        </w:rPr>
      </w:pPr>
    </w:p>
    <w:p w14:paraId="120EB626" w14:textId="77777777" w:rsidR="002C27E1" w:rsidRPr="00770477" w:rsidRDefault="002C27E1">
      <w:pPr>
        <w:spacing w:line="240" w:lineRule="auto"/>
        <w:rPr>
          <w:rFonts w:cs="Times New Roman"/>
        </w:rPr>
      </w:pPr>
    </w:p>
    <w:p w14:paraId="7E7E8088" w14:textId="77777777" w:rsidR="002C27E1" w:rsidRPr="00770477" w:rsidRDefault="002C27E1">
      <w:pPr>
        <w:spacing w:line="240" w:lineRule="auto"/>
        <w:rPr>
          <w:rFonts w:cs="Times New Roman"/>
        </w:rPr>
      </w:pPr>
    </w:p>
    <w:p w14:paraId="22A4D697" w14:textId="77777777" w:rsidR="002C27E1" w:rsidRPr="00770477" w:rsidRDefault="002C27E1">
      <w:pPr>
        <w:spacing w:line="240" w:lineRule="auto"/>
        <w:rPr>
          <w:rFonts w:cs="Times New Roman"/>
        </w:rPr>
      </w:pPr>
    </w:p>
    <w:p w14:paraId="47F31478" w14:textId="77777777" w:rsidR="002C27E1" w:rsidRPr="00770477" w:rsidRDefault="002C27E1">
      <w:pPr>
        <w:spacing w:line="240" w:lineRule="auto"/>
        <w:rPr>
          <w:rFonts w:cs="Times New Roman"/>
        </w:rPr>
      </w:pPr>
    </w:p>
    <w:p w14:paraId="68A767D4" w14:textId="77777777" w:rsidR="002C27E1" w:rsidRPr="00770477" w:rsidRDefault="002C27E1">
      <w:pPr>
        <w:spacing w:line="240" w:lineRule="auto"/>
        <w:rPr>
          <w:rFonts w:cs="Times New Roman"/>
        </w:rPr>
      </w:pPr>
    </w:p>
    <w:p w14:paraId="3B314498" w14:textId="77777777" w:rsidR="002C27E1" w:rsidRPr="00770477" w:rsidRDefault="002C27E1">
      <w:pPr>
        <w:spacing w:line="240" w:lineRule="auto"/>
        <w:rPr>
          <w:rFonts w:cs="Times New Roman"/>
        </w:rPr>
      </w:pPr>
    </w:p>
    <w:p w14:paraId="54AF3ECB" w14:textId="77777777" w:rsidR="002C27E1" w:rsidRPr="00770477" w:rsidRDefault="002C27E1">
      <w:pPr>
        <w:spacing w:line="240" w:lineRule="auto"/>
        <w:rPr>
          <w:rFonts w:cs="Times New Roman"/>
        </w:rPr>
      </w:pPr>
    </w:p>
    <w:p w14:paraId="096DE907" w14:textId="77777777" w:rsidR="002C27E1" w:rsidRPr="00770477" w:rsidRDefault="002C27E1">
      <w:pPr>
        <w:spacing w:line="240" w:lineRule="auto"/>
        <w:rPr>
          <w:rFonts w:cs="Times New Roman"/>
        </w:rPr>
      </w:pPr>
    </w:p>
    <w:p w14:paraId="5ABB1B0F" w14:textId="33AD7081" w:rsidR="002C27E1" w:rsidRPr="00770477" w:rsidRDefault="002C27E1">
      <w:pPr>
        <w:spacing w:line="240" w:lineRule="auto"/>
        <w:rPr>
          <w:rFonts w:cs="Times New Roman"/>
        </w:rPr>
      </w:pPr>
    </w:p>
    <w:p w14:paraId="7729EA73" w14:textId="77777777" w:rsidR="00CC192C" w:rsidRPr="00770477" w:rsidRDefault="00CC192C">
      <w:pPr>
        <w:spacing w:line="240" w:lineRule="auto"/>
        <w:rPr>
          <w:rFonts w:cs="Times New Roman"/>
        </w:rPr>
      </w:pPr>
    </w:p>
    <w:p w14:paraId="346B962C" w14:textId="77777777" w:rsidR="002C27E1" w:rsidRPr="00770477" w:rsidRDefault="002C27E1">
      <w:pPr>
        <w:spacing w:line="240" w:lineRule="auto"/>
        <w:rPr>
          <w:rFonts w:cs="Times New Roman"/>
        </w:rPr>
      </w:pPr>
    </w:p>
    <w:p w14:paraId="54A67E69" w14:textId="77777777" w:rsidR="002C27E1" w:rsidRPr="00770477" w:rsidRDefault="002C27E1">
      <w:pPr>
        <w:spacing w:line="240" w:lineRule="auto"/>
        <w:rPr>
          <w:rFonts w:cs="Times New Roman"/>
        </w:rPr>
      </w:pPr>
    </w:p>
    <w:p w14:paraId="15E7AA6E" w14:textId="77777777" w:rsidR="002C27E1" w:rsidRPr="00770477" w:rsidRDefault="002C27E1">
      <w:pPr>
        <w:spacing w:line="240" w:lineRule="auto"/>
        <w:rPr>
          <w:rFonts w:cs="Times New Roman"/>
        </w:rPr>
      </w:pPr>
    </w:p>
    <w:p w14:paraId="5BECDDCA" w14:textId="77777777" w:rsidR="002C27E1" w:rsidRPr="00770477" w:rsidRDefault="002C27E1">
      <w:pPr>
        <w:spacing w:line="240" w:lineRule="auto"/>
        <w:rPr>
          <w:rFonts w:cs="Times New Roman"/>
        </w:rPr>
      </w:pPr>
    </w:p>
    <w:p w14:paraId="4FB5A1CB" w14:textId="77777777" w:rsidR="002C27E1" w:rsidRPr="00770477" w:rsidRDefault="002C27E1" w:rsidP="00CC192C">
      <w:pPr>
        <w:spacing w:line="276" w:lineRule="auto"/>
        <w:rPr>
          <w:rFonts w:cs="Times New Roman"/>
        </w:rPr>
      </w:pPr>
    </w:p>
    <w:p w14:paraId="6D6A16EE" w14:textId="77777777" w:rsidR="00CC192C" w:rsidRPr="00770477" w:rsidRDefault="00CC192C" w:rsidP="00CC192C">
      <w:pPr>
        <w:spacing w:line="276" w:lineRule="auto"/>
        <w:jc w:val="center"/>
        <w:rPr>
          <w:rFonts w:cs="Times New Roman"/>
        </w:rPr>
      </w:pPr>
      <w:r w:rsidRPr="00770477">
        <w:rPr>
          <w:rFonts w:cs="Times New Roman"/>
        </w:rPr>
        <w:t>© Copyright by KYLE MATTHEW MATTINGLY 2022</w:t>
      </w:r>
    </w:p>
    <w:p w14:paraId="77F6A47E" w14:textId="3557FC83" w:rsidR="00CC192C" w:rsidRPr="00770477" w:rsidRDefault="00CC192C" w:rsidP="00CC192C">
      <w:pPr>
        <w:spacing w:line="276" w:lineRule="auto"/>
        <w:jc w:val="center"/>
        <w:rPr>
          <w:rFonts w:cs="Times New Roman"/>
        </w:rPr>
      </w:pPr>
      <w:r w:rsidRPr="00770477">
        <w:rPr>
          <w:rFonts w:cs="Times New Roman"/>
        </w:rPr>
        <w:t>All Rights Reserved</w:t>
      </w:r>
      <w:r w:rsidR="00594D20">
        <w:rPr>
          <w:rFonts w:cs="Times New Roman"/>
        </w:rPr>
        <w:t>.</w:t>
      </w:r>
    </w:p>
    <w:p w14:paraId="6756C50D" w14:textId="77777777" w:rsidR="00594D20" w:rsidRDefault="00594D20" w:rsidP="002C27E1">
      <w:pPr>
        <w:spacing w:line="240" w:lineRule="auto"/>
        <w:jc w:val="center"/>
        <w:rPr>
          <w:rFonts w:cs="Times New Roman"/>
        </w:rPr>
      </w:pPr>
    </w:p>
    <w:p w14:paraId="41A806F6" w14:textId="716C6B21" w:rsidR="00594D20" w:rsidRDefault="00594D20" w:rsidP="00594D20">
      <w:pPr>
        <w:spacing w:line="240" w:lineRule="auto"/>
        <w:rPr>
          <w:rFonts w:cs="Times New Roman"/>
        </w:rPr>
        <w:sectPr w:rsidR="00594D20" w:rsidSect="00F36677">
          <w:footerReference w:type="even" r:id="rId8"/>
          <w:footerReference w:type="default" r:id="rId9"/>
          <w:pgSz w:w="12240" w:h="15840"/>
          <w:pgMar w:top="1440" w:right="1440" w:bottom="1440" w:left="1440" w:header="720" w:footer="720" w:gutter="0"/>
          <w:pgNumType w:fmt="lowerRoman" w:start="1"/>
          <w:cols w:space="720"/>
          <w:docGrid w:linePitch="360"/>
        </w:sectPr>
      </w:pPr>
    </w:p>
    <w:p w14:paraId="7056A36A" w14:textId="70EB5E61" w:rsidR="00A01908" w:rsidRDefault="00A01908" w:rsidP="00A01908">
      <w:pPr>
        <w:pStyle w:val="TOCHeading"/>
        <w:spacing w:line="480" w:lineRule="auto"/>
        <w:rPr>
          <w:rFonts w:ascii="Times New Roman" w:hAnsi="Times New Roman" w:cs="Times New Roman"/>
        </w:rPr>
      </w:pPr>
      <w:r>
        <w:rPr>
          <w:rFonts w:ascii="Times New Roman" w:hAnsi="Times New Roman" w:cs="Times New Roman"/>
        </w:rPr>
        <w:lastRenderedPageBreak/>
        <w:t>Dedication</w:t>
      </w:r>
    </w:p>
    <w:p w14:paraId="1EB7DFE2" w14:textId="77777777" w:rsidR="00145AFA" w:rsidRDefault="001277EC" w:rsidP="00A01908">
      <w:r>
        <w:tab/>
        <w:t xml:space="preserve">I would like to dedicate this thesis to those in my life who have encouraged me to pursue my goals and to persevere </w:t>
      </w:r>
      <w:r w:rsidR="00A04578">
        <w:t xml:space="preserve">through </w:t>
      </w:r>
      <w:r w:rsidR="004B20FE">
        <w:t xml:space="preserve">all </w:t>
      </w:r>
      <w:r w:rsidR="00A04578">
        <w:t>the challenges</w:t>
      </w:r>
      <w:r w:rsidR="004B20FE">
        <w:t xml:space="preserve">. </w:t>
      </w:r>
    </w:p>
    <w:p w14:paraId="15128891" w14:textId="0947B358" w:rsidR="00A01908" w:rsidRDefault="004B20FE" w:rsidP="009943DA">
      <w:pPr>
        <w:ind w:firstLine="720"/>
      </w:pPr>
      <w:r>
        <w:t>First to Becky and Jade</w:t>
      </w:r>
      <w:r w:rsidR="00D471AA">
        <w:t>,</w:t>
      </w:r>
      <w:r>
        <w:t xml:space="preserve"> for </w:t>
      </w:r>
      <w:r w:rsidR="00D471AA">
        <w:t xml:space="preserve">serving as the example and helping me chart the course towards graduate school. I’m not sure how I got so lucky to </w:t>
      </w:r>
      <w:r w:rsidR="004F2F74">
        <w:t xml:space="preserve">have met you both and it’s with no doubt in my mind that I would not be the scientist I am today if it weren’t for you two. </w:t>
      </w:r>
      <w:r w:rsidR="00145AFA">
        <w:t>Long live the quad!</w:t>
      </w:r>
    </w:p>
    <w:p w14:paraId="105789A2" w14:textId="5E990531" w:rsidR="00145AFA" w:rsidRDefault="00145AFA" w:rsidP="009943DA">
      <w:pPr>
        <w:ind w:firstLine="720"/>
      </w:pPr>
      <w:r>
        <w:t xml:space="preserve">To my parents. I know my academic and professional pursuits have been a far stray away from the </w:t>
      </w:r>
      <w:r w:rsidR="00703E26">
        <w:t>world you both know</w:t>
      </w:r>
      <w:r>
        <w:t xml:space="preserve"> of </w:t>
      </w:r>
      <w:r w:rsidR="00703E26">
        <w:t xml:space="preserve">instructional </w:t>
      </w:r>
      <w:r>
        <w:t>education</w:t>
      </w:r>
      <w:r w:rsidR="00703E26">
        <w:t xml:space="preserve"> and music. </w:t>
      </w:r>
      <w:r w:rsidR="00E15A62">
        <w:t>Despite my pursuits being uncharted territory for you both, I always felt</w:t>
      </w:r>
      <w:r w:rsidR="0015637F">
        <w:t xml:space="preserve"> </w:t>
      </w:r>
      <w:r w:rsidR="00E15A62">
        <w:t xml:space="preserve">supported </w:t>
      </w:r>
      <w:r w:rsidR="0015637F">
        <w:t xml:space="preserve">in my ambitions </w:t>
      </w:r>
      <w:r w:rsidR="000B63D7">
        <w:t>and always</w:t>
      </w:r>
      <w:r w:rsidR="00CB6F52">
        <w:t xml:space="preserve"> </w:t>
      </w:r>
      <w:r w:rsidR="000B63D7">
        <w:t>knew</w:t>
      </w:r>
      <w:r w:rsidR="00CB6F52">
        <w:t xml:space="preserve"> </w:t>
      </w:r>
      <w:r w:rsidR="00540D72">
        <w:t xml:space="preserve">I could </w:t>
      </w:r>
      <w:r w:rsidR="00CB6F52">
        <w:t xml:space="preserve">achieve </w:t>
      </w:r>
      <w:r w:rsidR="000B63D7">
        <w:t>anything I wanted</w:t>
      </w:r>
      <w:r w:rsidR="00540D72">
        <w:t xml:space="preserve"> if by nothing else but by your</w:t>
      </w:r>
      <w:r w:rsidR="00E36716">
        <w:t xml:space="preserve"> encouragement and support alone. </w:t>
      </w:r>
    </w:p>
    <w:p w14:paraId="2D192CC8" w14:textId="20015B50" w:rsidR="00E36716" w:rsidRDefault="00E36716" w:rsidP="009943DA">
      <w:pPr>
        <w:ind w:firstLine="720"/>
      </w:pPr>
      <w:r>
        <w:t xml:space="preserve">And </w:t>
      </w:r>
      <w:r w:rsidR="00F06B51">
        <w:t xml:space="preserve">finally, </w:t>
      </w:r>
      <w:r>
        <w:t>to Juan</w:t>
      </w:r>
      <w:r w:rsidR="00F06B51">
        <w:t>, my bubby</w:t>
      </w:r>
      <w:r>
        <w:t>. It takes a special kind of person to put up with me</w:t>
      </w:r>
      <w:r w:rsidR="00F06B51">
        <w:t xml:space="preserve"> in general, but it takes a special kind of person to put up with me </w:t>
      </w:r>
      <w:r w:rsidR="00ED107D">
        <w:t xml:space="preserve">when I’m at maximum capacity. The nonstop support you’ve shown me over this </w:t>
      </w:r>
      <w:proofErr w:type="gramStart"/>
      <w:r w:rsidR="00ED107D">
        <w:t>two year</w:t>
      </w:r>
      <w:proofErr w:type="gramEnd"/>
      <w:r w:rsidR="00ED107D">
        <w:t xml:space="preserve"> journey </w:t>
      </w:r>
      <w:r w:rsidR="00C1618C">
        <w:t>has given me the space to achieve something I’ve always dreamed of</w:t>
      </w:r>
      <w:r w:rsidR="00443208">
        <w:t>. You’ve cooked</w:t>
      </w:r>
      <w:r w:rsidR="00A96499">
        <w:t>. Y</w:t>
      </w:r>
      <w:r w:rsidR="00443208">
        <w:t>ou’ve cleaned</w:t>
      </w:r>
      <w:r w:rsidR="00A96499">
        <w:t>. Y</w:t>
      </w:r>
      <w:r w:rsidR="00443208">
        <w:t>ou’ve baked</w:t>
      </w:r>
      <w:r w:rsidR="00A96499">
        <w:t>.</w:t>
      </w:r>
      <w:r w:rsidR="00443208">
        <w:t xml:space="preserve"> </w:t>
      </w:r>
      <w:r w:rsidR="00A96499">
        <w:t>Y</w:t>
      </w:r>
      <w:r w:rsidR="00443208">
        <w:t>ou’ve hugged</w:t>
      </w:r>
      <w:r w:rsidR="00A96499">
        <w:t>. Y</w:t>
      </w:r>
      <w:r w:rsidR="00443208">
        <w:t>ou’ve consoled</w:t>
      </w:r>
      <w:r w:rsidR="00A96499">
        <w:t>. Y</w:t>
      </w:r>
      <w:r w:rsidR="00177543">
        <w:t xml:space="preserve">ou’ve poured yourself out </w:t>
      </w:r>
      <w:r w:rsidR="00FD5F6A">
        <w:t xml:space="preserve">time and time again </w:t>
      </w:r>
      <w:r w:rsidR="00177543">
        <w:t xml:space="preserve">to help me achieve my goals. I’m not sure I can put into words </w:t>
      </w:r>
      <w:r w:rsidR="00117B32">
        <w:t>what that has meant to me</w:t>
      </w:r>
      <w:r w:rsidR="0050251A">
        <w:t xml:space="preserve">, so all I can do is </w:t>
      </w:r>
      <w:r w:rsidR="009943DA">
        <w:t xml:space="preserve">support you </w:t>
      </w:r>
      <w:r w:rsidR="00FD5F6A">
        <w:t xml:space="preserve">in return so that you can aim high and achieve. </w:t>
      </w:r>
    </w:p>
    <w:p w14:paraId="438F07F0" w14:textId="77777777" w:rsidR="009943DA" w:rsidRDefault="009943DA" w:rsidP="00A01908"/>
    <w:p w14:paraId="521C998F" w14:textId="1B3B0DD9" w:rsidR="009943DA" w:rsidRPr="00A01908" w:rsidRDefault="009943DA" w:rsidP="00A01908">
      <w:r>
        <w:t xml:space="preserve">I love you all, and from the deepest depths of my heart, thank you. </w:t>
      </w:r>
    </w:p>
    <w:p w14:paraId="611873B2" w14:textId="45F2F9F9" w:rsidR="00C61E89" w:rsidRPr="00770477" w:rsidRDefault="00C61E89">
      <w:pPr>
        <w:spacing w:line="240" w:lineRule="auto"/>
        <w:rPr>
          <w:rFonts w:eastAsiaTheme="majorEastAsia" w:cs="Times New Roman"/>
          <w:color w:val="2F5496" w:themeColor="accent1" w:themeShade="BF"/>
          <w:sz w:val="32"/>
          <w:szCs w:val="32"/>
        </w:rPr>
      </w:pPr>
      <w:r w:rsidRPr="00770477">
        <w:rPr>
          <w:rFonts w:cs="Times New Roman"/>
        </w:rPr>
        <w:br w:type="page"/>
      </w:r>
    </w:p>
    <w:sdt>
      <w:sdtPr>
        <w:rPr>
          <w:rFonts w:ascii="Times New Roman" w:eastAsiaTheme="minorHAnsi" w:hAnsi="Times New Roman" w:cs="Times New Roman"/>
          <w:color w:val="auto"/>
          <w:sz w:val="24"/>
          <w:szCs w:val="24"/>
        </w:rPr>
        <w:id w:val="-1489782057"/>
        <w:docPartObj>
          <w:docPartGallery w:val="Table of Contents"/>
          <w:docPartUnique/>
        </w:docPartObj>
      </w:sdtPr>
      <w:sdtEndPr>
        <w:rPr>
          <w:b/>
          <w:bCs/>
          <w:noProof/>
        </w:rPr>
      </w:sdtEndPr>
      <w:sdtContent>
        <w:p w14:paraId="0DCB1A6E" w14:textId="42D07EB8" w:rsidR="00F4109F" w:rsidRDefault="00F4109F">
          <w:pPr>
            <w:pStyle w:val="TOCHeading"/>
            <w:rPr>
              <w:rFonts w:ascii="Times New Roman" w:hAnsi="Times New Roman" w:cs="Times New Roman"/>
            </w:rPr>
          </w:pPr>
          <w:r w:rsidRPr="00770477">
            <w:rPr>
              <w:rFonts w:ascii="Times New Roman" w:hAnsi="Times New Roman" w:cs="Times New Roman"/>
            </w:rPr>
            <w:t>Contents</w:t>
          </w:r>
        </w:p>
        <w:p w14:paraId="5AD27691" w14:textId="77777777" w:rsidR="00A01908" w:rsidRPr="00A01908" w:rsidRDefault="00A01908" w:rsidP="00A01908"/>
        <w:p w14:paraId="02BABED4" w14:textId="2EBBC3CF" w:rsidR="00302953" w:rsidRDefault="00674FD1">
          <w:pPr>
            <w:pStyle w:val="TOC1"/>
            <w:tabs>
              <w:tab w:val="right" w:leader="dot" w:pos="9350"/>
            </w:tabs>
            <w:rPr>
              <w:rFonts w:asciiTheme="minorHAnsi" w:eastAsiaTheme="minorEastAsia" w:hAnsiTheme="minorHAnsi"/>
              <w:noProof/>
            </w:rPr>
          </w:pPr>
          <w:r>
            <w:rPr>
              <w:rFonts w:cs="Times New Roman"/>
            </w:rPr>
            <w:fldChar w:fldCharType="begin"/>
          </w:r>
          <w:r>
            <w:rPr>
              <w:rFonts w:cs="Times New Roman"/>
            </w:rPr>
            <w:instrText xml:space="preserve"> TOC \o "1-8" \h \z \u </w:instrText>
          </w:r>
          <w:r>
            <w:rPr>
              <w:rFonts w:cs="Times New Roman"/>
            </w:rPr>
            <w:fldChar w:fldCharType="separate"/>
          </w:r>
          <w:hyperlink w:anchor="_Toc121495966" w:history="1">
            <w:r w:rsidR="00302953" w:rsidRPr="00941DD8">
              <w:rPr>
                <w:rStyle w:val="Hyperlink"/>
                <w:rFonts w:cs="Times New Roman"/>
                <w:noProof/>
              </w:rPr>
              <w:t>Abstract</w:t>
            </w:r>
            <w:r w:rsidR="00302953">
              <w:rPr>
                <w:noProof/>
                <w:webHidden/>
              </w:rPr>
              <w:tab/>
            </w:r>
            <w:r w:rsidR="00302953">
              <w:rPr>
                <w:noProof/>
                <w:webHidden/>
              </w:rPr>
              <w:fldChar w:fldCharType="begin"/>
            </w:r>
            <w:r w:rsidR="00302953">
              <w:rPr>
                <w:noProof/>
                <w:webHidden/>
              </w:rPr>
              <w:instrText xml:space="preserve"> PAGEREF _Toc121495966 \h </w:instrText>
            </w:r>
            <w:r w:rsidR="00302953">
              <w:rPr>
                <w:noProof/>
                <w:webHidden/>
              </w:rPr>
            </w:r>
            <w:r w:rsidR="00302953">
              <w:rPr>
                <w:noProof/>
                <w:webHidden/>
              </w:rPr>
              <w:fldChar w:fldCharType="separate"/>
            </w:r>
            <w:r w:rsidR="00061096">
              <w:rPr>
                <w:noProof/>
                <w:webHidden/>
              </w:rPr>
              <w:t>xvii</w:t>
            </w:r>
            <w:r w:rsidR="00302953">
              <w:rPr>
                <w:noProof/>
                <w:webHidden/>
              </w:rPr>
              <w:fldChar w:fldCharType="end"/>
            </w:r>
          </w:hyperlink>
        </w:p>
        <w:p w14:paraId="5137896E" w14:textId="17274BAA" w:rsidR="00302953" w:rsidRDefault="00000000">
          <w:pPr>
            <w:pStyle w:val="TOC1"/>
            <w:tabs>
              <w:tab w:val="left" w:pos="480"/>
              <w:tab w:val="right" w:leader="dot" w:pos="9350"/>
            </w:tabs>
            <w:rPr>
              <w:rFonts w:asciiTheme="minorHAnsi" w:eastAsiaTheme="minorEastAsia" w:hAnsiTheme="minorHAnsi"/>
              <w:noProof/>
            </w:rPr>
          </w:pPr>
          <w:hyperlink w:anchor="_Toc121495967" w:history="1">
            <w:r w:rsidR="00302953" w:rsidRPr="00941DD8">
              <w:rPr>
                <w:rStyle w:val="Hyperlink"/>
                <w:rFonts w:cs="Times New Roman"/>
                <w:noProof/>
              </w:rPr>
              <w:t>1</w:t>
            </w:r>
            <w:r w:rsidR="00302953">
              <w:rPr>
                <w:rFonts w:asciiTheme="minorHAnsi" w:eastAsiaTheme="minorEastAsia" w:hAnsiTheme="minorHAnsi"/>
                <w:noProof/>
              </w:rPr>
              <w:tab/>
            </w:r>
            <w:r w:rsidR="00302953" w:rsidRPr="00941DD8">
              <w:rPr>
                <w:rStyle w:val="Hyperlink"/>
                <w:rFonts w:cs="Times New Roman"/>
                <w:noProof/>
              </w:rPr>
              <w:t>Introduction</w:t>
            </w:r>
            <w:r w:rsidR="00302953">
              <w:rPr>
                <w:noProof/>
                <w:webHidden/>
              </w:rPr>
              <w:tab/>
            </w:r>
            <w:r w:rsidR="00302953">
              <w:rPr>
                <w:noProof/>
                <w:webHidden/>
              </w:rPr>
              <w:fldChar w:fldCharType="begin"/>
            </w:r>
            <w:r w:rsidR="00302953">
              <w:rPr>
                <w:noProof/>
                <w:webHidden/>
              </w:rPr>
              <w:instrText xml:space="preserve"> PAGEREF _Toc121495967 \h </w:instrText>
            </w:r>
            <w:r w:rsidR="00302953">
              <w:rPr>
                <w:noProof/>
                <w:webHidden/>
              </w:rPr>
            </w:r>
            <w:r w:rsidR="00302953">
              <w:rPr>
                <w:noProof/>
                <w:webHidden/>
              </w:rPr>
              <w:fldChar w:fldCharType="separate"/>
            </w:r>
            <w:r w:rsidR="00061096">
              <w:rPr>
                <w:noProof/>
                <w:webHidden/>
              </w:rPr>
              <w:t>1</w:t>
            </w:r>
            <w:r w:rsidR="00302953">
              <w:rPr>
                <w:noProof/>
                <w:webHidden/>
              </w:rPr>
              <w:fldChar w:fldCharType="end"/>
            </w:r>
          </w:hyperlink>
        </w:p>
        <w:p w14:paraId="5AA02691" w14:textId="48DDBFD4" w:rsidR="00302953" w:rsidRDefault="00000000">
          <w:pPr>
            <w:pStyle w:val="TOC2"/>
            <w:tabs>
              <w:tab w:val="left" w:pos="960"/>
              <w:tab w:val="right" w:leader="dot" w:pos="9350"/>
            </w:tabs>
            <w:rPr>
              <w:rFonts w:asciiTheme="minorHAnsi" w:eastAsiaTheme="minorEastAsia" w:hAnsiTheme="minorHAnsi"/>
              <w:noProof/>
            </w:rPr>
          </w:pPr>
          <w:hyperlink w:anchor="_Toc121495968" w:history="1">
            <w:r w:rsidR="00302953" w:rsidRPr="00941DD8">
              <w:rPr>
                <w:rStyle w:val="Hyperlink"/>
                <w:rFonts w:cs="Times New Roman"/>
                <w:noProof/>
              </w:rPr>
              <w:t>1.1</w:t>
            </w:r>
            <w:r w:rsidR="00302953">
              <w:rPr>
                <w:rFonts w:asciiTheme="minorHAnsi" w:eastAsiaTheme="minorEastAsia" w:hAnsiTheme="minorHAnsi"/>
                <w:noProof/>
              </w:rPr>
              <w:tab/>
            </w:r>
            <w:r w:rsidR="00302953" w:rsidRPr="00941DD8">
              <w:rPr>
                <w:rStyle w:val="Hyperlink"/>
                <w:rFonts w:cs="Times New Roman"/>
                <w:noProof/>
              </w:rPr>
              <w:t>Pollutants</w:t>
            </w:r>
            <w:r w:rsidR="00302953">
              <w:rPr>
                <w:noProof/>
                <w:webHidden/>
              </w:rPr>
              <w:tab/>
            </w:r>
            <w:r w:rsidR="00302953">
              <w:rPr>
                <w:noProof/>
                <w:webHidden/>
              </w:rPr>
              <w:fldChar w:fldCharType="begin"/>
            </w:r>
            <w:r w:rsidR="00302953">
              <w:rPr>
                <w:noProof/>
                <w:webHidden/>
              </w:rPr>
              <w:instrText xml:space="preserve"> PAGEREF _Toc121495968 \h </w:instrText>
            </w:r>
            <w:r w:rsidR="00302953">
              <w:rPr>
                <w:noProof/>
                <w:webHidden/>
              </w:rPr>
            </w:r>
            <w:r w:rsidR="00302953">
              <w:rPr>
                <w:noProof/>
                <w:webHidden/>
              </w:rPr>
              <w:fldChar w:fldCharType="separate"/>
            </w:r>
            <w:r w:rsidR="00061096">
              <w:rPr>
                <w:noProof/>
                <w:webHidden/>
              </w:rPr>
              <w:t>4</w:t>
            </w:r>
            <w:r w:rsidR="00302953">
              <w:rPr>
                <w:noProof/>
                <w:webHidden/>
              </w:rPr>
              <w:fldChar w:fldCharType="end"/>
            </w:r>
          </w:hyperlink>
        </w:p>
        <w:p w14:paraId="4CF45ED8" w14:textId="08CC6B06" w:rsidR="00302953" w:rsidRDefault="00000000">
          <w:pPr>
            <w:pStyle w:val="TOC3"/>
            <w:tabs>
              <w:tab w:val="left" w:pos="1440"/>
              <w:tab w:val="right" w:leader="dot" w:pos="9350"/>
            </w:tabs>
            <w:rPr>
              <w:rFonts w:asciiTheme="minorHAnsi" w:eastAsiaTheme="minorEastAsia" w:hAnsiTheme="minorHAnsi"/>
              <w:noProof/>
            </w:rPr>
          </w:pPr>
          <w:hyperlink w:anchor="_Toc121495969" w:history="1">
            <w:r w:rsidR="00302953" w:rsidRPr="00941DD8">
              <w:rPr>
                <w:rStyle w:val="Hyperlink"/>
                <w:rFonts w:cs="Times New Roman"/>
                <w:noProof/>
              </w:rPr>
              <w:t>1.1.1</w:t>
            </w:r>
            <w:r w:rsidR="00302953">
              <w:rPr>
                <w:rFonts w:asciiTheme="minorHAnsi" w:eastAsiaTheme="minorEastAsia" w:hAnsiTheme="minorHAnsi"/>
                <w:noProof/>
              </w:rPr>
              <w:tab/>
            </w:r>
            <w:r w:rsidR="00302953" w:rsidRPr="00941DD8">
              <w:rPr>
                <w:rStyle w:val="Hyperlink"/>
                <w:rFonts w:cs="Times New Roman"/>
                <w:noProof/>
              </w:rPr>
              <w:t>Neonicotinoid Pesticides</w:t>
            </w:r>
            <w:r w:rsidR="00302953">
              <w:rPr>
                <w:noProof/>
                <w:webHidden/>
              </w:rPr>
              <w:tab/>
            </w:r>
            <w:r w:rsidR="00302953">
              <w:rPr>
                <w:noProof/>
                <w:webHidden/>
              </w:rPr>
              <w:fldChar w:fldCharType="begin"/>
            </w:r>
            <w:r w:rsidR="00302953">
              <w:rPr>
                <w:noProof/>
                <w:webHidden/>
              </w:rPr>
              <w:instrText xml:space="preserve"> PAGEREF _Toc121495969 \h </w:instrText>
            </w:r>
            <w:r w:rsidR="00302953">
              <w:rPr>
                <w:noProof/>
                <w:webHidden/>
              </w:rPr>
            </w:r>
            <w:r w:rsidR="00302953">
              <w:rPr>
                <w:noProof/>
                <w:webHidden/>
              </w:rPr>
              <w:fldChar w:fldCharType="separate"/>
            </w:r>
            <w:r w:rsidR="00061096">
              <w:rPr>
                <w:noProof/>
                <w:webHidden/>
              </w:rPr>
              <w:t>4</w:t>
            </w:r>
            <w:r w:rsidR="00302953">
              <w:rPr>
                <w:noProof/>
                <w:webHidden/>
              </w:rPr>
              <w:fldChar w:fldCharType="end"/>
            </w:r>
          </w:hyperlink>
        </w:p>
        <w:p w14:paraId="55E759F6" w14:textId="1E737DE0" w:rsidR="00302953" w:rsidRDefault="00000000">
          <w:pPr>
            <w:pStyle w:val="TOC3"/>
            <w:tabs>
              <w:tab w:val="left" w:pos="1440"/>
              <w:tab w:val="right" w:leader="dot" w:pos="9350"/>
            </w:tabs>
            <w:rPr>
              <w:rFonts w:asciiTheme="minorHAnsi" w:eastAsiaTheme="minorEastAsia" w:hAnsiTheme="minorHAnsi"/>
              <w:noProof/>
            </w:rPr>
          </w:pPr>
          <w:hyperlink w:anchor="_Toc121495970" w:history="1">
            <w:r w:rsidR="00302953" w:rsidRPr="00941DD8">
              <w:rPr>
                <w:rStyle w:val="Hyperlink"/>
                <w:rFonts w:cs="Times New Roman"/>
                <w:noProof/>
              </w:rPr>
              <w:t>1.1.2</w:t>
            </w:r>
            <w:r w:rsidR="00302953">
              <w:rPr>
                <w:rFonts w:asciiTheme="minorHAnsi" w:eastAsiaTheme="minorEastAsia" w:hAnsiTheme="minorHAnsi"/>
                <w:noProof/>
              </w:rPr>
              <w:tab/>
            </w:r>
            <w:r w:rsidR="00302953" w:rsidRPr="00941DD8">
              <w:rPr>
                <w:rStyle w:val="Hyperlink"/>
                <w:rFonts w:cs="Times New Roman"/>
                <w:noProof/>
              </w:rPr>
              <w:t>Metals</w:t>
            </w:r>
            <w:r w:rsidR="00302953">
              <w:rPr>
                <w:noProof/>
                <w:webHidden/>
              </w:rPr>
              <w:tab/>
            </w:r>
            <w:r w:rsidR="00302953">
              <w:rPr>
                <w:noProof/>
                <w:webHidden/>
              </w:rPr>
              <w:fldChar w:fldCharType="begin"/>
            </w:r>
            <w:r w:rsidR="00302953">
              <w:rPr>
                <w:noProof/>
                <w:webHidden/>
              </w:rPr>
              <w:instrText xml:space="preserve"> PAGEREF _Toc121495970 \h </w:instrText>
            </w:r>
            <w:r w:rsidR="00302953">
              <w:rPr>
                <w:noProof/>
                <w:webHidden/>
              </w:rPr>
            </w:r>
            <w:r w:rsidR="00302953">
              <w:rPr>
                <w:noProof/>
                <w:webHidden/>
              </w:rPr>
              <w:fldChar w:fldCharType="separate"/>
            </w:r>
            <w:r w:rsidR="00061096">
              <w:rPr>
                <w:noProof/>
                <w:webHidden/>
              </w:rPr>
              <w:t>11</w:t>
            </w:r>
            <w:r w:rsidR="00302953">
              <w:rPr>
                <w:noProof/>
                <w:webHidden/>
              </w:rPr>
              <w:fldChar w:fldCharType="end"/>
            </w:r>
          </w:hyperlink>
        </w:p>
        <w:p w14:paraId="277315E0" w14:textId="4A20FDD0" w:rsidR="00302953" w:rsidRDefault="00000000">
          <w:pPr>
            <w:pStyle w:val="TOC3"/>
            <w:tabs>
              <w:tab w:val="left" w:pos="1440"/>
              <w:tab w:val="right" w:leader="dot" w:pos="9350"/>
            </w:tabs>
            <w:rPr>
              <w:rFonts w:asciiTheme="minorHAnsi" w:eastAsiaTheme="minorEastAsia" w:hAnsiTheme="minorHAnsi"/>
              <w:noProof/>
            </w:rPr>
          </w:pPr>
          <w:hyperlink w:anchor="_Toc121495971" w:history="1">
            <w:r w:rsidR="00302953" w:rsidRPr="00941DD8">
              <w:rPr>
                <w:rStyle w:val="Hyperlink"/>
                <w:rFonts w:cs="Times New Roman"/>
                <w:noProof/>
              </w:rPr>
              <w:t>1.1.3</w:t>
            </w:r>
            <w:r w:rsidR="00302953">
              <w:rPr>
                <w:rFonts w:asciiTheme="minorHAnsi" w:eastAsiaTheme="minorEastAsia" w:hAnsiTheme="minorHAnsi"/>
                <w:noProof/>
              </w:rPr>
              <w:tab/>
            </w:r>
            <w:r w:rsidR="00302953" w:rsidRPr="00941DD8">
              <w:rPr>
                <w:rStyle w:val="Hyperlink"/>
                <w:rFonts w:cs="Times New Roman"/>
                <w:noProof/>
              </w:rPr>
              <w:t>Phosphorus</w:t>
            </w:r>
            <w:r w:rsidR="00302953">
              <w:rPr>
                <w:noProof/>
                <w:webHidden/>
              </w:rPr>
              <w:tab/>
            </w:r>
            <w:r w:rsidR="00302953">
              <w:rPr>
                <w:noProof/>
                <w:webHidden/>
              </w:rPr>
              <w:fldChar w:fldCharType="begin"/>
            </w:r>
            <w:r w:rsidR="00302953">
              <w:rPr>
                <w:noProof/>
                <w:webHidden/>
              </w:rPr>
              <w:instrText xml:space="preserve"> PAGEREF _Toc121495971 \h </w:instrText>
            </w:r>
            <w:r w:rsidR="00302953">
              <w:rPr>
                <w:noProof/>
                <w:webHidden/>
              </w:rPr>
            </w:r>
            <w:r w:rsidR="00302953">
              <w:rPr>
                <w:noProof/>
                <w:webHidden/>
              </w:rPr>
              <w:fldChar w:fldCharType="separate"/>
            </w:r>
            <w:r w:rsidR="00061096">
              <w:rPr>
                <w:noProof/>
                <w:webHidden/>
              </w:rPr>
              <w:t>18</w:t>
            </w:r>
            <w:r w:rsidR="00302953">
              <w:rPr>
                <w:noProof/>
                <w:webHidden/>
              </w:rPr>
              <w:fldChar w:fldCharType="end"/>
            </w:r>
          </w:hyperlink>
        </w:p>
        <w:p w14:paraId="051AEE3F" w14:textId="54933692" w:rsidR="00302953" w:rsidRDefault="00000000">
          <w:pPr>
            <w:pStyle w:val="TOC2"/>
            <w:tabs>
              <w:tab w:val="left" w:pos="960"/>
              <w:tab w:val="right" w:leader="dot" w:pos="9350"/>
            </w:tabs>
            <w:rPr>
              <w:rFonts w:asciiTheme="minorHAnsi" w:eastAsiaTheme="minorEastAsia" w:hAnsiTheme="minorHAnsi"/>
              <w:noProof/>
            </w:rPr>
          </w:pPr>
          <w:hyperlink w:anchor="_Toc121495972" w:history="1">
            <w:r w:rsidR="00302953" w:rsidRPr="00941DD8">
              <w:rPr>
                <w:rStyle w:val="Hyperlink"/>
                <w:rFonts w:cs="Times New Roman"/>
                <w:noProof/>
              </w:rPr>
              <w:t>1.2</w:t>
            </w:r>
            <w:r w:rsidR="00302953">
              <w:rPr>
                <w:rFonts w:asciiTheme="minorHAnsi" w:eastAsiaTheme="minorEastAsia" w:hAnsiTheme="minorHAnsi"/>
                <w:noProof/>
              </w:rPr>
              <w:tab/>
            </w:r>
            <w:r w:rsidR="00302953" w:rsidRPr="00941DD8">
              <w:rPr>
                <w:rStyle w:val="Hyperlink"/>
                <w:rFonts w:cs="Times New Roman"/>
                <w:noProof/>
              </w:rPr>
              <w:t>Treatment Media</w:t>
            </w:r>
            <w:r w:rsidR="00302953">
              <w:rPr>
                <w:noProof/>
                <w:webHidden/>
              </w:rPr>
              <w:tab/>
            </w:r>
            <w:r w:rsidR="00302953">
              <w:rPr>
                <w:noProof/>
                <w:webHidden/>
              </w:rPr>
              <w:fldChar w:fldCharType="begin"/>
            </w:r>
            <w:r w:rsidR="00302953">
              <w:rPr>
                <w:noProof/>
                <w:webHidden/>
              </w:rPr>
              <w:instrText xml:space="preserve"> PAGEREF _Toc121495972 \h </w:instrText>
            </w:r>
            <w:r w:rsidR="00302953">
              <w:rPr>
                <w:noProof/>
                <w:webHidden/>
              </w:rPr>
            </w:r>
            <w:r w:rsidR="00302953">
              <w:rPr>
                <w:noProof/>
                <w:webHidden/>
              </w:rPr>
              <w:fldChar w:fldCharType="separate"/>
            </w:r>
            <w:r w:rsidR="00061096">
              <w:rPr>
                <w:noProof/>
                <w:webHidden/>
              </w:rPr>
              <w:t>21</w:t>
            </w:r>
            <w:r w:rsidR="00302953">
              <w:rPr>
                <w:noProof/>
                <w:webHidden/>
              </w:rPr>
              <w:fldChar w:fldCharType="end"/>
            </w:r>
          </w:hyperlink>
        </w:p>
        <w:p w14:paraId="75329F61" w14:textId="02175C2B" w:rsidR="00302953" w:rsidRDefault="00000000">
          <w:pPr>
            <w:pStyle w:val="TOC3"/>
            <w:tabs>
              <w:tab w:val="left" w:pos="1440"/>
              <w:tab w:val="right" w:leader="dot" w:pos="9350"/>
            </w:tabs>
            <w:rPr>
              <w:rFonts w:asciiTheme="minorHAnsi" w:eastAsiaTheme="minorEastAsia" w:hAnsiTheme="minorHAnsi"/>
              <w:noProof/>
            </w:rPr>
          </w:pPr>
          <w:hyperlink w:anchor="_Toc121495973" w:history="1">
            <w:r w:rsidR="00302953" w:rsidRPr="00941DD8">
              <w:rPr>
                <w:rStyle w:val="Hyperlink"/>
                <w:rFonts w:cs="Times New Roman"/>
                <w:noProof/>
              </w:rPr>
              <w:t>1.2.1</w:t>
            </w:r>
            <w:r w:rsidR="00302953">
              <w:rPr>
                <w:rFonts w:asciiTheme="minorHAnsi" w:eastAsiaTheme="minorEastAsia" w:hAnsiTheme="minorHAnsi"/>
                <w:noProof/>
              </w:rPr>
              <w:tab/>
            </w:r>
            <w:r w:rsidR="00302953" w:rsidRPr="00941DD8">
              <w:rPr>
                <w:rStyle w:val="Hyperlink"/>
                <w:rFonts w:cs="Times New Roman"/>
                <w:noProof/>
              </w:rPr>
              <w:t>Fly Ash</w:t>
            </w:r>
            <w:r w:rsidR="00302953">
              <w:rPr>
                <w:noProof/>
                <w:webHidden/>
              </w:rPr>
              <w:tab/>
            </w:r>
            <w:r w:rsidR="00302953">
              <w:rPr>
                <w:noProof/>
                <w:webHidden/>
              </w:rPr>
              <w:fldChar w:fldCharType="begin"/>
            </w:r>
            <w:r w:rsidR="00302953">
              <w:rPr>
                <w:noProof/>
                <w:webHidden/>
              </w:rPr>
              <w:instrText xml:space="preserve"> PAGEREF _Toc121495973 \h </w:instrText>
            </w:r>
            <w:r w:rsidR="00302953">
              <w:rPr>
                <w:noProof/>
                <w:webHidden/>
              </w:rPr>
            </w:r>
            <w:r w:rsidR="00302953">
              <w:rPr>
                <w:noProof/>
                <w:webHidden/>
              </w:rPr>
              <w:fldChar w:fldCharType="separate"/>
            </w:r>
            <w:r w:rsidR="00061096">
              <w:rPr>
                <w:noProof/>
                <w:webHidden/>
              </w:rPr>
              <w:t>21</w:t>
            </w:r>
            <w:r w:rsidR="00302953">
              <w:rPr>
                <w:noProof/>
                <w:webHidden/>
              </w:rPr>
              <w:fldChar w:fldCharType="end"/>
            </w:r>
          </w:hyperlink>
        </w:p>
        <w:p w14:paraId="32194ACB" w14:textId="5010FA65" w:rsidR="00302953" w:rsidRDefault="00000000">
          <w:pPr>
            <w:pStyle w:val="TOC3"/>
            <w:tabs>
              <w:tab w:val="left" w:pos="1440"/>
              <w:tab w:val="right" w:leader="dot" w:pos="9350"/>
            </w:tabs>
            <w:rPr>
              <w:rFonts w:asciiTheme="minorHAnsi" w:eastAsiaTheme="minorEastAsia" w:hAnsiTheme="minorHAnsi"/>
              <w:noProof/>
            </w:rPr>
          </w:pPr>
          <w:hyperlink w:anchor="_Toc121495974" w:history="1">
            <w:r w:rsidR="00302953" w:rsidRPr="00941DD8">
              <w:rPr>
                <w:rStyle w:val="Hyperlink"/>
                <w:rFonts w:cs="Times New Roman"/>
                <w:noProof/>
              </w:rPr>
              <w:t>1.2.2</w:t>
            </w:r>
            <w:r w:rsidR="00302953">
              <w:rPr>
                <w:rFonts w:asciiTheme="minorHAnsi" w:eastAsiaTheme="minorEastAsia" w:hAnsiTheme="minorHAnsi"/>
                <w:noProof/>
              </w:rPr>
              <w:tab/>
            </w:r>
            <w:r w:rsidR="00302953" w:rsidRPr="00941DD8">
              <w:rPr>
                <w:rStyle w:val="Hyperlink"/>
                <w:rFonts w:cs="Times New Roman"/>
                <w:noProof/>
              </w:rPr>
              <w:t>Steel Slag</w:t>
            </w:r>
            <w:r w:rsidR="00302953">
              <w:rPr>
                <w:noProof/>
                <w:webHidden/>
              </w:rPr>
              <w:tab/>
            </w:r>
            <w:r w:rsidR="00302953">
              <w:rPr>
                <w:noProof/>
                <w:webHidden/>
              </w:rPr>
              <w:fldChar w:fldCharType="begin"/>
            </w:r>
            <w:r w:rsidR="00302953">
              <w:rPr>
                <w:noProof/>
                <w:webHidden/>
              </w:rPr>
              <w:instrText xml:space="preserve"> PAGEREF _Toc121495974 \h </w:instrText>
            </w:r>
            <w:r w:rsidR="00302953">
              <w:rPr>
                <w:noProof/>
                <w:webHidden/>
              </w:rPr>
            </w:r>
            <w:r w:rsidR="00302953">
              <w:rPr>
                <w:noProof/>
                <w:webHidden/>
              </w:rPr>
              <w:fldChar w:fldCharType="separate"/>
            </w:r>
            <w:r w:rsidR="00061096">
              <w:rPr>
                <w:noProof/>
                <w:webHidden/>
              </w:rPr>
              <w:t>25</w:t>
            </w:r>
            <w:r w:rsidR="00302953">
              <w:rPr>
                <w:noProof/>
                <w:webHidden/>
              </w:rPr>
              <w:fldChar w:fldCharType="end"/>
            </w:r>
          </w:hyperlink>
        </w:p>
        <w:p w14:paraId="0F571FA5" w14:textId="066C36A9" w:rsidR="00302953" w:rsidRDefault="00000000">
          <w:pPr>
            <w:pStyle w:val="TOC3"/>
            <w:tabs>
              <w:tab w:val="left" w:pos="1440"/>
              <w:tab w:val="right" w:leader="dot" w:pos="9350"/>
            </w:tabs>
            <w:rPr>
              <w:rFonts w:asciiTheme="minorHAnsi" w:eastAsiaTheme="minorEastAsia" w:hAnsiTheme="minorHAnsi"/>
              <w:noProof/>
            </w:rPr>
          </w:pPr>
          <w:hyperlink w:anchor="_Toc121495975" w:history="1">
            <w:r w:rsidR="00302953" w:rsidRPr="00941DD8">
              <w:rPr>
                <w:rStyle w:val="Hyperlink"/>
                <w:rFonts w:cs="Times New Roman"/>
                <w:noProof/>
              </w:rPr>
              <w:t>1.2.3</w:t>
            </w:r>
            <w:r w:rsidR="00302953">
              <w:rPr>
                <w:rFonts w:asciiTheme="minorHAnsi" w:eastAsiaTheme="minorEastAsia" w:hAnsiTheme="minorHAnsi"/>
                <w:noProof/>
              </w:rPr>
              <w:tab/>
            </w:r>
            <w:r w:rsidR="00302953" w:rsidRPr="00941DD8">
              <w:rPr>
                <w:rStyle w:val="Hyperlink"/>
                <w:rFonts w:cs="Times New Roman"/>
                <w:noProof/>
              </w:rPr>
              <w:t>Biochar</w:t>
            </w:r>
            <w:r w:rsidR="00302953">
              <w:rPr>
                <w:noProof/>
                <w:webHidden/>
              </w:rPr>
              <w:tab/>
            </w:r>
            <w:r w:rsidR="00302953">
              <w:rPr>
                <w:noProof/>
                <w:webHidden/>
              </w:rPr>
              <w:fldChar w:fldCharType="begin"/>
            </w:r>
            <w:r w:rsidR="00302953">
              <w:rPr>
                <w:noProof/>
                <w:webHidden/>
              </w:rPr>
              <w:instrText xml:space="preserve"> PAGEREF _Toc121495975 \h </w:instrText>
            </w:r>
            <w:r w:rsidR="00302953">
              <w:rPr>
                <w:noProof/>
                <w:webHidden/>
              </w:rPr>
            </w:r>
            <w:r w:rsidR="00302953">
              <w:rPr>
                <w:noProof/>
                <w:webHidden/>
              </w:rPr>
              <w:fldChar w:fldCharType="separate"/>
            </w:r>
            <w:r w:rsidR="00061096">
              <w:rPr>
                <w:noProof/>
                <w:webHidden/>
              </w:rPr>
              <w:t>30</w:t>
            </w:r>
            <w:r w:rsidR="00302953">
              <w:rPr>
                <w:noProof/>
                <w:webHidden/>
              </w:rPr>
              <w:fldChar w:fldCharType="end"/>
            </w:r>
          </w:hyperlink>
        </w:p>
        <w:p w14:paraId="1C65C4E0" w14:textId="57409EF7" w:rsidR="00302953" w:rsidRDefault="00000000">
          <w:pPr>
            <w:pStyle w:val="TOC1"/>
            <w:tabs>
              <w:tab w:val="left" w:pos="480"/>
              <w:tab w:val="right" w:leader="dot" w:pos="9350"/>
            </w:tabs>
            <w:rPr>
              <w:rFonts w:asciiTheme="minorHAnsi" w:eastAsiaTheme="minorEastAsia" w:hAnsiTheme="minorHAnsi"/>
              <w:noProof/>
            </w:rPr>
          </w:pPr>
          <w:hyperlink w:anchor="_Toc121495976" w:history="1">
            <w:r w:rsidR="00302953" w:rsidRPr="00941DD8">
              <w:rPr>
                <w:rStyle w:val="Hyperlink"/>
                <w:rFonts w:cs="Times New Roman"/>
                <w:noProof/>
              </w:rPr>
              <w:t>2</w:t>
            </w:r>
            <w:r w:rsidR="00302953">
              <w:rPr>
                <w:rFonts w:asciiTheme="minorHAnsi" w:eastAsiaTheme="minorEastAsia" w:hAnsiTheme="minorHAnsi"/>
                <w:noProof/>
              </w:rPr>
              <w:tab/>
            </w:r>
            <w:r w:rsidR="00302953" w:rsidRPr="00941DD8">
              <w:rPr>
                <w:rStyle w:val="Hyperlink"/>
                <w:rFonts w:cs="Times New Roman"/>
                <w:noProof/>
              </w:rPr>
              <w:t>Methods and Materials</w:t>
            </w:r>
            <w:r w:rsidR="00302953">
              <w:rPr>
                <w:noProof/>
                <w:webHidden/>
              </w:rPr>
              <w:tab/>
            </w:r>
            <w:r w:rsidR="00302953">
              <w:rPr>
                <w:noProof/>
                <w:webHidden/>
              </w:rPr>
              <w:fldChar w:fldCharType="begin"/>
            </w:r>
            <w:r w:rsidR="00302953">
              <w:rPr>
                <w:noProof/>
                <w:webHidden/>
              </w:rPr>
              <w:instrText xml:space="preserve"> PAGEREF _Toc121495976 \h </w:instrText>
            </w:r>
            <w:r w:rsidR="00302953">
              <w:rPr>
                <w:noProof/>
                <w:webHidden/>
              </w:rPr>
            </w:r>
            <w:r w:rsidR="00302953">
              <w:rPr>
                <w:noProof/>
                <w:webHidden/>
              </w:rPr>
              <w:fldChar w:fldCharType="separate"/>
            </w:r>
            <w:r w:rsidR="00061096">
              <w:rPr>
                <w:noProof/>
                <w:webHidden/>
              </w:rPr>
              <w:t>37</w:t>
            </w:r>
            <w:r w:rsidR="00302953">
              <w:rPr>
                <w:noProof/>
                <w:webHidden/>
              </w:rPr>
              <w:fldChar w:fldCharType="end"/>
            </w:r>
          </w:hyperlink>
        </w:p>
        <w:p w14:paraId="073E873E" w14:textId="7CFFA332" w:rsidR="00302953" w:rsidRDefault="00000000">
          <w:pPr>
            <w:pStyle w:val="TOC2"/>
            <w:tabs>
              <w:tab w:val="left" w:pos="960"/>
              <w:tab w:val="right" w:leader="dot" w:pos="9350"/>
            </w:tabs>
            <w:rPr>
              <w:rFonts w:asciiTheme="minorHAnsi" w:eastAsiaTheme="minorEastAsia" w:hAnsiTheme="minorHAnsi"/>
              <w:noProof/>
            </w:rPr>
          </w:pPr>
          <w:hyperlink w:anchor="_Toc121495977" w:history="1">
            <w:r w:rsidR="00302953" w:rsidRPr="00941DD8">
              <w:rPr>
                <w:rStyle w:val="Hyperlink"/>
                <w:rFonts w:cs="Times New Roman"/>
                <w:noProof/>
              </w:rPr>
              <w:t>2.1</w:t>
            </w:r>
            <w:r w:rsidR="00302953">
              <w:rPr>
                <w:rFonts w:asciiTheme="minorHAnsi" w:eastAsiaTheme="minorEastAsia" w:hAnsiTheme="minorHAnsi"/>
                <w:noProof/>
              </w:rPr>
              <w:tab/>
            </w:r>
            <w:r w:rsidR="00302953" w:rsidRPr="00941DD8">
              <w:rPr>
                <w:rStyle w:val="Hyperlink"/>
                <w:rFonts w:cs="Times New Roman"/>
                <w:noProof/>
              </w:rPr>
              <w:t>Methods</w:t>
            </w:r>
            <w:r w:rsidR="00302953">
              <w:rPr>
                <w:noProof/>
                <w:webHidden/>
              </w:rPr>
              <w:tab/>
            </w:r>
            <w:r w:rsidR="00302953">
              <w:rPr>
                <w:noProof/>
                <w:webHidden/>
              </w:rPr>
              <w:fldChar w:fldCharType="begin"/>
            </w:r>
            <w:r w:rsidR="00302953">
              <w:rPr>
                <w:noProof/>
                <w:webHidden/>
              </w:rPr>
              <w:instrText xml:space="preserve"> PAGEREF _Toc121495977 \h </w:instrText>
            </w:r>
            <w:r w:rsidR="00302953">
              <w:rPr>
                <w:noProof/>
                <w:webHidden/>
              </w:rPr>
            </w:r>
            <w:r w:rsidR="00302953">
              <w:rPr>
                <w:noProof/>
                <w:webHidden/>
              </w:rPr>
              <w:fldChar w:fldCharType="separate"/>
            </w:r>
            <w:r w:rsidR="00061096">
              <w:rPr>
                <w:noProof/>
                <w:webHidden/>
              </w:rPr>
              <w:t>37</w:t>
            </w:r>
            <w:r w:rsidR="00302953">
              <w:rPr>
                <w:noProof/>
                <w:webHidden/>
              </w:rPr>
              <w:fldChar w:fldCharType="end"/>
            </w:r>
          </w:hyperlink>
        </w:p>
        <w:p w14:paraId="04D6FC0A" w14:textId="786E72FB" w:rsidR="00302953" w:rsidRDefault="00000000">
          <w:pPr>
            <w:pStyle w:val="TOC3"/>
            <w:tabs>
              <w:tab w:val="left" w:pos="1440"/>
              <w:tab w:val="right" w:leader="dot" w:pos="9350"/>
            </w:tabs>
            <w:rPr>
              <w:rFonts w:asciiTheme="minorHAnsi" w:eastAsiaTheme="minorEastAsia" w:hAnsiTheme="minorHAnsi"/>
              <w:noProof/>
            </w:rPr>
          </w:pPr>
          <w:hyperlink w:anchor="_Toc121495978" w:history="1">
            <w:r w:rsidR="00302953" w:rsidRPr="00941DD8">
              <w:rPr>
                <w:rStyle w:val="Hyperlink"/>
                <w:rFonts w:cs="Times New Roman"/>
                <w:noProof/>
              </w:rPr>
              <w:t>2.1.1</w:t>
            </w:r>
            <w:r w:rsidR="00302953">
              <w:rPr>
                <w:rFonts w:asciiTheme="minorHAnsi" w:eastAsiaTheme="minorEastAsia" w:hAnsiTheme="minorHAnsi"/>
                <w:noProof/>
              </w:rPr>
              <w:tab/>
            </w:r>
            <w:r w:rsidR="00302953" w:rsidRPr="00941DD8">
              <w:rPr>
                <w:rStyle w:val="Hyperlink"/>
                <w:rFonts w:cs="Times New Roman"/>
                <w:noProof/>
              </w:rPr>
              <w:t>Synthetic Stormwater</w:t>
            </w:r>
            <w:r w:rsidR="00302953">
              <w:rPr>
                <w:noProof/>
                <w:webHidden/>
              </w:rPr>
              <w:tab/>
            </w:r>
            <w:r w:rsidR="00302953">
              <w:rPr>
                <w:noProof/>
                <w:webHidden/>
              </w:rPr>
              <w:fldChar w:fldCharType="begin"/>
            </w:r>
            <w:r w:rsidR="00302953">
              <w:rPr>
                <w:noProof/>
                <w:webHidden/>
              </w:rPr>
              <w:instrText xml:space="preserve"> PAGEREF _Toc121495978 \h </w:instrText>
            </w:r>
            <w:r w:rsidR="00302953">
              <w:rPr>
                <w:noProof/>
                <w:webHidden/>
              </w:rPr>
            </w:r>
            <w:r w:rsidR="00302953">
              <w:rPr>
                <w:noProof/>
                <w:webHidden/>
              </w:rPr>
              <w:fldChar w:fldCharType="separate"/>
            </w:r>
            <w:r w:rsidR="00061096">
              <w:rPr>
                <w:noProof/>
                <w:webHidden/>
              </w:rPr>
              <w:t>37</w:t>
            </w:r>
            <w:r w:rsidR="00302953">
              <w:rPr>
                <w:noProof/>
                <w:webHidden/>
              </w:rPr>
              <w:fldChar w:fldCharType="end"/>
            </w:r>
          </w:hyperlink>
        </w:p>
        <w:p w14:paraId="468FCD0C" w14:textId="24191075" w:rsidR="00302953" w:rsidRDefault="00000000">
          <w:pPr>
            <w:pStyle w:val="TOC4"/>
            <w:tabs>
              <w:tab w:val="left" w:pos="1920"/>
              <w:tab w:val="right" w:leader="dot" w:pos="9350"/>
            </w:tabs>
            <w:rPr>
              <w:rFonts w:asciiTheme="minorHAnsi" w:eastAsiaTheme="minorEastAsia" w:hAnsiTheme="minorHAnsi"/>
              <w:noProof/>
            </w:rPr>
          </w:pPr>
          <w:hyperlink w:anchor="_Toc121495979" w:history="1">
            <w:r w:rsidR="00302953" w:rsidRPr="00941DD8">
              <w:rPr>
                <w:rStyle w:val="Hyperlink"/>
                <w:rFonts w:cs="Times New Roman"/>
                <w:noProof/>
              </w:rPr>
              <w:t>2.1.1.1</w:t>
            </w:r>
            <w:r w:rsidR="00302953">
              <w:rPr>
                <w:rFonts w:asciiTheme="minorHAnsi" w:eastAsiaTheme="minorEastAsia" w:hAnsiTheme="minorHAnsi"/>
                <w:noProof/>
              </w:rPr>
              <w:tab/>
            </w:r>
            <w:r w:rsidR="00302953" w:rsidRPr="00941DD8">
              <w:rPr>
                <w:rStyle w:val="Hyperlink"/>
                <w:rFonts w:cs="Times New Roman"/>
                <w:noProof/>
              </w:rPr>
              <w:t>Nutrients and General Rainwater Chemistry</w:t>
            </w:r>
            <w:r w:rsidR="00302953">
              <w:rPr>
                <w:noProof/>
                <w:webHidden/>
              </w:rPr>
              <w:tab/>
            </w:r>
            <w:r w:rsidR="00302953">
              <w:rPr>
                <w:noProof/>
                <w:webHidden/>
              </w:rPr>
              <w:fldChar w:fldCharType="begin"/>
            </w:r>
            <w:r w:rsidR="00302953">
              <w:rPr>
                <w:noProof/>
                <w:webHidden/>
              </w:rPr>
              <w:instrText xml:space="preserve"> PAGEREF _Toc121495979 \h </w:instrText>
            </w:r>
            <w:r w:rsidR="00302953">
              <w:rPr>
                <w:noProof/>
                <w:webHidden/>
              </w:rPr>
            </w:r>
            <w:r w:rsidR="00302953">
              <w:rPr>
                <w:noProof/>
                <w:webHidden/>
              </w:rPr>
              <w:fldChar w:fldCharType="separate"/>
            </w:r>
            <w:r w:rsidR="00061096">
              <w:rPr>
                <w:noProof/>
                <w:webHidden/>
              </w:rPr>
              <w:t>38</w:t>
            </w:r>
            <w:r w:rsidR="00302953">
              <w:rPr>
                <w:noProof/>
                <w:webHidden/>
              </w:rPr>
              <w:fldChar w:fldCharType="end"/>
            </w:r>
          </w:hyperlink>
        </w:p>
        <w:p w14:paraId="15BA0ECB" w14:textId="3F7813CA" w:rsidR="00302953" w:rsidRDefault="00000000">
          <w:pPr>
            <w:pStyle w:val="TOC4"/>
            <w:tabs>
              <w:tab w:val="left" w:pos="1920"/>
              <w:tab w:val="right" w:leader="dot" w:pos="9350"/>
            </w:tabs>
            <w:rPr>
              <w:rFonts w:asciiTheme="minorHAnsi" w:eastAsiaTheme="minorEastAsia" w:hAnsiTheme="minorHAnsi"/>
              <w:noProof/>
            </w:rPr>
          </w:pPr>
          <w:hyperlink w:anchor="_Toc121495980" w:history="1">
            <w:r w:rsidR="00302953" w:rsidRPr="00941DD8">
              <w:rPr>
                <w:rStyle w:val="Hyperlink"/>
                <w:rFonts w:cs="Times New Roman"/>
                <w:noProof/>
              </w:rPr>
              <w:t>2.1.1.2</w:t>
            </w:r>
            <w:r w:rsidR="00302953">
              <w:rPr>
                <w:rFonts w:asciiTheme="minorHAnsi" w:eastAsiaTheme="minorEastAsia" w:hAnsiTheme="minorHAnsi"/>
                <w:noProof/>
              </w:rPr>
              <w:tab/>
            </w:r>
            <w:r w:rsidR="00302953" w:rsidRPr="00941DD8">
              <w:rPr>
                <w:rStyle w:val="Hyperlink"/>
                <w:rFonts w:cs="Times New Roman"/>
                <w:noProof/>
              </w:rPr>
              <w:t>Metals</w:t>
            </w:r>
            <w:r w:rsidR="00302953">
              <w:rPr>
                <w:noProof/>
                <w:webHidden/>
              </w:rPr>
              <w:tab/>
            </w:r>
            <w:r w:rsidR="00302953">
              <w:rPr>
                <w:noProof/>
                <w:webHidden/>
              </w:rPr>
              <w:fldChar w:fldCharType="begin"/>
            </w:r>
            <w:r w:rsidR="00302953">
              <w:rPr>
                <w:noProof/>
                <w:webHidden/>
              </w:rPr>
              <w:instrText xml:space="preserve"> PAGEREF _Toc121495980 \h </w:instrText>
            </w:r>
            <w:r w:rsidR="00302953">
              <w:rPr>
                <w:noProof/>
                <w:webHidden/>
              </w:rPr>
            </w:r>
            <w:r w:rsidR="00302953">
              <w:rPr>
                <w:noProof/>
                <w:webHidden/>
              </w:rPr>
              <w:fldChar w:fldCharType="separate"/>
            </w:r>
            <w:r w:rsidR="00061096">
              <w:rPr>
                <w:noProof/>
                <w:webHidden/>
              </w:rPr>
              <w:t>39</w:t>
            </w:r>
            <w:r w:rsidR="00302953">
              <w:rPr>
                <w:noProof/>
                <w:webHidden/>
              </w:rPr>
              <w:fldChar w:fldCharType="end"/>
            </w:r>
          </w:hyperlink>
        </w:p>
        <w:p w14:paraId="1DD63586" w14:textId="07431A6B" w:rsidR="00302953" w:rsidRDefault="00000000">
          <w:pPr>
            <w:pStyle w:val="TOC4"/>
            <w:tabs>
              <w:tab w:val="left" w:pos="1920"/>
              <w:tab w:val="right" w:leader="dot" w:pos="9350"/>
            </w:tabs>
            <w:rPr>
              <w:rFonts w:asciiTheme="minorHAnsi" w:eastAsiaTheme="minorEastAsia" w:hAnsiTheme="minorHAnsi"/>
              <w:noProof/>
            </w:rPr>
          </w:pPr>
          <w:hyperlink w:anchor="_Toc121495981" w:history="1">
            <w:r w:rsidR="00302953" w:rsidRPr="00941DD8">
              <w:rPr>
                <w:rStyle w:val="Hyperlink"/>
                <w:rFonts w:cs="Times New Roman"/>
                <w:noProof/>
              </w:rPr>
              <w:t>2.1.1.3</w:t>
            </w:r>
            <w:r w:rsidR="00302953">
              <w:rPr>
                <w:rFonts w:asciiTheme="minorHAnsi" w:eastAsiaTheme="minorEastAsia" w:hAnsiTheme="minorHAnsi"/>
                <w:noProof/>
              </w:rPr>
              <w:tab/>
            </w:r>
            <w:r w:rsidR="00302953" w:rsidRPr="00941DD8">
              <w:rPr>
                <w:rStyle w:val="Hyperlink"/>
                <w:rFonts w:cs="Times New Roman"/>
                <w:noProof/>
              </w:rPr>
              <w:t>Neonicotinoids</w:t>
            </w:r>
            <w:r w:rsidR="00302953">
              <w:rPr>
                <w:noProof/>
                <w:webHidden/>
              </w:rPr>
              <w:tab/>
            </w:r>
            <w:r w:rsidR="00302953">
              <w:rPr>
                <w:noProof/>
                <w:webHidden/>
              </w:rPr>
              <w:fldChar w:fldCharType="begin"/>
            </w:r>
            <w:r w:rsidR="00302953">
              <w:rPr>
                <w:noProof/>
                <w:webHidden/>
              </w:rPr>
              <w:instrText xml:space="preserve"> PAGEREF _Toc121495981 \h </w:instrText>
            </w:r>
            <w:r w:rsidR="00302953">
              <w:rPr>
                <w:noProof/>
                <w:webHidden/>
              </w:rPr>
            </w:r>
            <w:r w:rsidR="00302953">
              <w:rPr>
                <w:noProof/>
                <w:webHidden/>
              </w:rPr>
              <w:fldChar w:fldCharType="separate"/>
            </w:r>
            <w:r w:rsidR="00061096">
              <w:rPr>
                <w:noProof/>
                <w:webHidden/>
              </w:rPr>
              <w:t>40</w:t>
            </w:r>
            <w:r w:rsidR="00302953">
              <w:rPr>
                <w:noProof/>
                <w:webHidden/>
              </w:rPr>
              <w:fldChar w:fldCharType="end"/>
            </w:r>
          </w:hyperlink>
        </w:p>
        <w:p w14:paraId="3DD01CDD" w14:textId="5E1FC94F" w:rsidR="00302953" w:rsidRDefault="00000000">
          <w:pPr>
            <w:pStyle w:val="TOC4"/>
            <w:tabs>
              <w:tab w:val="left" w:pos="1920"/>
              <w:tab w:val="right" w:leader="dot" w:pos="9350"/>
            </w:tabs>
            <w:rPr>
              <w:rFonts w:asciiTheme="minorHAnsi" w:eastAsiaTheme="minorEastAsia" w:hAnsiTheme="minorHAnsi"/>
              <w:noProof/>
            </w:rPr>
          </w:pPr>
          <w:hyperlink w:anchor="_Toc121495982" w:history="1">
            <w:r w:rsidR="00302953" w:rsidRPr="00941DD8">
              <w:rPr>
                <w:rStyle w:val="Hyperlink"/>
                <w:rFonts w:cs="Times New Roman"/>
                <w:noProof/>
              </w:rPr>
              <w:t>2.1.1.4</w:t>
            </w:r>
            <w:r w:rsidR="00302953">
              <w:rPr>
                <w:rFonts w:asciiTheme="minorHAnsi" w:eastAsiaTheme="minorEastAsia" w:hAnsiTheme="minorHAnsi"/>
                <w:noProof/>
              </w:rPr>
              <w:tab/>
            </w:r>
            <w:r w:rsidR="00302953" w:rsidRPr="00941DD8">
              <w:rPr>
                <w:rStyle w:val="Hyperlink"/>
                <w:rFonts w:cs="Times New Roman"/>
                <w:noProof/>
              </w:rPr>
              <w:t>pH</w:t>
            </w:r>
            <w:r w:rsidR="00302953">
              <w:rPr>
                <w:noProof/>
                <w:webHidden/>
              </w:rPr>
              <w:tab/>
            </w:r>
            <w:r w:rsidR="00302953">
              <w:rPr>
                <w:noProof/>
                <w:webHidden/>
              </w:rPr>
              <w:fldChar w:fldCharType="begin"/>
            </w:r>
            <w:r w:rsidR="00302953">
              <w:rPr>
                <w:noProof/>
                <w:webHidden/>
              </w:rPr>
              <w:instrText xml:space="preserve"> PAGEREF _Toc121495982 \h </w:instrText>
            </w:r>
            <w:r w:rsidR="00302953">
              <w:rPr>
                <w:noProof/>
                <w:webHidden/>
              </w:rPr>
            </w:r>
            <w:r w:rsidR="00302953">
              <w:rPr>
                <w:noProof/>
                <w:webHidden/>
              </w:rPr>
              <w:fldChar w:fldCharType="separate"/>
            </w:r>
            <w:r w:rsidR="00061096">
              <w:rPr>
                <w:noProof/>
                <w:webHidden/>
              </w:rPr>
              <w:t>41</w:t>
            </w:r>
            <w:r w:rsidR="00302953">
              <w:rPr>
                <w:noProof/>
                <w:webHidden/>
              </w:rPr>
              <w:fldChar w:fldCharType="end"/>
            </w:r>
          </w:hyperlink>
        </w:p>
        <w:p w14:paraId="73F01330" w14:textId="772DCBC7" w:rsidR="00302953" w:rsidRDefault="00000000">
          <w:pPr>
            <w:pStyle w:val="TOC2"/>
            <w:tabs>
              <w:tab w:val="left" w:pos="960"/>
              <w:tab w:val="right" w:leader="dot" w:pos="9350"/>
            </w:tabs>
            <w:rPr>
              <w:rFonts w:asciiTheme="minorHAnsi" w:eastAsiaTheme="minorEastAsia" w:hAnsiTheme="minorHAnsi"/>
              <w:noProof/>
            </w:rPr>
          </w:pPr>
          <w:hyperlink w:anchor="_Toc121495983" w:history="1">
            <w:r w:rsidR="00302953" w:rsidRPr="00941DD8">
              <w:rPr>
                <w:rStyle w:val="Hyperlink"/>
                <w:rFonts w:cs="Times New Roman"/>
                <w:noProof/>
              </w:rPr>
              <w:t>2.2</w:t>
            </w:r>
            <w:r w:rsidR="00302953">
              <w:rPr>
                <w:rFonts w:asciiTheme="minorHAnsi" w:eastAsiaTheme="minorEastAsia" w:hAnsiTheme="minorHAnsi"/>
                <w:noProof/>
              </w:rPr>
              <w:tab/>
            </w:r>
            <w:r w:rsidR="00302953" w:rsidRPr="00941DD8">
              <w:rPr>
                <w:rStyle w:val="Hyperlink"/>
                <w:rFonts w:cs="Times New Roman"/>
                <w:noProof/>
              </w:rPr>
              <w:t>Materials: Industrial Byproducts</w:t>
            </w:r>
            <w:r w:rsidR="00302953">
              <w:rPr>
                <w:noProof/>
                <w:webHidden/>
              </w:rPr>
              <w:tab/>
            </w:r>
            <w:r w:rsidR="00302953">
              <w:rPr>
                <w:noProof/>
                <w:webHidden/>
              </w:rPr>
              <w:fldChar w:fldCharType="begin"/>
            </w:r>
            <w:r w:rsidR="00302953">
              <w:rPr>
                <w:noProof/>
                <w:webHidden/>
              </w:rPr>
              <w:instrText xml:space="preserve"> PAGEREF _Toc121495983 \h </w:instrText>
            </w:r>
            <w:r w:rsidR="00302953">
              <w:rPr>
                <w:noProof/>
                <w:webHidden/>
              </w:rPr>
            </w:r>
            <w:r w:rsidR="00302953">
              <w:rPr>
                <w:noProof/>
                <w:webHidden/>
              </w:rPr>
              <w:fldChar w:fldCharType="separate"/>
            </w:r>
            <w:r w:rsidR="00061096">
              <w:rPr>
                <w:noProof/>
                <w:webHidden/>
              </w:rPr>
              <w:t>41</w:t>
            </w:r>
            <w:r w:rsidR="00302953">
              <w:rPr>
                <w:noProof/>
                <w:webHidden/>
              </w:rPr>
              <w:fldChar w:fldCharType="end"/>
            </w:r>
          </w:hyperlink>
        </w:p>
        <w:p w14:paraId="5C1D0E86" w14:textId="2B5D0A82" w:rsidR="00302953" w:rsidRDefault="00000000">
          <w:pPr>
            <w:pStyle w:val="TOC4"/>
            <w:tabs>
              <w:tab w:val="left" w:pos="1920"/>
              <w:tab w:val="right" w:leader="dot" w:pos="9350"/>
            </w:tabs>
            <w:rPr>
              <w:rFonts w:asciiTheme="minorHAnsi" w:eastAsiaTheme="minorEastAsia" w:hAnsiTheme="minorHAnsi"/>
              <w:noProof/>
            </w:rPr>
          </w:pPr>
          <w:hyperlink w:anchor="_Toc121495984" w:history="1">
            <w:r w:rsidR="00302953" w:rsidRPr="00941DD8">
              <w:rPr>
                <w:rStyle w:val="Hyperlink"/>
                <w:rFonts w:cs="Times New Roman"/>
                <w:noProof/>
              </w:rPr>
              <w:t>2.2.1.1</w:t>
            </w:r>
            <w:r w:rsidR="00302953">
              <w:rPr>
                <w:rFonts w:asciiTheme="minorHAnsi" w:eastAsiaTheme="minorEastAsia" w:hAnsiTheme="minorHAnsi"/>
                <w:noProof/>
              </w:rPr>
              <w:tab/>
            </w:r>
            <w:r w:rsidR="00302953" w:rsidRPr="00941DD8">
              <w:rPr>
                <w:rStyle w:val="Hyperlink"/>
                <w:rFonts w:cs="Times New Roman"/>
                <w:noProof/>
              </w:rPr>
              <w:t>Aggregated Fly Ash</w:t>
            </w:r>
            <w:r w:rsidR="00302953">
              <w:rPr>
                <w:noProof/>
                <w:webHidden/>
              </w:rPr>
              <w:tab/>
            </w:r>
            <w:r w:rsidR="00302953">
              <w:rPr>
                <w:noProof/>
                <w:webHidden/>
              </w:rPr>
              <w:fldChar w:fldCharType="begin"/>
            </w:r>
            <w:r w:rsidR="00302953">
              <w:rPr>
                <w:noProof/>
                <w:webHidden/>
              </w:rPr>
              <w:instrText xml:space="preserve"> PAGEREF _Toc121495984 \h </w:instrText>
            </w:r>
            <w:r w:rsidR="00302953">
              <w:rPr>
                <w:noProof/>
                <w:webHidden/>
              </w:rPr>
            </w:r>
            <w:r w:rsidR="00302953">
              <w:rPr>
                <w:noProof/>
                <w:webHidden/>
              </w:rPr>
              <w:fldChar w:fldCharType="separate"/>
            </w:r>
            <w:r w:rsidR="00061096">
              <w:rPr>
                <w:noProof/>
                <w:webHidden/>
              </w:rPr>
              <w:t>44</w:t>
            </w:r>
            <w:r w:rsidR="00302953">
              <w:rPr>
                <w:noProof/>
                <w:webHidden/>
              </w:rPr>
              <w:fldChar w:fldCharType="end"/>
            </w:r>
          </w:hyperlink>
        </w:p>
        <w:p w14:paraId="61C30EB5" w14:textId="7020EF4B" w:rsidR="00302953" w:rsidRDefault="00000000">
          <w:pPr>
            <w:pStyle w:val="TOC4"/>
            <w:tabs>
              <w:tab w:val="left" w:pos="1920"/>
              <w:tab w:val="right" w:leader="dot" w:pos="9350"/>
            </w:tabs>
            <w:rPr>
              <w:rFonts w:asciiTheme="minorHAnsi" w:eastAsiaTheme="minorEastAsia" w:hAnsiTheme="minorHAnsi"/>
              <w:noProof/>
            </w:rPr>
          </w:pPr>
          <w:hyperlink w:anchor="_Toc121495985" w:history="1">
            <w:r w:rsidR="00302953" w:rsidRPr="00941DD8">
              <w:rPr>
                <w:rStyle w:val="Hyperlink"/>
                <w:rFonts w:cs="Times New Roman"/>
                <w:noProof/>
              </w:rPr>
              <w:t>2.2.1.2</w:t>
            </w:r>
            <w:r w:rsidR="00302953">
              <w:rPr>
                <w:rFonts w:asciiTheme="minorHAnsi" w:eastAsiaTheme="minorEastAsia" w:hAnsiTheme="minorHAnsi"/>
                <w:noProof/>
              </w:rPr>
              <w:tab/>
            </w:r>
            <w:r w:rsidR="00302953" w:rsidRPr="00941DD8">
              <w:rPr>
                <w:rStyle w:val="Hyperlink"/>
                <w:rFonts w:cs="Times New Roman"/>
                <w:noProof/>
              </w:rPr>
              <w:t>Steel Slag</w:t>
            </w:r>
            <w:r w:rsidR="00302953">
              <w:rPr>
                <w:noProof/>
                <w:webHidden/>
              </w:rPr>
              <w:tab/>
            </w:r>
            <w:r w:rsidR="00302953">
              <w:rPr>
                <w:noProof/>
                <w:webHidden/>
              </w:rPr>
              <w:fldChar w:fldCharType="begin"/>
            </w:r>
            <w:r w:rsidR="00302953">
              <w:rPr>
                <w:noProof/>
                <w:webHidden/>
              </w:rPr>
              <w:instrText xml:space="preserve"> PAGEREF _Toc121495985 \h </w:instrText>
            </w:r>
            <w:r w:rsidR="00302953">
              <w:rPr>
                <w:noProof/>
                <w:webHidden/>
              </w:rPr>
            </w:r>
            <w:r w:rsidR="00302953">
              <w:rPr>
                <w:noProof/>
                <w:webHidden/>
              </w:rPr>
              <w:fldChar w:fldCharType="separate"/>
            </w:r>
            <w:r w:rsidR="00061096">
              <w:rPr>
                <w:noProof/>
                <w:webHidden/>
              </w:rPr>
              <w:t>45</w:t>
            </w:r>
            <w:r w:rsidR="00302953">
              <w:rPr>
                <w:noProof/>
                <w:webHidden/>
              </w:rPr>
              <w:fldChar w:fldCharType="end"/>
            </w:r>
          </w:hyperlink>
        </w:p>
        <w:p w14:paraId="13182267" w14:textId="32C27192" w:rsidR="00302953" w:rsidRDefault="00000000">
          <w:pPr>
            <w:pStyle w:val="TOC4"/>
            <w:tabs>
              <w:tab w:val="left" w:pos="1920"/>
              <w:tab w:val="right" w:leader="dot" w:pos="9350"/>
            </w:tabs>
            <w:rPr>
              <w:rFonts w:asciiTheme="minorHAnsi" w:eastAsiaTheme="minorEastAsia" w:hAnsiTheme="minorHAnsi"/>
              <w:noProof/>
            </w:rPr>
          </w:pPr>
          <w:hyperlink w:anchor="_Toc121495986" w:history="1">
            <w:r w:rsidR="00302953" w:rsidRPr="00941DD8">
              <w:rPr>
                <w:rStyle w:val="Hyperlink"/>
                <w:rFonts w:cs="Times New Roman"/>
                <w:noProof/>
              </w:rPr>
              <w:t>2.2.1.3</w:t>
            </w:r>
            <w:r w:rsidR="00302953">
              <w:rPr>
                <w:rFonts w:asciiTheme="minorHAnsi" w:eastAsiaTheme="minorEastAsia" w:hAnsiTheme="minorHAnsi"/>
                <w:noProof/>
              </w:rPr>
              <w:tab/>
            </w:r>
            <w:r w:rsidR="00302953" w:rsidRPr="00941DD8">
              <w:rPr>
                <w:rStyle w:val="Hyperlink"/>
                <w:rFonts w:cs="Times New Roman"/>
                <w:noProof/>
              </w:rPr>
              <w:t>Biochar</w:t>
            </w:r>
            <w:r w:rsidR="00302953">
              <w:rPr>
                <w:noProof/>
                <w:webHidden/>
              </w:rPr>
              <w:tab/>
            </w:r>
            <w:r w:rsidR="00302953">
              <w:rPr>
                <w:noProof/>
                <w:webHidden/>
              </w:rPr>
              <w:fldChar w:fldCharType="begin"/>
            </w:r>
            <w:r w:rsidR="00302953">
              <w:rPr>
                <w:noProof/>
                <w:webHidden/>
              </w:rPr>
              <w:instrText xml:space="preserve"> PAGEREF _Toc121495986 \h </w:instrText>
            </w:r>
            <w:r w:rsidR="00302953">
              <w:rPr>
                <w:noProof/>
                <w:webHidden/>
              </w:rPr>
            </w:r>
            <w:r w:rsidR="00302953">
              <w:rPr>
                <w:noProof/>
                <w:webHidden/>
              </w:rPr>
              <w:fldChar w:fldCharType="separate"/>
            </w:r>
            <w:r w:rsidR="00061096">
              <w:rPr>
                <w:noProof/>
                <w:webHidden/>
              </w:rPr>
              <w:t>46</w:t>
            </w:r>
            <w:r w:rsidR="00302953">
              <w:rPr>
                <w:noProof/>
                <w:webHidden/>
              </w:rPr>
              <w:fldChar w:fldCharType="end"/>
            </w:r>
          </w:hyperlink>
        </w:p>
        <w:p w14:paraId="1FEC8B6F" w14:textId="515B2421" w:rsidR="00302953" w:rsidRDefault="00000000">
          <w:pPr>
            <w:pStyle w:val="TOC3"/>
            <w:tabs>
              <w:tab w:val="left" w:pos="1440"/>
              <w:tab w:val="right" w:leader="dot" w:pos="9350"/>
            </w:tabs>
            <w:rPr>
              <w:rFonts w:asciiTheme="minorHAnsi" w:eastAsiaTheme="minorEastAsia" w:hAnsiTheme="minorHAnsi"/>
              <w:noProof/>
            </w:rPr>
          </w:pPr>
          <w:hyperlink w:anchor="_Toc121495987" w:history="1">
            <w:r w:rsidR="00302953" w:rsidRPr="00941DD8">
              <w:rPr>
                <w:rStyle w:val="Hyperlink"/>
                <w:rFonts w:cs="Times New Roman"/>
                <w:noProof/>
              </w:rPr>
              <w:t>2.2.2</w:t>
            </w:r>
            <w:r w:rsidR="00302953">
              <w:rPr>
                <w:rFonts w:asciiTheme="minorHAnsi" w:eastAsiaTheme="minorEastAsia" w:hAnsiTheme="minorHAnsi"/>
                <w:noProof/>
              </w:rPr>
              <w:tab/>
            </w:r>
            <w:r w:rsidR="00302953" w:rsidRPr="00941DD8">
              <w:rPr>
                <w:rStyle w:val="Hyperlink"/>
                <w:rFonts w:cs="Times New Roman"/>
                <w:noProof/>
              </w:rPr>
              <w:t>Vertical Columns</w:t>
            </w:r>
            <w:r w:rsidR="00302953">
              <w:rPr>
                <w:noProof/>
                <w:webHidden/>
              </w:rPr>
              <w:tab/>
            </w:r>
            <w:r w:rsidR="00302953">
              <w:rPr>
                <w:noProof/>
                <w:webHidden/>
              </w:rPr>
              <w:fldChar w:fldCharType="begin"/>
            </w:r>
            <w:r w:rsidR="00302953">
              <w:rPr>
                <w:noProof/>
                <w:webHidden/>
              </w:rPr>
              <w:instrText xml:space="preserve"> PAGEREF _Toc121495987 \h </w:instrText>
            </w:r>
            <w:r w:rsidR="00302953">
              <w:rPr>
                <w:noProof/>
                <w:webHidden/>
              </w:rPr>
            </w:r>
            <w:r w:rsidR="00302953">
              <w:rPr>
                <w:noProof/>
                <w:webHidden/>
              </w:rPr>
              <w:fldChar w:fldCharType="separate"/>
            </w:r>
            <w:r w:rsidR="00061096">
              <w:rPr>
                <w:noProof/>
                <w:webHidden/>
              </w:rPr>
              <w:t>47</w:t>
            </w:r>
            <w:r w:rsidR="00302953">
              <w:rPr>
                <w:noProof/>
                <w:webHidden/>
              </w:rPr>
              <w:fldChar w:fldCharType="end"/>
            </w:r>
          </w:hyperlink>
        </w:p>
        <w:p w14:paraId="50ADD5C6" w14:textId="1E83502D" w:rsidR="00302953" w:rsidRDefault="00000000">
          <w:pPr>
            <w:pStyle w:val="TOC3"/>
            <w:tabs>
              <w:tab w:val="left" w:pos="1440"/>
              <w:tab w:val="right" w:leader="dot" w:pos="9350"/>
            </w:tabs>
            <w:rPr>
              <w:rFonts w:asciiTheme="minorHAnsi" w:eastAsiaTheme="minorEastAsia" w:hAnsiTheme="minorHAnsi"/>
              <w:noProof/>
            </w:rPr>
          </w:pPr>
          <w:hyperlink w:anchor="_Toc121495988" w:history="1">
            <w:r w:rsidR="00302953" w:rsidRPr="00941DD8">
              <w:rPr>
                <w:rStyle w:val="Hyperlink"/>
                <w:rFonts w:cs="Times New Roman"/>
                <w:noProof/>
              </w:rPr>
              <w:t>2.2.3</w:t>
            </w:r>
            <w:r w:rsidR="00302953">
              <w:rPr>
                <w:rFonts w:asciiTheme="minorHAnsi" w:eastAsiaTheme="minorEastAsia" w:hAnsiTheme="minorHAnsi"/>
                <w:noProof/>
              </w:rPr>
              <w:tab/>
            </w:r>
            <w:r w:rsidR="00302953" w:rsidRPr="00941DD8">
              <w:rPr>
                <w:rStyle w:val="Hyperlink"/>
                <w:rFonts w:cs="Times New Roman"/>
                <w:noProof/>
              </w:rPr>
              <w:t>Horizontal Columns</w:t>
            </w:r>
            <w:r w:rsidR="00302953">
              <w:rPr>
                <w:noProof/>
                <w:webHidden/>
              </w:rPr>
              <w:tab/>
            </w:r>
            <w:r w:rsidR="00302953">
              <w:rPr>
                <w:noProof/>
                <w:webHidden/>
              </w:rPr>
              <w:fldChar w:fldCharType="begin"/>
            </w:r>
            <w:r w:rsidR="00302953">
              <w:rPr>
                <w:noProof/>
                <w:webHidden/>
              </w:rPr>
              <w:instrText xml:space="preserve"> PAGEREF _Toc121495988 \h </w:instrText>
            </w:r>
            <w:r w:rsidR="00302953">
              <w:rPr>
                <w:noProof/>
                <w:webHidden/>
              </w:rPr>
            </w:r>
            <w:r w:rsidR="00302953">
              <w:rPr>
                <w:noProof/>
                <w:webHidden/>
              </w:rPr>
              <w:fldChar w:fldCharType="separate"/>
            </w:r>
            <w:r w:rsidR="00061096">
              <w:rPr>
                <w:noProof/>
                <w:webHidden/>
              </w:rPr>
              <w:t>49</w:t>
            </w:r>
            <w:r w:rsidR="00302953">
              <w:rPr>
                <w:noProof/>
                <w:webHidden/>
              </w:rPr>
              <w:fldChar w:fldCharType="end"/>
            </w:r>
          </w:hyperlink>
        </w:p>
        <w:p w14:paraId="37EEEC77" w14:textId="6E14CBD4" w:rsidR="00302953" w:rsidRDefault="00000000">
          <w:pPr>
            <w:pStyle w:val="TOC3"/>
            <w:tabs>
              <w:tab w:val="left" w:pos="1440"/>
              <w:tab w:val="right" w:leader="dot" w:pos="9350"/>
            </w:tabs>
            <w:rPr>
              <w:rFonts w:asciiTheme="minorHAnsi" w:eastAsiaTheme="minorEastAsia" w:hAnsiTheme="minorHAnsi"/>
              <w:noProof/>
            </w:rPr>
          </w:pPr>
          <w:hyperlink w:anchor="_Toc121495989" w:history="1">
            <w:r w:rsidR="00302953" w:rsidRPr="00941DD8">
              <w:rPr>
                <w:rStyle w:val="Hyperlink"/>
                <w:rFonts w:cs="Times New Roman"/>
                <w:noProof/>
              </w:rPr>
              <w:t>2.2.4</w:t>
            </w:r>
            <w:r w:rsidR="00302953">
              <w:rPr>
                <w:rFonts w:asciiTheme="minorHAnsi" w:eastAsiaTheme="minorEastAsia" w:hAnsiTheme="minorHAnsi"/>
                <w:noProof/>
              </w:rPr>
              <w:tab/>
            </w:r>
            <w:r w:rsidR="00302953" w:rsidRPr="00941DD8">
              <w:rPr>
                <w:rStyle w:val="Hyperlink"/>
                <w:rFonts w:cs="Times New Roman"/>
                <w:noProof/>
              </w:rPr>
              <w:t>Sample Preparation and Analysis</w:t>
            </w:r>
            <w:r w:rsidR="00302953">
              <w:rPr>
                <w:noProof/>
                <w:webHidden/>
              </w:rPr>
              <w:tab/>
            </w:r>
            <w:r w:rsidR="00302953">
              <w:rPr>
                <w:noProof/>
                <w:webHidden/>
              </w:rPr>
              <w:fldChar w:fldCharType="begin"/>
            </w:r>
            <w:r w:rsidR="00302953">
              <w:rPr>
                <w:noProof/>
                <w:webHidden/>
              </w:rPr>
              <w:instrText xml:space="preserve"> PAGEREF _Toc121495989 \h </w:instrText>
            </w:r>
            <w:r w:rsidR="00302953">
              <w:rPr>
                <w:noProof/>
                <w:webHidden/>
              </w:rPr>
            </w:r>
            <w:r w:rsidR="00302953">
              <w:rPr>
                <w:noProof/>
                <w:webHidden/>
              </w:rPr>
              <w:fldChar w:fldCharType="separate"/>
            </w:r>
            <w:r w:rsidR="00061096">
              <w:rPr>
                <w:noProof/>
                <w:webHidden/>
              </w:rPr>
              <w:t>51</w:t>
            </w:r>
            <w:r w:rsidR="00302953">
              <w:rPr>
                <w:noProof/>
                <w:webHidden/>
              </w:rPr>
              <w:fldChar w:fldCharType="end"/>
            </w:r>
          </w:hyperlink>
        </w:p>
        <w:p w14:paraId="63F25B68" w14:textId="57FDC13D" w:rsidR="00302953" w:rsidRDefault="00000000">
          <w:pPr>
            <w:pStyle w:val="TOC4"/>
            <w:tabs>
              <w:tab w:val="left" w:pos="1920"/>
              <w:tab w:val="right" w:leader="dot" w:pos="9350"/>
            </w:tabs>
            <w:rPr>
              <w:rFonts w:asciiTheme="minorHAnsi" w:eastAsiaTheme="minorEastAsia" w:hAnsiTheme="minorHAnsi"/>
              <w:noProof/>
            </w:rPr>
          </w:pPr>
          <w:hyperlink w:anchor="_Toc121495990" w:history="1">
            <w:r w:rsidR="00302953" w:rsidRPr="00941DD8">
              <w:rPr>
                <w:rStyle w:val="Hyperlink"/>
                <w:rFonts w:cs="Times New Roman"/>
                <w:noProof/>
              </w:rPr>
              <w:t>2.2.4.1</w:t>
            </w:r>
            <w:r w:rsidR="00302953">
              <w:rPr>
                <w:rFonts w:asciiTheme="minorHAnsi" w:eastAsiaTheme="minorEastAsia" w:hAnsiTheme="minorHAnsi"/>
                <w:noProof/>
              </w:rPr>
              <w:tab/>
            </w:r>
            <w:r w:rsidR="00302953" w:rsidRPr="00941DD8">
              <w:rPr>
                <w:rStyle w:val="Hyperlink"/>
                <w:rFonts w:cs="Times New Roman"/>
                <w:noProof/>
              </w:rPr>
              <w:t>General Chemistry</w:t>
            </w:r>
            <w:r w:rsidR="00302953">
              <w:rPr>
                <w:noProof/>
                <w:webHidden/>
              </w:rPr>
              <w:tab/>
            </w:r>
            <w:r w:rsidR="00302953">
              <w:rPr>
                <w:noProof/>
                <w:webHidden/>
              </w:rPr>
              <w:fldChar w:fldCharType="begin"/>
            </w:r>
            <w:r w:rsidR="00302953">
              <w:rPr>
                <w:noProof/>
                <w:webHidden/>
              </w:rPr>
              <w:instrText xml:space="preserve"> PAGEREF _Toc121495990 \h </w:instrText>
            </w:r>
            <w:r w:rsidR="00302953">
              <w:rPr>
                <w:noProof/>
                <w:webHidden/>
              </w:rPr>
            </w:r>
            <w:r w:rsidR="00302953">
              <w:rPr>
                <w:noProof/>
                <w:webHidden/>
              </w:rPr>
              <w:fldChar w:fldCharType="separate"/>
            </w:r>
            <w:r w:rsidR="00061096">
              <w:rPr>
                <w:noProof/>
                <w:webHidden/>
              </w:rPr>
              <w:t>51</w:t>
            </w:r>
            <w:r w:rsidR="00302953">
              <w:rPr>
                <w:noProof/>
                <w:webHidden/>
              </w:rPr>
              <w:fldChar w:fldCharType="end"/>
            </w:r>
          </w:hyperlink>
        </w:p>
        <w:p w14:paraId="63A99E3D" w14:textId="21A5CA1D" w:rsidR="00302953" w:rsidRDefault="00000000">
          <w:pPr>
            <w:pStyle w:val="TOC4"/>
            <w:tabs>
              <w:tab w:val="left" w:pos="1920"/>
              <w:tab w:val="right" w:leader="dot" w:pos="9350"/>
            </w:tabs>
            <w:rPr>
              <w:rFonts w:asciiTheme="minorHAnsi" w:eastAsiaTheme="minorEastAsia" w:hAnsiTheme="minorHAnsi"/>
              <w:noProof/>
            </w:rPr>
          </w:pPr>
          <w:hyperlink w:anchor="_Toc121495991" w:history="1">
            <w:r w:rsidR="00302953" w:rsidRPr="00941DD8">
              <w:rPr>
                <w:rStyle w:val="Hyperlink"/>
                <w:rFonts w:cs="Times New Roman"/>
                <w:noProof/>
              </w:rPr>
              <w:t>2.2.4.2</w:t>
            </w:r>
            <w:r w:rsidR="00302953">
              <w:rPr>
                <w:rFonts w:asciiTheme="minorHAnsi" w:eastAsiaTheme="minorEastAsia" w:hAnsiTheme="minorHAnsi"/>
                <w:noProof/>
              </w:rPr>
              <w:tab/>
            </w:r>
            <w:r w:rsidR="00302953" w:rsidRPr="00941DD8">
              <w:rPr>
                <w:rStyle w:val="Hyperlink"/>
                <w:rFonts w:cs="Times New Roman"/>
                <w:noProof/>
              </w:rPr>
              <w:t>Metals</w:t>
            </w:r>
            <w:r w:rsidR="00302953">
              <w:rPr>
                <w:noProof/>
                <w:webHidden/>
              </w:rPr>
              <w:tab/>
            </w:r>
            <w:r w:rsidR="00302953">
              <w:rPr>
                <w:noProof/>
                <w:webHidden/>
              </w:rPr>
              <w:fldChar w:fldCharType="begin"/>
            </w:r>
            <w:r w:rsidR="00302953">
              <w:rPr>
                <w:noProof/>
                <w:webHidden/>
              </w:rPr>
              <w:instrText xml:space="preserve"> PAGEREF _Toc121495991 \h </w:instrText>
            </w:r>
            <w:r w:rsidR="00302953">
              <w:rPr>
                <w:noProof/>
                <w:webHidden/>
              </w:rPr>
            </w:r>
            <w:r w:rsidR="00302953">
              <w:rPr>
                <w:noProof/>
                <w:webHidden/>
              </w:rPr>
              <w:fldChar w:fldCharType="separate"/>
            </w:r>
            <w:r w:rsidR="00061096">
              <w:rPr>
                <w:noProof/>
                <w:webHidden/>
              </w:rPr>
              <w:t>52</w:t>
            </w:r>
            <w:r w:rsidR="00302953">
              <w:rPr>
                <w:noProof/>
                <w:webHidden/>
              </w:rPr>
              <w:fldChar w:fldCharType="end"/>
            </w:r>
          </w:hyperlink>
        </w:p>
        <w:p w14:paraId="7D2874DB" w14:textId="0419E3CD" w:rsidR="00302953" w:rsidRDefault="00000000">
          <w:pPr>
            <w:pStyle w:val="TOC4"/>
            <w:tabs>
              <w:tab w:val="left" w:pos="1920"/>
              <w:tab w:val="right" w:leader="dot" w:pos="9350"/>
            </w:tabs>
            <w:rPr>
              <w:rFonts w:asciiTheme="minorHAnsi" w:eastAsiaTheme="minorEastAsia" w:hAnsiTheme="minorHAnsi"/>
              <w:noProof/>
            </w:rPr>
          </w:pPr>
          <w:hyperlink w:anchor="_Toc121495992" w:history="1">
            <w:r w:rsidR="00302953" w:rsidRPr="00941DD8">
              <w:rPr>
                <w:rStyle w:val="Hyperlink"/>
                <w:rFonts w:cs="Times New Roman"/>
                <w:noProof/>
              </w:rPr>
              <w:t>2.2.4.3</w:t>
            </w:r>
            <w:r w:rsidR="00302953">
              <w:rPr>
                <w:rFonts w:asciiTheme="minorHAnsi" w:eastAsiaTheme="minorEastAsia" w:hAnsiTheme="minorHAnsi"/>
                <w:noProof/>
              </w:rPr>
              <w:tab/>
            </w:r>
            <w:r w:rsidR="00302953" w:rsidRPr="00941DD8">
              <w:rPr>
                <w:rStyle w:val="Hyperlink"/>
                <w:rFonts w:cs="Times New Roman"/>
                <w:noProof/>
              </w:rPr>
              <w:t>Phosphorus</w:t>
            </w:r>
            <w:r w:rsidR="00302953">
              <w:rPr>
                <w:noProof/>
                <w:webHidden/>
              </w:rPr>
              <w:tab/>
            </w:r>
            <w:r w:rsidR="00302953">
              <w:rPr>
                <w:noProof/>
                <w:webHidden/>
              </w:rPr>
              <w:fldChar w:fldCharType="begin"/>
            </w:r>
            <w:r w:rsidR="00302953">
              <w:rPr>
                <w:noProof/>
                <w:webHidden/>
              </w:rPr>
              <w:instrText xml:space="preserve"> PAGEREF _Toc121495992 \h </w:instrText>
            </w:r>
            <w:r w:rsidR="00302953">
              <w:rPr>
                <w:noProof/>
                <w:webHidden/>
              </w:rPr>
            </w:r>
            <w:r w:rsidR="00302953">
              <w:rPr>
                <w:noProof/>
                <w:webHidden/>
              </w:rPr>
              <w:fldChar w:fldCharType="separate"/>
            </w:r>
            <w:r w:rsidR="00061096">
              <w:rPr>
                <w:noProof/>
                <w:webHidden/>
              </w:rPr>
              <w:t>52</w:t>
            </w:r>
            <w:r w:rsidR="00302953">
              <w:rPr>
                <w:noProof/>
                <w:webHidden/>
              </w:rPr>
              <w:fldChar w:fldCharType="end"/>
            </w:r>
          </w:hyperlink>
        </w:p>
        <w:p w14:paraId="1417E894" w14:textId="1FB1BFB5" w:rsidR="00302953" w:rsidRDefault="00000000">
          <w:pPr>
            <w:pStyle w:val="TOC4"/>
            <w:tabs>
              <w:tab w:val="left" w:pos="1920"/>
              <w:tab w:val="right" w:leader="dot" w:pos="9350"/>
            </w:tabs>
            <w:rPr>
              <w:rFonts w:asciiTheme="minorHAnsi" w:eastAsiaTheme="minorEastAsia" w:hAnsiTheme="minorHAnsi"/>
              <w:noProof/>
            </w:rPr>
          </w:pPr>
          <w:hyperlink w:anchor="_Toc121495993" w:history="1">
            <w:r w:rsidR="00302953" w:rsidRPr="00941DD8">
              <w:rPr>
                <w:rStyle w:val="Hyperlink"/>
                <w:rFonts w:cs="Times New Roman"/>
                <w:noProof/>
              </w:rPr>
              <w:t>2.2.4.4</w:t>
            </w:r>
            <w:r w:rsidR="00302953">
              <w:rPr>
                <w:rFonts w:asciiTheme="minorHAnsi" w:eastAsiaTheme="minorEastAsia" w:hAnsiTheme="minorHAnsi"/>
                <w:noProof/>
              </w:rPr>
              <w:tab/>
            </w:r>
            <w:r w:rsidR="00302953" w:rsidRPr="00941DD8">
              <w:rPr>
                <w:rStyle w:val="Hyperlink"/>
                <w:rFonts w:cs="Times New Roman"/>
                <w:noProof/>
              </w:rPr>
              <w:t>Neonicotinoids</w:t>
            </w:r>
            <w:r w:rsidR="00302953">
              <w:rPr>
                <w:noProof/>
                <w:webHidden/>
              </w:rPr>
              <w:tab/>
            </w:r>
            <w:r w:rsidR="00302953">
              <w:rPr>
                <w:noProof/>
                <w:webHidden/>
              </w:rPr>
              <w:fldChar w:fldCharType="begin"/>
            </w:r>
            <w:r w:rsidR="00302953">
              <w:rPr>
                <w:noProof/>
                <w:webHidden/>
              </w:rPr>
              <w:instrText xml:space="preserve"> PAGEREF _Toc121495993 \h </w:instrText>
            </w:r>
            <w:r w:rsidR="00302953">
              <w:rPr>
                <w:noProof/>
                <w:webHidden/>
              </w:rPr>
            </w:r>
            <w:r w:rsidR="00302953">
              <w:rPr>
                <w:noProof/>
                <w:webHidden/>
              </w:rPr>
              <w:fldChar w:fldCharType="separate"/>
            </w:r>
            <w:r w:rsidR="00061096">
              <w:rPr>
                <w:noProof/>
                <w:webHidden/>
              </w:rPr>
              <w:t>52</w:t>
            </w:r>
            <w:r w:rsidR="00302953">
              <w:rPr>
                <w:noProof/>
                <w:webHidden/>
              </w:rPr>
              <w:fldChar w:fldCharType="end"/>
            </w:r>
          </w:hyperlink>
        </w:p>
        <w:p w14:paraId="74422258" w14:textId="026824F8" w:rsidR="00302953" w:rsidRDefault="00000000">
          <w:pPr>
            <w:pStyle w:val="TOC2"/>
            <w:tabs>
              <w:tab w:val="left" w:pos="960"/>
              <w:tab w:val="right" w:leader="dot" w:pos="9350"/>
            </w:tabs>
            <w:rPr>
              <w:rFonts w:asciiTheme="minorHAnsi" w:eastAsiaTheme="minorEastAsia" w:hAnsiTheme="minorHAnsi"/>
              <w:noProof/>
            </w:rPr>
          </w:pPr>
          <w:hyperlink w:anchor="_Toc121495994" w:history="1">
            <w:r w:rsidR="00302953" w:rsidRPr="00941DD8">
              <w:rPr>
                <w:rStyle w:val="Hyperlink"/>
                <w:rFonts w:cs="Times New Roman"/>
                <w:noProof/>
              </w:rPr>
              <w:t>2.3</w:t>
            </w:r>
            <w:r w:rsidR="00302953">
              <w:rPr>
                <w:rFonts w:asciiTheme="minorHAnsi" w:eastAsiaTheme="minorEastAsia" w:hAnsiTheme="minorHAnsi"/>
                <w:noProof/>
              </w:rPr>
              <w:tab/>
            </w:r>
            <w:r w:rsidR="00302953" w:rsidRPr="00941DD8">
              <w:rPr>
                <w:rStyle w:val="Hyperlink"/>
                <w:rFonts w:cs="Times New Roman"/>
                <w:noProof/>
              </w:rPr>
              <w:t>Data Analysis</w:t>
            </w:r>
            <w:r w:rsidR="00302953">
              <w:rPr>
                <w:noProof/>
                <w:webHidden/>
              </w:rPr>
              <w:tab/>
            </w:r>
            <w:r w:rsidR="00302953">
              <w:rPr>
                <w:noProof/>
                <w:webHidden/>
              </w:rPr>
              <w:fldChar w:fldCharType="begin"/>
            </w:r>
            <w:r w:rsidR="00302953">
              <w:rPr>
                <w:noProof/>
                <w:webHidden/>
              </w:rPr>
              <w:instrText xml:space="preserve"> PAGEREF _Toc121495994 \h </w:instrText>
            </w:r>
            <w:r w:rsidR="00302953">
              <w:rPr>
                <w:noProof/>
                <w:webHidden/>
              </w:rPr>
            </w:r>
            <w:r w:rsidR="00302953">
              <w:rPr>
                <w:noProof/>
                <w:webHidden/>
              </w:rPr>
              <w:fldChar w:fldCharType="separate"/>
            </w:r>
            <w:r w:rsidR="00061096">
              <w:rPr>
                <w:noProof/>
                <w:webHidden/>
              </w:rPr>
              <w:t>53</w:t>
            </w:r>
            <w:r w:rsidR="00302953">
              <w:rPr>
                <w:noProof/>
                <w:webHidden/>
              </w:rPr>
              <w:fldChar w:fldCharType="end"/>
            </w:r>
          </w:hyperlink>
        </w:p>
        <w:p w14:paraId="282C8D18" w14:textId="034423C9" w:rsidR="00302953" w:rsidRDefault="00000000">
          <w:pPr>
            <w:pStyle w:val="TOC3"/>
            <w:tabs>
              <w:tab w:val="left" w:pos="1440"/>
              <w:tab w:val="right" w:leader="dot" w:pos="9350"/>
            </w:tabs>
            <w:rPr>
              <w:rFonts w:asciiTheme="minorHAnsi" w:eastAsiaTheme="minorEastAsia" w:hAnsiTheme="minorHAnsi"/>
              <w:noProof/>
            </w:rPr>
          </w:pPr>
          <w:hyperlink w:anchor="_Toc121495995" w:history="1">
            <w:r w:rsidR="00302953" w:rsidRPr="00941DD8">
              <w:rPr>
                <w:rStyle w:val="Hyperlink"/>
                <w:rFonts w:cs="Times New Roman"/>
                <w:noProof/>
              </w:rPr>
              <w:t>2.3.1</w:t>
            </w:r>
            <w:r w:rsidR="00302953">
              <w:rPr>
                <w:rFonts w:asciiTheme="minorHAnsi" w:eastAsiaTheme="minorEastAsia" w:hAnsiTheme="minorHAnsi"/>
                <w:noProof/>
              </w:rPr>
              <w:tab/>
            </w:r>
            <w:r w:rsidR="00302953" w:rsidRPr="00941DD8">
              <w:rPr>
                <w:rStyle w:val="Hyperlink"/>
                <w:rFonts w:cs="Times New Roman"/>
                <w:noProof/>
              </w:rPr>
              <w:t>Influent-Effluent Ratio Analysis</w:t>
            </w:r>
            <w:r w:rsidR="00302953">
              <w:rPr>
                <w:noProof/>
                <w:webHidden/>
              </w:rPr>
              <w:tab/>
            </w:r>
            <w:r w:rsidR="00302953">
              <w:rPr>
                <w:noProof/>
                <w:webHidden/>
              </w:rPr>
              <w:fldChar w:fldCharType="begin"/>
            </w:r>
            <w:r w:rsidR="00302953">
              <w:rPr>
                <w:noProof/>
                <w:webHidden/>
              </w:rPr>
              <w:instrText xml:space="preserve"> PAGEREF _Toc121495995 \h </w:instrText>
            </w:r>
            <w:r w:rsidR="00302953">
              <w:rPr>
                <w:noProof/>
                <w:webHidden/>
              </w:rPr>
            </w:r>
            <w:r w:rsidR="00302953">
              <w:rPr>
                <w:noProof/>
                <w:webHidden/>
              </w:rPr>
              <w:fldChar w:fldCharType="separate"/>
            </w:r>
            <w:r w:rsidR="00061096">
              <w:rPr>
                <w:noProof/>
                <w:webHidden/>
              </w:rPr>
              <w:t>53</w:t>
            </w:r>
            <w:r w:rsidR="00302953">
              <w:rPr>
                <w:noProof/>
                <w:webHidden/>
              </w:rPr>
              <w:fldChar w:fldCharType="end"/>
            </w:r>
          </w:hyperlink>
        </w:p>
        <w:p w14:paraId="502DA6C3" w14:textId="513ED2A7" w:rsidR="00302953" w:rsidRDefault="00000000">
          <w:pPr>
            <w:pStyle w:val="TOC3"/>
            <w:tabs>
              <w:tab w:val="left" w:pos="1440"/>
              <w:tab w:val="right" w:leader="dot" w:pos="9350"/>
            </w:tabs>
            <w:rPr>
              <w:rFonts w:asciiTheme="minorHAnsi" w:eastAsiaTheme="minorEastAsia" w:hAnsiTheme="minorHAnsi"/>
              <w:noProof/>
            </w:rPr>
          </w:pPr>
          <w:hyperlink w:anchor="_Toc121495996" w:history="1">
            <w:r w:rsidR="00302953" w:rsidRPr="00941DD8">
              <w:rPr>
                <w:rStyle w:val="Hyperlink"/>
                <w:rFonts w:cs="Times New Roman"/>
                <w:noProof/>
              </w:rPr>
              <w:t>2.3.2</w:t>
            </w:r>
            <w:r w:rsidR="00302953">
              <w:rPr>
                <w:rFonts w:asciiTheme="minorHAnsi" w:eastAsiaTheme="minorEastAsia" w:hAnsiTheme="minorHAnsi"/>
                <w:noProof/>
              </w:rPr>
              <w:tab/>
            </w:r>
            <w:r w:rsidR="00302953" w:rsidRPr="00941DD8">
              <w:rPr>
                <w:rStyle w:val="Hyperlink"/>
                <w:rFonts w:cs="Times New Roman"/>
                <w:noProof/>
              </w:rPr>
              <w:t>Modeling Results</w:t>
            </w:r>
            <w:r w:rsidR="00302953">
              <w:rPr>
                <w:noProof/>
                <w:webHidden/>
              </w:rPr>
              <w:tab/>
            </w:r>
            <w:r w:rsidR="00302953">
              <w:rPr>
                <w:noProof/>
                <w:webHidden/>
              </w:rPr>
              <w:fldChar w:fldCharType="begin"/>
            </w:r>
            <w:r w:rsidR="00302953">
              <w:rPr>
                <w:noProof/>
                <w:webHidden/>
              </w:rPr>
              <w:instrText xml:space="preserve"> PAGEREF _Toc121495996 \h </w:instrText>
            </w:r>
            <w:r w:rsidR="00302953">
              <w:rPr>
                <w:noProof/>
                <w:webHidden/>
              </w:rPr>
            </w:r>
            <w:r w:rsidR="00302953">
              <w:rPr>
                <w:noProof/>
                <w:webHidden/>
              </w:rPr>
              <w:fldChar w:fldCharType="separate"/>
            </w:r>
            <w:r w:rsidR="00061096">
              <w:rPr>
                <w:noProof/>
                <w:webHidden/>
              </w:rPr>
              <w:t>54</w:t>
            </w:r>
            <w:r w:rsidR="00302953">
              <w:rPr>
                <w:noProof/>
                <w:webHidden/>
              </w:rPr>
              <w:fldChar w:fldCharType="end"/>
            </w:r>
          </w:hyperlink>
        </w:p>
        <w:p w14:paraId="026366E7" w14:textId="73510E6F" w:rsidR="00302953" w:rsidRDefault="00000000">
          <w:pPr>
            <w:pStyle w:val="TOC3"/>
            <w:tabs>
              <w:tab w:val="left" w:pos="1440"/>
              <w:tab w:val="right" w:leader="dot" w:pos="9350"/>
            </w:tabs>
            <w:rPr>
              <w:rFonts w:asciiTheme="minorHAnsi" w:eastAsiaTheme="minorEastAsia" w:hAnsiTheme="minorHAnsi"/>
              <w:noProof/>
            </w:rPr>
          </w:pPr>
          <w:hyperlink w:anchor="_Toc121495997" w:history="1">
            <w:r w:rsidR="00302953" w:rsidRPr="00941DD8">
              <w:rPr>
                <w:rStyle w:val="Hyperlink"/>
                <w:rFonts w:cs="Times New Roman"/>
                <w:noProof/>
              </w:rPr>
              <w:t>2.3.3</w:t>
            </w:r>
            <w:r w:rsidR="00302953">
              <w:rPr>
                <w:rFonts w:asciiTheme="minorHAnsi" w:eastAsiaTheme="minorEastAsia" w:hAnsiTheme="minorHAnsi"/>
                <w:noProof/>
              </w:rPr>
              <w:tab/>
            </w:r>
            <w:r w:rsidR="00302953" w:rsidRPr="00941DD8">
              <w:rPr>
                <w:rStyle w:val="Hyperlink"/>
                <w:rFonts w:cs="Times New Roman"/>
                <w:noProof/>
              </w:rPr>
              <w:t>Statistical Analysis</w:t>
            </w:r>
            <w:r w:rsidR="00302953">
              <w:rPr>
                <w:noProof/>
                <w:webHidden/>
              </w:rPr>
              <w:tab/>
            </w:r>
            <w:r w:rsidR="00302953">
              <w:rPr>
                <w:noProof/>
                <w:webHidden/>
              </w:rPr>
              <w:fldChar w:fldCharType="begin"/>
            </w:r>
            <w:r w:rsidR="00302953">
              <w:rPr>
                <w:noProof/>
                <w:webHidden/>
              </w:rPr>
              <w:instrText xml:space="preserve"> PAGEREF _Toc121495997 \h </w:instrText>
            </w:r>
            <w:r w:rsidR="00302953">
              <w:rPr>
                <w:noProof/>
                <w:webHidden/>
              </w:rPr>
            </w:r>
            <w:r w:rsidR="00302953">
              <w:rPr>
                <w:noProof/>
                <w:webHidden/>
              </w:rPr>
              <w:fldChar w:fldCharType="separate"/>
            </w:r>
            <w:r w:rsidR="00061096">
              <w:rPr>
                <w:noProof/>
                <w:webHidden/>
              </w:rPr>
              <w:t>56</w:t>
            </w:r>
            <w:r w:rsidR="00302953">
              <w:rPr>
                <w:noProof/>
                <w:webHidden/>
              </w:rPr>
              <w:fldChar w:fldCharType="end"/>
            </w:r>
          </w:hyperlink>
        </w:p>
        <w:p w14:paraId="3A6F5A26" w14:textId="2F1322FB" w:rsidR="00302953" w:rsidRDefault="00000000">
          <w:pPr>
            <w:pStyle w:val="TOC3"/>
            <w:tabs>
              <w:tab w:val="left" w:pos="1440"/>
              <w:tab w:val="right" w:leader="dot" w:pos="9350"/>
            </w:tabs>
            <w:rPr>
              <w:rFonts w:asciiTheme="minorHAnsi" w:eastAsiaTheme="minorEastAsia" w:hAnsiTheme="minorHAnsi"/>
              <w:noProof/>
            </w:rPr>
          </w:pPr>
          <w:hyperlink w:anchor="_Toc121495998" w:history="1">
            <w:r w:rsidR="00302953" w:rsidRPr="00941DD8">
              <w:rPr>
                <w:rStyle w:val="Hyperlink"/>
                <w:rFonts w:cs="Times New Roman"/>
                <w:noProof/>
              </w:rPr>
              <w:t>2.3.4</w:t>
            </w:r>
            <w:r w:rsidR="00302953">
              <w:rPr>
                <w:rFonts w:asciiTheme="minorHAnsi" w:eastAsiaTheme="minorEastAsia" w:hAnsiTheme="minorHAnsi"/>
                <w:noProof/>
              </w:rPr>
              <w:tab/>
            </w:r>
            <w:r w:rsidR="00302953" w:rsidRPr="00941DD8">
              <w:rPr>
                <w:rStyle w:val="Hyperlink"/>
                <w:rFonts w:cs="Times New Roman"/>
                <w:noProof/>
              </w:rPr>
              <w:t>Mass Removal Rate Analysis</w:t>
            </w:r>
            <w:r w:rsidR="00302953">
              <w:rPr>
                <w:noProof/>
                <w:webHidden/>
              </w:rPr>
              <w:tab/>
            </w:r>
            <w:r w:rsidR="00302953">
              <w:rPr>
                <w:noProof/>
                <w:webHidden/>
              </w:rPr>
              <w:fldChar w:fldCharType="begin"/>
            </w:r>
            <w:r w:rsidR="00302953">
              <w:rPr>
                <w:noProof/>
                <w:webHidden/>
              </w:rPr>
              <w:instrText xml:space="preserve"> PAGEREF _Toc121495998 \h </w:instrText>
            </w:r>
            <w:r w:rsidR="00302953">
              <w:rPr>
                <w:noProof/>
                <w:webHidden/>
              </w:rPr>
            </w:r>
            <w:r w:rsidR="00302953">
              <w:rPr>
                <w:noProof/>
                <w:webHidden/>
              </w:rPr>
              <w:fldChar w:fldCharType="separate"/>
            </w:r>
            <w:r w:rsidR="00061096">
              <w:rPr>
                <w:noProof/>
                <w:webHidden/>
              </w:rPr>
              <w:t>57</w:t>
            </w:r>
            <w:r w:rsidR="00302953">
              <w:rPr>
                <w:noProof/>
                <w:webHidden/>
              </w:rPr>
              <w:fldChar w:fldCharType="end"/>
            </w:r>
          </w:hyperlink>
        </w:p>
        <w:p w14:paraId="5CE2406B" w14:textId="6C411AF7" w:rsidR="00302953" w:rsidRDefault="00000000">
          <w:pPr>
            <w:pStyle w:val="TOC2"/>
            <w:tabs>
              <w:tab w:val="left" w:pos="960"/>
              <w:tab w:val="right" w:leader="dot" w:pos="9350"/>
            </w:tabs>
            <w:rPr>
              <w:rFonts w:asciiTheme="minorHAnsi" w:eastAsiaTheme="minorEastAsia" w:hAnsiTheme="minorHAnsi"/>
              <w:noProof/>
            </w:rPr>
          </w:pPr>
          <w:hyperlink w:anchor="_Toc121495999" w:history="1">
            <w:r w:rsidR="00302953" w:rsidRPr="00941DD8">
              <w:rPr>
                <w:rStyle w:val="Hyperlink"/>
                <w:rFonts w:cs="Times New Roman"/>
                <w:noProof/>
              </w:rPr>
              <w:t>2.4</w:t>
            </w:r>
            <w:r w:rsidR="00302953">
              <w:rPr>
                <w:rFonts w:asciiTheme="minorHAnsi" w:eastAsiaTheme="minorEastAsia" w:hAnsiTheme="minorHAnsi"/>
                <w:noProof/>
              </w:rPr>
              <w:tab/>
            </w:r>
            <w:r w:rsidR="00302953" w:rsidRPr="00941DD8">
              <w:rPr>
                <w:rStyle w:val="Hyperlink"/>
                <w:rFonts w:cs="Times New Roman"/>
                <w:noProof/>
              </w:rPr>
              <w:t>Quality Assurance/Quality Control (QA/QC)</w:t>
            </w:r>
            <w:r w:rsidR="00302953">
              <w:rPr>
                <w:noProof/>
                <w:webHidden/>
              </w:rPr>
              <w:tab/>
            </w:r>
            <w:r w:rsidR="00302953">
              <w:rPr>
                <w:noProof/>
                <w:webHidden/>
              </w:rPr>
              <w:fldChar w:fldCharType="begin"/>
            </w:r>
            <w:r w:rsidR="00302953">
              <w:rPr>
                <w:noProof/>
                <w:webHidden/>
              </w:rPr>
              <w:instrText xml:space="preserve"> PAGEREF _Toc121495999 \h </w:instrText>
            </w:r>
            <w:r w:rsidR="00302953">
              <w:rPr>
                <w:noProof/>
                <w:webHidden/>
              </w:rPr>
            </w:r>
            <w:r w:rsidR="00302953">
              <w:rPr>
                <w:noProof/>
                <w:webHidden/>
              </w:rPr>
              <w:fldChar w:fldCharType="separate"/>
            </w:r>
            <w:r w:rsidR="00061096">
              <w:rPr>
                <w:noProof/>
                <w:webHidden/>
              </w:rPr>
              <w:t>58</w:t>
            </w:r>
            <w:r w:rsidR="00302953">
              <w:rPr>
                <w:noProof/>
                <w:webHidden/>
              </w:rPr>
              <w:fldChar w:fldCharType="end"/>
            </w:r>
          </w:hyperlink>
        </w:p>
        <w:p w14:paraId="6ECE26D4" w14:textId="5A6B6E31" w:rsidR="00302953" w:rsidRDefault="00000000">
          <w:pPr>
            <w:pStyle w:val="TOC2"/>
            <w:tabs>
              <w:tab w:val="left" w:pos="960"/>
              <w:tab w:val="right" w:leader="dot" w:pos="9350"/>
            </w:tabs>
            <w:rPr>
              <w:rFonts w:asciiTheme="minorHAnsi" w:eastAsiaTheme="minorEastAsia" w:hAnsiTheme="minorHAnsi"/>
              <w:noProof/>
            </w:rPr>
          </w:pPr>
          <w:hyperlink w:anchor="_Toc121496000" w:history="1">
            <w:r w:rsidR="00302953" w:rsidRPr="00941DD8">
              <w:rPr>
                <w:rStyle w:val="Hyperlink"/>
                <w:rFonts w:cs="Times New Roman"/>
                <w:noProof/>
              </w:rPr>
              <w:t>2.5</w:t>
            </w:r>
            <w:r w:rsidR="00302953">
              <w:rPr>
                <w:rFonts w:asciiTheme="minorHAnsi" w:eastAsiaTheme="minorEastAsia" w:hAnsiTheme="minorHAnsi"/>
                <w:noProof/>
              </w:rPr>
              <w:tab/>
            </w:r>
            <w:r w:rsidR="00302953" w:rsidRPr="00941DD8">
              <w:rPr>
                <w:rStyle w:val="Hyperlink"/>
                <w:rFonts w:cs="Times New Roman"/>
                <w:noProof/>
              </w:rPr>
              <w:t>General Contaminant Removal Mechanisms</w:t>
            </w:r>
            <w:r w:rsidR="00302953">
              <w:rPr>
                <w:noProof/>
                <w:webHidden/>
              </w:rPr>
              <w:tab/>
            </w:r>
            <w:r w:rsidR="00302953">
              <w:rPr>
                <w:noProof/>
                <w:webHidden/>
              </w:rPr>
              <w:fldChar w:fldCharType="begin"/>
            </w:r>
            <w:r w:rsidR="00302953">
              <w:rPr>
                <w:noProof/>
                <w:webHidden/>
              </w:rPr>
              <w:instrText xml:space="preserve"> PAGEREF _Toc121496000 \h </w:instrText>
            </w:r>
            <w:r w:rsidR="00302953">
              <w:rPr>
                <w:noProof/>
                <w:webHidden/>
              </w:rPr>
            </w:r>
            <w:r w:rsidR="00302953">
              <w:rPr>
                <w:noProof/>
                <w:webHidden/>
              </w:rPr>
              <w:fldChar w:fldCharType="separate"/>
            </w:r>
            <w:r w:rsidR="00061096">
              <w:rPr>
                <w:noProof/>
                <w:webHidden/>
              </w:rPr>
              <w:t>60</w:t>
            </w:r>
            <w:r w:rsidR="00302953">
              <w:rPr>
                <w:noProof/>
                <w:webHidden/>
              </w:rPr>
              <w:fldChar w:fldCharType="end"/>
            </w:r>
          </w:hyperlink>
        </w:p>
        <w:p w14:paraId="75B48AAC" w14:textId="554D0257" w:rsidR="00302953" w:rsidRDefault="00000000">
          <w:pPr>
            <w:pStyle w:val="TOC1"/>
            <w:tabs>
              <w:tab w:val="left" w:pos="480"/>
              <w:tab w:val="right" w:leader="dot" w:pos="9350"/>
            </w:tabs>
            <w:rPr>
              <w:rFonts w:asciiTheme="minorHAnsi" w:eastAsiaTheme="minorEastAsia" w:hAnsiTheme="minorHAnsi"/>
              <w:noProof/>
            </w:rPr>
          </w:pPr>
          <w:hyperlink w:anchor="_Toc121496001" w:history="1">
            <w:r w:rsidR="00302953" w:rsidRPr="00941DD8">
              <w:rPr>
                <w:rStyle w:val="Hyperlink"/>
                <w:rFonts w:cs="Times New Roman"/>
                <w:noProof/>
              </w:rPr>
              <w:t>3</w:t>
            </w:r>
            <w:r w:rsidR="00302953">
              <w:rPr>
                <w:rFonts w:asciiTheme="minorHAnsi" w:eastAsiaTheme="minorEastAsia" w:hAnsiTheme="minorHAnsi"/>
                <w:noProof/>
              </w:rPr>
              <w:tab/>
            </w:r>
            <w:r w:rsidR="00302953" w:rsidRPr="00941DD8">
              <w:rPr>
                <w:rStyle w:val="Hyperlink"/>
                <w:rFonts w:cs="Times New Roman"/>
                <w:noProof/>
              </w:rPr>
              <w:t>Results</w:t>
            </w:r>
            <w:r w:rsidR="00302953">
              <w:rPr>
                <w:noProof/>
                <w:webHidden/>
              </w:rPr>
              <w:tab/>
            </w:r>
            <w:r w:rsidR="00302953">
              <w:rPr>
                <w:noProof/>
                <w:webHidden/>
              </w:rPr>
              <w:fldChar w:fldCharType="begin"/>
            </w:r>
            <w:r w:rsidR="00302953">
              <w:rPr>
                <w:noProof/>
                <w:webHidden/>
              </w:rPr>
              <w:instrText xml:space="preserve"> PAGEREF _Toc121496001 \h </w:instrText>
            </w:r>
            <w:r w:rsidR="00302953">
              <w:rPr>
                <w:noProof/>
                <w:webHidden/>
              </w:rPr>
            </w:r>
            <w:r w:rsidR="00302953">
              <w:rPr>
                <w:noProof/>
                <w:webHidden/>
              </w:rPr>
              <w:fldChar w:fldCharType="separate"/>
            </w:r>
            <w:r w:rsidR="00061096">
              <w:rPr>
                <w:noProof/>
                <w:webHidden/>
              </w:rPr>
              <w:t>61</w:t>
            </w:r>
            <w:r w:rsidR="00302953">
              <w:rPr>
                <w:noProof/>
                <w:webHidden/>
              </w:rPr>
              <w:fldChar w:fldCharType="end"/>
            </w:r>
          </w:hyperlink>
        </w:p>
        <w:p w14:paraId="2A38EBD6" w14:textId="1C5059CA" w:rsidR="00302953" w:rsidRDefault="00000000">
          <w:pPr>
            <w:pStyle w:val="TOC2"/>
            <w:tabs>
              <w:tab w:val="left" w:pos="960"/>
              <w:tab w:val="right" w:leader="dot" w:pos="9350"/>
            </w:tabs>
            <w:rPr>
              <w:rFonts w:asciiTheme="minorHAnsi" w:eastAsiaTheme="minorEastAsia" w:hAnsiTheme="minorHAnsi"/>
              <w:noProof/>
            </w:rPr>
          </w:pPr>
          <w:hyperlink w:anchor="_Toc121496002" w:history="1">
            <w:r w:rsidR="00302953" w:rsidRPr="00941DD8">
              <w:rPr>
                <w:rStyle w:val="Hyperlink"/>
                <w:rFonts w:cs="Times New Roman"/>
                <w:noProof/>
              </w:rPr>
              <w:t>3.1</w:t>
            </w:r>
            <w:r w:rsidR="00302953">
              <w:rPr>
                <w:rFonts w:asciiTheme="minorHAnsi" w:eastAsiaTheme="minorEastAsia" w:hAnsiTheme="minorHAnsi"/>
                <w:noProof/>
              </w:rPr>
              <w:tab/>
            </w:r>
            <w:r w:rsidR="00302953" w:rsidRPr="00941DD8">
              <w:rPr>
                <w:rStyle w:val="Hyperlink"/>
                <w:rFonts w:cs="Times New Roman"/>
                <w:noProof/>
              </w:rPr>
              <w:t>Influent</w:t>
            </w:r>
            <w:r w:rsidR="00302953">
              <w:rPr>
                <w:noProof/>
                <w:webHidden/>
              </w:rPr>
              <w:tab/>
            </w:r>
            <w:r w:rsidR="00302953">
              <w:rPr>
                <w:noProof/>
                <w:webHidden/>
              </w:rPr>
              <w:fldChar w:fldCharType="begin"/>
            </w:r>
            <w:r w:rsidR="00302953">
              <w:rPr>
                <w:noProof/>
                <w:webHidden/>
              </w:rPr>
              <w:instrText xml:space="preserve"> PAGEREF _Toc121496002 \h </w:instrText>
            </w:r>
            <w:r w:rsidR="00302953">
              <w:rPr>
                <w:noProof/>
                <w:webHidden/>
              </w:rPr>
            </w:r>
            <w:r w:rsidR="00302953">
              <w:rPr>
                <w:noProof/>
                <w:webHidden/>
              </w:rPr>
              <w:fldChar w:fldCharType="separate"/>
            </w:r>
            <w:r w:rsidR="00061096">
              <w:rPr>
                <w:noProof/>
                <w:webHidden/>
              </w:rPr>
              <w:t>63</w:t>
            </w:r>
            <w:r w:rsidR="00302953">
              <w:rPr>
                <w:noProof/>
                <w:webHidden/>
              </w:rPr>
              <w:fldChar w:fldCharType="end"/>
            </w:r>
          </w:hyperlink>
        </w:p>
        <w:p w14:paraId="64BC3440" w14:textId="4EA6DF9E" w:rsidR="00302953" w:rsidRDefault="00000000">
          <w:pPr>
            <w:pStyle w:val="TOC2"/>
            <w:tabs>
              <w:tab w:val="left" w:pos="960"/>
              <w:tab w:val="right" w:leader="dot" w:pos="9350"/>
            </w:tabs>
            <w:rPr>
              <w:rFonts w:asciiTheme="minorHAnsi" w:eastAsiaTheme="minorEastAsia" w:hAnsiTheme="minorHAnsi"/>
              <w:noProof/>
            </w:rPr>
          </w:pPr>
          <w:hyperlink w:anchor="_Toc121496003" w:history="1">
            <w:r w:rsidR="00302953" w:rsidRPr="00941DD8">
              <w:rPr>
                <w:rStyle w:val="Hyperlink"/>
                <w:rFonts w:cs="Times New Roman"/>
                <w:noProof/>
              </w:rPr>
              <w:t>3.2</w:t>
            </w:r>
            <w:r w:rsidR="00302953">
              <w:rPr>
                <w:rFonts w:asciiTheme="minorHAnsi" w:eastAsiaTheme="minorEastAsia" w:hAnsiTheme="minorHAnsi"/>
                <w:noProof/>
              </w:rPr>
              <w:tab/>
            </w:r>
            <w:r w:rsidR="00302953" w:rsidRPr="00941DD8">
              <w:rPr>
                <w:rStyle w:val="Hyperlink"/>
                <w:rFonts w:cs="Times New Roman"/>
                <w:noProof/>
              </w:rPr>
              <w:t>QA/QC</w:t>
            </w:r>
            <w:r w:rsidR="00302953">
              <w:rPr>
                <w:noProof/>
                <w:webHidden/>
              </w:rPr>
              <w:tab/>
            </w:r>
            <w:r w:rsidR="00302953">
              <w:rPr>
                <w:noProof/>
                <w:webHidden/>
              </w:rPr>
              <w:fldChar w:fldCharType="begin"/>
            </w:r>
            <w:r w:rsidR="00302953">
              <w:rPr>
                <w:noProof/>
                <w:webHidden/>
              </w:rPr>
              <w:instrText xml:space="preserve"> PAGEREF _Toc121496003 \h </w:instrText>
            </w:r>
            <w:r w:rsidR="00302953">
              <w:rPr>
                <w:noProof/>
                <w:webHidden/>
              </w:rPr>
            </w:r>
            <w:r w:rsidR="00302953">
              <w:rPr>
                <w:noProof/>
                <w:webHidden/>
              </w:rPr>
              <w:fldChar w:fldCharType="separate"/>
            </w:r>
            <w:r w:rsidR="00061096">
              <w:rPr>
                <w:noProof/>
                <w:webHidden/>
              </w:rPr>
              <w:t>69</w:t>
            </w:r>
            <w:r w:rsidR="00302953">
              <w:rPr>
                <w:noProof/>
                <w:webHidden/>
              </w:rPr>
              <w:fldChar w:fldCharType="end"/>
            </w:r>
          </w:hyperlink>
        </w:p>
        <w:p w14:paraId="232D6E58" w14:textId="3B06D590" w:rsidR="00302953" w:rsidRDefault="00000000">
          <w:pPr>
            <w:pStyle w:val="TOC2"/>
            <w:tabs>
              <w:tab w:val="left" w:pos="960"/>
              <w:tab w:val="right" w:leader="dot" w:pos="9350"/>
            </w:tabs>
            <w:rPr>
              <w:rFonts w:asciiTheme="minorHAnsi" w:eastAsiaTheme="minorEastAsia" w:hAnsiTheme="minorHAnsi"/>
              <w:noProof/>
            </w:rPr>
          </w:pPr>
          <w:hyperlink w:anchor="_Toc121496004" w:history="1">
            <w:r w:rsidR="00302953" w:rsidRPr="00941DD8">
              <w:rPr>
                <w:rStyle w:val="Hyperlink"/>
                <w:rFonts w:cs="Times New Roman"/>
                <w:noProof/>
              </w:rPr>
              <w:t>3.3</w:t>
            </w:r>
            <w:r w:rsidR="00302953">
              <w:rPr>
                <w:rFonts w:asciiTheme="minorHAnsi" w:eastAsiaTheme="minorEastAsia" w:hAnsiTheme="minorHAnsi"/>
                <w:noProof/>
              </w:rPr>
              <w:tab/>
            </w:r>
            <w:r w:rsidR="00302953" w:rsidRPr="00941DD8">
              <w:rPr>
                <w:rStyle w:val="Hyperlink"/>
                <w:rFonts w:cs="Times New Roman"/>
                <w:noProof/>
              </w:rPr>
              <w:t>Vertical Columns</w:t>
            </w:r>
            <w:r w:rsidR="00302953">
              <w:rPr>
                <w:noProof/>
                <w:webHidden/>
              </w:rPr>
              <w:tab/>
            </w:r>
            <w:r w:rsidR="00302953">
              <w:rPr>
                <w:noProof/>
                <w:webHidden/>
              </w:rPr>
              <w:fldChar w:fldCharType="begin"/>
            </w:r>
            <w:r w:rsidR="00302953">
              <w:rPr>
                <w:noProof/>
                <w:webHidden/>
              </w:rPr>
              <w:instrText xml:space="preserve"> PAGEREF _Toc121496004 \h </w:instrText>
            </w:r>
            <w:r w:rsidR="00302953">
              <w:rPr>
                <w:noProof/>
                <w:webHidden/>
              </w:rPr>
            </w:r>
            <w:r w:rsidR="00302953">
              <w:rPr>
                <w:noProof/>
                <w:webHidden/>
              </w:rPr>
              <w:fldChar w:fldCharType="separate"/>
            </w:r>
            <w:r w:rsidR="00061096">
              <w:rPr>
                <w:noProof/>
                <w:webHidden/>
              </w:rPr>
              <w:t>69</w:t>
            </w:r>
            <w:r w:rsidR="00302953">
              <w:rPr>
                <w:noProof/>
                <w:webHidden/>
              </w:rPr>
              <w:fldChar w:fldCharType="end"/>
            </w:r>
          </w:hyperlink>
        </w:p>
        <w:p w14:paraId="20EED972" w14:textId="5EC97C65" w:rsidR="00302953" w:rsidRDefault="00000000">
          <w:pPr>
            <w:pStyle w:val="TOC3"/>
            <w:tabs>
              <w:tab w:val="left" w:pos="1440"/>
              <w:tab w:val="right" w:leader="dot" w:pos="9350"/>
            </w:tabs>
            <w:rPr>
              <w:rFonts w:asciiTheme="minorHAnsi" w:eastAsiaTheme="minorEastAsia" w:hAnsiTheme="minorHAnsi"/>
              <w:noProof/>
            </w:rPr>
          </w:pPr>
          <w:hyperlink w:anchor="_Toc121496005" w:history="1">
            <w:r w:rsidR="00302953" w:rsidRPr="00941DD8">
              <w:rPr>
                <w:rStyle w:val="Hyperlink"/>
                <w:rFonts w:cs="Times New Roman"/>
                <w:noProof/>
              </w:rPr>
              <w:t>3.3.1</w:t>
            </w:r>
            <w:r w:rsidR="00302953">
              <w:rPr>
                <w:rFonts w:asciiTheme="minorHAnsi" w:eastAsiaTheme="minorEastAsia" w:hAnsiTheme="minorHAnsi"/>
                <w:noProof/>
              </w:rPr>
              <w:tab/>
            </w:r>
            <w:r w:rsidR="00302953" w:rsidRPr="00941DD8">
              <w:rPr>
                <w:rStyle w:val="Hyperlink"/>
                <w:rFonts w:cs="Times New Roman"/>
                <w:noProof/>
              </w:rPr>
              <w:t>General Chemistry</w:t>
            </w:r>
            <w:r w:rsidR="00302953">
              <w:rPr>
                <w:noProof/>
                <w:webHidden/>
              </w:rPr>
              <w:tab/>
            </w:r>
            <w:r w:rsidR="00302953">
              <w:rPr>
                <w:noProof/>
                <w:webHidden/>
              </w:rPr>
              <w:fldChar w:fldCharType="begin"/>
            </w:r>
            <w:r w:rsidR="00302953">
              <w:rPr>
                <w:noProof/>
                <w:webHidden/>
              </w:rPr>
              <w:instrText xml:space="preserve"> PAGEREF _Toc121496005 \h </w:instrText>
            </w:r>
            <w:r w:rsidR="00302953">
              <w:rPr>
                <w:noProof/>
                <w:webHidden/>
              </w:rPr>
            </w:r>
            <w:r w:rsidR="00302953">
              <w:rPr>
                <w:noProof/>
                <w:webHidden/>
              </w:rPr>
              <w:fldChar w:fldCharType="separate"/>
            </w:r>
            <w:r w:rsidR="00061096">
              <w:rPr>
                <w:noProof/>
                <w:webHidden/>
              </w:rPr>
              <w:t>70</w:t>
            </w:r>
            <w:r w:rsidR="00302953">
              <w:rPr>
                <w:noProof/>
                <w:webHidden/>
              </w:rPr>
              <w:fldChar w:fldCharType="end"/>
            </w:r>
          </w:hyperlink>
        </w:p>
        <w:p w14:paraId="0618BC17" w14:textId="4D974DE3" w:rsidR="00302953" w:rsidRDefault="00000000">
          <w:pPr>
            <w:pStyle w:val="TOC3"/>
            <w:tabs>
              <w:tab w:val="left" w:pos="1440"/>
              <w:tab w:val="right" w:leader="dot" w:pos="9350"/>
            </w:tabs>
            <w:rPr>
              <w:rFonts w:asciiTheme="minorHAnsi" w:eastAsiaTheme="minorEastAsia" w:hAnsiTheme="minorHAnsi"/>
              <w:noProof/>
            </w:rPr>
          </w:pPr>
          <w:hyperlink w:anchor="_Toc121496006" w:history="1">
            <w:r w:rsidR="00302953" w:rsidRPr="00941DD8">
              <w:rPr>
                <w:rStyle w:val="Hyperlink"/>
                <w:rFonts w:cs="Times New Roman"/>
                <w:noProof/>
              </w:rPr>
              <w:t>3.3.2</w:t>
            </w:r>
            <w:r w:rsidR="00302953">
              <w:rPr>
                <w:rFonts w:asciiTheme="minorHAnsi" w:eastAsiaTheme="minorEastAsia" w:hAnsiTheme="minorHAnsi"/>
                <w:noProof/>
              </w:rPr>
              <w:tab/>
            </w:r>
            <w:r w:rsidR="00302953" w:rsidRPr="00941DD8">
              <w:rPr>
                <w:rStyle w:val="Hyperlink"/>
                <w:rFonts w:cs="Times New Roman"/>
                <w:noProof/>
              </w:rPr>
              <w:t>Metals</w:t>
            </w:r>
            <w:r w:rsidR="00302953">
              <w:rPr>
                <w:noProof/>
                <w:webHidden/>
              </w:rPr>
              <w:tab/>
            </w:r>
            <w:r w:rsidR="00302953">
              <w:rPr>
                <w:noProof/>
                <w:webHidden/>
              </w:rPr>
              <w:fldChar w:fldCharType="begin"/>
            </w:r>
            <w:r w:rsidR="00302953">
              <w:rPr>
                <w:noProof/>
                <w:webHidden/>
              </w:rPr>
              <w:instrText xml:space="preserve"> PAGEREF _Toc121496006 \h </w:instrText>
            </w:r>
            <w:r w:rsidR="00302953">
              <w:rPr>
                <w:noProof/>
                <w:webHidden/>
              </w:rPr>
            </w:r>
            <w:r w:rsidR="00302953">
              <w:rPr>
                <w:noProof/>
                <w:webHidden/>
              </w:rPr>
              <w:fldChar w:fldCharType="separate"/>
            </w:r>
            <w:r w:rsidR="00061096">
              <w:rPr>
                <w:noProof/>
                <w:webHidden/>
              </w:rPr>
              <w:t>73</w:t>
            </w:r>
            <w:r w:rsidR="00302953">
              <w:rPr>
                <w:noProof/>
                <w:webHidden/>
              </w:rPr>
              <w:fldChar w:fldCharType="end"/>
            </w:r>
          </w:hyperlink>
        </w:p>
        <w:p w14:paraId="7DF47161" w14:textId="02E59AF1" w:rsidR="00302953" w:rsidRDefault="00000000">
          <w:pPr>
            <w:pStyle w:val="TOC4"/>
            <w:tabs>
              <w:tab w:val="left" w:pos="1920"/>
              <w:tab w:val="right" w:leader="dot" w:pos="9350"/>
            </w:tabs>
            <w:rPr>
              <w:rFonts w:asciiTheme="minorHAnsi" w:eastAsiaTheme="minorEastAsia" w:hAnsiTheme="minorHAnsi"/>
              <w:noProof/>
            </w:rPr>
          </w:pPr>
          <w:hyperlink w:anchor="_Toc121496007" w:history="1">
            <w:r w:rsidR="00302953" w:rsidRPr="00941DD8">
              <w:rPr>
                <w:rStyle w:val="Hyperlink"/>
                <w:rFonts w:cs="Times New Roman"/>
                <w:noProof/>
              </w:rPr>
              <w:t>3.3.2.1</w:t>
            </w:r>
            <w:r w:rsidR="00302953">
              <w:rPr>
                <w:rFonts w:asciiTheme="minorHAnsi" w:eastAsiaTheme="minorEastAsia" w:hAnsiTheme="minorHAnsi"/>
                <w:noProof/>
              </w:rPr>
              <w:tab/>
            </w:r>
            <w:r w:rsidR="00302953" w:rsidRPr="00941DD8">
              <w:rPr>
                <w:rStyle w:val="Hyperlink"/>
                <w:rFonts w:cs="Times New Roman"/>
                <w:noProof/>
              </w:rPr>
              <w:t>Aluminum (Al)</w:t>
            </w:r>
            <w:r w:rsidR="00302953">
              <w:rPr>
                <w:noProof/>
                <w:webHidden/>
              </w:rPr>
              <w:tab/>
            </w:r>
            <w:r w:rsidR="00302953">
              <w:rPr>
                <w:noProof/>
                <w:webHidden/>
              </w:rPr>
              <w:fldChar w:fldCharType="begin"/>
            </w:r>
            <w:r w:rsidR="00302953">
              <w:rPr>
                <w:noProof/>
                <w:webHidden/>
              </w:rPr>
              <w:instrText xml:space="preserve"> PAGEREF _Toc121496007 \h </w:instrText>
            </w:r>
            <w:r w:rsidR="00302953">
              <w:rPr>
                <w:noProof/>
                <w:webHidden/>
              </w:rPr>
            </w:r>
            <w:r w:rsidR="00302953">
              <w:rPr>
                <w:noProof/>
                <w:webHidden/>
              </w:rPr>
              <w:fldChar w:fldCharType="separate"/>
            </w:r>
            <w:r w:rsidR="00061096">
              <w:rPr>
                <w:noProof/>
                <w:webHidden/>
              </w:rPr>
              <w:t>73</w:t>
            </w:r>
            <w:r w:rsidR="00302953">
              <w:rPr>
                <w:noProof/>
                <w:webHidden/>
              </w:rPr>
              <w:fldChar w:fldCharType="end"/>
            </w:r>
          </w:hyperlink>
        </w:p>
        <w:p w14:paraId="25AE8AD4" w14:textId="6B54635E" w:rsidR="00302953" w:rsidRDefault="00000000">
          <w:pPr>
            <w:pStyle w:val="TOC4"/>
            <w:tabs>
              <w:tab w:val="left" w:pos="1920"/>
              <w:tab w:val="right" w:leader="dot" w:pos="9350"/>
            </w:tabs>
            <w:rPr>
              <w:rFonts w:asciiTheme="minorHAnsi" w:eastAsiaTheme="minorEastAsia" w:hAnsiTheme="minorHAnsi"/>
              <w:noProof/>
            </w:rPr>
          </w:pPr>
          <w:hyperlink w:anchor="_Toc121496008" w:history="1">
            <w:r w:rsidR="00302953" w:rsidRPr="00941DD8">
              <w:rPr>
                <w:rStyle w:val="Hyperlink"/>
                <w:rFonts w:cs="Times New Roman"/>
                <w:noProof/>
              </w:rPr>
              <w:t>3.3.2.2</w:t>
            </w:r>
            <w:r w:rsidR="00302953">
              <w:rPr>
                <w:rFonts w:asciiTheme="minorHAnsi" w:eastAsiaTheme="minorEastAsia" w:hAnsiTheme="minorHAnsi"/>
                <w:noProof/>
              </w:rPr>
              <w:tab/>
            </w:r>
            <w:r w:rsidR="00302953" w:rsidRPr="00941DD8">
              <w:rPr>
                <w:rStyle w:val="Hyperlink"/>
                <w:rFonts w:cs="Times New Roman"/>
                <w:noProof/>
              </w:rPr>
              <w:t>Arsenic (As)</w:t>
            </w:r>
            <w:r w:rsidR="00302953">
              <w:rPr>
                <w:noProof/>
                <w:webHidden/>
              </w:rPr>
              <w:tab/>
            </w:r>
            <w:r w:rsidR="00302953">
              <w:rPr>
                <w:noProof/>
                <w:webHidden/>
              </w:rPr>
              <w:fldChar w:fldCharType="begin"/>
            </w:r>
            <w:r w:rsidR="00302953">
              <w:rPr>
                <w:noProof/>
                <w:webHidden/>
              </w:rPr>
              <w:instrText xml:space="preserve"> PAGEREF _Toc121496008 \h </w:instrText>
            </w:r>
            <w:r w:rsidR="00302953">
              <w:rPr>
                <w:noProof/>
                <w:webHidden/>
              </w:rPr>
            </w:r>
            <w:r w:rsidR="00302953">
              <w:rPr>
                <w:noProof/>
                <w:webHidden/>
              </w:rPr>
              <w:fldChar w:fldCharType="separate"/>
            </w:r>
            <w:r w:rsidR="00061096">
              <w:rPr>
                <w:noProof/>
                <w:webHidden/>
              </w:rPr>
              <w:t>75</w:t>
            </w:r>
            <w:r w:rsidR="00302953">
              <w:rPr>
                <w:noProof/>
                <w:webHidden/>
              </w:rPr>
              <w:fldChar w:fldCharType="end"/>
            </w:r>
          </w:hyperlink>
        </w:p>
        <w:p w14:paraId="3410B2C5" w14:textId="6732372A" w:rsidR="00302953" w:rsidRDefault="00000000">
          <w:pPr>
            <w:pStyle w:val="TOC4"/>
            <w:tabs>
              <w:tab w:val="left" w:pos="1920"/>
              <w:tab w:val="right" w:leader="dot" w:pos="9350"/>
            </w:tabs>
            <w:rPr>
              <w:rFonts w:asciiTheme="minorHAnsi" w:eastAsiaTheme="minorEastAsia" w:hAnsiTheme="minorHAnsi"/>
              <w:noProof/>
            </w:rPr>
          </w:pPr>
          <w:hyperlink w:anchor="_Toc121496009" w:history="1">
            <w:r w:rsidR="00302953" w:rsidRPr="00941DD8">
              <w:rPr>
                <w:rStyle w:val="Hyperlink"/>
                <w:rFonts w:cs="Times New Roman"/>
                <w:noProof/>
              </w:rPr>
              <w:t>3.3.2.3</w:t>
            </w:r>
            <w:r w:rsidR="00302953">
              <w:rPr>
                <w:rFonts w:asciiTheme="minorHAnsi" w:eastAsiaTheme="minorEastAsia" w:hAnsiTheme="minorHAnsi"/>
                <w:noProof/>
              </w:rPr>
              <w:tab/>
            </w:r>
            <w:r w:rsidR="00302953" w:rsidRPr="00941DD8">
              <w:rPr>
                <w:rStyle w:val="Hyperlink"/>
                <w:rFonts w:cs="Times New Roman"/>
                <w:noProof/>
              </w:rPr>
              <w:t>Beryllium (Be)</w:t>
            </w:r>
            <w:r w:rsidR="00302953">
              <w:rPr>
                <w:noProof/>
                <w:webHidden/>
              </w:rPr>
              <w:tab/>
            </w:r>
            <w:r w:rsidR="00302953">
              <w:rPr>
                <w:noProof/>
                <w:webHidden/>
              </w:rPr>
              <w:fldChar w:fldCharType="begin"/>
            </w:r>
            <w:r w:rsidR="00302953">
              <w:rPr>
                <w:noProof/>
                <w:webHidden/>
              </w:rPr>
              <w:instrText xml:space="preserve"> PAGEREF _Toc121496009 \h </w:instrText>
            </w:r>
            <w:r w:rsidR="00302953">
              <w:rPr>
                <w:noProof/>
                <w:webHidden/>
              </w:rPr>
            </w:r>
            <w:r w:rsidR="00302953">
              <w:rPr>
                <w:noProof/>
                <w:webHidden/>
              </w:rPr>
              <w:fldChar w:fldCharType="separate"/>
            </w:r>
            <w:r w:rsidR="00061096">
              <w:rPr>
                <w:noProof/>
                <w:webHidden/>
              </w:rPr>
              <w:t>77</w:t>
            </w:r>
            <w:r w:rsidR="00302953">
              <w:rPr>
                <w:noProof/>
                <w:webHidden/>
              </w:rPr>
              <w:fldChar w:fldCharType="end"/>
            </w:r>
          </w:hyperlink>
        </w:p>
        <w:p w14:paraId="7FA6FB8A" w14:textId="6C8DB99A" w:rsidR="00302953" w:rsidRDefault="00000000">
          <w:pPr>
            <w:pStyle w:val="TOC4"/>
            <w:tabs>
              <w:tab w:val="left" w:pos="1920"/>
              <w:tab w:val="right" w:leader="dot" w:pos="9350"/>
            </w:tabs>
            <w:rPr>
              <w:rFonts w:asciiTheme="minorHAnsi" w:eastAsiaTheme="minorEastAsia" w:hAnsiTheme="minorHAnsi"/>
              <w:noProof/>
            </w:rPr>
          </w:pPr>
          <w:hyperlink w:anchor="_Toc121496010" w:history="1">
            <w:r w:rsidR="00302953" w:rsidRPr="00941DD8">
              <w:rPr>
                <w:rStyle w:val="Hyperlink"/>
                <w:rFonts w:cs="Times New Roman"/>
                <w:noProof/>
              </w:rPr>
              <w:t>3.3.2.4</w:t>
            </w:r>
            <w:r w:rsidR="00302953">
              <w:rPr>
                <w:rFonts w:asciiTheme="minorHAnsi" w:eastAsiaTheme="minorEastAsia" w:hAnsiTheme="minorHAnsi"/>
                <w:noProof/>
              </w:rPr>
              <w:tab/>
            </w:r>
            <w:r w:rsidR="00302953" w:rsidRPr="00941DD8">
              <w:rPr>
                <w:rStyle w:val="Hyperlink"/>
                <w:rFonts w:cs="Times New Roman"/>
                <w:noProof/>
              </w:rPr>
              <w:t>Manganese (Mn)</w:t>
            </w:r>
            <w:r w:rsidR="00302953">
              <w:rPr>
                <w:noProof/>
                <w:webHidden/>
              </w:rPr>
              <w:tab/>
            </w:r>
            <w:r w:rsidR="00302953">
              <w:rPr>
                <w:noProof/>
                <w:webHidden/>
              </w:rPr>
              <w:fldChar w:fldCharType="begin"/>
            </w:r>
            <w:r w:rsidR="00302953">
              <w:rPr>
                <w:noProof/>
                <w:webHidden/>
              </w:rPr>
              <w:instrText xml:space="preserve"> PAGEREF _Toc121496010 \h </w:instrText>
            </w:r>
            <w:r w:rsidR="00302953">
              <w:rPr>
                <w:noProof/>
                <w:webHidden/>
              </w:rPr>
            </w:r>
            <w:r w:rsidR="00302953">
              <w:rPr>
                <w:noProof/>
                <w:webHidden/>
              </w:rPr>
              <w:fldChar w:fldCharType="separate"/>
            </w:r>
            <w:r w:rsidR="00061096">
              <w:rPr>
                <w:noProof/>
                <w:webHidden/>
              </w:rPr>
              <w:t>79</w:t>
            </w:r>
            <w:r w:rsidR="00302953">
              <w:rPr>
                <w:noProof/>
                <w:webHidden/>
              </w:rPr>
              <w:fldChar w:fldCharType="end"/>
            </w:r>
          </w:hyperlink>
        </w:p>
        <w:p w14:paraId="440CE461" w14:textId="349F7862" w:rsidR="00302953" w:rsidRDefault="00000000">
          <w:pPr>
            <w:pStyle w:val="TOC3"/>
            <w:tabs>
              <w:tab w:val="left" w:pos="1440"/>
              <w:tab w:val="right" w:leader="dot" w:pos="9350"/>
            </w:tabs>
            <w:rPr>
              <w:rFonts w:asciiTheme="minorHAnsi" w:eastAsiaTheme="minorEastAsia" w:hAnsiTheme="minorHAnsi"/>
              <w:noProof/>
            </w:rPr>
          </w:pPr>
          <w:hyperlink w:anchor="_Toc121496011" w:history="1">
            <w:r w:rsidR="00302953" w:rsidRPr="00941DD8">
              <w:rPr>
                <w:rStyle w:val="Hyperlink"/>
                <w:rFonts w:cs="Times New Roman"/>
                <w:noProof/>
              </w:rPr>
              <w:t>3.3.3</w:t>
            </w:r>
            <w:r w:rsidR="00302953">
              <w:rPr>
                <w:rFonts w:asciiTheme="minorHAnsi" w:eastAsiaTheme="minorEastAsia" w:hAnsiTheme="minorHAnsi"/>
                <w:noProof/>
              </w:rPr>
              <w:tab/>
            </w:r>
            <w:r w:rsidR="00302953" w:rsidRPr="00941DD8">
              <w:rPr>
                <w:rStyle w:val="Hyperlink"/>
                <w:rFonts w:cs="Times New Roman"/>
                <w:noProof/>
              </w:rPr>
              <w:t>Neonicotinoids</w:t>
            </w:r>
            <w:r w:rsidR="00302953">
              <w:rPr>
                <w:noProof/>
                <w:webHidden/>
              </w:rPr>
              <w:tab/>
            </w:r>
            <w:r w:rsidR="00302953">
              <w:rPr>
                <w:noProof/>
                <w:webHidden/>
              </w:rPr>
              <w:fldChar w:fldCharType="begin"/>
            </w:r>
            <w:r w:rsidR="00302953">
              <w:rPr>
                <w:noProof/>
                <w:webHidden/>
              </w:rPr>
              <w:instrText xml:space="preserve"> PAGEREF _Toc121496011 \h </w:instrText>
            </w:r>
            <w:r w:rsidR="00302953">
              <w:rPr>
                <w:noProof/>
                <w:webHidden/>
              </w:rPr>
            </w:r>
            <w:r w:rsidR="00302953">
              <w:rPr>
                <w:noProof/>
                <w:webHidden/>
              </w:rPr>
              <w:fldChar w:fldCharType="separate"/>
            </w:r>
            <w:r w:rsidR="00061096">
              <w:rPr>
                <w:noProof/>
                <w:webHidden/>
              </w:rPr>
              <w:t>81</w:t>
            </w:r>
            <w:r w:rsidR="00302953">
              <w:rPr>
                <w:noProof/>
                <w:webHidden/>
              </w:rPr>
              <w:fldChar w:fldCharType="end"/>
            </w:r>
          </w:hyperlink>
        </w:p>
        <w:p w14:paraId="3DA231D5" w14:textId="2069D068" w:rsidR="00302953" w:rsidRDefault="00000000">
          <w:pPr>
            <w:pStyle w:val="TOC4"/>
            <w:tabs>
              <w:tab w:val="left" w:pos="1920"/>
              <w:tab w:val="right" w:leader="dot" w:pos="9350"/>
            </w:tabs>
            <w:rPr>
              <w:rFonts w:asciiTheme="minorHAnsi" w:eastAsiaTheme="minorEastAsia" w:hAnsiTheme="minorHAnsi"/>
              <w:noProof/>
            </w:rPr>
          </w:pPr>
          <w:hyperlink w:anchor="_Toc121496012" w:history="1">
            <w:r w:rsidR="00302953" w:rsidRPr="00941DD8">
              <w:rPr>
                <w:rStyle w:val="Hyperlink"/>
                <w:rFonts w:cs="Times New Roman"/>
                <w:noProof/>
              </w:rPr>
              <w:t>3.3.3.1</w:t>
            </w:r>
            <w:r w:rsidR="00302953">
              <w:rPr>
                <w:rFonts w:asciiTheme="minorHAnsi" w:eastAsiaTheme="minorEastAsia" w:hAnsiTheme="minorHAnsi"/>
                <w:noProof/>
              </w:rPr>
              <w:tab/>
            </w:r>
            <w:r w:rsidR="00302953" w:rsidRPr="00941DD8">
              <w:rPr>
                <w:rStyle w:val="Hyperlink"/>
                <w:rFonts w:cs="Times New Roman"/>
                <w:noProof/>
              </w:rPr>
              <w:t>Acetamiprid</w:t>
            </w:r>
            <w:r w:rsidR="00302953">
              <w:rPr>
                <w:noProof/>
                <w:webHidden/>
              </w:rPr>
              <w:tab/>
            </w:r>
            <w:r w:rsidR="00302953">
              <w:rPr>
                <w:noProof/>
                <w:webHidden/>
              </w:rPr>
              <w:fldChar w:fldCharType="begin"/>
            </w:r>
            <w:r w:rsidR="00302953">
              <w:rPr>
                <w:noProof/>
                <w:webHidden/>
              </w:rPr>
              <w:instrText xml:space="preserve"> PAGEREF _Toc121496012 \h </w:instrText>
            </w:r>
            <w:r w:rsidR="00302953">
              <w:rPr>
                <w:noProof/>
                <w:webHidden/>
              </w:rPr>
            </w:r>
            <w:r w:rsidR="00302953">
              <w:rPr>
                <w:noProof/>
                <w:webHidden/>
              </w:rPr>
              <w:fldChar w:fldCharType="separate"/>
            </w:r>
            <w:r w:rsidR="00061096">
              <w:rPr>
                <w:noProof/>
                <w:webHidden/>
              </w:rPr>
              <w:t>81</w:t>
            </w:r>
            <w:r w:rsidR="00302953">
              <w:rPr>
                <w:noProof/>
                <w:webHidden/>
              </w:rPr>
              <w:fldChar w:fldCharType="end"/>
            </w:r>
          </w:hyperlink>
        </w:p>
        <w:p w14:paraId="125E94FE" w14:textId="68676FB1" w:rsidR="00302953" w:rsidRDefault="00000000">
          <w:pPr>
            <w:pStyle w:val="TOC4"/>
            <w:tabs>
              <w:tab w:val="left" w:pos="1920"/>
              <w:tab w:val="right" w:leader="dot" w:pos="9350"/>
            </w:tabs>
            <w:rPr>
              <w:rFonts w:asciiTheme="minorHAnsi" w:eastAsiaTheme="minorEastAsia" w:hAnsiTheme="minorHAnsi"/>
              <w:noProof/>
            </w:rPr>
          </w:pPr>
          <w:hyperlink w:anchor="_Toc121496013" w:history="1">
            <w:r w:rsidR="00302953" w:rsidRPr="00941DD8">
              <w:rPr>
                <w:rStyle w:val="Hyperlink"/>
                <w:rFonts w:cs="Times New Roman"/>
                <w:noProof/>
              </w:rPr>
              <w:t>3.3.3.2</w:t>
            </w:r>
            <w:r w:rsidR="00302953">
              <w:rPr>
                <w:rFonts w:asciiTheme="minorHAnsi" w:eastAsiaTheme="minorEastAsia" w:hAnsiTheme="minorHAnsi"/>
                <w:noProof/>
              </w:rPr>
              <w:tab/>
            </w:r>
            <w:r w:rsidR="00302953" w:rsidRPr="00941DD8">
              <w:rPr>
                <w:rStyle w:val="Hyperlink"/>
                <w:rFonts w:cs="Times New Roman"/>
                <w:noProof/>
              </w:rPr>
              <w:t>Dinotefuran</w:t>
            </w:r>
            <w:r w:rsidR="00302953">
              <w:rPr>
                <w:noProof/>
                <w:webHidden/>
              </w:rPr>
              <w:tab/>
            </w:r>
            <w:r w:rsidR="00302953">
              <w:rPr>
                <w:noProof/>
                <w:webHidden/>
              </w:rPr>
              <w:fldChar w:fldCharType="begin"/>
            </w:r>
            <w:r w:rsidR="00302953">
              <w:rPr>
                <w:noProof/>
                <w:webHidden/>
              </w:rPr>
              <w:instrText xml:space="preserve"> PAGEREF _Toc121496013 \h </w:instrText>
            </w:r>
            <w:r w:rsidR="00302953">
              <w:rPr>
                <w:noProof/>
                <w:webHidden/>
              </w:rPr>
            </w:r>
            <w:r w:rsidR="00302953">
              <w:rPr>
                <w:noProof/>
                <w:webHidden/>
              </w:rPr>
              <w:fldChar w:fldCharType="separate"/>
            </w:r>
            <w:r w:rsidR="00061096">
              <w:rPr>
                <w:noProof/>
                <w:webHidden/>
              </w:rPr>
              <w:t>84</w:t>
            </w:r>
            <w:r w:rsidR="00302953">
              <w:rPr>
                <w:noProof/>
                <w:webHidden/>
              </w:rPr>
              <w:fldChar w:fldCharType="end"/>
            </w:r>
          </w:hyperlink>
        </w:p>
        <w:p w14:paraId="51869B3B" w14:textId="78CED1FA" w:rsidR="00302953" w:rsidRDefault="00000000">
          <w:pPr>
            <w:pStyle w:val="TOC4"/>
            <w:tabs>
              <w:tab w:val="left" w:pos="1920"/>
              <w:tab w:val="right" w:leader="dot" w:pos="9350"/>
            </w:tabs>
            <w:rPr>
              <w:rFonts w:asciiTheme="minorHAnsi" w:eastAsiaTheme="minorEastAsia" w:hAnsiTheme="minorHAnsi"/>
              <w:noProof/>
            </w:rPr>
          </w:pPr>
          <w:hyperlink w:anchor="_Toc121496014" w:history="1">
            <w:r w:rsidR="00302953" w:rsidRPr="00941DD8">
              <w:rPr>
                <w:rStyle w:val="Hyperlink"/>
                <w:rFonts w:cs="Times New Roman"/>
                <w:noProof/>
              </w:rPr>
              <w:t>3.3.3.3</w:t>
            </w:r>
            <w:r w:rsidR="00302953">
              <w:rPr>
                <w:rFonts w:asciiTheme="minorHAnsi" w:eastAsiaTheme="minorEastAsia" w:hAnsiTheme="minorHAnsi"/>
                <w:noProof/>
              </w:rPr>
              <w:tab/>
            </w:r>
            <w:r w:rsidR="00302953" w:rsidRPr="00941DD8">
              <w:rPr>
                <w:rStyle w:val="Hyperlink"/>
                <w:rFonts w:cs="Times New Roman"/>
                <w:noProof/>
              </w:rPr>
              <w:t>Imidacloprid</w:t>
            </w:r>
            <w:r w:rsidR="00302953">
              <w:rPr>
                <w:noProof/>
                <w:webHidden/>
              </w:rPr>
              <w:tab/>
            </w:r>
            <w:r w:rsidR="00302953">
              <w:rPr>
                <w:noProof/>
                <w:webHidden/>
              </w:rPr>
              <w:fldChar w:fldCharType="begin"/>
            </w:r>
            <w:r w:rsidR="00302953">
              <w:rPr>
                <w:noProof/>
                <w:webHidden/>
              </w:rPr>
              <w:instrText xml:space="preserve"> PAGEREF _Toc121496014 \h </w:instrText>
            </w:r>
            <w:r w:rsidR="00302953">
              <w:rPr>
                <w:noProof/>
                <w:webHidden/>
              </w:rPr>
            </w:r>
            <w:r w:rsidR="00302953">
              <w:rPr>
                <w:noProof/>
                <w:webHidden/>
              </w:rPr>
              <w:fldChar w:fldCharType="separate"/>
            </w:r>
            <w:r w:rsidR="00061096">
              <w:rPr>
                <w:noProof/>
                <w:webHidden/>
              </w:rPr>
              <w:t>86</w:t>
            </w:r>
            <w:r w:rsidR="00302953">
              <w:rPr>
                <w:noProof/>
                <w:webHidden/>
              </w:rPr>
              <w:fldChar w:fldCharType="end"/>
            </w:r>
          </w:hyperlink>
        </w:p>
        <w:p w14:paraId="33FE00CC" w14:textId="74F55DC1" w:rsidR="00302953" w:rsidRDefault="00000000">
          <w:pPr>
            <w:pStyle w:val="TOC3"/>
            <w:tabs>
              <w:tab w:val="left" w:pos="1440"/>
              <w:tab w:val="right" w:leader="dot" w:pos="9350"/>
            </w:tabs>
            <w:rPr>
              <w:rFonts w:asciiTheme="minorHAnsi" w:eastAsiaTheme="minorEastAsia" w:hAnsiTheme="minorHAnsi"/>
              <w:noProof/>
            </w:rPr>
          </w:pPr>
          <w:hyperlink w:anchor="_Toc121496015" w:history="1">
            <w:r w:rsidR="00302953" w:rsidRPr="00941DD8">
              <w:rPr>
                <w:rStyle w:val="Hyperlink"/>
                <w:rFonts w:cs="Times New Roman"/>
                <w:noProof/>
              </w:rPr>
              <w:t>3.3.4</w:t>
            </w:r>
            <w:r w:rsidR="00302953">
              <w:rPr>
                <w:rFonts w:asciiTheme="minorHAnsi" w:eastAsiaTheme="minorEastAsia" w:hAnsiTheme="minorHAnsi"/>
                <w:noProof/>
              </w:rPr>
              <w:tab/>
            </w:r>
            <w:r w:rsidR="00302953" w:rsidRPr="00941DD8">
              <w:rPr>
                <w:rStyle w:val="Hyperlink"/>
                <w:rFonts w:cs="Times New Roman"/>
                <w:noProof/>
              </w:rPr>
              <w:t>Phosphorus</w:t>
            </w:r>
            <w:r w:rsidR="00302953">
              <w:rPr>
                <w:noProof/>
                <w:webHidden/>
              </w:rPr>
              <w:tab/>
            </w:r>
            <w:r w:rsidR="00302953">
              <w:rPr>
                <w:noProof/>
                <w:webHidden/>
              </w:rPr>
              <w:fldChar w:fldCharType="begin"/>
            </w:r>
            <w:r w:rsidR="00302953">
              <w:rPr>
                <w:noProof/>
                <w:webHidden/>
              </w:rPr>
              <w:instrText xml:space="preserve"> PAGEREF _Toc121496015 \h </w:instrText>
            </w:r>
            <w:r w:rsidR="00302953">
              <w:rPr>
                <w:noProof/>
                <w:webHidden/>
              </w:rPr>
            </w:r>
            <w:r w:rsidR="00302953">
              <w:rPr>
                <w:noProof/>
                <w:webHidden/>
              </w:rPr>
              <w:fldChar w:fldCharType="separate"/>
            </w:r>
            <w:r w:rsidR="00061096">
              <w:rPr>
                <w:noProof/>
                <w:webHidden/>
              </w:rPr>
              <w:t>88</w:t>
            </w:r>
            <w:r w:rsidR="00302953">
              <w:rPr>
                <w:noProof/>
                <w:webHidden/>
              </w:rPr>
              <w:fldChar w:fldCharType="end"/>
            </w:r>
          </w:hyperlink>
        </w:p>
        <w:p w14:paraId="32716E33" w14:textId="0B8605F9" w:rsidR="00302953" w:rsidRDefault="00000000">
          <w:pPr>
            <w:pStyle w:val="TOC2"/>
            <w:tabs>
              <w:tab w:val="left" w:pos="960"/>
              <w:tab w:val="right" w:leader="dot" w:pos="9350"/>
            </w:tabs>
            <w:rPr>
              <w:rFonts w:asciiTheme="minorHAnsi" w:eastAsiaTheme="minorEastAsia" w:hAnsiTheme="minorHAnsi"/>
              <w:noProof/>
            </w:rPr>
          </w:pPr>
          <w:hyperlink w:anchor="_Toc121496016" w:history="1">
            <w:r w:rsidR="00302953" w:rsidRPr="00941DD8">
              <w:rPr>
                <w:rStyle w:val="Hyperlink"/>
                <w:rFonts w:cs="Times New Roman"/>
                <w:noProof/>
              </w:rPr>
              <w:t>3.4</w:t>
            </w:r>
            <w:r w:rsidR="00302953">
              <w:rPr>
                <w:rFonts w:asciiTheme="minorHAnsi" w:eastAsiaTheme="minorEastAsia" w:hAnsiTheme="minorHAnsi"/>
                <w:noProof/>
              </w:rPr>
              <w:tab/>
            </w:r>
            <w:r w:rsidR="00302953" w:rsidRPr="00941DD8">
              <w:rPr>
                <w:rStyle w:val="Hyperlink"/>
                <w:rFonts w:cs="Times New Roman"/>
                <w:noProof/>
              </w:rPr>
              <w:t>Horizontal Columns</w:t>
            </w:r>
            <w:r w:rsidR="00302953">
              <w:rPr>
                <w:noProof/>
                <w:webHidden/>
              </w:rPr>
              <w:tab/>
            </w:r>
            <w:r w:rsidR="00302953">
              <w:rPr>
                <w:noProof/>
                <w:webHidden/>
              </w:rPr>
              <w:fldChar w:fldCharType="begin"/>
            </w:r>
            <w:r w:rsidR="00302953">
              <w:rPr>
                <w:noProof/>
                <w:webHidden/>
              </w:rPr>
              <w:instrText xml:space="preserve"> PAGEREF _Toc121496016 \h </w:instrText>
            </w:r>
            <w:r w:rsidR="00302953">
              <w:rPr>
                <w:noProof/>
                <w:webHidden/>
              </w:rPr>
            </w:r>
            <w:r w:rsidR="00302953">
              <w:rPr>
                <w:noProof/>
                <w:webHidden/>
              </w:rPr>
              <w:fldChar w:fldCharType="separate"/>
            </w:r>
            <w:r w:rsidR="00061096">
              <w:rPr>
                <w:noProof/>
                <w:webHidden/>
              </w:rPr>
              <w:t>90</w:t>
            </w:r>
            <w:r w:rsidR="00302953">
              <w:rPr>
                <w:noProof/>
                <w:webHidden/>
              </w:rPr>
              <w:fldChar w:fldCharType="end"/>
            </w:r>
          </w:hyperlink>
        </w:p>
        <w:p w14:paraId="449D5712" w14:textId="21AA4725" w:rsidR="00302953" w:rsidRDefault="00000000">
          <w:pPr>
            <w:pStyle w:val="TOC3"/>
            <w:tabs>
              <w:tab w:val="left" w:pos="1440"/>
              <w:tab w:val="right" w:leader="dot" w:pos="9350"/>
            </w:tabs>
            <w:rPr>
              <w:rFonts w:asciiTheme="minorHAnsi" w:eastAsiaTheme="minorEastAsia" w:hAnsiTheme="minorHAnsi"/>
              <w:noProof/>
            </w:rPr>
          </w:pPr>
          <w:hyperlink w:anchor="_Toc121496017" w:history="1">
            <w:r w:rsidR="00302953" w:rsidRPr="00941DD8">
              <w:rPr>
                <w:rStyle w:val="Hyperlink"/>
                <w:rFonts w:cs="Times New Roman"/>
                <w:noProof/>
              </w:rPr>
              <w:t>3.4.1</w:t>
            </w:r>
            <w:r w:rsidR="00302953">
              <w:rPr>
                <w:rFonts w:asciiTheme="minorHAnsi" w:eastAsiaTheme="minorEastAsia" w:hAnsiTheme="minorHAnsi"/>
                <w:noProof/>
              </w:rPr>
              <w:tab/>
            </w:r>
            <w:r w:rsidR="00302953" w:rsidRPr="00941DD8">
              <w:rPr>
                <w:rStyle w:val="Hyperlink"/>
                <w:rFonts w:cs="Times New Roman"/>
                <w:noProof/>
              </w:rPr>
              <w:t>General Chemistry</w:t>
            </w:r>
            <w:r w:rsidR="00302953">
              <w:rPr>
                <w:noProof/>
                <w:webHidden/>
              </w:rPr>
              <w:tab/>
            </w:r>
            <w:r w:rsidR="00302953">
              <w:rPr>
                <w:noProof/>
                <w:webHidden/>
              </w:rPr>
              <w:fldChar w:fldCharType="begin"/>
            </w:r>
            <w:r w:rsidR="00302953">
              <w:rPr>
                <w:noProof/>
                <w:webHidden/>
              </w:rPr>
              <w:instrText xml:space="preserve"> PAGEREF _Toc121496017 \h </w:instrText>
            </w:r>
            <w:r w:rsidR="00302953">
              <w:rPr>
                <w:noProof/>
                <w:webHidden/>
              </w:rPr>
            </w:r>
            <w:r w:rsidR="00302953">
              <w:rPr>
                <w:noProof/>
                <w:webHidden/>
              </w:rPr>
              <w:fldChar w:fldCharType="separate"/>
            </w:r>
            <w:r w:rsidR="00061096">
              <w:rPr>
                <w:noProof/>
                <w:webHidden/>
              </w:rPr>
              <w:t>90</w:t>
            </w:r>
            <w:r w:rsidR="00302953">
              <w:rPr>
                <w:noProof/>
                <w:webHidden/>
              </w:rPr>
              <w:fldChar w:fldCharType="end"/>
            </w:r>
          </w:hyperlink>
        </w:p>
        <w:p w14:paraId="63221E63" w14:textId="47268B41" w:rsidR="00302953" w:rsidRDefault="00000000">
          <w:pPr>
            <w:pStyle w:val="TOC3"/>
            <w:tabs>
              <w:tab w:val="left" w:pos="1440"/>
              <w:tab w:val="right" w:leader="dot" w:pos="9350"/>
            </w:tabs>
            <w:rPr>
              <w:rFonts w:asciiTheme="minorHAnsi" w:eastAsiaTheme="minorEastAsia" w:hAnsiTheme="minorHAnsi"/>
              <w:noProof/>
            </w:rPr>
          </w:pPr>
          <w:hyperlink w:anchor="_Toc121496018" w:history="1">
            <w:r w:rsidR="00302953" w:rsidRPr="00941DD8">
              <w:rPr>
                <w:rStyle w:val="Hyperlink"/>
                <w:rFonts w:cs="Times New Roman"/>
                <w:noProof/>
              </w:rPr>
              <w:t>3.4.2</w:t>
            </w:r>
            <w:r w:rsidR="00302953">
              <w:rPr>
                <w:rFonts w:asciiTheme="minorHAnsi" w:eastAsiaTheme="minorEastAsia" w:hAnsiTheme="minorHAnsi"/>
                <w:noProof/>
              </w:rPr>
              <w:tab/>
            </w:r>
            <w:r w:rsidR="00302953" w:rsidRPr="00941DD8">
              <w:rPr>
                <w:rStyle w:val="Hyperlink"/>
                <w:rFonts w:cs="Times New Roman"/>
                <w:noProof/>
              </w:rPr>
              <w:t>Metals</w:t>
            </w:r>
            <w:r w:rsidR="00302953">
              <w:rPr>
                <w:noProof/>
                <w:webHidden/>
              </w:rPr>
              <w:tab/>
            </w:r>
            <w:r w:rsidR="00302953">
              <w:rPr>
                <w:noProof/>
                <w:webHidden/>
              </w:rPr>
              <w:fldChar w:fldCharType="begin"/>
            </w:r>
            <w:r w:rsidR="00302953">
              <w:rPr>
                <w:noProof/>
                <w:webHidden/>
              </w:rPr>
              <w:instrText xml:space="preserve"> PAGEREF _Toc121496018 \h </w:instrText>
            </w:r>
            <w:r w:rsidR="00302953">
              <w:rPr>
                <w:noProof/>
                <w:webHidden/>
              </w:rPr>
            </w:r>
            <w:r w:rsidR="00302953">
              <w:rPr>
                <w:noProof/>
                <w:webHidden/>
              </w:rPr>
              <w:fldChar w:fldCharType="separate"/>
            </w:r>
            <w:r w:rsidR="00061096">
              <w:rPr>
                <w:noProof/>
                <w:webHidden/>
              </w:rPr>
              <w:t>94</w:t>
            </w:r>
            <w:r w:rsidR="00302953">
              <w:rPr>
                <w:noProof/>
                <w:webHidden/>
              </w:rPr>
              <w:fldChar w:fldCharType="end"/>
            </w:r>
          </w:hyperlink>
        </w:p>
        <w:p w14:paraId="2EF4956E" w14:textId="54264BBC" w:rsidR="00302953" w:rsidRDefault="00000000">
          <w:pPr>
            <w:pStyle w:val="TOC4"/>
            <w:tabs>
              <w:tab w:val="left" w:pos="1920"/>
              <w:tab w:val="right" w:leader="dot" w:pos="9350"/>
            </w:tabs>
            <w:rPr>
              <w:rFonts w:asciiTheme="minorHAnsi" w:eastAsiaTheme="minorEastAsia" w:hAnsiTheme="minorHAnsi"/>
              <w:noProof/>
            </w:rPr>
          </w:pPr>
          <w:hyperlink w:anchor="_Toc121496019" w:history="1">
            <w:r w:rsidR="00302953" w:rsidRPr="00941DD8">
              <w:rPr>
                <w:rStyle w:val="Hyperlink"/>
                <w:rFonts w:cs="Times New Roman"/>
                <w:noProof/>
              </w:rPr>
              <w:t>3.4.2.1</w:t>
            </w:r>
            <w:r w:rsidR="00302953">
              <w:rPr>
                <w:rFonts w:asciiTheme="minorHAnsi" w:eastAsiaTheme="minorEastAsia" w:hAnsiTheme="minorHAnsi"/>
                <w:noProof/>
              </w:rPr>
              <w:tab/>
            </w:r>
            <w:r w:rsidR="00302953" w:rsidRPr="00941DD8">
              <w:rPr>
                <w:rStyle w:val="Hyperlink"/>
                <w:rFonts w:cs="Times New Roman"/>
                <w:noProof/>
              </w:rPr>
              <w:t>Arsenic (As)</w:t>
            </w:r>
            <w:r w:rsidR="00302953">
              <w:rPr>
                <w:noProof/>
                <w:webHidden/>
              </w:rPr>
              <w:tab/>
            </w:r>
            <w:r w:rsidR="00302953">
              <w:rPr>
                <w:noProof/>
                <w:webHidden/>
              </w:rPr>
              <w:fldChar w:fldCharType="begin"/>
            </w:r>
            <w:r w:rsidR="00302953">
              <w:rPr>
                <w:noProof/>
                <w:webHidden/>
              </w:rPr>
              <w:instrText xml:space="preserve"> PAGEREF _Toc121496019 \h </w:instrText>
            </w:r>
            <w:r w:rsidR="00302953">
              <w:rPr>
                <w:noProof/>
                <w:webHidden/>
              </w:rPr>
            </w:r>
            <w:r w:rsidR="00302953">
              <w:rPr>
                <w:noProof/>
                <w:webHidden/>
              </w:rPr>
              <w:fldChar w:fldCharType="separate"/>
            </w:r>
            <w:r w:rsidR="00061096">
              <w:rPr>
                <w:noProof/>
                <w:webHidden/>
              </w:rPr>
              <w:t>94</w:t>
            </w:r>
            <w:r w:rsidR="00302953">
              <w:rPr>
                <w:noProof/>
                <w:webHidden/>
              </w:rPr>
              <w:fldChar w:fldCharType="end"/>
            </w:r>
          </w:hyperlink>
        </w:p>
        <w:p w14:paraId="78157227" w14:textId="5BF40565" w:rsidR="00302953" w:rsidRDefault="00000000">
          <w:pPr>
            <w:pStyle w:val="TOC3"/>
            <w:tabs>
              <w:tab w:val="left" w:pos="1440"/>
              <w:tab w:val="right" w:leader="dot" w:pos="9350"/>
            </w:tabs>
            <w:rPr>
              <w:rFonts w:asciiTheme="minorHAnsi" w:eastAsiaTheme="minorEastAsia" w:hAnsiTheme="minorHAnsi"/>
              <w:noProof/>
            </w:rPr>
          </w:pPr>
          <w:hyperlink w:anchor="_Toc121496020" w:history="1">
            <w:r w:rsidR="00302953" w:rsidRPr="00941DD8">
              <w:rPr>
                <w:rStyle w:val="Hyperlink"/>
                <w:rFonts w:cs="Times New Roman"/>
                <w:noProof/>
              </w:rPr>
              <w:t>3.4.3</w:t>
            </w:r>
            <w:r w:rsidR="00302953">
              <w:rPr>
                <w:rFonts w:asciiTheme="minorHAnsi" w:eastAsiaTheme="minorEastAsia" w:hAnsiTheme="minorHAnsi"/>
                <w:noProof/>
              </w:rPr>
              <w:tab/>
            </w:r>
            <w:r w:rsidR="00302953" w:rsidRPr="00941DD8">
              <w:rPr>
                <w:rStyle w:val="Hyperlink"/>
                <w:rFonts w:cs="Times New Roman"/>
                <w:noProof/>
              </w:rPr>
              <w:t>Neonicotinoids</w:t>
            </w:r>
            <w:r w:rsidR="00302953">
              <w:rPr>
                <w:noProof/>
                <w:webHidden/>
              </w:rPr>
              <w:tab/>
            </w:r>
            <w:r w:rsidR="00302953">
              <w:rPr>
                <w:noProof/>
                <w:webHidden/>
              </w:rPr>
              <w:fldChar w:fldCharType="begin"/>
            </w:r>
            <w:r w:rsidR="00302953">
              <w:rPr>
                <w:noProof/>
                <w:webHidden/>
              </w:rPr>
              <w:instrText xml:space="preserve"> PAGEREF _Toc121496020 \h </w:instrText>
            </w:r>
            <w:r w:rsidR="00302953">
              <w:rPr>
                <w:noProof/>
                <w:webHidden/>
              </w:rPr>
            </w:r>
            <w:r w:rsidR="00302953">
              <w:rPr>
                <w:noProof/>
                <w:webHidden/>
              </w:rPr>
              <w:fldChar w:fldCharType="separate"/>
            </w:r>
            <w:r w:rsidR="00061096">
              <w:rPr>
                <w:noProof/>
                <w:webHidden/>
              </w:rPr>
              <w:t>97</w:t>
            </w:r>
            <w:r w:rsidR="00302953">
              <w:rPr>
                <w:noProof/>
                <w:webHidden/>
              </w:rPr>
              <w:fldChar w:fldCharType="end"/>
            </w:r>
          </w:hyperlink>
        </w:p>
        <w:p w14:paraId="69C93029" w14:textId="32D13700" w:rsidR="00302953" w:rsidRDefault="00000000">
          <w:pPr>
            <w:pStyle w:val="TOC3"/>
            <w:tabs>
              <w:tab w:val="left" w:pos="1440"/>
              <w:tab w:val="right" w:leader="dot" w:pos="9350"/>
            </w:tabs>
            <w:rPr>
              <w:rFonts w:asciiTheme="minorHAnsi" w:eastAsiaTheme="minorEastAsia" w:hAnsiTheme="minorHAnsi"/>
              <w:noProof/>
            </w:rPr>
          </w:pPr>
          <w:hyperlink w:anchor="_Toc121496021" w:history="1">
            <w:r w:rsidR="00302953" w:rsidRPr="00941DD8">
              <w:rPr>
                <w:rStyle w:val="Hyperlink"/>
                <w:rFonts w:cs="Times New Roman"/>
                <w:noProof/>
              </w:rPr>
              <w:t>3.4.4</w:t>
            </w:r>
            <w:r w:rsidR="00302953">
              <w:rPr>
                <w:rFonts w:asciiTheme="minorHAnsi" w:eastAsiaTheme="minorEastAsia" w:hAnsiTheme="minorHAnsi"/>
                <w:noProof/>
              </w:rPr>
              <w:tab/>
            </w:r>
            <w:r w:rsidR="00302953" w:rsidRPr="00941DD8">
              <w:rPr>
                <w:rStyle w:val="Hyperlink"/>
                <w:rFonts w:cs="Times New Roman"/>
                <w:noProof/>
              </w:rPr>
              <w:t>Phosphorus (P)</w:t>
            </w:r>
            <w:r w:rsidR="00302953">
              <w:rPr>
                <w:noProof/>
                <w:webHidden/>
              </w:rPr>
              <w:tab/>
            </w:r>
            <w:r w:rsidR="00302953">
              <w:rPr>
                <w:noProof/>
                <w:webHidden/>
              </w:rPr>
              <w:fldChar w:fldCharType="begin"/>
            </w:r>
            <w:r w:rsidR="00302953">
              <w:rPr>
                <w:noProof/>
                <w:webHidden/>
              </w:rPr>
              <w:instrText xml:space="preserve"> PAGEREF _Toc121496021 \h </w:instrText>
            </w:r>
            <w:r w:rsidR="00302953">
              <w:rPr>
                <w:noProof/>
                <w:webHidden/>
              </w:rPr>
            </w:r>
            <w:r w:rsidR="00302953">
              <w:rPr>
                <w:noProof/>
                <w:webHidden/>
              </w:rPr>
              <w:fldChar w:fldCharType="separate"/>
            </w:r>
            <w:r w:rsidR="00061096">
              <w:rPr>
                <w:noProof/>
                <w:webHidden/>
              </w:rPr>
              <w:t>101</w:t>
            </w:r>
            <w:r w:rsidR="00302953">
              <w:rPr>
                <w:noProof/>
                <w:webHidden/>
              </w:rPr>
              <w:fldChar w:fldCharType="end"/>
            </w:r>
          </w:hyperlink>
        </w:p>
        <w:p w14:paraId="6649879C" w14:textId="38ED904F" w:rsidR="00302953" w:rsidRDefault="00000000">
          <w:pPr>
            <w:pStyle w:val="TOC3"/>
            <w:tabs>
              <w:tab w:val="left" w:pos="1440"/>
              <w:tab w:val="right" w:leader="dot" w:pos="9350"/>
            </w:tabs>
            <w:rPr>
              <w:rFonts w:asciiTheme="minorHAnsi" w:eastAsiaTheme="minorEastAsia" w:hAnsiTheme="minorHAnsi"/>
              <w:noProof/>
            </w:rPr>
          </w:pPr>
          <w:hyperlink w:anchor="_Toc121496022" w:history="1">
            <w:r w:rsidR="00302953" w:rsidRPr="00941DD8">
              <w:rPr>
                <w:rStyle w:val="Hyperlink"/>
                <w:rFonts w:cs="Times New Roman"/>
                <w:noProof/>
              </w:rPr>
              <w:t>3.4.5</w:t>
            </w:r>
            <w:r w:rsidR="00302953">
              <w:rPr>
                <w:rFonts w:asciiTheme="minorHAnsi" w:eastAsiaTheme="minorEastAsia" w:hAnsiTheme="minorHAnsi"/>
                <w:noProof/>
              </w:rPr>
              <w:tab/>
            </w:r>
            <w:r w:rsidR="00302953" w:rsidRPr="00941DD8">
              <w:rPr>
                <w:rStyle w:val="Hyperlink"/>
                <w:rFonts w:cs="Times New Roman"/>
                <w:noProof/>
              </w:rPr>
              <w:t>Mass Removal Rate</w:t>
            </w:r>
            <w:r w:rsidR="00302953">
              <w:rPr>
                <w:noProof/>
                <w:webHidden/>
              </w:rPr>
              <w:tab/>
            </w:r>
            <w:r w:rsidR="00302953">
              <w:rPr>
                <w:noProof/>
                <w:webHidden/>
              </w:rPr>
              <w:fldChar w:fldCharType="begin"/>
            </w:r>
            <w:r w:rsidR="00302953">
              <w:rPr>
                <w:noProof/>
                <w:webHidden/>
              </w:rPr>
              <w:instrText xml:space="preserve"> PAGEREF _Toc121496022 \h </w:instrText>
            </w:r>
            <w:r w:rsidR="00302953">
              <w:rPr>
                <w:noProof/>
                <w:webHidden/>
              </w:rPr>
            </w:r>
            <w:r w:rsidR="00302953">
              <w:rPr>
                <w:noProof/>
                <w:webHidden/>
              </w:rPr>
              <w:fldChar w:fldCharType="separate"/>
            </w:r>
            <w:r w:rsidR="00061096">
              <w:rPr>
                <w:noProof/>
                <w:webHidden/>
              </w:rPr>
              <w:t>103</w:t>
            </w:r>
            <w:r w:rsidR="00302953">
              <w:rPr>
                <w:noProof/>
                <w:webHidden/>
              </w:rPr>
              <w:fldChar w:fldCharType="end"/>
            </w:r>
          </w:hyperlink>
        </w:p>
        <w:p w14:paraId="2DE44909" w14:textId="2129B5AA" w:rsidR="00302953" w:rsidRDefault="00000000">
          <w:pPr>
            <w:pStyle w:val="TOC4"/>
            <w:tabs>
              <w:tab w:val="left" w:pos="1920"/>
              <w:tab w:val="right" w:leader="dot" w:pos="9350"/>
            </w:tabs>
            <w:rPr>
              <w:rFonts w:asciiTheme="minorHAnsi" w:eastAsiaTheme="minorEastAsia" w:hAnsiTheme="minorHAnsi"/>
              <w:noProof/>
            </w:rPr>
          </w:pPr>
          <w:hyperlink w:anchor="_Toc121496023" w:history="1">
            <w:r w:rsidR="00302953" w:rsidRPr="00941DD8">
              <w:rPr>
                <w:rStyle w:val="Hyperlink"/>
                <w:rFonts w:cs="Times New Roman"/>
                <w:noProof/>
              </w:rPr>
              <w:t>3.4.5.1</w:t>
            </w:r>
            <w:r w:rsidR="00302953">
              <w:rPr>
                <w:rFonts w:asciiTheme="minorHAnsi" w:eastAsiaTheme="minorEastAsia" w:hAnsiTheme="minorHAnsi"/>
                <w:noProof/>
              </w:rPr>
              <w:tab/>
            </w:r>
            <w:r w:rsidR="00302953" w:rsidRPr="00941DD8">
              <w:rPr>
                <w:rStyle w:val="Hyperlink"/>
                <w:rFonts w:cs="Times New Roman"/>
                <w:noProof/>
              </w:rPr>
              <w:t>Arsenic</w:t>
            </w:r>
            <w:r w:rsidR="00302953">
              <w:rPr>
                <w:noProof/>
                <w:webHidden/>
              </w:rPr>
              <w:tab/>
            </w:r>
            <w:r w:rsidR="00302953">
              <w:rPr>
                <w:noProof/>
                <w:webHidden/>
              </w:rPr>
              <w:fldChar w:fldCharType="begin"/>
            </w:r>
            <w:r w:rsidR="00302953">
              <w:rPr>
                <w:noProof/>
                <w:webHidden/>
              </w:rPr>
              <w:instrText xml:space="preserve"> PAGEREF _Toc121496023 \h </w:instrText>
            </w:r>
            <w:r w:rsidR="00302953">
              <w:rPr>
                <w:noProof/>
                <w:webHidden/>
              </w:rPr>
            </w:r>
            <w:r w:rsidR="00302953">
              <w:rPr>
                <w:noProof/>
                <w:webHidden/>
              </w:rPr>
              <w:fldChar w:fldCharType="separate"/>
            </w:r>
            <w:r w:rsidR="00061096">
              <w:rPr>
                <w:noProof/>
                <w:webHidden/>
              </w:rPr>
              <w:t>103</w:t>
            </w:r>
            <w:r w:rsidR="00302953">
              <w:rPr>
                <w:noProof/>
                <w:webHidden/>
              </w:rPr>
              <w:fldChar w:fldCharType="end"/>
            </w:r>
          </w:hyperlink>
        </w:p>
        <w:p w14:paraId="29D29E2F" w14:textId="02D41C08" w:rsidR="00302953" w:rsidRDefault="00000000">
          <w:pPr>
            <w:pStyle w:val="TOC4"/>
            <w:tabs>
              <w:tab w:val="left" w:pos="1920"/>
              <w:tab w:val="right" w:leader="dot" w:pos="9350"/>
            </w:tabs>
            <w:rPr>
              <w:rFonts w:asciiTheme="minorHAnsi" w:eastAsiaTheme="minorEastAsia" w:hAnsiTheme="minorHAnsi"/>
              <w:noProof/>
            </w:rPr>
          </w:pPr>
          <w:hyperlink w:anchor="_Toc121496024" w:history="1">
            <w:r w:rsidR="00302953" w:rsidRPr="00941DD8">
              <w:rPr>
                <w:rStyle w:val="Hyperlink"/>
                <w:rFonts w:cs="Times New Roman"/>
                <w:noProof/>
              </w:rPr>
              <w:t>3.4.5.2</w:t>
            </w:r>
            <w:r w:rsidR="00302953">
              <w:rPr>
                <w:rFonts w:asciiTheme="minorHAnsi" w:eastAsiaTheme="minorEastAsia" w:hAnsiTheme="minorHAnsi"/>
                <w:noProof/>
              </w:rPr>
              <w:tab/>
            </w:r>
            <w:r w:rsidR="00302953" w:rsidRPr="00941DD8">
              <w:rPr>
                <w:rStyle w:val="Hyperlink"/>
                <w:rFonts w:cs="Times New Roman"/>
                <w:noProof/>
              </w:rPr>
              <w:t>Phosphorus</w:t>
            </w:r>
            <w:r w:rsidR="00302953">
              <w:rPr>
                <w:noProof/>
                <w:webHidden/>
              </w:rPr>
              <w:tab/>
            </w:r>
            <w:r w:rsidR="00302953">
              <w:rPr>
                <w:noProof/>
                <w:webHidden/>
              </w:rPr>
              <w:fldChar w:fldCharType="begin"/>
            </w:r>
            <w:r w:rsidR="00302953">
              <w:rPr>
                <w:noProof/>
                <w:webHidden/>
              </w:rPr>
              <w:instrText xml:space="preserve"> PAGEREF _Toc121496024 \h </w:instrText>
            </w:r>
            <w:r w:rsidR="00302953">
              <w:rPr>
                <w:noProof/>
                <w:webHidden/>
              </w:rPr>
            </w:r>
            <w:r w:rsidR="00302953">
              <w:rPr>
                <w:noProof/>
                <w:webHidden/>
              </w:rPr>
              <w:fldChar w:fldCharType="separate"/>
            </w:r>
            <w:r w:rsidR="00061096">
              <w:rPr>
                <w:noProof/>
                <w:webHidden/>
              </w:rPr>
              <w:t>109</w:t>
            </w:r>
            <w:r w:rsidR="00302953">
              <w:rPr>
                <w:noProof/>
                <w:webHidden/>
              </w:rPr>
              <w:fldChar w:fldCharType="end"/>
            </w:r>
          </w:hyperlink>
        </w:p>
        <w:p w14:paraId="100B4898" w14:textId="3559A194" w:rsidR="00302953" w:rsidRDefault="00000000">
          <w:pPr>
            <w:pStyle w:val="TOC1"/>
            <w:tabs>
              <w:tab w:val="left" w:pos="480"/>
              <w:tab w:val="right" w:leader="dot" w:pos="9350"/>
            </w:tabs>
            <w:rPr>
              <w:rFonts w:asciiTheme="minorHAnsi" w:eastAsiaTheme="minorEastAsia" w:hAnsiTheme="minorHAnsi"/>
              <w:noProof/>
            </w:rPr>
          </w:pPr>
          <w:hyperlink w:anchor="_Toc121496025" w:history="1">
            <w:r w:rsidR="00302953" w:rsidRPr="00941DD8">
              <w:rPr>
                <w:rStyle w:val="Hyperlink"/>
                <w:rFonts w:cs="Times New Roman"/>
                <w:noProof/>
              </w:rPr>
              <w:t>4</w:t>
            </w:r>
            <w:r w:rsidR="00302953">
              <w:rPr>
                <w:rFonts w:asciiTheme="minorHAnsi" w:eastAsiaTheme="minorEastAsia" w:hAnsiTheme="minorHAnsi"/>
                <w:noProof/>
              </w:rPr>
              <w:tab/>
            </w:r>
            <w:r w:rsidR="00302953" w:rsidRPr="00941DD8">
              <w:rPr>
                <w:rStyle w:val="Hyperlink"/>
                <w:rFonts w:cs="Times New Roman"/>
                <w:noProof/>
              </w:rPr>
              <w:t>Discussion</w:t>
            </w:r>
            <w:r w:rsidR="00302953">
              <w:rPr>
                <w:noProof/>
                <w:webHidden/>
              </w:rPr>
              <w:tab/>
            </w:r>
            <w:r w:rsidR="00302953">
              <w:rPr>
                <w:noProof/>
                <w:webHidden/>
              </w:rPr>
              <w:fldChar w:fldCharType="begin"/>
            </w:r>
            <w:r w:rsidR="00302953">
              <w:rPr>
                <w:noProof/>
                <w:webHidden/>
              </w:rPr>
              <w:instrText xml:space="preserve"> PAGEREF _Toc121496025 \h </w:instrText>
            </w:r>
            <w:r w:rsidR="00302953">
              <w:rPr>
                <w:noProof/>
                <w:webHidden/>
              </w:rPr>
            </w:r>
            <w:r w:rsidR="00302953">
              <w:rPr>
                <w:noProof/>
                <w:webHidden/>
              </w:rPr>
              <w:fldChar w:fldCharType="separate"/>
            </w:r>
            <w:r w:rsidR="00061096">
              <w:rPr>
                <w:noProof/>
                <w:webHidden/>
              </w:rPr>
              <w:t>115</w:t>
            </w:r>
            <w:r w:rsidR="00302953">
              <w:rPr>
                <w:noProof/>
                <w:webHidden/>
              </w:rPr>
              <w:fldChar w:fldCharType="end"/>
            </w:r>
          </w:hyperlink>
        </w:p>
        <w:p w14:paraId="1BECA8B1" w14:textId="55721F05" w:rsidR="00302953" w:rsidRDefault="00000000">
          <w:pPr>
            <w:pStyle w:val="TOC2"/>
            <w:tabs>
              <w:tab w:val="left" w:pos="960"/>
              <w:tab w:val="right" w:leader="dot" w:pos="9350"/>
            </w:tabs>
            <w:rPr>
              <w:rFonts w:asciiTheme="minorHAnsi" w:eastAsiaTheme="minorEastAsia" w:hAnsiTheme="minorHAnsi"/>
              <w:noProof/>
            </w:rPr>
          </w:pPr>
          <w:hyperlink w:anchor="_Toc121496026" w:history="1">
            <w:r w:rsidR="00302953" w:rsidRPr="00941DD8">
              <w:rPr>
                <w:rStyle w:val="Hyperlink"/>
                <w:rFonts w:cs="Times New Roman"/>
                <w:noProof/>
              </w:rPr>
              <w:t>4.1</w:t>
            </w:r>
            <w:r w:rsidR="00302953">
              <w:rPr>
                <w:rFonts w:asciiTheme="minorHAnsi" w:eastAsiaTheme="minorEastAsia" w:hAnsiTheme="minorHAnsi"/>
                <w:noProof/>
              </w:rPr>
              <w:tab/>
            </w:r>
            <w:r w:rsidR="00302953" w:rsidRPr="00941DD8">
              <w:rPr>
                <w:rStyle w:val="Hyperlink"/>
                <w:rFonts w:cs="Times New Roman"/>
                <w:noProof/>
              </w:rPr>
              <w:t>Media Dissolution Impacts on pH and Specific Conductivity</w:t>
            </w:r>
            <w:r w:rsidR="00302953">
              <w:rPr>
                <w:noProof/>
                <w:webHidden/>
              </w:rPr>
              <w:tab/>
            </w:r>
            <w:r w:rsidR="00302953">
              <w:rPr>
                <w:noProof/>
                <w:webHidden/>
              </w:rPr>
              <w:fldChar w:fldCharType="begin"/>
            </w:r>
            <w:r w:rsidR="00302953">
              <w:rPr>
                <w:noProof/>
                <w:webHidden/>
              </w:rPr>
              <w:instrText xml:space="preserve"> PAGEREF _Toc121496026 \h </w:instrText>
            </w:r>
            <w:r w:rsidR="00302953">
              <w:rPr>
                <w:noProof/>
                <w:webHidden/>
              </w:rPr>
            </w:r>
            <w:r w:rsidR="00302953">
              <w:rPr>
                <w:noProof/>
                <w:webHidden/>
              </w:rPr>
              <w:fldChar w:fldCharType="separate"/>
            </w:r>
            <w:r w:rsidR="00061096">
              <w:rPr>
                <w:noProof/>
                <w:webHidden/>
              </w:rPr>
              <w:t>115</w:t>
            </w:r>
            <w:r w:rsidR="00302953">
              <w:rPr>
                <w:noProof/>
                <w:webHidden/>
              </w:rPr>
              <w:fldChar w:fldCharType="end"/>
            </w:r>
          </w:hyperlink>
        </w:p>
        <w:p w14:paraId="61104DFD" w14:textId="6AF6B9F6" w:rsidR="00302953" w:rsidRDefault="00000000">
          <w:pPr>
            <w:pStyle w:val="TOC2"/>
            <w:tabs>
              <w:tab w:val="left" w:pos="960"/>
              <w:tab w:val="right" w:leader="dot" w:pos="9350"/>
            </w:tabs>
            <w:rPr>
              <w:rFonts w:asciiTheme="minorHAnsi" w:eastAsiaTheme="minorEastAsia" w:hAnsiTheme="minorHAnsi"/>
              <w:noProof/>
            </w:rPr>
          </w:pPr>
          <w:hyperlink w:anchor="_Toc121496027" w:history="1">
            <w:r w:rsidR="00302953" w:rsidRPr="00941DD8">
              <w:rPr>
                <w:rStyle w:val="Hyperlink"/>
                <w:rFonts w:cs="Times New Roman"/>
                <w:noProof/>
              </w:rPr>
              <w:t>4.2</w:t>
            </w:r>
            <w:r w:rsidR="00302953">
              <w:rPr>
                <w:rFonts w:asciiTheme="minorHAnsi" w:eastAsiaTheme="minorEastAsia" w:hAnsiTheme="minorHAnsi"/>
                <w:noProof/>
              </w:rPr>
              <w:tab/>
            </w:r>
            <w:r w:rsidR="00302953" w:rsidRPr="00941DD8">
              <w:rPr>
                <w:rStyle w:val="Hyperlink"/>
                <w:rFonts w:cs="Times New Roman"/>
                <w:noProof/>
              </w:rPr>
              <w:t>Leaching</w:t>
            </w:r>
            <w:r w:rsidR="00302953">
              <w:rPr>
                <w:noProof/>
                <w:webHidden/>
              </w:rPr>
              <w:tab/>
            </w:r>
            <w:r w:rsidR="00302953">
              <w:rPr>
                <w:noProof/>
                <w:webHidden/>
              </w:rPr>
              <w:fldChar w:fldCharType="begin"/>
            </w:r>
            <w:r w:rsidR="00302953">
              <w:rPr>
                <w:noProof/>
                <w:webHidden/>
              </w:rPr>
              <w:instrText xml:space="preserve"> PAGEREF _Toc121496027 \h </w:instrText>
            </w:r>
            <w:r w:rsidR="00302953">
              <w:rPr>
                <w:noProof/>
                <w:webHidden/>
              </w:rPr>
            </w:r>
            <w:r w:rsidR="00302953">
              <w:rPr>
                <w:noProof/>
                <w:webHidden/>
              </w:rPr>
              <w:fldChar w:fldCharType="separate"/>
            </w:r>
            <w:r w:rsidR="00061096">
              <w:rPr>
                <w:noProof/>
                <w:webHidden/>
              </w:rPr>
              <w:t>116</w:t>
            </w:r>
            <w:r w:rsidR="00302953">
              <w:rPr>
                <w:noProof/>
                <w:webHidden/>
              </w:rPr>
              <w:fldChar w:fldCharType="end"/>
            </w:r>
          </w:hyperlink>
        </w:p>
        <w:p w14:paraId="498CCBE2" w14:textId="0A6BD309" w:rsidR="00302953" w:rsidRDefault="00000000">
          <w:pPr>
            <w:pStyle w:val="TOC2"/>
            <w:tabs>
              <w:tab w:val="left" w:pos="960"/>
              <w:tab w:val="right" w:leader="dot" w:pos="9350"/>
            </w:tabs>
            <w:rPr>
              <w:rFonts w:asciiTheme="minorHAnsi" w:eastAsiaTheme="minorEastAsia" w:hAnsiTheme="minorHAnsi"/>
              <w:noProof/>
            </w:rPr>
          </w:pPr>
          <w:hyperlink w:anchor="_Toc121496028" w:history="1">
            <w:r w:rsidR="00302953" w:rsidRPr="00941DD8">
              <w:rPr>
                <w:rStyle w:val="Hyperlink"/>
                <w:rFonts w:cs="Times New Roman"/>
                <w:noProof/>
              </w:rPr>
              <w:t>4.3</w:t>
            </w:r>
            <w:r w:rsidR="00302953">
              <w:rPr>
                <w:rFonts w:asciiTheme="minorHAnsi" w:eastAsiaTheme="minorEastAsia" w:hAnsiTheme="minorHAnsi"/>
                <w:noProof/>
              </w:rPr>
              <w:tab/>
            </w:r>
            <w:r w:rsidR="00302953" w:rsidRPr="00941DD8">
              <w:rPr>
                <w:rStyle w:val="Hyperlink"/>
                <w:rFonts w:cs="Times New Roman"/>
                <w:noProof/>
              </w:rPr>
              <w:t>Below Detection Limits (BDLs) and Control-Experimental Separation</w:t>
            </w:r>
            <w:r w:rsidR="00302953">
              <w:rPr>
                <w:noProof/>
                <w:webHidden/>
              </w:rPr>
              <w:tab/>
            </w:r>
            <w:r w:rsidR="00302953">
              <w:rPr>
                <w:noProof/>
                <w:webHidden/>
              </w:rPr>
              <w:fldChar w:fldCharType="begin"/>
            </w:r>
            <w:r w:rsidR="00302953">
              <w:rPr>
                <w:noProof/>
                <w:webHidden/>
              </w:rPr>
              <w:instrText xml:space="preserve"> PAGEREF _Toc121496028 \h </w:instrText>
            </w:r>
            <w:r w:rsidR="00302953">
              <w:rPr>
                <w:noProof/>
                <w:webHidden/>
              </w:rPr>
            </w:r>
            <w:r w:rsidR="00302953">
              <w:rPr>
                <w:noProof/>
                <w:webHidden/>
              </w:rPr>
              <w:fldChar w:fldCharType="separate"/>
            </w:r>
            <w:r w:rsidR="00061096">
              <w:rPr>
                <w:noProof/>
                <w:webHidden/>
              </w:rPr>
              <w:t>117</w:t>
            </w:r>
            <w:r w:rsidR="00302953">
              <w:rPr>
                <w:noProof/>
                <w:webHidden/>
              </w:rPr>
              <w:fldChar w:fldCharType="end"/>
            </w:r>
          </w:hyperlink>
        </w:p>
        <w:p w14:paraId="3976894C" w14:textId="39732F78" w:rsidR="00302953" w:rsidRDefault="00000000">
          <w:pPr>
            <w:pStyle w:val="TOC2"/>
            <w:tabs>
              <w:tab w:val="left" w:pos="960"/>
              <w:tab w:val="right" w:leader="dot" w:pos="9350"/>
            </w:tabs>
            <w:rPr>
              <w:rFonts w:asciiTheme="minorHAnsi" w:eastAsiaTheme="minorEastAsia" w:hAnsiTheme="minorHAnsi"/>
              <w:noProof/>
            </w:rPr>
          </w:pPr>
          <w:hyperlink w:anchor="_Toc121496029" w:history="1">
            <w:r w:rsidR="00302953" w:rsidRPr="00941DD8">
              <w:rPr>
                <w:rStyle w:val="Hyperlink"/>
                <w:rFonts w:cs="Times New Roman"/>
                <w:noProof/>
              </w:rPr>
              <w:t>4.4</w:t>
            </w:r>
            <w:r w:rsidR="00302953">
              <w:rPr>
                <w:rFonts w:asciiTheme="minorHAnsi" w:eastAsiaTheme="minorEastAsia" w:hAnsiTheme="minorHAnsi"/>
                <w:noProof/>
              </w:rPr>
              <w:tab/>
            </w:r>
            <w:r w:rsidR="00302953" w:rsidRPr="00941DD8">
              <w:rPr>
                <w:rStyle w:val="Hyperlink"/>
                <w:rFonts w:cs="Times New Roman"/>
                <w:noProof/>
              </w:rPr>
              <w:t>Metals</w:t>
            </w:r>
            <w:r w:rsidR="00302953">
              <w:rPr>
                <w:noProof/>
                <w:webHidden/>
              </w:rPr>
              <w:tab/>
            </w:r>
            <w:r w:rsidR="00302953">
              <w:rPr>
                <w:noProof/>
                <w:webHidden/>
              </w:rPr>
              <w:fldChar w:fldCharType="begin"/>
            </w:r>
            <w:r w:rsidR="00302953">
              <w:rPr>
                <w:noProof/>
                <w:webHidden/>
              </w:rPr>
              <w:instrText xml:space="preserve"> PAGEREF _Toc121496029 \h </w:instrText>
            </w:r>
            <w:r w:rsidR="00302953">
              <w:rPr>
                <w:noProof/>
                <w:webHidden/>
              </w:rPr>
            </w:r>
            <w:r w:rsidR="00302953">
              <w:rPr>
                <w:noProof/>
                <w:webHidden/>
              </w:rPr>
              <w:fldChar w:fldCharType="separate"/>
            </w:r>
            <w:r w:rsidR="00061096">
              <w:rPr>
                <w:noProof/>
                <w:webHidden/>
              </w:rPr>
              <w:t>118</w:t>
            </w:r>
            <w:r w:rsidR="00302953">
              <w:rPr>
                <w:noProof/>
                <w:webHidden/>
              </w:rPr>
              <w:fldChar w:fldCharType="end"/>
            </w:r>
          </w:hyperlink>
        </w:p>
        <w:p w14:paraId="137E0D8A" w14:textId="3BCD41A1" w:rsidR="00302953" w:rsidRDefault="00000000">
          <w:pPr>
            <w:pStyle w:val="TOC2"/>
            <w:tabs>
              <w:tab w:val="left" w:pos="960"/>
              <w:tab w:val="right" w:leader="dot" w:pos="9350"/>
            </w:tabs>
            <w:rPr>
              <w:rFonts w:asciiTheme="minorHAnsi" w:eastAsiaTheme="minorEastAsia" w:hAnsiTheme="minorHAnsi"/>
              <w:noProof/>
            </w:rPr>
          </w:pPr>
          <w:hyperlink w:anchor="_Toc121496030" w:history="1">
            <w:r w:rsidR="00302953" w:rsidRPr="00941DD8">
              <w:rPr>
                <w:rStyle w:val="Hyperlink"/>
                <w:rFonts w:cs="Times New Roman"/>
                <w:noProof/>
              </w:rPr>
              <w:t>4.5</w:t>
            </w:r>
            <w:r w:rsidR="00302953">
              <w:rPr>
                <w:rFonts w:asciiTheme="minorHAnsi" w:eastAsiaTheme="minorEastAsia" w:hAnsiTheme="minorHAnsi"/>
                <w:noProof/>
              </w:rPr>
              <w:tab/>
            </w:r>
            <w:r w:rsidR="00302953" w:rsidRPr="00941DD8">
              <w:rPr>
                <w:rStyle w:val="Hyperlink"/>
                <w:rFonts w:cs="Times New Roman"/>
                <w:noProof/>
              </w:rPr>
              <w:t>Phosphorus</w:t>
            </w:r>
            <w:r w:rsidR="00302953">
              <w:rPr>
                <w:noProof/>
                <w:webHidden/>
              </w:rPr>
              <w:tab/>
            </w:r>
            <w:r w:rsidR="00302953">
              <w:rPr>
                <w:noProof/>
                <w:webHidden/>
              </w:rPr>
              <w:fldChar w:fldCharType="begin"/>
            </w:r>
            <w:r w:rsidR="00302953">
              <w:rPr>
                <w:noProof/>
                <w:webHidden/>
              </w:rPr>
              <w:instrText xml:space="preserve"> PAGEREF _Toc121496030 \h </w:instrText>
            </w:r>
            <w:r w:rsidR="00302953">
              <w:rPr>
                <w:noProof/>
                <w:webHidden/>
              </w:rPr>
            </w:r>
            <w:r w:rsidR="00302953">
              <w:rPr>
                <w:noProof/>
                <w:webHidden/>
              </w:rPr>
              <w:fldChar w:fldCharType="separate"/>
            </w:r>
            <w:r w:rsidR="00061096">
              <w:rPr>
                <w:noProof/>
                <w:webHidden/>
              </w:rPr>
              <w:t>121</w:t>
            </w:r>
            <w:r w:rsidR="00302953">
              <w:rPr>
                <w:noProof/>
                <w:webHidden/>
              </w:rPr>
              <w:fldChar w:fldCharType="end"/>
            </w:r>
          </w:hyperlink>
        </w:p>
        <w:p w14:paraId="65DA344F" w14:textId="723652C3" w:rsidR="00302953" w:rsidRDefault="00000000">
          <w:pPr>
            <w:pStyle w:val="TOC2"/>
            <w:tabs>
              <w:tab w:val="left" w:pos="960"/>
              <w:tab w:val="right" w:leader="dot" w:pos="9350"/>
            </w:tabs>
            <w:rPr>
              <w:rFonts w:asciiTheme="minorHAnsi" w:eastAsiaTheme="minorEastAsia" w:hAnsiTheme="minorHAnsi"/>
              <w:noProof/>
            </w:rPr>
          </w:pPr>
          <w:hyperlink w:anchor="_Toc121496031" w:history="1">
            <w:r w:rsidR="00302953" w:rsidRPr="00941DD8">
              <w:rPr>
                <w:rStyle w:val="Hyperlink"/>
                <w:rFonts w:cs="Times New Roman"/>
                <w:noProof/>
              </w:rPr>
              <w:t>4.6</w:t>
            </w:r>
            <w:r w:rsidR="00302953">
              <w:rPr>
                <w:rFonts w:asciiTheme="minorHAnsi" w:eastAsiaTheme="minorEastAsia" w:hAnsiTheme="minorHAnsi"/>
                <w:noProof/>
              </w:rPr>
              <w:tab/>
            </w:r>
            <w:r w:rsidR="00302953" w:rsidRPr="00941DD8">
              <w:rPr>
                <w:rStyle w:val="Hyperlink"/>
                <w:rFonts w:cs="Times New Roman"/>
                <w:noProof/>
              </w:rPr>
              <w:t>Neonicotinoids</w:t>
            </w:r>
            <w:r w:rsidR="00302953">
              <w:rPr>
                <w:noProof/>
                <w:webHidden/>
              </w:rPr>
              <w:tab/>
            </w:r>
            <w:r w:rsidR="00302953">
              <w:rPr>
                <w:noProof/>
                <w:webHidden/>
              </w:rPr>
              <w:fldChar w:fldCharType="begin"/>
            </w:r>
            <w:r w:rsidR="00302953">
              <w:rPr>
                <w:noProof/>
                <w:webHidden/>
              </w:rPr>
              <w:instrText xml:space="preserve"> PAGEREF _Toc121496031 \h </w:instrText>
            </w:r>
            <w:r w:rsidR="00302953">
              <w:rPr>
                <w:noProof/>
                <w:webHidden/>
              </w:rPr>
            </w:r>
            <w:r w:rsidR="00302953">
              <w:rPr>
                <w:noProof/>
                <w:webHidden/>
              </w:rPr>
              <w:fldChar w:fldCharType="separate"/>
            </w:r>
            <w:r w:rsidR="00061096">
              <w:rPr>
                <w:noProof/>
                <w:webHidden/>
              </w:rPr>
              <w:t>122</w:t>
            </w:r>
            <w:r w:rsidR="00302953">
              <w:rPr>
                <w:noProof/>
                <w:webHidden/>
              </w:rPr>
              <w:fldChar w:fldCharType="end"/>
            </w:r>
          </w:hyperlink>
        </w:p>
        <w:p w14:paraId="7F1597FB" w14:textId="2F4899FE" w:rsidR="00302953" w:rsidRDefault="00000000">
          <w:pPr>
            <w:pStyle w:val="TOC2"/>
            <w:tabs>
              <w:tab w:val="left" w:pos="960"/>
              <w:tab w:val="right" w:leader="dot" w:pos="9350"/>
            </w:tabs>
            <w:rPr>
              <w:rFonts w:asciiTheme="minorHAnsi" w:eastAsiaTheme="minorEastAsia" w:hAnsiTheme="minorHAnsi"/>
              <w:noProof/>
            </w:rPr>
          </w:pPr>
          <w:hyperlink w:anchor="_Toc121496032" w:history="1">
            <w:r w:rsidR="00302953" w:rsidRPr="00941DD8">
              <w:rPr>
                <w:rStyle w:val="Hyperlink"/>
                <w:rFonts w:cs="Times New Roman"/>
                <w:noProof/>
              </w:rPr>
              <w:t>4.7</w:t>
            </w:r>
            <w:r w:rsidR="00302953">
              <w:rPr>
                <w:rFonts w:asciiTheme="minorHAnsi" w:eastAsiaTheme="minorEastAsia" w:hAnsiTheme="minorHAnsi"/>
                <w:noProof/>
              </w:rPr>
              <w:tab/>
            </w:r>
            <w:r w:rsidR="00302953" w:rsidRPr="00941DD8">
              <w:rPr>
                <w:rStyle w:val="Hyperlink"/>
                <w:rFonts w:cs="Times New Roman"/>
                <w:noProof/>
              </w:rPr>
              <w:t>Mass Removal Rate</w:t>
            </w:r>
            <w:r w:rsidR="00302953">
              <w:rPr>
                <w:noProof/>
                <w:webHidden/>
              </w:rPr>
              <w:tab/>
            </w:r>
            <w:r w:rsidR="00302953">
              <w:rPr>
                <w:noProof/>
                <w:webHidden/>
              </w:rPr>
              <w:fldChar w:fldCharType="begin"/>
            </w:r>
            <w:r w:rsidR="00302953">
              <w:rPr>
                <w:noProof/>
                <w:webHidden/>
              </w:rPr>
              <w:instrText xml:space="preserve"> PAGEREF _Toc121496032 \h </w:instrText>
            </w:r>
            <w:r w:rsidR="00302953">
              <w:rPr>
                <w:noProof/>
                <w:webHidden/>
              </w:rPr>
            </w:r>
            <w:r w:rsidR="00302953">
              <w:rPr>
                <w:noProof/>
                <w:webHidden/>
              </w:rPr>
              <w:fldChar w:fldCharType="separate"/>
            </w:r>
            <w:r w:rsidR="00061096">
              <w:rPr>
                <w:noProof/>
                <w:webHidden/>
              </w:rPr>
              <w:t>124</w:t>
            </w:r>
            <w:r w:rsidR="00302953">
              <w:rPr>
                <w:noProof/>
                <w:webHidden/>
              </w:rPr>
              <w:fldChar w:fldCharType="end"/>
            </w:r>
          </w:hyperlink>
        </w:p>
        <w:p w14:paraId="7A747DDA" w14:textId="6B1BEEE3" w:rsidR="00302953" w:rsidRDefault="00000000">
          <w:pPr>
            <w:pStyle w:val="TOC1"/>
            <w:tabs>
              <w:tab w:val="left" w:pos="480"/>
              <w:tab w:val="right" w:leader="dot" w:pos="9350"/>
            </w:tabs>
            <w:rPr>
              <w:rFonts w:asciiTheme="minorHAnsi" w:eastAsiaTheme="minorEastAsia" w:hAnsiTheme="minorHAnsi"/>
              <w:noProof/>
            </w:rPr>
          </w:pPr>
          <w:hyperlink w:anchor="_Toc121496033" w:history="1">
            <w:r w:rsidR="00302953" w:rsidRPr="00941DD8">
              <w:rPr>
                <w:rStyle w:val="Hyperlink"/>
                <w:rFonts w:cs="Times New Roman"/>
                <w:noProof/>
              </w:rPr>
              <w:t>5</w:t>
            </w:r>
            <w:r w:rsidR="00302953">
              <w:rPr>
                <w:rFonts w:asciiTheme="minorHAnsi" w:eastAsiaTheme="minorEastAsia" w:hAnsiTheme="minorHAnsi"/>
                <w:noProof/>
              </w:rPr>
              <w:tab/>
            </w:r>
            <w:r w:rsidR="00302953" w:rsidRPr="00941DD8">
              <w:rPr>
                <w:rStyle w:val="Hyperlink"/>
                <w:rFonts w:cs="Times New Roman"/>
                <w:noProof/>
              </w:rPr>
              <w:t>Considerations</w:t>
            </w:r>
            <w:r w:rsidR="00302953">
              <w:rPr>
                <w:noProof/>
                <w:webHidden/>
              </w:rPr>
              <w:tab/>
            </w:r>
            <w:r w:rsidR="00302953">
              <w:rPr>
                <w:noProof/>
                <w:webHidden/>
              </w:rPr>
              <w:fldChar w:fldCharType="begin"/>
            </w:r>
            <w:r w:rsidR="00302953">
              <w:rPr>
                <w:noProof/>
                <w:webHidden/>
              </w:rPr>
              <w:instrText xml:space="preserve"> PAGEREF _Toc121496033 \h </w:instrText>
            </w:r>
            <w:r w:rsidR="00302953">
              <w:rPr>
                <w:noProof/>
                <w:webHidden/>
              </w:rPr>
            </w:r>
            <w:r w:rsidR="00302953">
              <w:rPr>
                <w:noProof/>
                <w:webHidden/>
              </w:rPr>
              <w:fldChar w:fldCharType="separate"/>
            </w:r>
            <w:r w:rsidR="00061096">
              <w:rPr>
                <w:noProof/>
                <w:webHidden/>
              </w:rPr>
              <w:t>127</w:t>
            </w:r>
            <w:r w:rsidR="00302953">
              <w:rPr>
                <w:noProof/>
                <w:webHidden/>
              </w:rPr>
              <w:fldChar w:fldCharType="end"/>
            </w:r>
          </w:hyperlink>
        </w:p>
        <w:p w14:paraId="620D1632" w14:textId="3BED4C88" w:rsidR="00302953" w:rsidRDefault="00000000">
          <w:pPr>
            <w:pStyle w:val="TOC2"/>
            <w:tabs>
              <w:tab w:val="left" w:pos="960"/>
              <w:tab w:val="right" w:leader="dot" w:pos="9350"/>
            </w:tabs>
            <w:rPr>
              <w:rFonts w:asciiTheme="minorHAnsi" w:eastAsiaTheme="minorEastAsia" w:hAnsiTheme="minorHAnsi"/>
              <w:noProof/>
            </w:rPr>
          </w:pPr>
          <w:hyperlink w:anchor="_Toc121496034" w:history="1">
            <w:r w:rsidR="00302953" w:rsidRPr="00941DD8">
              <w:rPr>
                <w:rStyle w:val="Hyperlink"/>
                <w:rFonts w:cs="Times New Roman"/>
                <w:noProof/>
              </w:rPr>
              <w:t>5.1</w:t>
            </w:r>
            <w:r w:rsidR="00302953">
              <w:rPr>
                <w:rFonts w:asciiTheme="minorHAnsi" w:eastAsiaTheme="minorEastAsia" w:hAnsiTheme="minorHAnsi"/>
                <w:noProof/>
              </w:rPr>
              <w:tab/>
            </w:r>
            <w:r w:rsidR="00302953" w:rsidRPr="00941DD8">
              <w:rPr>
                <w:rStyle w:val="Hyperlink"/>
                <w:rFonts w:cs="Times New Roman"/>
                <w:noProof/>
              </w:rPr>
              <w:t>Gompertz Function and Influent-Effluent Graphs</w:t>
            </w:r>
            <w:r w:rsidR="00302953">
              <w:rPr>
                <w:noProof/>
                <w:webHidden/>
              </w:rPr>
              <w:tab/>
            </w:r>
            <w:r w:rsidR="00302953">
              <w:rPr>
                <w:noProof/>
                <w:webHidden/>
              </w:rPr>
              <w:fldChar w:fldCharType="begin"/>
            </w:r>
            <w:r w:rsidR="00302953">
              <w:rPr>
                <w:noProof/>
                <w:webHidden/>
              </w:rPr>
              <w:instrText xml:space="preserve"> PAGEREF _Toc121496034 \h </w:instrText>
            </w:r>
            <w:r w:rsidR="00302953">
              <w:rPr>
                <w:noProof/>
                <w:webHidden/>
              </w:rPr>
            </w:r>
            <w:r w:rsidR="00302953">
              <w:rPr>
                <w:noProof/>
                <w:webHidden/>
              </w:rPr>
              <w:fldChar w:fldCharType="separate"/>
            </w:r>
            <w:r w:rsidR="00061096">
              <w:rPr>
                <w:noProof/>
                <w:webHidden/>
              </w:rPr>
              <w:t>127</w:t>
            </w:r>
            <w:r w:rsidR="00302953">
              <w:rPr>
                <w:noProof/>
                <w:webHidden/>
              </w:rPr>
              <w:fldChar w:fldCharType="end"/>
            </w:r>
          </w:hyperlink>
        </w:p>
        <w:p w14:paraId="2B195BB3" w14:textId="56578911" w:rsidR="00302953" w:rsidRDefault="00000000">
          <w:pPr>
            <w:pStyle w:val="TOC2"/>
            <w:tabs>
              <w:tab w:val="left" w:pos="960"/>
              <w:tab w:val="right" w:leader="dot" w:pos="9350"/>
            </w:tabs>
            <w:rPr>
              <w:rFonts w:asciiTheme="minorHAnsi" w:eastAsiaTheme="minorEastAsia" w:hAnsiTheme="minorHAnsi"/>
              <w:noProof/>
            </w:rPr>
          </w:pPr>
          <w:hyperlink w:anchor="_Toc121496035" w:history="1">
            <w:r w:rsidR="00302953" w:rsidRPr="00941DD8">
              <w:rPr>
                <w:rStyle w:val="Hyperlink"/>
                <w:rFonts w:cs="Times New Roman"/>
                <w:noProof/>
              </w:rPr>
              <w:t>5.2</w:t>
            </w:r>
            <w:r w:rsidR="00302953">
              <w:rPr>
                <w:rFonts w:asciiTheme="minorHAnsi" w:eastAsiaTheme="minorEastAsia" w:hAnsiTheme="minorHAnsi"/>
                <w:noProof/>
              </w:rPr>
              <w:tab/>
            </w:r>
            <w:r w:rsidR="00302953" w:rsidRPr="00941DD8">
              <w:rPr>
                <w:rStyle w:val="Hyperlink"/>
                <w:rFonts w:cs="Times New Roman"/>
                <w:noProof/>
              </w:rPr>
              <w:t>Study Design: Proof of Concept</w:t>
            </w:r>
            <w:r w:rsidR="00302953">
              <w:rPr>
                <w:noProof/>
                <w:webHidden/>
              </w:rPr>
              <w:tab/>
            </w:r>
            <w:r w:rsidR="00302953">
              <w:rPr>
                <w:noProof/>
                <w:webHidden/>
              </w:rPr>
              <w:fldChar w:fldCharType="begin"/>
            </w:r>
            <w:r w:rsidR="00302953">
              <w:rPr>
                <w:noProof/>
                <w:webHidden/>
              </w:rPr>
              <w:instrText xml:space="preserve"> PAGEREF _Toc121496035 \h </w:instrText>
            </w:r>
            <w:r w:rsidR="00302953">
              <w:rPr>
                <w:noProof/>
                <w:webHidden/>
              </w:rPr>
            </w:r>
            <w:r w:rsidR="00302953">
              <w:rPr>
                <w:noProof/>
                <w:webHidden/>
              </w:rPr>
              <w:fldChar w:fldCharType="separate"/>
            </w:r>
            <w:r w:rsidR="00061096">
              <w:rPr>
                <w:noProof/>
                <w:webHidden/>
              </w:rPr>
              <w:t>129</w:t>
            </w:r>
            <w:r w:rsidR="00302953">
              <w:rPr>
                <w:noProof/>
                <w:webHidden/>
              </w:rPr>
              <w:fldChar w:fldCharType="end"/>
            </w:r>
          </w:hyperlink>
        </w:p>
        <w:p w14:paraId="06DFAC36" w14:textId="5DD0C5C8" w:rsidR="00302953" w:rsidRDefault="00000000">
          <w:pPr>
            <w:pStyle w:val="TOC2"/>
            <w:tabs>
              <w:tab w:val="left" w:pos="960"/>
              <w:tab w:val="right" w:leader="dot" w:pos="9350"/>
            </w:tabs>
            <w:rPr>
              <w:rFonts w:asciiTheme="minorHAnsi" w:eastAsiaTheme="minorEastAsia" w:hAnsiTheme="minorHAnsi"/>
              <w:noProof/>
            </w:rPr>
          </w:pPr>
          <w:hyperlink w:anchor="_Toc121496036" w:history="1">
            <w:r w:rsidR="00302953" w:rsidRPr="00941DD8">
              <w:rPr>
                <w:rStyle w:val="Hyperlink"/>
                <w:rFonts w:cs="Times New Roman"/>
                <w:noProof/>
              </w:rPr>
              <w:t>5.3</w:t>
            </w:r>
            <w:r w:rsidR="00302953">
              <w:rPr>
                <w:rFonts w:asciiTheme="minorHAnsi" w:eastAsiaTheme="minorEastAsia" w:hAnsiTheme="minorHAnsi"/>
                <w:noProof/>
              </w:rPr>
              <w:tab/>
            </w:r>
            <w:r w:rsidR="00302953" w:rsidRPr="00941DD8">
              <w:rPr>
                <w:rStyle w:val="Hyperlink"/>
                <w:rFonts w:cs="Times New Roman"/>
                <w:noProof/>
              </w:rPr>
              <w:t>Environmental Safety Considerations</w:t>
            </w:r>
            <w:r w:rsidR="00302953">
              <w:rPr>
                <w:noProof/>
                <w:webHidden/>
              </w:rPr>
              <w:tab/>
            </w:r>
            <w:r w:rsidR="00302953">
              <w:rPr>
                <w:noProof/>
                <w:webHidden/>
              </w:rPr>
              <w:fldChar w:fldCharType="begin"/>
            </w:r>
            <w:r w:rsidR="00302953">
              <w:rPr>
                <w:noProof/>
                <w:webHidden/>
              </w:rPr>
              <w:instrText xml:space="preserve"> PAGEREF _Toc121496036 \h </w:instrText>
            </w:r>
            <w:r w:rsidR="00302953">
              <w:rPr>
                <w:noProof/>
                <w:webHidden/>
              </w:rPr>
            </w:r>
            <w:r w:rsidR="00302953">
              <w:rPr>
                <w:noProof/>
                <w:webHidden/>
              </w:rPr>
              <w:fldChar w:fldCharType="separate"/>
            </w:r>
            <w:r w:rsidR="00061096">
              <w:rPr>
                <w:noProof/>
                <w:webHidden/>
              </w:rPr>
              <w:t>130</w:t>
            </w:r>
            <w:r w:rsidR="00302953">
              <w:rPr>
                <w:noProof/>
                <w:webHidden/>
              </w:rPr>
              <w:fldChar w:fldCharType="end"/>
            </w:r>
          </w:hyperlink>
        </w:p>
        <w:p w14:paraId="4DDE4059" w14:textId="1ED61B87" w:rsidR="00302953" w:rsidRDefault="00000000">
          <w:pPr>
            <w:pStyle w:val="TOC1"/>
            <w:tabs>
              <w:tab w:val="left" w:pos="480"/>
              <w:tab w:val="right" w:leader="dot" w:pos="9350"/>
            </w:tabs>
            <w:rPr>
              <w:rFonts w:asciiTheme="minorHAnsi" w:eastAsiaTheme="minorEastAsia" w:hAnsiTheme="minorHAnsi"/>
              <w:noProof/>
            </w:rPr>
          </w:pPr>
          <w:hyperlink w:anchor="_Toc121496037" w:history="1">
            <w:r w:rsidR="00302953" w:rsidRPr="00941DD8">
              <w:rPr>
                <w:rStyle w:val="Hyperlink"/>
                <w:rFonts w:cs="Times New Roman"/>
                <w:noProof/>
              </w:rPr>
              <w:t>6</w:t>
            </w:r>
            <w:r w:rsidR="00302953">
              <w:rPr>
                <w:rFonts w:asciiTheme="minorHAnsi" w:eastAsiaTheme="minorEastAsia" w:hAnsiTheme="minorHAnsi"/>
                <w:noProof/>
              </w:rPr>
              <w:tab/>
            </w:r>
            <w:r w:rsidR="00302953" w:rsidRPr="00941DD8">
              <w:rPr>
                <w:rStyle w:val="Hyperlink"/>
                <w:rFonts w:cs="Times New Roman"/>
                <w:noProof/>
              </w:rPr>
              <w:t>Future Studies</w:t>
            </w:r>
            <w:r w:rsidR="00302953">
              <w:rPr>
                <w:noProof/>
                <w:webHidden/>
              </w:rPr>
              <w:tab/>
            </w:r>
            <w:r w:rsidR="00302953">
              <w:rPr>
                <w:noProof/>
                <w:webHidden/>
              </w:rPr>
              <w:fldChar w:fldCharType="begin"/>
            </w:r>
            <w:r w:rsidR="00302953">
              <w:rPr>
                <w:noProof/>
                <w:webHidden/>
              </w:rPr>
              <w:instrText xml:space="preserve"> PAGEREF _Toc121496037 \h </w:instrText>
            </w:r>
            <w:r w:rsidR="00302953">
              <w:rPr>
                <w:noProof/>
                <w:webHidden/>
              </w:rPr>
            </w:r>
            <w:r w:rsidR="00302953">
              <w:rPr>
                <w:noProof/>
                <w:webHidden/>
              </w:rPr>
              <w:fldChar w:fldCharType="separate"/>
            </w:r>
            <w:r w:rsidR="00061096">
              <w:rPr>
                <w:noProof/>
                <w:webHidden/>
              </w:rPr>
              <w:t>132</w:t>
            </w:r>
            <w:r w:rsidR="00302953">
              <w:rPr>
                <w:noProof/>
                <w:webHidden/>
              </w:rPr>
              <w:fldChar w:fldCharType="end"/>
            </w:r>
          </w:hyperlink>
        </w:p>
        <w:p w14:paraId="62578107" w14:textId="4AA8789F" w:rsidR="00302953" w:rsidRDefault="00000000">
          <w:pPr>
            <w:pStyle w:val="TOC1"/>
            <w:tabs>
              <w:tab w:val="left" w:pos="480"/>
              <w:tab w:val="right" w:leader="dot" w:pos="9350"/>
            </w:tabs>
            <w:rPr>
              <w:rFonts w:asciiTheme="minorHAnsi" w:eastAsiaTheme="minorEastAsia" w:hAnsiTheme="minorHAnsi"/>
              <w:noProof/>
            </w:rPr>
          </w:pPr>
          <w:hyperlink w:anchor="_Toc121496038" w:history="1">
            <w:r w:rsidR="00302953" w:rsidRPr="00941DD8">
              <w:rPr>
                <w:rStyle w:val="Hyperlink"/>
                <w:rFonts w:cs="Times New Roman"/>
                <w:noProof/>
              </w:rPr>
              <w:t>7</w:t>
            </w:r>
            <w:r w:rsidR="00302953">
              <w:rPr>
                <w:rFonts w:asciiTheme="minorHAnsi" w:eastAsiaTheme="minorEastAsia" w:hAnsiTheme="minorHAnsi"/>
                <w:noProof/>
              </w:rPr>
              <w:tab/>
            </w:r>
            <w:r w:rsidR="00302953" w:rsidRPr="00941DD8">
              <w:rPr>
                <w:rStyle w:val="Hyperlink"/>
                <w:rFonts w:cs="Times New Roman"/>
                <w:noProof/>
              </w:rPr>
              <w:t>Conclusions</w:t>
            </w:r>
            <w:r w:rsidR="00302953">
              <w:rPr>
                <w:noProof/>
                <w:webHidden/>
              </w:rPr>
              <w:tab/>
            </w:r>
            <w:r w:rsidR="00302953">
              <w:rPr>
                <w:noProof/>
                <w:webHidden/>
              </w:rPr>
              <w:fldChar w:fldCharType="begin"/>
            </w:r>
            <w:r w:rsidR="00302953">
              <w:rPr>
                <w:noProof/>
                <w:webHidden/>
              </w:rPr>
              <w:instrText xml:space="preserve"> PAGEREF _Toc121496038 \h </w:instrText>
            </w:r>
            <w:r w:rsidR="00302953">
              <w:rPr>
                <w:noProof/>
                <w:webHidden/>
              </w:rPr>
            </w:r>
            <w:r w:rsidR="00302953">
              <w:rPr>
                <w:noProof/>
                <w:webHidden/>
              </w:rPr>
              <w:fldChar w:fldCharType="separate"/>
            </w:r>
            <w:r w:rsidR="00061096">
              <w:rPr>
                <w:noProof/>
                <w:webHidden/>
              </w:rPr>
              <w:t>134</w:t>
            </w:r>
            <w:r w:rsidR="00302953">
              <w:rPr>
                <w:noProof/>
                <w:webHidden/>
              </w:rPr>
              <w:fldChar w:fldCharType="end"/>
            </w:r>
          </w:hyperlink>
        </w:p>
        <w:p w14:paraId="51FDDC8F" w14:textId="6EEF0308" w:rsidR="00302953" w:rsidRDefault="00000000">
          <w:pPr>
            <w:pStyle w:val="TOC1"/>
            <w:tabs>
              <w:tab w:val="left" w:pos="480"/>
              <w:tab w:val="right" w:leader="dot" w:pos="9350"/>
            </w:tabs>
            <w:rPr>
              <w:rFonts w:asciiTheme="minorHAnsi" w:eastAsiaTheme="minorEastAsia" w:hAnsiTheme="minorHAnsi"/>
              <w:noProof/>
            </w:rPr>
          </w:pPr>
          <w:hyperlink w:anchor="_Toc121496039" w:history="1">
            <w:r w:rsidR="00302953" w:rsidRPr="00941DD8">
              <w:rPr>
                <w:rStyle w:val="Hyperlink"/>
                <w:rFonts w:cs="Times New Roman"/>
                <w:noProof/>
              </w:rPr>
              <w:t>8</w:t>
            </w:r>
            <w:r w:rsidR="00302953">
              <w:rPr>
                <w:rFonts w:asciiTheme="minorHAnsi" w:eastAsiaTheme="minorEastAsia" w:hAnsiTheme="minorHAnsi"/>
                <w:noProof/>
              </w:rPr>
              <w:tab/>
            </w:r>
            <w:r w:rsidR="00302953" w:rsidRPr="00941DD8">
              <w:rPr>
                <w:rStyle w:val="Hyperlink"/>
                <w:rFonts w:cs="Times New Roman"/>
                <w:noProof/>
              </w:rPr>
              <w:t>Acknowledgements</w:t>
            </w:r>
            <w:r w:rsidR="00302953">
              <w:rPr>
                <w:noProof/>
                <w:webHidden/>
              </w:rPr>
              <w:tab/>
            </w:r>
            <w:r w:rsidR="00302953">
              <w:rPr>
                <w:noProof/>
                <w:webHidden/>
              </w:rPr>
              <w:fldChar w:fldCharType="begin"/>
            </w:r>
            <w:r w:rsidR="00302953">
              <w:rPr>
                <w:noProof/>
                <w:webHidden/>
              </w:rPr>
              <w:instrText xml:space="preserve"> PAGEREF _Toc121496039 \h </w:instrText>
            </w:r>
            <w:r w:rsidR="00302953">
              <w:rPr>
                <w:noProof/>
                <w:webHidden/>
              </w:rPr>
            </w:r>
            <w:r w:rsidR="00302953">
              <w:rPr>
                <w:noProof/>
                <w:webHidden/>
              </w:rPr>
              <w:fldChar w:fldCharType="separate"/>
            </w:r>
            <w:r w:rsidR="00061096">
              <w:rPr>
                <w:noProof/>
                <w:webHidden/>
              </w:rPr>
              <w:t>137</w:t>
            </w:r>
            <w:r w:rsidR="00302953">
              <w:rPr>
                <w:noProof/>
                <w:webHidden/>
              </w:rPr>
              <w:fldChar w:fldCharType="end"/>
            </w:r>
          </w:hyperlink>
        </w:p>
        <w:p w14:paraId="13032CD3" w14:textId="52A6D437" w:rsidR="00302953" w:rsidRDefault="00000000">
          <w:pPr>
            <w:pStyle w:val="TOC1"/>
            <w:tabs>
              <w:tab w:val="left" w:pos="480"/>
              <w:tab w:val="right" w:leader="dot" w:pos="9350"/>
            </w:tabs>
            <w:rPr>
              <w:rFonts w:asciiTheme="minorHAnsi" w:eastAsiaTheme="minorEastAsia" w:hAnsiTheme="minorHAnsi"/>
              <w:noProof/>
            </w:rPr>
          </w:pPr>
          <w:hyperlink w:anchor="_Toc121496040" w:history="1">
            <w:r w:rsidR="00302953" w:rsidRPr="00941DD8">
              <w:rPr>
                <w:rStyle w:val="Hyperlink"/>
                <w:rFonts w:cs="Times New Roman"/>
                <w:noProof/>
              </w:rPr>
              <w:t>9</w:t>
            </w:r>
            <w:r w:rsidR="00302953">
              <w:rPr>
                <w:rFonts w:asciiTheme="minorHAnsi" w:eastAsiaTheme="minorEastAsia" w:hAnsiTheme="minorHAnsi"/>
                <w:noProof/>
              </w:rPr>
              <w:tab/>
            </w:r>
            <w:r w:rsidR="00302953" w:rsidRPr="00941DD8">
              <w:rPr>
                <w:rStyle w:val="Hyperlink"/>
                <w:rFonts w:cs="Times New Roman"/>
                <w:noProof/>
              </w:rPr>
              <w:t>Sources</w:t>
            </w:r>
            <w:r w:rsidR="00302953">
              <w:rPr>
                <w:noProof/>
                <w:webHidden/>
              </w:rPr>
              <w:tab/>
            </w:r>
            <w:r w:rsidR="00302953">
              <w:rPr>
                <w:noProof/>
                <w:webHidden/>
              </w:rPr>
              <w:fldChar w:fldCharType="begin"/>
            </w:r>
            <w:r w:rsidR="00302953">
              <w:rPr>
                <w:noProof/>
                <w:webHidden/>
              </w:rPr>
              <w:instrText xml:space="preserve"> PAGEREF _Toc121496040 \h </w:instrText>
            </w:r>
            <w:r w:rsidR="00302953">
              <w:rPr>
                <w:noProof/>
                <w:webHidden/>
              </w:rPr>
            </w:r>
            <w:r w:rsidR="00302953">
              <w:rPr>
                <w:noProof/>
                <w:webHidden/>
              </w:rPr>
              <w:fldChar w:fldCharType="separate"/>
            </w:r>
            <w:r w:rsidR="00061096">
              <w:rPr>
                <w:noProof/>
                <w:webHidden/>
              </w:rPr>
              <w:t>138</w:t>
            </w:r>
            <w:r w:rsidR="00302953">
              <w:rPr>
                <w:noProof/>
                <w:webHidden/>
              </w:rPr>
              <w:fldChar w:fldCharType="end"/>
            </w:r>
          </w:hyperlink>
        </w:p>
        <w:p w14:paraId="7BDB4A14" w14:textId="525ACF72" w:rsidR="00302953" w:rsidRDefault="00000000">
          <w:pPr>
            <w:pStyle w:val="TOC1"/>
            <w:tabs>
              <w:tab w:val="left" w:pos="720"/>
              <w:tab w:val="right" w:leader="dot" w:pos="9350"/>
            </w:tabs>
            <w:rPr>
              <w:rFonts w:asciiTheme="minorHAnsi" w:eastAsiaTheme="minorEastAsia" w:hAnsiTheme="minorHAnsi"/>
              <w:noProof/>
            </w:rPr>
          </w:pPr>
          <w:hyperlink w:anchor="_Toc121496041" w:history="1">
            <w:r w:rsidR="00302953" w:rsidRPr="00941DD8">
              <w:rPr>
                <w:rStyle w:val="Hyperlink"/>
                <w:noProof/>
              </w:rPr>
              <w:t>10</w:t>
            </w:r>
            <w:r w:rsidR="00302953">
              <w:rPr>
                <w:rFonts w:asciiTheme="minorHAnsi" w:eastAsiaTheme="minorEastAsia" w:hAnsiTheme="minorHAnsi"/>
                <w:noProof/>
              </w:rPr>
              <w:tab/>
            </w:r>
            <w:r w:rsidR="00302953" w:rsidRPr="00941DD8">
              <w:rPr>
                <w:rStyle w:val="Hyperlink"/>
                <w:noProof/>
              </w:rPr>
              <w:t>Appendix</w:t>
            </w:r>
            <w:r w:rsidR="00302953">
              <w:rPr>
                <w:noProof/>
                <w:webHidden/>
              </w:rPr>
              <w:tab/>
            </w:r>
            <w:r w:rsidR="00302953">
              <w:rPr>
                <w:noProof/>
                <w:webHidden/>
              </w:rPr>
              <w:fldChar w:fldCharType="begin"/>
            </w:r>
            <w:r w:rsidR="00302953">
              <w:rPr>
                <w:noProof/>
                <w:webHidden/>
              </w:rPr>
              <w:instrText xml:space="preserve"> PAGEREF _Toc121496041 \h </w:instrText>
            </w:r>
            <w:r w:rsidR="00302953">
              <w:rPr>
                <w:noProof/>
                <w:webHidden/>
              </w:rPr>
            </w:r>
            <w:r w:rsidR="00302953">
              <w:rPr>
                <w:noProof/>
                <w:webHidden/>
              </w:rPr>
              <w:fldChar w:fldCharType="separate"/>
            </w:r>
            <w:r w:rsidR="00061096">
              <w:rPr>
                <w:noProof/>
                <w:webHidden/>
              </w:rPr>
              <w:t>162</w:t>
            </w:r>
            <w:r w:rsidR="00302953">
              <w:rPr>
                <w:noProof/>
                <w:webHidden/>
              </w:rPr>
              <w:fldChar w:fldCharType="end"/>
            </w:r>
          </w:hyperlink>
        </w:p>
        <w:p w14:paraId="43C1B944" w14:textId="26B5E0A5" w:rsidR="00F4109F" w:rsidRPr="00770477" w:rsidRDefault="00674FD1">
          <w:pPr>
            <w:rPr>
              <w:rFonts w:cs="Times New Roman"/>
            </w:rPr>
          </w:pPr>
          <w:r>
            <w:rPr>
              <w:rFonts w:cs="Times New Roman"/>
            </w:rPr>
            <w:fldChar w:fldCharType="end"/>
          </w:r>
        </w:p>
      </w:sdtContent>
    </w:sdt>
    <w:p w14:paraId="44933257" w14:textId="4305BCCD" w:rsidR="007C5101" w:rsidRPr="00770477" w:rsidRDefault="007C5101">
      <w:pPr>
        <w:spacing w:line="240" w:lineRule="auto"/>
        <w:rPr>
          <w:rFonts w:cs="Times New Roman"/>
        </w:rPr>
      </w:pPr>
      <w:r w:rsidRPr="00770477">
        <w:rPr>
          <w:rFonts w:cs="Times New Roman"/>
        </w:rPr>
        <w:br w:type="page"/>
      </w:r>
    </w:p>
    <w:p w14:paraId="362AAD5C" w14:textId="134937E2" w:rsidR="00F4109F" w:rsidRPr="00770477" w:rsidRDefault="000904EB">
      <w:pPr>
        <w:pStyle w:val="TableofFigures"/>
        <w:tabs>
          <w:tab w:val="right" w:leader="dot" w:pos="9350"/>
        </w:tabs>
        <w:rPr>
          <w:rFonts w:cs="Times New Roman"/>
          <w:color w:val="4472C4" w:themeColor="accent1"/>
          <w:sz w:val="32"/>
          <w:szCs w:val="32"/>
        </w:rPr>
      </w:pPr>
      <w:r w:rsidRPr="00770477">
        <w:rPr>
          <w:rFonts w:cs="Times New Roman"/>
          <w:color w:val="4472C4" w:themeColor="accent1"/>
          <w:sz w:val="32"/>
          <w:szCs w:val="32"/>
        </w:rPr>
        <w:lastRenderedPageBreak/>
        <w:t>Table of Figures</w:t>
      </w:r>
    </w:p>
    <w:p w14:paraId="61EF6F10" w14:textId="42FE1DD8" w:rsidR="0048531E" w:rsidRDefault="00F4109F">
      <w:pPr>
        <w:pStyle w:val="TableofFigures"/>
        <w:tabs>
          <w:tab w:val="right" w:leader="dot" w:pos="9350"/>
        </w:tabs>
        <w:rPr>
          <w:rFonts w:asciiTheme="minorHAnsi" w:eastAsiaTheme="minorEastAsia" w:hAnsiTheme="minorHAnsi"/>
          <w:noProof/>
        </w:rPr>
      </w:pPr>
      <w:r w:rsidRPr="00770477">
        <w:rPr>
          <w:rFonts w:cs="Times New Roman"/>
        </w:rPr>
        <w:fldChar w:fldCharType="begin"/>
      </w:r>
      <w:r w:rsidRPr="00770477">
        <w:rPr>
          <w:rFonts w:cs="Times New Roman"/>
        </w:rPr>
        <w:instrText xml:space="preserve"> TOC \h \z \c "Figure" </w:instrText>
      </w:r>
      <w:r w:rsidRPr="00770477">
        <w:rPr>
          <w:rFonts w:cs="Times New Roman"/>
        </w:rPr>
        <w:fldChar w:fldCharType="separate"/>
      </w:r>
      <w:hyperlink r:id="rId10" w:anchor="_Toc121489494" w:history="1">
        <w:r w:rsidR="0048531E" w:rsidRPr="004173CB">
          <w:rPr>
            <w:rStyle w:val="Hyperlink"/>
            <w:noProof/>
          </w:rPr>
          <w:t>Figure 3</w:t>
        </w:r>
        <w:r w:rsidR="0048531E" w:rsidRPr="004173CB">
          <w:rPr>
            <w:rStyle w:val="Hyperlink"/>
            <w:noProof/>
          </w:rPr>
          <w:noBreakHyphen/>
          <w:t>1 Photograph of vertical column setup. Pictured from left to right is the sample bottles (collection point), vertical columns containing the media of interest, the peristaltic pumps, and the synthetic stormwater influent tank.</w:t>
        </w:r>
        <w:r w:rsidR="0048531E">
          <w:rPr>
            <w:noProof/>
            <w:webHidden/>
          </w:rPr>
          <w:tab/>
        </w:r>
        <w:r w:rsidR="0048531E">
          <w:rPr>
            <w:noProof/>
            <w:webHidden/>
          </w:rPr>
          <w:fldChar w:fldCharType="begin"/>
        </w:r>
        <w:r w:rsidR="0048531E">
          <w:rPr>
            <w:noProof/>
            <w:webHidden/>
          </w:rPr>
          <w:instrText xml:space="preserve"> PAGEREF _Toc121489494 \h </w:instrText>
        </w:r>
        <w:r w:rsidR="0048531E">
          <w:rPr>
            <w:noProof/>
            <w:webHidden/>
          </w:rPr>
        </w:r>
        <w:r w:rsidR="0048531E">
          <w:rPr>
            <w:noProof/>
            <w:webHidden/>
          </w:rPr>
          <w:fldChar w:fldCharType="separate"/>
        </w:r>
        <w:r w:rsidR="00061096">
          <w:rPr>
            <w:noProof/>
            <w:webHidden/>
          </w:rPr>
          <w:t>49</w:t>
        </w:r>
        <w:r w:rsidR="0048531E">
          <w:rPr>
            <w:noProof/>
            <w:webHidden/>
          </w:rPr>
          <w:fldChar w:fldCharType="end"/>
        </w:r>
      </w:hyperlink>
    </w:p>
    <w:p w14:paraId="3984A370" w14:textId="0ADA6D52" w:rsidR="0048531E" w:rsidRDefault="00000000">
      <w:pPr>
        <w:pStyle w:val="TableofFigures"/>
        <w:tabs>
          <w:tab w:val="right" w:leader="dot" w:pos="9350"/>
        </w:tabs>
        <w:rPr>
          <w:rFonts w:asciiTheme="minorHAnsi" w:eastAsiaTheme="minorEastAsia" w:hAnsiTheme="minorHAnsi"/>
          <w:noProof/>
        </w:rPr>
      </w:pPr>
      <w:hyperlink r:id="rId11" w:anchor="_Toc121489495" w:history="1">
        <w:r w:rsidR="0048531E" w:rsidRPr="004173CB">
          <w:rPr>
            <w:rStyle w:val="Hyperlink"/>
            <w:noProof/>
          </w:rPr>
          <w:t>Figure 3</w:t>
        </w:r>
        <w:r w:rsidR="0048531E" w:rsidRPr="004173CB">
          <w:rPr>
            <w:rStyle w:val="Hyperlink"/>
            <w:noProof/>
          </w:rPr>
          <w:noBreakHyphen/>
          <w:t>2 Photograph of the horizontal column setup. Pictured from left to right are the experimental columns, peristaltic pumps, and the synthetic stormwater influent tank. Experimental columns each demonstrate 6 inches of ponding in the upper portion of the vertical tube followed by 12 inches of bioretention simulation sand, a 90 degree elbow, 12 inches of a media packed tube, and lastly a cap with a 1/16 inch orifice outlet.</w:t>
        </w:r>
        <w:r w:rsidR="0048531E">
          <w:rPr>
            <w:noProof/>
            <w:webHidden/>
          </w:rPr>
          <w:tab/>
        </w:r>
        <w:r w:rsidR="0048531E">
          <w:rPr>
            <w:noProof/>
            <w:webHidden/>
          </w:rPr>
          <w:fldChar w:fldCharType="begin"/>
        </w:r>
        <w:r w:rsidR="0048531E">
          <w:rPr>
            <w:noProof/>
            <w:webHidden/>
          </w:rPr>
          <w:instrText xml:space="preserve"> PAGEREF _Toc121489495 \h </w:instrText>
        </w:r>
        <w:r w:rsidR="0048531E">
          <w:rPr>
            <w:noProof/>
            <w:webHidden/>
          </w:rPr>
        </w:r>
        <w:r w:rsidR="0048531E">
          <w:rPr>
            <w:noProof/>
            <w:webHidden/>
          </w:rPr>
          <w:fldChar w:fldCharType="separate"/>
        </w:r>
        <w:r w:rsidR="00061096">
          <w:rPr>
            <w:noProof/>
            <w:webHidden/>
          </w:rPr>
          <w:t>51</w:t>
        </w:r>
        <w:r w:rsidR="0048531E">
          <w:rPr>
            <w:noProof/>
            <w:webHidden/>
          </w:rPr>
          <w:fldChar w:fldCharType="end"/>
        </w:r>
      </w:hyperlink>
    </w:p>
    <w:p w14:paraId="307EC55F" w14:textId="43BCFFDC" w:rsidR="0048531E" w:rsidRDefault="00000000">
      <w:pPr>
        <w:pStyle w:val="TableofFigures"/>
        <w:tabs>
          <w:tab w:val="right" w:leader="dot" w:pos="9350"/>
        </w:tabs>
        <w:rPr>
          <w:rFonts w:asciiTheme="minorHAnsi" w:eastAsiaTheme="minorEastAsia" w:hAnsiTheme="minorHAnsi"/>
          <w:noProof/>
        </w:rPr>
      </w:pPr>
      <w:hyperlink r:id="rId12" w:anchor="_Toc121489496" w:history="1">
        <w:r w:rsidR="0048531E" w:rsidRPr="004173CB">
          <w:rPr>
            <w:rStyle w:val="Hyperlink"/>
            <w:noProof/>
          </w:rPr>
          <w:t>Figure 4</w:t>
        </w:r>
        <w:r w:rsidR="0048531E" w:rsidRPr="004173CB">
          <w:rPr>
            <w:rStyle w:val="Hyperlink"/>
            <w:noProof/>
          </w:rPr>
          <w:noBreakHyphen/>
          <w:t>1  Influent pH in vertical column experiments</w:t>
        </w:r>
        <w:r w:rsidR="0048531E">
          <w:rPr>
            <w:noProof/>
            <w:webHidden/>
          </w:rPr>
          <w:tab/>
        </w:r>
        <w:r w:rsidR="0048531E">
          <w:rPr>
            <w:noProof/>
            <w:webHidden/>
          </w:rPr>
          <w:fldChar w:fldCharType="begin"/>
        </w:r>
        <w:r w:rsidR="0048531E">
          <w:rPr>
            <w:noProof/>
            <w:webHidden/>
          </w:rPr>
          <w:instrText xml:space="preserve"> PAGEREF _Toc121489496 \h </w:instrText>
        </w:r>
        <w:r w:rsidR="0048531E">
          <w:rPr>
            <w:noProof/>
            <w:webHidden/>
          </w:rPr>
        </w:r>
        <w:r w:rsidR="0048531E">
          <w:rPr>
            <w:noProof/>
            <w:webHidden/>
          </w:rPr>
          <w:fldChar w:fldCharType="separate"/>
        </w:r>
        <w:r w:rsidR="00061096">
          <w:rPr>
            <w:noProof/>
            <w:webHidden/>
          </w:rPr>
          <w:t>64</w:t>
        </w:r>
        <w:r w:rsidR="0048531E">
          <w:rPr>
            <w:noProof/>
            <w:webHidden/>
          </w:rPr>
          <w:fldChar w:fldCharType="end"/>
        </w:r>
      </w:hyperlink>
    </w:p>
    <w:p w14:paraId="0A66A482" w14:textId="3DF84B7B" w:rsidR="0048531E" w:rsidRDefault="00000000">
      <w:pPr>
        <w:pStyle w:val="TableofFigures"/>
        <w:tabs>
          <w:tab w:val="right" w:leader="dot" w:pos="9350"/>
        </w:tabs>
        <w:rPr>
          <w:rFonts w:asciiTheme="minorHAnsi" w:eastAsiaTheme="minorEastAsia" w:hAnsiTheme="minorHAnsi"/>
          <w:noProof/>
        </w:rPr>
      </w:pPr>
      <w:hyperlink r:id="rId13" w:anchor="_Toc121489497" w:history="1">
        <w:r w:rsidR="0048531E" w:rsidRPr="004173CB">
          <w:rPr>
            <w:rStyle w:val="Hyperlink"/>
            <w:noProof/>
          </w:rPr>
          <w:t>Figure 4</w:t>
        </w:r>
        <w:r w:rsidR="0048531E" w:rsidRPr="004173CB">
          <w:rPr>
            <w:rStyle w:val="Hyperlink"/>
            <w:noProof/>
          </w:rPr>
          <w:noBreakHyphen/>
          <w:t>2 Influent pH in horizontal column experiments</w:t>
        </w:r>
        <w:r w:rsidR="0048531E">
          <w:rPr>
            <w:noProof/>
            <w:webHidden/>
          </w:rPr>
          <w:tab/>
        </w:r>
        <w:r w:rsidR="0048531E">
          <w:rPr>
            <w:noProof/>
            <w:webHidden/>
          </w:rPr>
          <w:fldChar w:fldCharType="begin"/>
        </w:r>
        <w:r w:rsidR="0048531E">
          <w:rPr>
            <w:noProof/>
            <w:webHidden/>
          </w:rPr>
          <w:instrText xml:space="preserve"> PAGEREF _Toc121489497 \h </w:instrText>
        </w:r>
        <w:r w:rsidR="0048531E">
          <w:rPr>
            <w:noProof/>
            <w:webHidden/>
          </w:rPr>
        </w:r>
        <w:r w:rsidR="0048531E">
          <w:rPr>
            <w:noProof/>
            <w:webHidden/>
          </w:rPr>
          <w:fldChar w:fldCharType="separate"/>
        </w:r>
        <w:r w:rsidR="00061096">
          <w:rPr>
            <w:noProof/>
            <w:webHidden/>
          </w:rPr>
          <w:t>65</w:t>
        </w:r>
        <w:r w:rsidR="0048531E">
          <w:rPr>
            <w:noProof/>
            <w:webHidden/>
          </w:rPr>
          <w:fldChar w:fldCharType="end"/>
        </w:r>
      </w:hyperlink>
    </w:p>
    <w:p w14:paraId="1EC1BE49" w14:textId="06CAADFE" w:rsidR="0048531E" w:rsidRDefault="00000000">
      <w:pPr>
        <w:pStyle w:val="TableofFigures"/>
        <w:tabs>
          <w:tab w:val="right" w:leader="dot" w:pos="9350"/>
        </w:tabs>
        <w:rPr>
          <w:rFonts w:asciiTheme="minorHAnsi" w:eastAsiaTheme="minorEastAsia" w:hAnsiTheme="minorHAnsi"/>
          <w:noProof/>
        </w:rPr>
      </w:pPr>
      <w:hyperlink r:id="rId14" w:anchor="_Toc121489498" w:history="1">
        <w:r w:rsidR="0048531E" w:rsidRPr="004173CB">
          <w:rPr>
            <w:rStyle w:val="Hyperlink"/>
            <w:noProof/>
          </w:rPr>
          <w:t>Figure 4</w:t>
        </w:r>
        <w:r w:rsidR="0048531E" w:rsidRPr="004173CB">
          <w:rPr>
            <w:rStyle w:val="Hyperlink"/>
            <w:noProof/>
          </w:rPr>
          <w:noBreakHyphen/>
          <w:t>3 Influent specific conductivity in vertical column experiments (run 2 only due to calibration issues during run 1)</w:t>
        </w:r>
        <w:r w:rsidR="0048531E">
          <w:rPr>
            <w:noProof/>
            <w:webHidden/>
          </w:rPr>
          <w:tab/>
        </w:r>
        <w:r w:rsidR="0048531E">
          <w:rPr>
            <w:noProof/>
            <w:webHidden/>
          </w:rPr>
          <w:fldChar w:fldCharType="begin"/>
        </w:r>
        <w:r w:rsidR="0048531E">
          <w:rPr>
            <w:noProof/>
            <w:webHidden/>
          </w:rPr>
          <w:instrText xml:space="preserve"> PAGEREF _Toc121489498 \h </w:instrText>
        </w:r>
        <w:r w:rsidR="0048531E">
          <w:rPr>
            <w:noProof/>
            <w:webHidden/>
          </w:rPr>
        </w:r>
        <w:r w:rsidR="0048531E">
          <w:rPr>
            <w:noProof/>
            <w:webHidden/>
          </w:rPr>
          <w:fldChar w:fldCharType="separate"/>
        </w:r>
        <w:r w:rsidR="00061096">
          <w:rPr>
            <w:noProof/>
            <w:webHidden/>
          </w:rPr>
          <w:t>67</w:t>
        </w:r>
        <w:r w:rsidR="0048531E">
          <w:rPr>
            <w:noProof/>
            <w:webHidden/>
          </w:rPr>
          <w:fldChar w:fldCharType="end"/>
        </w:r>
      </w:hyperlink>
    </w:p>
    <w:p w14:paraId="09ADACB2" w14:textId="1086B67E" w:rsidR="0048531E" w:rsidRDefault="00000000">
      <w:pPr>
        <w:pStyle w:val="TableofFigures"/>
        <w:tabs>
          <w:tab w:val="right" w:leader="dot" w:pos="9350"/>
        </w:tabs>
        <w:rPr>
          <w:rFonts w:asciiTheme="minorHAnsi" w:eastAsiaTheme="minorEastAsia" w:hAnsiTheme="minorHAnsi"/>
          <w:noProof/>
        </w:rPr>
      </w:pPr>
      <w:hyperlink r:id="rId15" w:anchor="_Toc121489499" w:history="1">
        <w:r w:rsidR="0048531E" w:rsidRPr="004173CB">
          <w:rPr>
            <w:rStyle w:val="Hyperlink"/>
            <w:noProof/>
          </w:rPr>
          <w:t>Figure 4</w:t>
        </w:r>
        <w:r w:rsidR="0048531E" w:rsidRPr="004173CB">
          <w:rPr>
            <w:rStyle w:val="Hyperlink"/>
            <w:noProof/>
          </w:rPr>
          <w:noBreakHyphen/>
          <w:t>4 Influent specific conductivity in horizontal column experiments</w:t>
        </w:r>
        <w:r w:rsidR="0048531E">
          <w:rPr>
            <w:noProof/>
            <w:webHidden/>
          </w:rPr>
          <w:tab/>
        </w:r>
        <w:r w:rsidR="0048531E">
          <w:rPr>
            <w:noProof/>
            <w:webHidden/>
          </w:rPr>
          <w:fldChar w:fldCharType="begin"/>
        </w:r>
        <w:r w:rsidR="0048531E">
          <w:rPr>
            <w:noProof/>
            <w:webHidden/>
          </w:rPr>
          <w:instrText xml:space="preserve"> PAGEREF _Toc121489499 \h </w:instrText>
        </w:r>
        <w:r w:rsidR="0048531E">
          <w:rPr>
            <w:noProof/>
            <w:webHidden/>
          </w:rPr>
        </w:r>
        <w:r w:rsidR="0048531E">
          <w:rPr>
            <w:noProof/>
            <w:webHidden/>
          </w:rPr>
          <w:fldChar w:fldCharType="separate"/>
        </w:r>
        <w:r w:rsidR="00061096">
          <w:rPr>
            <w:noProof/>
            <w:webHidden/>
          </w:rPr>
          <w:t>68</w:t>
        </w:r>
        <w:r w:rsidR="0048531E">
          <w:rPr>
            <w:noProof/>
            <w:webHidden/>
          </w:rPr>
          <w:fldChar w:fldCharType="end"/>
        </w:r>
      </w:hyperlink>
    </w:p>
    <w:p w14:paraId="66C6E8A7" w14:textId="5F3A9FA0" w:rsidR="0048531E" w:rsidRDefault="00000000">
      <w:pPr>
        <w:pStyle w:val="TableofFigures"/>
        <w:tabs>
          <w:tab w:val="right" w:leader="dot" w:pos="9350"/>
        </w:tabs>
        <w:rPr>
          <w:rFonts w:asciiTheme="minorHAnsi" w:eastAsiaTheme="minorEastAsia" w:hAnsiTheme="minorHAnsi"/>
          <w:noProof/>
        </w:rPr>
      </w:pPr>
      <w:hyperlink w:anchor="_Toc121489500" w:history="1">
        <w:r w:rsidR="0048531E" w:rsidRPr="004173CB">
          <w:rPr>
            <w:rStyle w:val="Hyperlink"/>
            <w:rFonts w:cs="Times New Roman"/>
            <w:noProof/>
          </w:rPr>
          <w:t>Figure 4</w:t>
        </w:r>
        <w:r w:rsidR="0048531E" w:rsidRPr="004173CB">
          <w:rPr>
            <w:rStyle w:val="Hyperlink"/>
            <w:rFonts w:cs="Times New Roman"/>
            <w:noProof/>
          </w:rPr>
          <w:noBreakHyphen/>
          <w:t>5 Effluent pH results from vertical column experiments</w:t>
        </w:r>
        <w:r w:rsidR="0048531E">
          <w:rPr>
            <w:noProof/>
            <w:webHidden/>
          </w:rPr>
          <w:tab/>
        </w:r>
        <w:r w:rsidR="0048531E">
          <w:rPr>
            <w:noProof/>
            <w:webHidden/>
          </w:rPr>
          <w:fldChar w:fldCharType="begin"/>
        </w:r>
        <w:r w:rsidR="0048531E">
          <w:rPr>
            <w:noProof/>
            <w:webHidden/>
          </w:rPr>
          <w:instrText xml:space="preserve"> PAGEREF _Toc121489500 \h </w:instrText>
        </w:r>
        <w:r w:rsidR="0048531E">
          <w:rPr>
            <w:noProof/>
            <w:webHidden/>
          </w:rPr>
        </w:r>
        <w:r w:rsidR="0048531E">
          <w:rPr>
            <w:noProof/>
            <w:webHidden/>
          </w:rPr>
          <w:fldChar w:fldCharType="separate"/>
        </w:r>
        <w:r w:rsidR="00061096">
          <w:rPr>
            <w:noProof/>
            <w:webHidden/>
          </w:rPr>
          <w:t>71</w:t>
        </w:r>
        <w:r w:rsidR="0048531E">
          <w:rPr>
            <w:noProof/>
            <w:webHidden/>
          </w:rPr>
          <w:fldChar w:fldCharType="end"/>
        </w:r>
      </w:hyperlink>
    </w:p>
    <w:p w14:paraId="77D82D26" w14:textId="1EE93567" w:rsidR="0048531E" w:rsidRDefault="00000000">
      <w:pPr>
        <w:pStyle w:val="TableofFigures"/>
        <w:tabs>
          <w:tab w:val="right" w:leader="dot" w:pos="9350"/>
        </w:tabs>
        <w:rPr>
          <w:rFonts w:asciiTheme="minorHAnsi" w:eastAsiaTheme="minorEastAsia" w:hAnsiTheme="minorHAnsi"/>
          <w:noProof/>
        </w:rPr>
      </w:pPr>
      <w:hyperlink w:anchor="_Toc121489501" w:history="1">
        <w:r w:rsidR="0048531E" w:rsidRPr="004173CB">
          <w:rPr>
            <w:rStyle w:val="Hyperlink"/>
            <w:rFonts w:cs="Times New Roman"/>
            <w:noProof/>
          </w:rPr>
          <w:t>Figure 4</w:t>
        </w:r>
        <w:r w:rsidR="0048531E" w:rsidRPr="004173CB">
          <w:rPr>
            <w:rStyle w:val="Hyperlink"/>
            <w:rFonts w:cs="Times New Roman"/>
            <w:noProof/>
          </w:rPr>
          <w:noBreakHyphen/>
          <w:t>6  Effluent specific conductivity results from vertical column experiments (run 2 only due to calibration issues in run 1)</w:t>
        </w:r>
        <w:r w:rsidR="0048531E">
          <w:rPr>
            <w:noProof/>
            <w:webHidden/>
          </w:rPr>
          <w:tab/>
        </w:r>
        <w:r w:rsidR="0048531E">
          <w:rPr>
            <w:noProof/>
            <w:webHidden/>
          </w:rPr>
          <w:fldChar w:fldCharType="begin"/>
        </w:r>
        <w:r w:rsidR="0048531E">
          <w:rPr>
            <w:noProof/>
            <w:webHidden/>
          </w:rPr>
          <w:instrText xml:space="preserve"> PAGEREF _Toc121489501 \h </w:instrText>
        </w:r>
        <w:r w:rsidR="0048531E">
          <w:rPr>
            <w:noProof/>
            <w:webHidden/>
          </w:rPr>
        </w:r>
        <w:r w:rsidR="0048531E">
          <w:rPr>
            <w:noProof/>
            <w:webHidden/>
          </w:rPr>
          <w:fldChar w:fldCharType="separate"/>
        </w:r>
        <w:r w:rsidR="00061096">
          <w:rPr>
            <w:noProof/>
            <w:webHidden/>
          </w:rPr>
          <w:t>72</w:t>
        </w:r>
        <w:r w:rsidR="0048531E">
          <w:rPr>
            <w:noProof/>
            <w:webHidden/>
          </w:rPr>
          <w:fldChar w:fldCharType="end"/>
        </w:r>
      </w:hyperlink>
    </w:p>
    <w:p w14:paraId="3B490CE1" w14:textId="1E10D578" w:rsidR="0048531E" w:rsidRDefault="00000000">
      <w:pPr>
        <w:pStyle w:val="TableofFigures"/>
        <w:tabs>
          <w:tab w:val="right" w:leader="dot" w:pos="9350"/>
        </w:tabs>
        <w:rPr>
          <w:rFonts w:asciiTheme="minorHAnsi" w:eastAsiaTheme="minorEastAsia" w:hAnsiTheme="minorHAnsi"/>
          <w:noProof/>
        </w:rPr>
      </w:pPr>
      <w:hyperlink w:anchor="_Toc121489502" w:history="1">
        <w:r w:rsidR="0048531E" w:rsidRPr="004173CB">
          <w:rPr>
            <w:rStyle w:val="Hyperlink"/>
            <w:rFonts w:cs="Times New Roman"/>
            <w:noProof/>
          </w:rPr>
          <w:t>Figure 4</w:t>
        </w:r>
        <w:r w:rsidR="0048531E" w:rsidRPr="004173CB">
          <w:rPr>
            <w:rStyle w:val="Hyperlink"/>
            <w:rFonts w:cs="Times New Roman"/>
            <w:noProof/>
          </w:rPr>
          <w:noBreakHyphen/>
          <w:t>7 Dissolved Al</w:t>
        </w:r>
        <w:r w:rsidR="0048531E" w:rsidRPr="004173CB">
          <w:rPr>
            <w:rStyle w:val="Hyperlink"/>
            <w:rFonts w:cs="Times New Roman"/>
            <w:noProof/>
            <w:vertAlign w:val="superscript"/>
          </w:rPr>
          <w:t>+3</w:t>
        </w:r>
        <w:r w:rsidR="0048531E" w:rsidRPr="004173CB">
          <w:rPr>
            <w:rStyle w:val="Hyperlink"/>
            <w:rFonts w:cs="Times New Roman"/>
            <w:noProof/>
          </w:rPr>
          <w:t xml:space="preserve"> removal in vertical column experiments as demonstrated by the influent-effluent ratio as defined by effluent concentration (C</w:t>
        </w:r>
        <w:r w:rsidR="0048531E" w:rsidRPr="004173CB">
          <w:rPr>
            <w:rStyle w:val="Hyperlink"/>
            <w:rFonts w:cs="Times New Roman"/>
            <w:noProof/>
            <w:vertAlign w:val="subscript"/>
          </w:rPr>
          <w:t>eff</w:t>
        </w:r>
        <w:r w:rsidR="0048531E" w:rsidRPr="004173CB">
          <w:rPr>
            <w:rStyle w:val="Hyperlink"/>
            <w:rFonts w:cs="Times New Roman"/>
            <w:noProof/>
          </w:rPr>
          <w:t>) divided by influent concentration (C</w:t>
        </w:r>
        <w:r w:rsidR="0048531E" w:rsidRPr="004173CB">
          <w:rPr>
            <w:rStyle w:val="Hyperlink"/>
            <w:rFonts w:cs="Times New Roman"/>
            <w:noProof/>
            <w:vertAlign w:val="subscript"/>
          </w:rPr>
          <w:t>in</w:t>
        </w:r>
        <w:r w:rsidR="0048531E" w:rsidRPr="004173CB">
          <w:rPr>
            <w:rStyle w:val="Hyperlink"/>
            <w:rFonts w:cs="Times New Roman"/>
            <w:noProof/>
          </w:rPr>
          <w:t>) and plotted against pore volumes passed. Aggregated fly ash and steel slag is not shown due to Al</w:t>
        </w:r>
        <w:r w:rsidR="0048531E" w:rsidRPr="004173CB">
          <w:rPr>
            <w:rStyle w:val="Hyperlink"/>
            <w:rFonts w:cs="Times New Roman"/>
            <w:noProof/>
            <w:vertAlign w:val="superscript"/>
          </w:rPr>
          <w:t>+3</w:t>
        </w:r>
        <w:r w:rsidR="0048531E" w:rsidRPr="004173CB">
          <w:rPr>
            <w:rStyle w:val="Hyperlink"/>
            <w:rFonts w:cs="Times New Roman"/>
            <w:noProof/>
          </w:rPr>
          <w:t xml:space="preserve"> leaching which places IE ratio values outside the range of 0.0 – 2.0.</w:t>
        </w:r>
        <w:r w:rsidR="0048531E">
          <w:rPr>
            <w:noProof/>
            <w:webHidden/>
          </w:rPr>
          <w:tab/>
        </w:r>
        <w:r w:rsidR="0048531E">
          <w:rPr>
            <w:noProof/>
            <w:webHidden/>
          </w:rPr>
          <w:fldChar w:fldCharType="begin"/>
        </w:r>
        <w:r w:rsidR="0048531E">
          <w:rPr>
            <w:noProof/>
            <w:webHidden/>
          </w:rPr>
          <w:instrText xml:space="preserve"> PAGEREF _Toc121489502 \h </w:instrText>
        </w:r>
        <w:r w:rsidR="0048531E">
          <w:rPr>
            <w:noProof/>
            <w:webHidden/>
          </w:rPr>
        </w:r>
        <w:r w:rsidR="0048531E">
          <w:rPr>
            <w:noProof/>
            <w:webHidden/>
          </w:rPr>
          <w:fldChar w:fldCharType="separate"/>
        </w:r>
        <w:r w:rsidR="00061096">
          <w:rPr>
            <w:noProof/>
            <w:webHidden/>
          </w:rPr>
          <w:t>74</w:t>
        </w:r>
        <w:r w:rsidR="0048531E">
          <w:rPr>
            <w:noProof/>
            <w:webHidden/>
          </w:rPr>
          <w:fldChar w:fldCharType="end"/>
        </w:r>
      </w:hyperlink>
    </w:p>
    <w:p w14:paraId="7C7FFA29" w14:textId="7895BDF7" w:rsidR="0048531E" w:rsidRDefault="00000000">
      <w:pPr>
        <w:pStyle w:val="TableofFigures"/>
        <w:tabs>
          <w:tab w:val="right" w:leader="dot" w:pos="9350"/>
        </w:tabs>
        <w:rPr>
          <w:rFonts w:asciiTheme="minorHAnsi" w:eastAsiaTheme="minorEastAsia" w:hAnsiTheme="minorHAnsi"/>
          <w:noProof/>
        </w:rPr>
      </w:pPr>
      <w:hyperlink w:anchor="_Toc121489503" w:history="1">
        <w:r w:rsidR="0048531E" w:rsidRPr="004173CB">
          <w:rPr>
            <w:rStyle w:val="Hyperlink"/>
            <w:rFonts w:cs="Times New Roman"/>
            <w:noProof/>
          </w:rPr>
          <w:t>Figure 4</w:t>
        </w:r>
        <w:r w:rsidR="0048531E" w:rsidRPr="004173CB">
          <w:rPr>
            <w:rStyle w:val="Hyperlink"/>
            <w:rFonts w:cs="Times New Roman"/>
            <w:noProof/>
          </w:rPr>
          <w:noBreakHyphen/>
          <w:t>8 Dissolved As</w:t>
        </w:r>
        <w:r w:rsidR="0048531E" w:rsidRPr="004173CB">
          <w:rPr>
            <w:rStyle w:val="Hyperlink"/>
            <w:rFonts w:cs="Times New Roman"/>
            <w:noProof/>
            <w:vertAlign w:val="superscript"/>
          </w:rPr>
          <w:t>+5</w:t>
        </w:r>
        <w:r w:rsidR="0048531E" w:rsidRPr="004173CB">
          <w:rPr>
            <w:rStyle w:val="Hyperlink"/>
            <w:rFonts w:cs="Times New Roman"/>
            <w:noProof/>
          </w:rPr>
          <w:t xml:space="preserve"> removal in vertical column experiments as demonstrated by the influent-effluent ratio as defined by effluent concentration (C</w:t>
        </w:r>
        <w:r w:rsidR="0048531E" w:rsidRPr="004173CB">
          <w:rPr>
            <w:rStyle w:val="Hyperlink"/>
            <w:rFonts w:cs="Times New Roman"/>
            <w:noProof/>
            <w:vertAlign w:val="subscript"/>
          </w:rPr>
          <w:t>eff</w:t>
        </w:r>
        <w:r w:rsidR="0048531E" w:rsidRPr="004173CB">
          <w:rPr>
            <w:rStyle w:val="Hyperlink"/>
            <w:rFonts w:cs="Times New Roman"/>
            <w:noProof/>
          </w:rPr>
          <w:t>) divided by influent concentration (C</w:t>
        </w:r>
        <w:r w:rsidR="0048531E" w:rsidRPr="004173CB">
          <w:rPr>
            <w:rStyle w:val="Hyperlink"/>
            <w:rFonts w:cs="Times New Roman"/>
            <w:noProof/>
            <w:vertAlign w:val="subscript"/>
          </w:rPr>
          <w:t>in</w:t>
        </w:r>
        <w:r w:rsidR="0048531E" w:rsidRPr="004173CB">
          <w:rPr>
            <w:rStyle w:val="Hyperlink"/>
            <w:rFonts w:cs="Times New Roman"/>
            <w:noProof/>
          </w:rPr>
          <w:t>) and plotted against pore volumes passed.</w:t>
        </w:r>
        <w:r w:rsidR="0048531E">
          <w:rPr>
            <w:noProof/>
            <w:webHidden/>
          </w:rPr>
          <w:tab/>
        </w:r>
        <w:r w:rsidR="0048531E">
          <w:rPr>
            <w:noProof/>
            <w:webHidden/>
          </w:rPr>
          <w:fldChar w:fldCharType="begin"/>
        </w:r>
        <w:r w:rsidR="0048531E">
          <w:rPr>
            <w:noProof/>
            <w:webHidden/>
          </w:rPr>
          <w:instrText xml:space="preserve"> PAGEREF _Toc121489503 \h </w:instrText>
        </w:r>
        <w:r w:rsidR="0048531E">
          <w:rPr>
            <w:noProof/>
            <w:webHidden/>
          </w:rPr>
        </w:r>
        <w:r w:rsidR="0048531E">
          <w:rPr>
            <w:noProof/>
            <w:webHidden/>
          </w:rPr>
          <w:fldChar w:fldCharType="separate"/>
        </w:r>
        <w:r w:rsidR="00061096">
          <w:rPr>
            <w:noProof/>
            <w:webHidden/>
          </w:rPr>
          <w:t>76</w:t>
        </w:r>
        <w:r w:rsidR="0048531E">
          <w:rPr>
            <w:noProof/>
            <w:webHidden/>
          </w:rPr>
          <w:fldChar w:fldCharType="end"/>
        </w:r>
      </w:hyperlink>
    </w:p>
    <w:p w14:paraId="54AD02B6" w14:textId="23197EE8" w:rsidR="0048531E" w:rsidRDefault="00000000">
      <w:pPr>
        <w:pStyle w:val="TableofFigures"/>
        <w:tabs>
          <w:tab w:val="right" w:leader="dot" w:pos="9350"/>
        </w:tabs>
        <w:rPr>
          <w:rFonts w:asciiTheme="minorHAnsi" w:eastAsiaTheme="minorEastAsia" w:hAnsiTheme="minorHAnsi"/>
          <w:noProof/>
        </w:rPr>
      </w:pPr>
      <w:hyperlink w:anchor="_Toc121489504" w:history="1">
        <w:r w:rsidR="0048531E" w:rsidRPr="004173CB">
          <w:rPr>
            <w:rStyle w:val="Hyperlink"/>
            <w:rFonts w:cs="Times New Roman"/>
            <w:noProof/>
          </w:rPr>
          <w:t>Figure 4</w:t>
        </w:r>
        <w:r w:rsidR="0048531E" w:rsidRPr="004173CB">
          <w:rPr>
            <w:rStyle w:val="Hyperlink"/>
            <w:rFonts w:cs="Times New Roman"/>
            <w:noProof/>
          </w:rPr>
          <w:noBreakHyphen/>
          <w:t>9 Be</w:t>
        </w:r>
        <w:r w:rsidR="0048531E" w:rsidRPr="004173CB">
          <w:rPr>
            <w:rStyle w:val="Hyperlink"/>
            <w:rFonts w:cs="Times New Roman"/>
            <w:noProof/>
            <w:vertAlign w:val="superscript"/>
          </w:rPr>
          <w:t>+2</w:t>
        </w:r>
        <w:r w:rsidR="0048531E" w:rsidRPr="004173CB">
          <w:rPr>
            <w:rStyle w:val="Hyperlink"/>
            <w:rFonts w:cs="Times New Roman"/>
            <w:noProof/>
          </w:rPr>
          <w:t xml:space="preserve"> removal in vertical column experiments as demonstrated by the influent-effluent ratio as defined by effluent concentration (C</w:t>
        </w:r>
        <w:r w:rsidR="0048531E" w:rsidRPr="004173CB">
          <w:rPr>
            <w:rStyle w:val="Hyperlink"/>
            <w:rFonts w:cs="Times New Roman"/>
            <w:noProof/>
            <w:vertAlign w:val="subscript"/>
          </w:rPr>
          <w:t>eff</w:t>
        </w:r>
        <w:r w:rsidR="0048531E" w:rsidRPr="004173CB">
          <w:rPr>
            <w:rStyle w:val="Hyperlink"/>
            <w:rFonts w:cs="Times New Roman"/>
            <w:noProof/>
          </w:rPr>
          <w:t>) divided by influent concentration (C</w:t>
        </w:r>
        <w:r w:rsidR="0048531E" w:rsidRPr="004173CB">
          <w:rPr>
            <w:rStyle w:val="Hyperlink"/>
            <w:rFonts w:cs="Times New Roman"/>
            <w:noProof/>
            <w:vertAlign w:val="subscript"/>
          </w:rPr>
          <w:t>in</w:t>
        </w:r>
        <w:r w:rsidR="0048531E" w:rsidRPr="004173CB">
          <w:rPr>
            <w:rStyle w:val="Hyperlink"/>
            <w:rFonts w:cs="Times New Roman"/>
            <w:noProof/>
          </w:rPr>
          <w:t>) and plotted against pore volumes passed.</w:t>
        </w:r>
        <w:r w:rsidR="0048531E">
          <w:rPr>
            <w:noProof/>
            <w:webHidden/>
          </w:rPr>
          <w:tab/>
        </w:r>
        <w:r w:rsidR="0048531E">
          <w:rPr>
            <w:noProof/>
            <w:webHidden/>
          </w:rPr>
          <w:fldChar w:fldCharType="begin"/>
        </w:r>
        <w:r w:rsidR="0048531E">
          <w:rPr>
            <w:noProof/>
            <w:webHidden/>
          </w:rPr>
          <w:instrText xml:space="preserve"> PAGEREF _Toc121489504 \h </w:instrText>
        </w:r>
        <w:r w:rsidR="0048531E">
          <w:rPr>
            <w:noProof/>
            <w:webHidden/>
          </w:rPr>
        </w:r>
        <w:r w:rsidR="0048531E">
          <w:rPr>
            <w:noProof/>
            <w:webHidden/>
          </w:rPr>
          <w:fldChar w:fldCharType="separate"/>
        </w:r>
        <w:r w:rsidR="00061096">
          <w:rPr>
            <w:noProof/>
            <w:webHidden/>
          </w:rPr>
          <w:t>78</w:t>
        </w:r>
        <w:r w:rsidR="0048531E">
          <w:rPr>
            <w:noProof/>
            <w:webHidden/>
          </w:rPr>
          <w:fldChar w:fldCharType="end"/>
        </w:r>
      </w:hyperlink>
    </w:p>
    <w:p w14:paraId="0C4DD7DD" w14:textId="6A416B77" w:rsidR="0048531E" w:rsidRDefault="00000000">
      <w:pPr>
        <w:pStyle w:val="TableofFigures"/>
        <w:tabs>
          <w:tab w:val="right" w:leader="dot" w:pos="9350"/>
        </w:tabs>
        <w:rPr>
          <w:rFonts w:asciiTheme="minorHAnsi" w:eastAsiaTheme="minorEastAsia" w:hAnsiTheme="minorHAnsi"/>
          <w:noProof/>
        </w:rPr>
      </w:pPr>
      <w:hyperlink w:anchor="_Toc121489505" w:history="1">
        <w:r w:rsidR="0048531E" w:rsidRPr="004173CB">
          <w:rPr>
            <w:rStyle w:val="Hyperlink"/>
            <w:rFonts w:cs="Times New Roman"/>
            <w:noProof/>
          </w:rPr>
          <w:t>Figure 4</w:t>
        </w:r>
        <w:r w:rsidR="0048531E" w:rsidRPr="004173CB">
          <w:rPr>
            <w:rStyle w:val="Hyperlink"/>
            <w:rFonts w:cs="Times New Roman"/>
            <w:noProof/>
          </w:rPr>
          <w:noBreakHyphen/>
          <w:t>10 Mn</w:t>
        </w:r>
        <w:r w:rsidR="0048531E" w:rsidRPr="004173CB">
          <w:rPr>
            <w:rStyle w:val="Hyperlink"/>
            <w:rFonts w:cs="Times New Roman"/>
            <w:noProof/>
            <w:vertAlign w:val="superscript"/>
          </w:rPr>
          <w:t>+2</w:t>
        </w:r>
        <w:r w:rsidR="0048531E" w:rsidRPr="004173CB">
          <w:rPr>
            <w:rStyle w:val="Hyperlink"/>
            <w:rFonts w:cs="Times New Roman"/>
            <w:noProof/>
          </w:rPr>
          <w:t xml:space="preserve"> removal in vertical column experiments as demonstrated by the influent-effluent ratio as defined by effluent concentration (C</w:t>
        </w:r>
        <w:r w:rsidR="0048531E" w:rsidRPr="004173CB">
          <w:rPr>
            <w:rStyle w:val="Hyperlink"/>
            <w:rFonts w:cs="Times New Roman"/>
            <w:noProof/>
            <w:vertAlign w:val="subscript"/>
          </w:rPr>
          <w:t>eff</w:t>
        </w:r>
        <w:r w:rsidR="0048531E" w:rsidRPr="004173CB">
          <w:rPr>
            <w:rStyle w:val="Hyperlink"/>
            <w:rFonts w:cs="Times New Roman"/>
            <w:noProof/>
          </w:rPr>
          <w:t>) divided by influent concentration (C</w:t>
        </w:r>
        <w:r w:rsidR="0048531E" w:rsidRPr="004173CB">
          <w:rPr>
            <w:rStyle w:val="Hyperlink"/>
            <w:rFonts w:cs="Times New Roman"/>
            <w:noProof/>
            <w:vertAlign w:val="subscript"/>
          </w:rPr>
          <w:t>in</w:t>
        </w:r>
        <w:r w:rsidR="0048531E" w:rsidRPr="004173CB">
          <w:rPr>
            <w:rStyle w:val="Hyperlink"/>
            <w:rFonts w:cs="Times New Roman"/>
            <w:noProof/>
          </w:rPr>
          <w:t>) and plotted against pore volumes passed.</w:t>
        </w:r>
        <w:r w:rsidR="0048531E">
          <w:rPr>
            <w:noProof/>
            <w:webHidden/>
          </w:rPr>
          <w:tab/>
        </w:r>
        <w:r w:rsidR="0048531E">
          <w:rPr>
            <w:noProof/>
            <w:webHidden/>
          </w:rPr>
          <w:fldChar w:fldCharType="begin"/>
        </w:r>
        <w:r w:rsidR="0048531E">
          <w:rPr>
            <w:noProof/>
            <w:webHidden/>
          </w:rPr>
          <w:instrText xml:space="preserve"> PAGEREF _Toc121489505 \h </w:instrText>
        </w:r>
        <w:r w:rsidR="0048531E">
          <w:rPr>
            <w:noProof/>
            <w:webHidden/>
          </w:rPr>
        </w:r>
        <w:r w:rsidR="0048531E">
          <w:rPr>
            <w:noProof/>
            <w:webHidden/>
          </w:rPr>
          <w:fldChar w:fldCharType="separate"/>
        </w:r>
        <w:r w:rsidR="00061096">
          <w:rPr>
            <w:noProof/>
            <w:webHidden/>
          </w:rPr>
          <w:t>80</w:t>
        </w:r>
        <w:r w:rsidR="0048531E">
          <w:rPr>
            <w:noProof/>
            <w:webHidden/>
          </w:rPr>
          <w:fldChar w:fldCharType="end"/>
        </w:r>
      </w:hyperlink>
    </w:p>
    <w:p w14:paraId="215EE14D" w14:textId="14F21307" w:rsidR="0048531E" w:rsidRDefault="00000000">
      <w:pPr>
        <w:pStyle w:val="TableofFigures"/>
        <w:tabs>
          <w:tab w:val="right" w:leader="dot" w:pos="9350"/>
        </w:tabs>
        <w:rPr>
          <w:rFonts w:asciiTheme="minorHAnsi" w:eastAsiaTheme="minorEastAsia" w:hAnsiTheme="minorHAnsi"/>
          <w:noProof/>
        </w:rPr>
      </w:pPr>
      <w:hyperlink w:anchor="_Toc121489506" w:history="1">
        <w:r w:rsidR="0048531E" w:rsidRPr="004173CB">
          <w:rPr>
            <w:rStyle w:val="Hyperlink"/>
            <w:rFonts w:cs="Times New Roman"/>
            <w:noProof/>
          </w:rPr>
          <w:t>Figure 4</w:t>
        </w:r>
        <w:r w:rsidR="0048531E" w:rsidRPr="004173CB">
          <w:rPr>
            <w:rStyle w:val="Hyperlink"/>
            <w:rFonts w:cs="Times New Roman"/>
            <w:noProof/>
          </w:rPr>
          <w:noBreakHyphen/>
          <w:t>11 Acetamiprid removal in vertical column experiments as demonstrated by the influent-effluent ratio as defined by effluent concentration (C</w:t>
        </w:r>
        <w:r w:rsidR="0048531E" w:rsidRPr="004173CB">
          <w:rPr>
            <w:rStyle w:val="Hyperlink"/>
            <w:rFonts w:cs="Times New Roman"/>
            <w:noProof/>
            <w:vertAlign w:val="subscript"/>
          </w:rPr>
          <w:t>eff</w:t>
        </w:r>
        <w:r w:rsidR="0048531E" w:rsidRPr="004173CB">
          <w:rPr>
            <w:rStyle w:val="Hyperlink"/>
            <w:rFonts w:cs="Times New Roman"/>
            <w:noProof/>
          </w:rPr>
          <w:t>) divided by influent concentration (C</w:t>
        </w:r>
        <w:r w:rsidR="0048531E" w:rsidRPr="004173CB">
          <w:rPr>
            <w:rStyle w:val="Hyperlink"/>
            <w:rFonts w:cs="Times New Roman"/>
            <w:noProof/>
            <w:vertAlign w:val="subscript"/>
          </w:rPr>
          <w:t>in</w:t>
        </w:r>
        <w:r w:rsidR="0048531E" w:rsidRPr="004173CB">
          <w:rPr>
            <w:rStyle w:val="Hyperlink"/>
            <w:rFonts w:cs="Times New Roman"/>
            <w:noProof/>
          </w:rPr>
          <w:t>) and plotted against pore volumes passed.</w:t>
        </w:r>
        <w:r w:rsidR="0048531E">
          <w:rPr>
            <w:noProof/>
            <w:webHidden/>
          </w:rPr>
          <w:tab/>
        </w:r>
        <w:r w:rsidR="0048531E">
          <w:rPr>
            <w:noProof/>
            <w:webHidden/>
          </w:rPr>
          <w:fldChar w:fldCharType="begin"/>
        </w:r>
        <w:r w:rsidR="0048531E">
          <w:rPr>
            <w:noProof/>
            <w:webHidden/>
          </w:rPr>
          <w:instrText xml:space="preserve"> PAGEREF _Toc121489506 \h </w:instrText>
        </w:r>
        <w:r w:rsidR="0048531E">
          <w:rPr>
            <w:noProof/>
            <w:webHidden/>
          </w:rPr>
        </w:r>
        <w:r w:rsidR="0048531E">
          <w:rPr>
            <w:noProof/>
            <w:webHidden/>
          </w:rPr>
          <w:fldChar w:fldCharType="separate"/>
        </w:r>
        <w:r w:rsidR="00061096">
          <w:rPr>
            <w:noProof/>
            <w:webHidden/>
          </w:rPr>
          <w:t>83</w:t>
        </w:r>
        <w:r w:rsidR="0048531E">
          <w:rPr>
            <w:noProof/>
            <w:webHidden/>
          </w:rPr>
          <w:fldChar w:fldCharType="end"/>
        </w:r>
      </w:hyperlink>
    </w:p>
    <w:p w14:paraId="4FF5FA4C" w14:textId="532DDF42" w:rsidR="0048531E" w:rsidRDefault="00000000">
      <w:pPr>
        <w:pStyle w:val="TableofFigures"/>
        <w:tabs>
          <w:tab w:val="right" w:leader="dot" w:pos="9350"/>
        </w:tabs>
        <w:rPr>
          <w:rFonts w:asciiTheme="minorHAnsi" w:eastAsiaTheme="minorEastAsia" w:hAnsiTheme="minorHAnsi"/>
          <w:noProof/>
        </w:rPr>
      </w:pPr>
      <w:hyperlink w:anchor="_Toc121489507" w:history="1">
        <w:r w:rsidR="0048531E" w:rsidRPr="004173CB">
          <w:rPr>
            <w:rStyle w:val="Hyperlink"/>
            <w:rFonts w:cs="Times New Roman"/>
            <w:noProof/>
          </w:rPr>
          <w:t>Figure 4</w:t>
        </w:r>
        <w:r w:rsidR="0048531E" w:rsidRPr="004173CB">
          <w:rPr>
            <w:rStyle w:val="Hyperlink"/>
            <w:rFonts w:cs="Times New Roman"/>
            <w:noProof/>
          </w:rPr>
          <w:noBreakHyphen/>
          <w:t>12 Dinotefuran removal in vertical column experiments as demonstrated by the influent-effluent ratio as defined by effluent concentration (C</w:t>
        </w:r>
        <w:r w:rsidR="0048531E" w:rsidRPr="004173CB">
          <w:rPr>
            <w:rStyle w:val="Hyperlink"/>
            <w:rFonts w:cs="Times New Roman"/>
            <w:noProof/>
            <w:vertAlign w:val="subscript"/>
          </w:rPr>
          <w:t>eff</w:t>
        </w:r>
        <w:r w:rsidR="0048531E" w:rsidRPr="004173CB">
          <w:rPr>
            <w:rStyle w:val="Hyperlink"/>
            <w:rFonts w:cs="Times New Roman"/>
            <w:noProof/>
          </w:rPr>
          <w:t>) divided by influent concentration (C</w:t>
        </w:r>
        <w:r w:rsidR="0048531E" w:rsidRPr="004173CB">
          <w:rPr>
            <w:rStyle w:val="Hyperlink"/>
            <w:rFonts w:cs="Times New Roman"/>
            <w:noProof/>
            <w:vertAlign w:val="subscript"/>
          </w:rPr>
          <w:t>in</w:t>
        </w:r>
        <w:r w:rsidR="0048531E" w:rsidRPr="004173CB">
          <w:rPr>
            <w:rStyle w:val="Hyperlink"/>
            <w:rFonts w:cs="Times New Roman"/>
            <w:noProof/>
          </w:rPr>
          <w:t>) and plotted against pore volumes passed.</w:t>
        </w:r>
        <w:r w:rsidR="0048531E">
          <w:rPr>
            <w:noProof/>
            <w:webHidden/>
          </w:rPr>
          <w:tab/>
        </w:r>
        <w:r w:rsidR="0048531E">
          <w:rPr>
            <w:noProof/>
            <w:webHidden/>
          </w:rPr>
          <w:fldChar w:fldCharType="begin"/>
        </w:r>
        <w:r w:rsidR="0048531E">
          <w:rPr>
            <w:noProof/>
            <w:webHidden/>
          </w:rPr>
          <w:instrText xml:space="preserve"> PAGEREF _Toc121489507 \h </w:instrText>
        </w:r>
        <w:r w:rsidR="0048531E">
          <w:rPr>
            <w:noProof/>
            <w:webHidden/>
          </w:rPr>
        </w:r>
        <w:r w:rsidR="0048531E">
          <w:rPr>
            <w:noProof/>
            <w:webHidden/>
          </w:rPr>
          <w:fldChar w:fldCharType="separate"/>
        </w:r>
        <w:r w:rsidR="00061096">
          <w:rPr>
            <w:noProof/>
            <w:webHidden/>
          </w:rPr>
          <w:t>85</w:t>
        </w:r>
        <w:r w:rsidR="0048531E">
          <w:rPr>
            <w:noProof/>
            <w:webHidden/>
          </w:rPr>
          <w:fldChar w:fldCharType="end"/>
        </w:r>
      </w:hyperlink>
    </w:p>
    <w:p w14:paraId="2A901FB6" w14:textId="643A3485" w:rsidR="0048531E" w:rsidRDefault="00000000">
      <w:pPr>
        <w:pStyle w:val="TableofFigures"/>
        <w:tabs>
          <w:tab w:val="right" w:leader="dot" w:pos="9350"/>
        </w:tabs>
        <w:rPr>
          <w:rFonts w:asciiTheme="minorHAnsi" w:eastAsiaTheme="minorEastAsia" w:hAnsiTheme="minorHAnsi"/>
          <w:noProof/>
        </w:rPr>
      </w:pPr>
      <w:hyperlink w:anchor="_Toc121489508" w:history="1">
        <w:r w:rsidR="0048531E" w:rsidRPr="004173CB">
          <w:rPr>
            <w:rStyle w:val="Hyperlink"/>
            <w:rFonts w:cs="Times New Roman"/>
            <w:noProof/>
          </w:rPr>
          <w:t>Figure 4</w:t>
        </w:r>
        <w:r w:rsidR="0048531E" w:rsidRPr="004173CB">
          <w:rPr>
            <w:rStyle w:val="Hyperlink"/>
            <w:rFonts w:cs="Times New Roman"/>
            <w:noProof/>
          </w:rPr>
          <w:noBreakHyphen/>
          <w:t>13 Imidacloprid removal in vertical column experiments as demonstrated by the influent-effluent ratio as defined by effluent concentration (C</w:t>
        </w:r>
        <w:r w:rsidR="0048531E" w:rsidRPr="004173CB">
          <w:rPr>
            <w:rStyle w:val="Hyperlink"/>
            <w:rFonts w:cs="Times New Roman"/>
            <w:noProof/>
            <w:vertAlign w:val="subscript"/>
          </w:rPr>
          <w:t>eff</w:t>
        </w:r>
        <w:r w:rsidR="0048531E" w:rsidRPr="004173CB">
          <w:rPr>
            <w:rStyle w:val="Hyperlink"/>
            <w:rFonts w:cs="Times New Roman"/>
            <w:noProof/>
          </w:rPr>
          <w:t>) divided by influent concentration (C</w:t>
        </w:r>
        <w:r w:rsidR="0048531E" w:rsidRPr="004173CB">
          <w:rPr>
            <w:rStyle w:val="Hyperlink"/>
            <w:rFonts w:cs="Times New Roman"/>
            <w:noProof/>
            <w:vertAlign w:val="subscript"/>
          </w:rPr>
          <w:t>in</w:t>
        </w:r>
        <w:r w:rsidR="0048531E" w:rsidRPr="004173CB">
          <w:rPr>
            <w:rStyle w:val="Hyperlink"/>
            <w:rFonts w:cs="Times New Roman"/>
            <w:noProof/>
          </w:rPr>
          <w:t>) and plotted against pore volumes passed.</w:t>
        </w:r>
        <w:r w:rsidR="0048531E">
          <w:rPr>
            <w:noProof/>
            <w:webHidden/>
          </w:rPr>
          <w:tab/>
        </w:r>
        <w:r w:rsidR="0048531E">
          <w:rPr>
            <w:noProof/>
            <w:webHidden/>
          </w:rPr>
          <w:fldChar w:fldCharType="begin"/>
        </w:r>
        <w:r w:rsidR="0048531E">
          <w:rPr>
            <w:noProof/>
            <w:webHidden/>
          </w:rPr>
          <w:instrText xml:space="preserve"> PAGEREF _Toc121489508 \h </w:instrText>
        </w:r>
        <w:r w:rsidR="0048531E">
          <w:rPr>
            <w:noProof/>
            <w:webHidden/>
          </w:rPr>
        </w:r>
        <w:r w:rsidR="0048531E">
          <w:rPr>
            <w:noProof/>
            <w:webHidden/>
          </w:rPr>
          <w:fldChar w:fldCharType="separate"/>
        </w:r>
        <w:r w:rsidR="00061096">
          <w:rPr>
            <w:noProof/>
            <w:webHidden/>
          </w:rPr>
          <w:t>87</w:t>
        </w:r>
        <w:r w:rsidR="0048531E">
          <w:rPr>
            <w:noProof/>
            <w:webHidden/>
          </w:rPr>
          <w:fldChar w:fldCharType="end"/>
        </w:r>
      </w:hyperlink>
    </w:p>
    <w:p w14:paraId="761D4462" w14:textId="4EDB517D" w:rsidR="0048531E" w:rsidRDefault="00000000">
      <w:pPr>
        <w:pStyle w:val="TableofFigures"/>
        <w:tabs>
          <w:tab w:val="right" w:leader="dot" w:pos="9350"/>
        </w:tabs>
        <w:rPr>
          <w:rFonts w:asciiTheme="minorHAnsi" w:eastAsiaTheme="minorEastAsia" w:hAnsiTheme="minorHAnsi"/>
          <w:noProof/>
        </w:rPr>
      </w:pPr>
      <w:hyperlink w:anchor="_Toc121489509" w:history="1">
        <w:r w:rsidR="0048531E" w:rsidRPr="004173CB">
          <w:rPr>
            <w:rStyle w:val="Hyperlink"/>
            <w:rFonts w:cs="Times New Roman"/>
            <w:noProof/>
          </w:rPr>
          <w:t>Figure 4</w:t>
        </w:r>
        <w:r w:rsidR="0048531E" w:rsidRPr="004173CB">
          <w:rPr>
            <w:rStyle w:val="Hyperlink"/>
            <w:rFonts w:cs="Times New Roman"/>
            <w:noProof/>
          </w:rPr>
          <w:noBreakHyphen/>
          <w:t>14 Phosphorus removal in vertical column experiments as demonstrated by the influent-effluent ratio as defined by effluent concentration (C</w:t>
        </w:r>
        <w:r w:rsidR="0048531E" w:rsidRPr="004173CB">
          <w:rPr>
            <w:rStyle w:val="Hyperlink"/>
            <w:rFonts w:cs="Times New Roman"/>
            <w:noProof/>
            <w:vertAlign w:val="subscript"/>
          </w:rPr>
          <w:t>eff</w:t>
        </w:r>
        <w:r w:rsidR="0048531E" w:rsidRPr="004173CB">
          <w:rPr>
            <w:rStyle w:val="Hyperlink"/>
            <w:rFonts w:cs="Times New Roman"/>
            <w:noProof/>
          </w:rPr>
          <w:t>) divided by influent concentration (C</w:t>
        </w:r>
        <w:r w:rsidR="0048531E" w:rsidRPr="004173CB">
          <w:rPr>
            <w:rStyle w:val="Hyperlink"/>
            <w:rFonts w:cs="Times New Roman"/>
            <w:noProof/>
            <w:vertAlign w:val="subscript"/>
          </w:rPr>
          <w:t>in</w:t>
        </w:r>
        <w:r w:rsidR="0048531E" w:rsidRPr="004173CB">
          <w:rPr>
            <w:rStyle w:val="Hyperlink"/>
            <w:rFonts w:cs="Times New Roman"/>
            <w:noProof/>
          </w:rPr>
          <w:t>) and plotted against pore volumes passed.</w:t>
        </w:r>
        <w:r w:rsidR="0048531E">
          <w:rPr>
            <w:noProof/>
            <w:webHidden/>
          </w:rPr>
          <w:tab/>
        </w:r>
        <w:r w:rsidR="0048531E">
          <w:rPr>
            <w:noProof/>
            <w:webHidden/>
          </w:rPr>
          <w:fldChar w:fldCharType="begin"/>
        </w:r>
        <w:r w:rsidR="0048531E">
          <w:rPr>
            <w:noProof/>
            <w:webHidden/>
          </w:rPr>
          <w:instrText xml:space="preserve"> PAGEREF _Toc121489509 \h </w:instrText>
        </w:r>
        <w:r w:rsidR="0048531E">
          <w:rPr>
            <w:noProof/>
            <w:webHidden/>
          </w:rPr>
        </w:r>
        <w:r w:rsidR="0048531E">
          <w:rPr>
            <w:noProof/>
            <w:webHidden/>
          </w:rPr>
          <w:fldChar w:fldCharType="separate"/>
        </w:r>
        <w:r w:rsidR="00061096">
          <w:rPr>
            <w:noProof/>
            <w:webHidden/>
          </w:rPr>
          <w:t>89</w:t>
        </w:r>
        <w:r w:rsidR="0048531E">
          <w:rPr>
            <w:noProof/>
            <w:webHidden/>
          </w:rPr>
          <w:fldChar w:fldCharType="end"/>
        </w:r>
      </w:hyperlink>
    </w:p>
    <w:p w14:paraId="5BD55770" w14:textId="6AEF146F" w:rsidR="0048531E" w:rsidRDefault="00000000">
      <w:pPr>
        <w:pStyle w:val="TableofFigures"/>
        <w:tabs>
          <w:tab w:val="right" w:leader="dot" w:pos="9350"/>
        </w:tabs>
        <w:rPr>
          <w:rFonts w:asciiTheme="minorHAnsi" w:eastAsiaTheme="minorEastAsia" w:hAnsiTheme="minorHAnsi"/>
          <w:noProof/>
        </w:rPr>
      </w:pPr>
      <w:hyperlink w:anchor="_Toc121489510" w:history="1">
        <w:r w:rsidR="0048531E" w:rsidRPr="004173CB">
          <w:rPr>
            <w:rStyle w:val="Hyperlink"/>
            <w:rFonts w:cs="Times New Roman"/>
            <w:noProof/>
          </w:rPr>
          <w:t>Figure 4</w:t>
        </w:r>
        <w:r w:rsidR="0048531E" w:rsidRPr="004173CB">
          <w:rPr>
            <w:rStyle w:val="Hyperlink"/>
            <w:rFonts w:cs="Times New Roman"/>
            <w:noProof/>
          </w:rPr>
          <w:noBreakHyphen/>
          <w:t>15 Effluent pH results from horizontal column experiments.</w:t>
        </w:r>
        <w:r w:rsidR="0048531E">
          <w:rPr>
            <w:noProof/>
            <w:webHidden/>
          </w:rPr>
          <w:tab/>
        </w:r>
        <w:r w:rsidR="0048531E">
          <w:rPr>
            <w:noProof/>
            <w:webHidden/>
          </w:rPr>
          <w:fldChar w:fldCharType="begin"/>
        </w:r>
        <w:r w:rsidR="0048531E">
          <w:rPr>
            <w:noProof/>
            <w:webHidden/>
          </w:rPr>
          <w:instrText xml:space="preserve"> PAGEREF _Toc121489510 \h </w:instrText>
        </w:r>
        <w:r w:rsidR="0048531E">
          <w:rPr>
            <w:noProof/>
            <w:webHidden/>
          </w:rPr>
        </w:r>
        <w:r w:rsidR="0048531E">
          <w:rPr>
            <w:noProof/>
            <w:webHidden/>
          </w:rPr>
          <w:fldChar w:fldCharType="separate"/>
        </w:r>
        <w:r w:rsidR="00061096">
          <w:rPr>
            <w:noProof/>
            <w:webHidden/>
          </w:rPr>
          <w:t>92</w:t>
        </w:r>
        <w:r w:rsidR="0048531E">
          <w:rPr>
            <w:noProof/>
            <w:webHidden/>
          </w:rPr>
          <w:fldChar w:fldCharType="end"/>
        </w:r>
      </w:hyperlink>
    </w:p>
    <w:p w14:paraId="22885D00" w14:textId="3E2C5DA3" w:rsidR="0048531E" w:rsidRDefault="00000000">
      <w:pPr>
        <w:pStyle w:val="TableofFigures"/>
        <w:tabs>
          <w:tab w:val="right" w:leader="dot" w:pos="9350"/>
        </w:tabs>
        <w:rPr>
          <w:rFonts w:asciiTheme="minorHAnsi" w:eastAsiaTheme="minorEastAsia" w:hAnsiTheme="minorHAnsi"/>
          <w:noProof/>
        </w:rPr>
      </w:pPr>
      <w:hyperlink w:anchor="_Toc121489511" w:history="1">
        <w:r w:rsidR="0048531E" w:rsidRPr="004173CB">
          <w:rPr>
            <w:rStyle w:val="Hyperlink"/>
            <w:rFonts w:cs="Times New Roman"/>
            <w:noProof/>
          </w:rPr>
          <w:t>Figure 4</w:t>
        </w:r>
        <w:r w:rsidR="0048531E" w:rsidRPr="004173CB">
          <w:rPr>
            <w:rStyle w:val="Hyperlink"/>
            <w:rFonts w:cs="Times New Roman"/>
            <w:noProof/>
          </w:rPr>
          <w:noBreakHyphen/>
          <w:t>16 Effluent specific conductivity results in horizontal column experiments.</w:t>
        </w:r>
        <w:r w:rsidR="0048531E">
          <w:rPr>
            <w:noProof/>
            <w:webHidden/>
          </w:rPr>
          <w:tab/>
        </w:r>
        <w:r w:rsidR="0048531E">
          <w:rPr>
            <w:noProof/>
            <w:webHidden/>
          </w:rPr>
          <w:fldChar w:fldCharType="begin"/>
        </w:r>
        <w:r w:rsidR="0048531E">
          <w:rPr>
            <w:noProof/>
            <w:webHidden/>
          </w:rPr>
          <w:instrText xml:space="preserve"> PAGEREF _Toc121489511 \h </w:instrText>
        </w:r>
        <w:r w:rsidR="0048531E">
          <w:rPr>
            <w:noProof/>
            <w:webHidden/>
          </w:rPr>
        </w:r>
        <w:r w:rsidR="0048531E">
          <w:rPr>
            <w:noProof/>
            <w:webHidden/>
          </w:rPr>
          <w:fldChar w:fldCharType="separate"/>
        </w:r>
        <w:r w:rsidR="00061096">
          <w:rPr>
            <w:noProof/>
            <w:webHidden/>
          </w:rPr>
          <w:t>93</w:t>
        </w:r>
        <w:r w:rsidR="0048531E">
          <w:rPr>
            <w:noProof/>
            <w:webHidden/>
          </w:rPr>
          <w:fldChar w:fldCharType="end"/>
        </w:r>
      </w:hyperlink>
    </w:p>
    <w:p w14:paraId="64647F65" w14:textId="71F59989" w:rsidR="0048531E" w:rsidRDefault="00000000">
      <w:pPr>
        <w:pStyle w:val="TableofFigures"/>
        <w:tabs>
          <w:tab w:val="right" w:leader="dot" w:pos="9350"/>
        </w:tabs>
        <w:rPr>
          <w:rFonts w:asciiTheme="minorHAnsi" w:eastAsiaTheme="minorEastAsia" w:hAnsiTheme="minorHAnsi"/>
          <w:noProof/>
        </w:rPr>
      </w:pPr>
      <w:hyperlink w:anchor="_Toc121489512" w:history="1">
        <w:r w:rsidR="0048531E" w:rsidRPr="004173CB">
          <w:rPr>
            <w:rStyle w:val="Hyperlink"/>
            <w:rFonts w:cs="Times New Roman"/>
            <w:noProof/>
          </w:rPr>
          <w:t>Figure 4</w:t>
        </w:r>
        <w:r w:rsidR="0048531E" w:rsidRPr="004173CB">
          <w:rPr>
            <w:rStyle w:val="Hyperlink"/>
            <w:rFonts w:cs="Times New Roman"/>
            <w:noProof/>
          </w:rPr>
          <w:noBreakHyphen/>
          <w:t>17 Dissolved As</w:t>
        </w:r>
        <w:r w:rsidR="0048531E" w:rsidRPr="004173CB">
          <w:rPr>
            <w:rStyle w:val="Hyperlink"/>
            <w:rFonts w:cs="Times New Roman"/>
            <w:noProof/>
            <w:vertAlign w:val="superscript"/>
          </w:rPr>
          <w:t>+5</w:t>
        </w:r>
        <w:r w:rsidR="0048531E" w:rsidRPr="004173CB">
          <w:rPr>
            <w:rStyle w:val="Hyperlink"/>
            <w:rFonts w:cs="Times New Roman"/>
            <w:noProof/>
          </w:rPr>
          <w:t xml:space="preserve"> removal in horizontal column experiments as demonstrated by the influent-effluent ratio as defined by effluent concentration (C</w:t>
        </w:r>
        <w:r w:rsidR="0048531E" w:rsidRPr="004173CB">
          <w:rPr>
            <w:rStyle w:val="Hyperlink"/>
            <w:rFonts w:cs="Times New Roman"/>
            <w:noProof/>
            <w:vertAlign w:val="subscript"/>
          </w:rPr>
          <w:t>eff</w:t>
        </w:r>
        <w:r w:rsidR="0048531E" w:rsidRPr="004173CB">
          <w:rPr>
            <w:rStyle w:val="Hyperlink"/>
            <w:rFonts w:cs="Times New Roman"/>
            <w:noProof/>
          </w:rPr>
          <w:t>) divided by influent concentration (C</w:t>
        </w:r>
        <w:r w:rsidR="0048531E" w:rsidRPr="004173CB">
          <w:rPr>
            <w:rStyle w:val="Hyperlink"/>
            <w:rFonts w:cs="Times New Roman"/>
            <w:noProof/>
            <w:vertAlign w:val="subscript"/>
          </w:rPr>
          <w:t>in</w:t>
        </w:r>
        <w:r w:rsidR="0048531E" w:rsidRPr="004173CB">
          <w:rPr>
            <w:rStyle w:val="Hyperlink"/>
            <w:rFonts w:cs="Times New Roman"/>
            <w:noProof/>
          </w:rPr>
          <w:t>) and plotted against volume passed.</w:t>
        </w:r>
        <w:r w:rsidR="0048531E">
          <w:rPr>
            <w:noProof/>
            <w:webHidden/>
          </w:rPr>
          <w:tab/>
        </w:r>
        <w:r w:rsidR="0048531E">
          <w:rPr>
            <w:noProof/>
            <w:webHidden/>
          </w:rPr>
          <w:fldChar w:fldCharType="begin"/>
        </w:r>
        <w:r w:rsidR="0048531E">
          <w:rPr>
            <w:noProof/>
            <w:webHidden/>
          </w:rPr>
          <w:instrText xml:space="preserve"> PAGEREF _Toc121489512 \h </w:instrText>
        </w:r>
        <w:r w:rsidR="0048531E">
          <w:rPr>
            <w:noProof/>
            <w:webHidden/>
          </w:rPr>
        </w:r>
        <w:r w:rsidR="0048531E">
          <w:rPr>
            <w:noProof/>
            <w:webHidden/>
          </w:rPr>
          <w:fldChar w:fldCharType="separate"/>
        </w:r>
        <w:r w:rsidR="00061096">
          <w:rPr>
            <w:noProof/>
            <w:webHidden/>
          </w:rPr>
          <w:t>96</w:t>
        </w:r>
        <w:r w:rsidR="0048531E">
          <w:rPr>
            <w:noProof/>
            <w:webHidden/>
          </w:rPr>
          <w:fldChar w:fldCharType="end"/>
        </w:r>
      </w:hyperlink>
    </w:p>
    <w:p w14:paraId="7E7840F2" w14:textId="60A4EBB0" w:rsidR="0048531E" w:rsidRDefault="00000000">
      <w:pPr>
        <w:pStyle w:val="TableofFigures"/>
        <w:tabs>
          <w:tab w:val="right" w:leader="dot" w:pos="9350"/>
        </w:tabs>
        <w:rPr>
          <w:rFonts w:asciiTheme="minorHAnsi" w:eastAsiaTheme="minorEastAsia" w:hAnsiTheme="minorHAnsi"/>
          <w:noProof/>
        </w:rPr>
      </w:pPr>
      <w:hyperlink w:anchor="_Toc121489513" w:history="1">
        <w:r w:rsidR="0048531E" w:rsidRPr="004173CB">
          <w:rPr>
            <w:rStyle w:val="Hyperlink"/>
            <w:rFonts w:cs="Times New Roman"/>
            <w:noProof/>
          </w:rPr>
          <w:t>Figure 4</w:t>
        </w:r>
        <w:r w:rsidR="0048531E" w:rsidRPr="004173CB">
          <w:rPr>
            <w:rStyle w:val="Hyperlink"/>
            <w:rFonts w:cs="Times New Roman"/>
            <w:noProof/>
          </w:rPr>
          <w:noBreakHyphen/>
          <w:t>18 Acetamiprid removal in horizontal column experiments as demonstrated by the influent-effluent ratio as defined by effluent concentration (C</w:t>
        </w:r>
        <w:r w:rsidR="0048531E" w:rsidRPr="004173CB">
          <w:rPr>
            <w:rStyle w:val="Hyperlink"/>
            <w:rFonts w:cs="Times New Roman"/>
            <w:noProof/>
            <w:vertAlign w:val="subscript"/>
          </w:rPr>
          <w:t>eff</w:t>
        </w:r>
        <w:r w:rsidR="0048531E" w:rsidRPr="004173CB">
          <w:rPr>
            <w:rStyle w:val="Hyperlink"/>
            <w:rFonts w:cs="Times New Roman"/>
            <w:noProof/>
          </w:rPr>
          <w:t>) divided by influent concentration (C</w:t>
        </w:r>
        <w:r w:rsidR="0048531E" w:rsidRPr="004173CB">
          <w:rPr>
            <w:rStyle w:val="Hyperlink"/>
            <w:rFonts w:cs="Times New Roman"/>
            <w:noProof/>
            <w:vertAlign w:val="subscript"/>
          </w:rPr>
          <w:t>in</w:t>
        </w:r>
        <w:r w:rsidR="0048531E" w:rsidRPr="004173CB">
          <w:rPr>
            <w:rStyle w:val="Hyperlink"/>
            <w:rFonts w:cs="Times New Roman"/>
            <w:noProof/>
          </w:rPr>
          <w:t>) and plotted against volume passed.</w:t>
        </w:r>
        <w:r w:rsidR="0048531E">
          <w:rPr>
            <w:noProof/>
            <w:webHidden/>
          </w:rPr>
          <w:tab/>
        </w:r>
        <w:r w:rsidR="0048531E">
          <w:rPr>
            <w:noProof/>
            <w:webHidden/>
          </w:rPr>
          <w:fldChar w:fldCharType="begin"/>
        </w:r>
        <w:r w:rsidR="0048531E">
          <w:rPr>
            <w:noProof/>
            <w:webHidden/>
          </w:rPr>
          <w:instrText xml:space="preserve"> PAGEREF _Toc121489513 \h </w:instrText>
        </w:r>
        <w:r w:rsidR="0048531E">
          <w:rPr>
            <w:noProof/>
            <w:webHidden/>
          </w:rPr>
        </w:r>
        <w:r w:rsidR="0048531E">
          <w:rPr>
            <w:noProof/>
            <w:webHidden/>
          </w:rPr>
          <w:fldChar w:fldCharType="separate"/>
        </w:r>
        <w:r w:rsidR="00061096">
          <w:rPr>
            <w:noProof/>
            <w:webHidden/>
          </w:rPr>
          <w:t>98</w:t>
        </w:r>
        <w:r w:rsidR="0048531E">
          <w:rPr>
            <w:noProof/>
            <w:webHidden/>
          </w:rPr>
          <w:fldChar w:fldCharType="end"/>
        </w:r>
      </w:hyperlink>
    </w:p>
    <w:p w14:paraId="66607C66" w14:textId="46AD2FFE" w:rsidR="0048531E" w:rsidRDefault="00000000">
      <w:pPr>
        <w:pStyle w:val="TableofFigures"/>
        <w:tabs>
          <w:tab w:val="right" w:leader="dot" w:pos="9350"/>
        </w:tabs>
        <w:rPr>
          <w:rFonts w:asciiTheme="minorHAnsi" w:eastAsiaTheme="minorEastAsia" w:hAnsiTheme="minorHAnsi"/>
          <w:noProof/>
        </w:rPr>
      </w:pPr>
      <w:hyperlink w:anchor="_Toc121489514" w:history="1">
        <w:r w:rsidR="0048531E" w:rsidRPr="004173CB">
          <w:rPr>
            <w:rStyle w:val="Hyperlink"/>
            <w:rFonts w:cs="Times New Roman"/>
            <w:noProof/>
          </w:rPr>
          <w:t>Figure 4</w:t>
        </w:r>
        <w:r w:rsidR="0048531E" w:rsidRPr="004173CB">
          <w:rPr>
            <w:rStyle w:val="Hyperlink"/>
            <w:rFonts w:cs="Times New Roman"/>
            <w:noProof/>
          </w:rPr>
          <w:noBreakHyphen/>
          <w:t>19 Dinotefuran removal in horizontal column experiments as demonstrated by the influent-effluent ratio as defined by effluent concentration (C</w:t>
        </w:r>
        <w:r w:rsidR="0048531E" w:rsidRPr="004173CB">
          <w:rPr>
            <w:rStyle w:val="Hyperlink"/>
            <w:rFonts w:cs="Times New Roman"/>
            <w:noProof/>
            <w:vertAlign w:val="subscript"/>
          </w:rPr>
          <w:t>eff</w:t>
        </w:r>
        <w:r w:rsidR="0048531E" w:rsidRPr="004173CB">
          <w:rPr>
            <w:rStyle w:val="Hyperlink"/>
            <w:rFonts w:cs="Times New Roman"/>
            <w:noProof/>
          </w:rPr>
          <w:t>) divided by influent concentration (C</w:t>
        </w:r>
        <w:r w:rsidR="0048531E" w:rsidRPr="004173CB">
          <w:rPr>
            <w:rStyle w:val="Hyperlink"/>
            <w:rFonts w:cs="Times New Roman"/>
            <w:noProof/>
            <w:vertAlign w:val="subscript"/>
          </w:rPr>
          <w:t>in</w:t>
        </w:r>
        <w:r w:rsidR="0048531E" w:rsidRPr="004173CB">
          <w:rPr>
            <w:rStyle w:val="Hyperlink"/>
            <w:rFonts w:cs="Times New Roman"/>
            <w:noProof/>
          </w:rPr>
          <w:t>) and plotted against volume passed.</w:t>
        </w:r>
        <w:r w:rsidR="0048531E">
          <w:rPr>
            <w:noProof/>
            <w:webHidden/>
          </w:rPr>
          <w:tab/>
        </w:r>
        <w:r w:rsidR="0048531E">
          <w:rPr>
            <w:noProof/>
            <w:webHidden/>
          </w:rPr>
          <w:fldChar w:fldCharType="begin"/>
        </w:r>
        <w:r w:rsidR="0048531E">
          <w:rPr>
            <w:noProof/>
            <w:webHidden/>
          </w:rPr>
          <w:instrText xml:space="preserve"> PAGEREF _Toc121489514 \h </w:instrText>
        </w:r>
        <w:r w:rsidR="0048531E">
          <w:rPr>
            <w:noProof/>
            <w:webHidden/>
          </w:rPr>
        </w:r>
        <w:r w:rsidR="0048531E">
          <w:rPr>
            <w:noProof/>
            <w:webHidden/>
          </w:rPr>
          <w:fldChar w:fldCharType="separate"/>
        </w:r>
        <w:r w:rsidR="00061096">
          <w:rPr>
            <w:noProof/>
            <w:webHidden/>
          </w:rPr>
          <w:t>99</w:t>
        </w:r>
        <w:r w:rsidR="0048531E">
          <w:rPr>
            <w:noProof/>
            <w:webHidden/>
          </w:rPr>
          <w:fldChar w:fldCharType="end"/>
        </w:r>
      </w:hyperlink>
    </w:p>
    <w:p w14:paraId="1E9131E5" w14:textId="78A5346D" w:rsidR="0048531E" w:rsidRDefault="00000000">
      <w:pPr>
        <w:pStyle w:val="TableofFigures"/>
        <w:tabs>
          <w:tab w:val="right" w:leader="dot" w:pos="9350"/>
        </w:tabs>
        <w:rPr>
          <w:rFonts w:asciiTheme="minorHAnsi" w:eastAsiaTheme="minorEastAsia" w:hAnsiTheme="minorHAnsi"/>
          <w:noProof/>
        </w:rPr>
      </w:pPr>
      <w:hyperlink w:anchor="_Toc121489515" w:history="1">
        <w:r w:rsidR="0048531E" w:rsidRPr="004173CB">
          <w:rPr>
            <w:rStyle w:val="Hyperlink"/>
            <w:rFonts w:cs="Times New Roman"/>
            <w:noProof/>
          </w:rPr>
          <w:t>Figure 4</w:t>
        </w:r>
        <w:r w:rsidR="0048531E" w:rsidRPr="004173CB">
          <w:rPr>
            <w:rStyle w:val="Hyperlink"/>
            <w:rFonts w:cs="Times New Roman"/>
            <w:noProof/>
          </w:rPr>
          <w:noBreakHyphen/>
          <w:t>20 Imidacloprid removal in horizontal column experiments as demonstrated by the influent-effluent ratio as defined by effluent concentration (C</w:t>
        </w:r>
        <w:r w:rsidR="0048531E" w:rsidRPr="004173CB">
          <w:rPr>
            <w:rStyle w:val="Hyperlink"/>
            <w:rFonts w:cs="Times New Roman"/>
            <w:noProof/>
            <w:vertAlign w:val="subscript"/>
          </w:rPr>
          <w:t>eff</w:t>
        </w:r>
        <w:r w:rsidR="0048531E" w:rsidRPr="004173CB">
          <w:rPr>
            <w:rStyle w:val="Hyperlink"/>
            <w:rFonts w:cs="Times New Roman"/>
            <w:noProof/>
          </w:rPr>
          <w:t>) divided by influent concentration (C</w:t>
        </w:r>
        <w:r w:rsidR="0048531E" w:rsidRPr="004173CB">
          <w:rPr>
            <w:rStyle w:val="Hyperlink"/>
            <w:rFonts w:cs="Times New Roman"/>
            <w:noProof/>
            <w:vertAlign w:val="subscript"/>
          </w:rPr>
          <w:t>in</w:t>
        </w:r>
        <w:r w:rsidR="0048531E" w:rsidRPr="004173CB">
          <w:rPr>
            <w:rStyle w:val="Hyperlink"/>
            <w:rFonts w:cs="Times New Roman"/>
            <w:noProof/>
          </w:rPr>
          <w:t>) and plotted against volume passed.</w:t>
        </w:r>
        <w:r w:rsidR="0048531E">
          <w:rPr>
            <w:noProof/>
            <w:webHidden/>
          </w:rPr>
          <w:tab/>
        </w:r>
        <w:r w:rsidR="0048531E">
          <w:rPr>
            <w:noProof/>
            <w:webHidden/>
          </w:rPr>
          <w:fldChar w:fldCharType="begin"/>
        </w:r>
        <w:r w:rsidR="0048531E">
          <w:rPr>
            <w:noProof/>
            <w:webHidden/>
          </w:rPr>
          <w:instrText xml:space="preserve"> PAGEREF _Toc121489515 \h </w:instrText>
        </w:r>
        <w:r w:rsidR="0048531E">
          <w:rPr>
            <w:noProof/>
            <w:webHidden/>
          </w:rPr>
        </w:r>
        <w:r w:rsidR="0048531E">
          <w:rPr>
            <w:noProof/>
            <w:webHidden/>
          </w:rPr>
          <w:fldChar w:fldCharType="separate"/>
        </w:r>
        <w:r w:rsidR="00061096">
          <w:rPr>
            <w:noProof/>
            <w:webHidden/>
          </w:rPr>
          <w:t>100</w:t>
        </w:r>
        <w:r w:rsidR="0048531E">
          <w:rPr>
            <w:noProof/>
            <w:webHidden/>
          </w:rPr>
          <w:fldChar w:fldCharType="end"/>
        </w:r>
      </w:hyperlink>
    </w:p>
    <w:p w14:paraId="4333D3B1" w14:textId="49386580" w:rsidR="0048531E" w:rsidRDefault="00000000">
      <w:pPr>
        <w:pStyle w:val="TableofFigures"/>
        <w:tabs>
          <w:tab w:val="right" w:leader="dot" w:pos="9350"/>
        </w:tabs>
        <w:rPr>
          <w:rFonts w:asciiTheme="minorHAnsi" w:eastAsiaTheme="minorEastAsia" w:hAnsiTheme="minorHAnsi"/>
          <w:noProof/>
        </w:rPr>
      </w:pPr>
      <w:hyperlink w:anchor="_Toc121489516" w:history="1">
        <w:r w:rsidR="0048531E" w:rsidRPr="004173CB">
          <w:rPr>
            <w:rStyle w:val="Hyperlink"/>
            <w:rFonts w:cs="Times New Roman"/>
            <w:noProof/>
          </w:rPr>
          <w:t>Figure 4</w:t>
        </w:r>
        <w:r w:rsidR="0048531E" w:rsidRPr="004173CB">
          <w:rPr>
            <w:rStyle w:val="Hyperlink"/>
            <w:rFonts w:cs="Times New Roman"/>
            <w:noProof/>
          </w:rPr>
          <w:noBreakHyphen/>
          <w:t>21 Phosphorus removal in horizontal column experiments as demonstrated by the influent-effluent ratio as defined by effluent concentration (C</w:t>
        </w:r>
        <w:r w:rsidR="0048531E" w:rsidRPr="004173CB">
          <w:rPr>
            <w:rStyle w:val="Hyperlink"/>
            <w:rFonts w:cs="Times New Roman"/>
            <w:noProof/>
            <w:vertAlign w:val="subscript"/>
          </w:rPr>
          <w:t>eff</w:t>
        </w:r>
        <w:r w:rsidR="0048531E" w:rsidRPr="004173CB">
          <w:rPr>
            <w:rStyle w:val="Hyperlink"/>
            <w:rFonts w:cs="Times New Roman"/>
            <w:noProof/>
          </w:rPr>
          <w:t>) divided by influent concentration (C</w:t>
        </w:r>
        <w:r w:rsidR="0048531E" w:rsidRPr="004173CB">
          <w:rPr>
            <w:rStyle w:val="Hyperlink"/>
            <w:rFonts w:cs="Times New Roman"/>
            <w:noProof/>
            <w:vertAlign w:val="subscript"/>
          </w:rPr>
          <w:t>in</w:t>
        </w:r>
        <w:r w:rsidR="0048531E" w:rsidRPr="004173CB">
          <w:rPr>
            <w:rStyle w:val="Hyperlink"/>
            <w:rFonts w:cs="Times New Roman"/>
            <w:noProof/>
          </w:rPr>
          <w:t>) and plotted against volume passed.</w:t>
        </w:r>
        <w:r w:rsidR="0048531E">
          <w:rPr>
            <w:noProof/>
            <w:webHidden/>
          </w:rPr>
          <w:tab/>
        </w:r>
        <w:r w:rsidR="0048531E">
          <w:rPr>
            <w:noProof/>
            <w:webHidden/>
          </w:rPr>
          <w:fldChar w:fldCharType="begin"/>
        </w:r>
        <w:r w:rsidR="0048531E">
          <w:rPr>
            <w:noProof/>
            <w:webHidden/>
          </w:rPr>
          <w:instrText xml:space="preserve"> PAGEREF _Toc121489516 \h </w:instrText>
        </w:r>
        <w:r w:rsidR="0048531E">
          <w:rPr>
            <w:noProof/>
            <w:webHidden/>
          </w:rPr>
        </w:r>
        <w:r w:rsidR="0048531E">
          <w:rPr>
            <w:noProof/>
            <w:webHidden/>
          </w:rPr>
          <w:fldChar w:fldCharType="separate"/>
        </w:r>
        <w:r w:rsidR="00061096">
          <w:rPr>
            <w:noProof/>
            <w:webHidden/>
          </w:rPr>
          <w:t>102</w:t>
        </w:r>
        <w:r w:rsidR="0048531E">
          <w:rPr>
            <w:noProof/>
            <w:webHidden/>
          </w:rPr>
          <w:fldChar w:fldCharType="end"/>
        </w:r>
      </w:hyperlink>
    </w:p>
    <w:p w14:paraId="364CFB4D" w14:textId="31971259" w:rsidR="0048531E" w:rsidRDefault="00000000">
      <w:pPr>
        <w:pStyle w:val="TableofFigures"/>
        <w:tabs>
          <w:tab w:val="right" w:leader="dot" w:pos="9350"/>
        </w:tabs>
        <w:rPr>
          <w:rFonts w:asciiTheme="minorHAnsi" w:eastAsiaTheme="minorEastAsia" w:hAnsiTheme="minorHAnsi"/>
          <w:noProof/>
        </w:rPr>
      </w:pPr>
      <w:hyperlink w:anchor="_Toc121489517" w:history="1">
        <w:r w:rsidR="0048531E" w:rsidRPr="004173CB">
          <w:rPr>
            <w:rStyle w:val="Hyperlink"/>
            <w:rFonts w:cs="Times New Roman"/>
            <w:noProof/>
          </w:rPr>
          <w:t>Figure 4</w:t>
        </w:r>
        <w:r w:rsidR="0048531E" w:rsidRPr="004173CB">
          <w:rPr>
            <w:rStyle w:val="Hyperlink"/>
            <w:rFonts w:cs="Times New Roman"/>
            <w:noProof/>
          </w:rPr>
          <w:noBreakHyphen/>
          <w:t>22 Comparison of column orientation on the mass removal rate (MRR) of As</w:t>
        </w:r>
        <w:r w:rsidR="0048531E" w:rsidRPr="004173CB">
          <w:rPr>
            <w:rStyle w:val="Hyperlink"/>
            <w:rFonts w:cs="Times New Roman"/>
            <w:noProof/>
            <w:vertAlign w:val="superscript"/>
          </w:rPr>
          <w:t>+5</w:t>
        </w:r>
        <w:r w:rsidR="0048531E" w:rsidRPr="004173CB">
          <w:rPr>
            <w:rStyle w:val="Hyperlink"/>
            <w:rFonts w:cs="Times New Roman"/>
            <w:noProof/>
          </w:rPr>
          <w:t xml:space="preserve"> per media volume (MV) of small steel slag against cumulative As</w:t>
        </w:r>
        <w:r w:rsidR="0048531E" w:rsidRPr="004173CB">
          <w:rPr>
            <w:rStyle w:val="Hyperlink"/>
            <w:rFonts w:cs="Times New Roman"/>
            <w:noProof/>
            <w:vertAlign w:val="superscript"/>
          </w:rPr>
          <w:t>+5</w:t>
        </w:r>
        <w:r w:rsidR="0048531E" w:rsidRPr="004173CB">
          <w:rPr>
            <w:rStyle w:val="Hyperlink"/>
            <w:rFonts w:cs="Times New Roman"/>
            <w:noProof/>
          </w:rPr>
          <w:t xml:space="preserve"> input.</w:t>
        </w:r>
        <w:r w:rsidR="0048531E">
          <w:rPr>
            <w:noProof/>
            <w:webHidden/>
          </w:rPr>
          <w:tab/>
        </w:r>
        <w:r w:rsidR="0048531E">
          <w:rPr>
            <w:noProof/>
            <w:webHidden/>
          </w:rPr>
          <w:fldChar w:fldCharType="begin"/>
        </w:r>
        <w:r w:rsidR="0048531E">
          <w:rPr>
            <w:noProof/>
            <w:webHidden/>
          </w:rPr>
          <w:instrText xml:space="preserve"> PAGEREF _Toc121489517 \h </w:instrText>
        </w:r>
        <w:r w:rsidR="0048531E">
          <w:rPr>
            <w:noProof/>
            <w:webHidden/>
          </w:rPr>
        </w:r>
        <w:r w:rsidR="0048531E">
          <w:rPr>
            <w:noProof/>
            <w:webHidden/>
          </w:rPr>
          <w:fldChar w:fldCharType="separate"/>
        </w:r>
        <w:r w:rsidR="00061096">
          <w:rPr>
            <w:noProof/>
            <w:webHidden/>
          </w:rPr>
          <w:t>104</w:t>
        </w:r>
        <w:r w:rsidR="0048531E">
          <w:rPr>
            <w:noProof/>
            <w:webHidden/>
          </w:rPr>
          <w:fldChar w:fldCharType="end"/>
        </w:r>
      </w:hyperlink>
    </w:p>
    <w:p w14:paraId="4251962F" w14:textId="3AEECF0E" w:rsidR="0048531E" w:rsidRDefault="00000000">
      <w:pPr>
        <w:pStyle w:val="TableofFigures"/>
        <w:tabs>
          <w:tab w:val="right" w:leader="dot" w:pos="9350"/>
        </w:tabs>
        <w:rPr>
          <w:rFonts w:asciiTheme="minorHAnsi" w:eastAsiaTheme="minorEastAsia" w:hAnsiTheme="minorHAnsi"/>
          <w:noProof/>
        </w:rPr>
      </w:pPr>
      <w:hyperlink w:anchor="_Toc121489518" w:history="1">
        <w:r w:rsidR="0048531E" w:rsidRPr="004173CB">
          <w:rPr>
            <w:rStyle w:val="Hyperlink"/>
            <w:rFonts w:cs="Times New Roman"/>
            <w:noProof/>
          </w:rPr>
          <w:t>Figure 4</w:t>
        </w:r>
        <w:r w:rsidR="0048531E" w:rsidRPr="004173CB">
          <w:rPr>
            <w:rStyle w:val="Hyperlink"/>
            <w:rFonts w:cs="Times New Roman"/>
            <w:noProof/>
          </w:rPr>
          <w:noBreakHyphen/>
          <w:t>23 Comparison of column orientation on the mass removal rate (MRR) of As</w:t>
        </w:r>
        <w:r w:rsidR="0048531E" w:rsidRPr="004173CB">
          <w:rPr>
            <w:rStyle w:val="Hyperlink"/>
            <w:rFonts w:cs="Times New Roman"/>
            <w:noProof/>
            <w:vertAlign w:val="superscript"/>
          </w:rPr>
          <w:t>+5</w:t>
        </w:r>
        <w:r w:rsidR="0048531E" w:rsidRPr="004173CB">
          <w:rPr>
            <w:rStyle w:val="Hyperlink"/>
            <w:rFonts w:cs="Times New Roman"/>
            <w:noProof/>
          </w:rPr>
          <w:t xml:space="preserve"> per media volume (MV) of small aggregated fly ash against cumulative As</w:t>
        </w:r>
        <w:r w:rsidR="0048531E" w:rsidRPr="004173CB">
          <w:rPr>
            <w:rStyle w:val="Hyperlink"/>
            <w:rFonts w:cs="Times New Roman"/>
            <w:noProof/>
            <w:vertAlign w:val="superscript"/>
          </w:rPr>
          <w:t xml:space="preserve">+5 </w:t>
        </w:r>
        <w:r w:rsidR="0048531E" w:rsidRPr="004173CB">
          <w:rPr>
            <w:rStyle w:val="Hyperlink"/>
            <w:rFonts w:cs="Times New Roman"/>
            <w:noProof/>
          </w:rPr>
          <w:t>input.</w:t>
        </w:r>
        <w:r w:rsidR="0048531E">
          <w:rPr>
            <w:noProof/>
            <w:webHidden/>
          </w:rPr>
          <w:tab/>
        </w:r>
        <w:r w:rsidR="0048531E">
          <w:rPr>
            <w:noProof/>
            <w:webHidden/>
          </w:rPr>
          <w:fldChar w:fldCharType="begin"/>
        </w:r>
        <w:r w:rsidR="0048531E">
          <w:rPr>
            <w:noProof/>
            <w:webHidden/>
          </w:rPr>
          <w:instrText xml:space="preserve"> PAGEREF _Toc121489518 \h </w:instrText>
        </w:r>
        <w:r w:rsidR="0048531E">
          <w:rPr>
            <w:noProof/>
            <w:webHidden/>
          </w:rPr>
        </w:r>
        <w:r w:rsidR="0048531E">
          <w:rPr>
            <w:noProof/>
            <w:webHidden/>
          </w:rPr>
          <w:fldChar w:fldCharType="separate"/>
        </w:r>
        <w:r w:rsidR="00061096">
          <w:rPr>
            <w:noProof/>
            <w:webHidden/>
          </w:rPr>
          <w:t>106</w:t>
        </w:r>
        <w:r w:rsidR="0048531E">
          <w:rPr>
            <w:noProof/>
            <w:webHidden/>
          </w:rPr>
          <w:fldChar w:fldCharType="end"/>
        </w:r>
      </w:hyperlink>
    </w:p>
    <w:p w14:paraId="4EFB616A" w14:textId="2D73400C" w:rsidR="0048531E" w:rsidRDefault="00000000">
      <w:pPr>
        <w:pStyle w:val="TableofFigures"/>
        <w:tabs>
          <w:tab w:val="right" w:leader="dot" w:pos="9350"/>
        </w:tabs>
        <w:rPr>
          <w:rFonts w:asciiTheme="minorHAnsi" w:eastAsiaTheme="minorEastAsia" w:hAnsiTheme="minorHAnsi"/>
          <w:noProof/>
        </w:rPr>
      </w:pPr>
      <w:hyperlink w:anchor="_Toc121489519" w:history="1">
        <w:r w:rsidR="0048531E" w:rsidRPr="004173CB">
          <w:rPr>
            <w:rStyle w:val="Hyperlink"/>
            <w:rFonts w:cs="Times New Roman"/>
            <w:noProof/>
          </w:rPr>
          <w:t>Figure 4</w:t>
        </w:r>
        <w:r w:rsidR="0048531E" w:rsidRPr="004173CB">
          <w:rPr>
            <w:rStyle w:val="Hyperlink"/>
            <w:rFonts w:cs="Times New Roman"/>
            <w:noProof/>
          </w:rPr>
          <w:noBreakHyphen/>
          <w:t>24 Comparison of column orientation on the mass removal rate (MRR) of As</w:t>
        </w:r>
        <w:r w:rsidR="0048531E" w:rsidRPr="004173CB">
          <w:rPr>
            <w:rStyle w:val="Hyperlink"/>
            <w:rFonts w:cs="Times New Roman"/>
            <w:noProof/>
            <w:vertAlign w:val="superscript"/>
          </w:rPr>
          <w:t>+5</w:t>
        </w:r>
        <w:r w:rsidR="0048531E" w:rsidRPr="004173CB">
          <w:rPr>
            <w:rStyle w:val="Hyperlink"/>
            <w:rFonts w:cs="Times New Roman"/>
            <w:noProof/>
          </w:rPr>
          <w:t xml:space="preserve"> per media volume (MV) of small biochar against cumulative As</w:t>
        </w:r>
        <w:r w:rsidR="0048531E" w:rsidRPr="004173CB">
          <w:rPr>
            <w:rStyle w:val="Hyperlink"/>
            <w:rFonts w:cs="Times New Roman"/>
            <w:noProof/>
            <w:vertAlign w:val="superscript"/>
          </w:rPr>
          <w:t xml:space="preserve">+5 </w:t>
        </w:r>
        <w:r w:rsidR="0048531E" w:rsidRPr="004173CB">
          <w:rPr>
            <w:rStyle w:val="Hyperlink"/>
            <w:rFonts w:cs="Times New Roman"/>
            <w:noProof/>
          </w:rPr>
          <w:t>input.</w:t>
        </w:r>
        <w:r w:rsidR="0048531E">
          <w:rPr>
            <w:noProof/>
            <w:webHidden/>
          </w:rPr>
          <w:tab/>
        </w:r>
        <w:r w:rsidR="0048531E">
          <w:rPr>
            <w:noProof/>
            <w:webHidden/>
          </w:rPr>
          <w:fldChar w:fldCharType="begin"/>
        </w:r>
        <w:r w:rsidR="0048531E">
          <w:rPr>
            <w:noProof/>
            <w:webHidden/>
          </w:rPr>
          <w:instrText xml:space="preserve"> PAGEREF _Toc121489519 \h </w:instrText>
        </w:r>
        <w:r w:rsidR="0048531E">
          <w:rPr>
            <w:noProof/>
            <w:webHidden/>
          </w:rPr>
        </w:r>
        <w:r w:rsidR="0048531E">
          <w:rPr>
            <w:noProof/>
            <w:webHidden/>
          </w:rPr>
          <w:fldChar w:fldCharType="separate"/>
        </w:r>
        <w:r w:rsidR="00061096">
          <w:rPr>
            <w:noProof/>
            <w:webHidden/>
          </w:rPr>
          <w:t>108</w:t>
        </w:r>
        <w:r w:rsidR="0048531E">
          <w:rPr>
            <w:noProof/>
            <w:webHidden/>
          </w:rPr>
          <w:fldChar w:fldCharType="end"/>
        </w:r>
      </w:hyperlink>
    </w:p>
    <w:p w14:paraId="1CD4FF45" w14:textId="1E5E2B84" w:rsidR="0048531E" w:rsidRDefault="00000000">
      <w:pPr>
        <w:pStyle w:val="TableofFigures"/>
        <w:tabs>
          <w:tab w:val="right" w:leader="dot" w:pos="9350"/>
        </w:tabs>
        <w:rPr>
          <w:rFonts w:asciiTheme="minorHAnsi" w:eastAsiaTheme="minorEastAsia" w:hAnsiTheme="minorHAnsi"/>
          <w:noProof/>
        </w:rPr>
      </w:pPr>
      <w:hyperlink w:anchor="_Toc121489520" w:history="1">
        <w:r w:rsidR="0048531E" w:rsidRPr="004173CB">
          <w:rPr>
            <w:rStyle w:val="Hyperlink"/>
            <w:rFonts w:cs="Times New Roman"/>
            <w:noProof/>
          </w:rPr>
          <w:t>Figure 4</w:t>
        </w:r>
        <w:r w:rsidR="0048531E" w:rsidRPr="004173CB">
          <w:rPr>
            <w:rStyle w:val="Hyperlink"/>
            <w:rFonts w:cs="Times New Roman"/>
            <w:noProof/>
          </w:rPr>
          <w:noBreakHyphen/>
          <w:t>25 Comparison of column orientation on the mass removal rate (MRR) of</w:t>
        </w:r>
        <w:r w:rsidR="0048531E" w:rsidRPr="004173CB">
          <w:rPr>
            <w:rStyle w:val="Hyperlink"/>
            <w:rFonts w:cs="Times New Roman"/>
            <w:noProof/>
            <w:vertAlign w:val="superscript"/>
          </w:rPr>
          <w:t xml:space="preserve"> </w:t>
        </w:r>
        <w:r w:rsidR="0048531E" w:rsidRPr="004173CB">
          <w:rPr>
            <w:rStyle w:val="Hyperlink"/>
            <w:rFonts w:cs="Times New Roman"/>
            <w:noProof/>
          </w:rPr>
          <w:t>P per media volume (MV) of small steel slag against cumulative P input.</w:t>
        </w:r>
        <w:r w:rsidR="0048531E">
          <w:rPr>
            <w:noProof/>
            <w:webHidden/>
          </w:rPr>
          <w:tab/>
        </w:r>
        <w:r w:rsidR="0048531E">
          <w:rPr>
            <w:noProof/>
            <w:webHidden/>
          </w:rPr>
          <w:fldChar w:fldCharType="begin"/>
        </w:r>
        <w:r w:rsidR="0048531E">
          <w:rPr>
            <w:noProof/>
            <w:webHidden/>
          </w:rPr>
          <w:instrText xml:space="preserve"> PAGEREF _Toc121489520 \h </w:instrText>
        </w:r>
        <w:r w:rsidR="0048531E">
          <w:rPr>
            <w:noProof/>
            <w:webHidden/>
          </w:rPr>
        </w:r>
        <w:r w:rsidR="0048531E">
          <w:rPr>
            <w:noProof/>
            <w:webHidden/>
          </w:rPr>
          <w:fldChar w:fldCharType="separate"/>
        </w:r>
        <w:r w:rsidR="00061096">
          <w:rPr>
            <w:noProof/>
            <w:webHidden/>
          </w:rPr>
          <w:t>110</w:t>
        </w:r>
        <w:r w:rsidR="0048531E">
          <w:rPr>
            <w:noProof/>
            <w:webHidden/>
          </w:rPr>
          <w:fldChar w:fldCharType="end"/>
        </w:r>
      </w:hyperlink>
    </w:p>
    <w:p w14:paraId="3251B2CA" w14:textId="3E8F54F5" w:rsidR="0048531E" w:rsidRDefault="00000000">
      <w:pPr>
        <w:pStyle w:val="TableofFigures"/>
        <w:tabs>
          <w:tab w:val="right" w:leader="dot" w:pos="9350"/>
        </w:tabs>
        <w:rPr>
          <w:rFonts w:asciiTheme="minorHAnsi" w:eastAsiaTheme="minorEastAsia" w:hAnsiTheme="minorHAnsi"/>
          <w:noProof/>
        </w:rPr>
      </w:pPr>
      <w:hyperlink w:anchor="_Toc121489521" w:history="1">
        <w:r w:rsidR="0048531E" w:rsidRPr="004173CB">
          <w:rPr>
            <w:rStyle w:val="Hyperlink"/>
            <w:rFonts w:cs="Times New Roman"/>
            <w:noProof/>
          </w:rPr>
          <w:t>Figure 4</w:t>
        </w:r>
        <w:r w:rsidR="0048531E" w:rsidRPr="004173CB">
          <w:rPr>
            <w:rStyle w:val="Hyperlink"/>
            <w:rFonts w:cs="Times New Roman"/>
            <w:noProof/>
          </w:rPr>
          <w:noBreakHyphen/>
          <w:t>26 Comparison of column orientation on the mass removal rate (MRR) of</w:t>
        </w:r>
        <w:r w:rsidR="0048531E" w:rsidRPr="004173CB">
          <w:rPr>
            <w:rStyle w:val="Hyperlink"/>
            <w:rFonts w:cs="Times New Roman"/>
            <w:noProof/>
            <w:vertAlign w:val="superscript"/>
          </w:rPr>
          <w:t xml:space="preserve"> </w:t>
        </w:r>
        <w:r w:rsidR="0048531E" w:rsidRPr="004173CB">
          <w:rPr>
            <w:rStyle w:val="Hyperlink"/>
            <w:rFonts w:cs="Times New Roman"/>
            <w:noProof/>
          </w:rPr>
          <w:t>P per media volume (MV) of small aggregated fly ash against cumulative P input.</w:t>
        </w:r>
        <w:r w:rsidR="0048531E">
          <w:rPr>
            <w:noProof/>
            <w:webHidden/>
          </w:rPr>
          <w:tab/>
        </w:r>
        <w:r w:rsidR="0048531E">
          <w:rPr>
            <w:noProof/>
            <w:webHidden/>
          </w:rPr>
          <w:fldChar w:fldCharType="begin"/>
        </w:r>
        <w:r w:rsidR="0048531E">
          <w:rPr>
            <w:noProof/>
            <w:webHidden/>
          </w:rPr>
          <w:instrText xml:space="preserve"> PAGEREF _Toc121489521 \h </w:instrText>
        </w:r>
        <w:r w:rsidR="0048531E">
          <w:rPr>
            <w:noProof/>
            <w:webHidden/>
          </w:rPr>
        </w:r>
        <w:r w:rsidR="0048531E">
          <w:rPr>
            <w:noProof/>
            <w:webHidden/>
          </w:rPr>
          <w:fldChar w:fldCharType="separate"/>
        </w:r>
        <w:r w:rsidR="00061096">
          <w:rPr>
            <w:noProof/>
            <w:webHidden/>
          </w:rPr>
          <w:t>112</w:t>
        </w:r>
        <w:r w:rsidR="0048531E">
          <w:rPr>
            <w:noProof/>
            <w:webHidden/>
          </w:rPr>
          <w:fldChar w:fldCharType="end"/>
        </w:r>
      </w:hyperlink>
    </w:p>
    <w:p w14:paraId="0344B61F" w14:textId="707512A9" w:rsidR="0048531E" w:rsidRDefault="00000000">
      <w:pPr>
        <w:pStyle w:val="TableofFigures"/>
        <w:tabs>
          <w:tab w:val="right" w:leader="dot" w:pos="9350"/>
        </w:tabs>
        <w:rPr>
          <w:rFonts w:asciiTheme="minorHAnsi" w:eastAsiaTheme="minorEastAsia" w:hAnsiTheme="minorHAnsi"/>
          <w:noProof/>
        </w:rPr>
      </w:pPr>
      <w:hyperlink w:anchor="_Toc121489522" w:history="1">
        <w:r w:rsidR="0048531E" w:rsidRPr="004173CB">
          <w:rPr>
            <w:rStyle w:val="Hyperlink"/>
            <w:rFonts w:cs="Times New Roman"/>
            <w:noProof/>
          </w:rPr>
          <w:t>Figure 4</w:t>
        </w:r>
        <w:r w:rsidR="0048531E" w:rsidRPr="004173CB">
          <w:rPr>
            <w:rStyle w:val="Hyperlink"/>
            <w:rFonts w:cs="Times New Roman"/>
            <w:noProof/>
          </w:rPr>
          <w:noBreakHyphen/>
          <w:t>27 Comparison of column orientation on the mass removal rate (MRR) of</w:t>
        </w:r>
        <w:r w:rsidR="0048531E" w:rsidRPr="004173CB">
          <w:rPr>
            <w:rStyle w:val="Hyperlink"/>
            <w:rFonts w:cs="Times New Roman"/>
            <w:noProof/>
            <w:vertAlign w:val="superscript"/>
          </w:rPr>
          <w:t xml:space="preserve"> </w:t>
        </w:r>
        <w:r w:rsidR="0048531E" w:rsidRPr="004173CB">
          <w:rPr>
            <w:rStyle w:val="Hyperlink"/>
            <w:rFonts w:cs="Times New Roman"/>
            <w:noProof/>
          </w:rPr>
          <w:t>P per media volume (MV) of small biochar against cumulative P input.</w:t>
        </w:r>
        <w:r w:rsidR="0048531E">
          <w:rPr>
            <w:noProof/>
            <w:webHidden/>
          </w:rPr>
          <w:tab/>
        </w:r>
        <w:r w:rsidR="0048531E">
          <w:rPr>
            <w:noProof/>
            <w:webHidden/>
          </w:rPr>
          <w:fldChar w:fldCharType="begin"/>
        </w:r>
        <w:r w:rsidR="0048531E">
          <w:rPr>
            <w:noProof/>
            <w:webHidden/>
          </w:rPr>
          <w:instrText xml:space="preserve"> PAGEREF _Toc121489522 \h </w:instrText>
        </w:r>
        <w:r w:rsidR="0048531E">
          <w:rPr>
            <w:noProof/>
            <w:webHidden/>
          </w:rPr>
        </w:r>
        <w:r w:rsidR="0048531E">
          <w:rPr>
            <w:noProof/>
            <w:webHidden/>
          </w:rPr>
          <w:fldChar w:fldCharType="separate"/>
        </w:r>
        <w:r w:rsidR="00061096">
          <w:rPr>
            <w:noProof/>
            <w:webHidden/>
          </w:rPr>
          <w:t>114</w:t>
        </w:r>
        <w:r w:rsidR="0048531E">
          <w:rPr>
            <w:noProof/>
            <w:webHidden/>
          </w:rPr>
          <w:fldChar w:fldCharType="end"/>
        </w:r>
      </w:hyperlink>
    </w:p>
    <w:p w14:paraId="0C7B63A1" w14:textId="7E0B625A" w:rsidR="00CD7FC5" w:rsidRPr="00770477" w:rsidRDefault="00F4109F">
      <w:pPr>
        <w:spacing w:line="240" w:lineRule="auto"/>
        <w:rPr>
          <w:rFonts w:eastAsiaTheme="majorEastAsia" w:cs="Times New Roman"/>
          <w:color w:val="2F5496" w:themeColor="accent1" w:themeShade="BF"/>
          <w:sz w:val="32"/>
          <w:szCs w:val="32"/>
        </w:rPr>
      </w:pPr>
      <w:r w:rsidRPr="00770477">
        <w:rPr>
          <w:rFonts w:cs="Times New Roman"/>
        </w:rPr>
        <w:fldChar w:fldCharType="end"/>
      </w:r>
      <w:r w:rsidR="00CD7FC5" w:rsidRPr="00770477">
        <w:rPr>
          <w:rFonts w:cs="Times New Roman"/>
        </w:rPr>
        <w:br w:type="page"/>
      </w:r>
    </w:p>
    <w:p w14:paraId="492C6A62" w14:textId="5AEABC86" w:rsidR="007030ED" w:rsidRPr="00770477" w:rsidRDefault="007030ED">
      <w:pPr>
        <w:pStyle w:val="TableofFigures"/>
        <w:tabs>
          <w:tab w:val="right" w:leader="dot" w:pos="9350"/>
        </w:tabs>
        <w:rPr>
          <w:rFonts w:cs="Times New Roman"/>
          <w:color w:val="4472C4" w:themeColor="accent1"/>
          <w:sz w:val="32"/>
          <w:szCs w:val="32"/>
        </w:rPr>
      </w:pPr>
      <w:r w:rsidRPr="00770477">
        <w:rPr>
          <w:rFonts w:cs="Times New Roman"/>
          <w:color w:val="4472C4" w:themeColor="accent1"/>
          <w:sz w:val="32"/>
          <w:szCs w:val="32"/>
        </w:rPr>
        <w:lastRenderedPageBreak/>
        <w:t>Table of Tables</w:t>
      </w:r>
    </w:p>
    <w:p w14:paraId="76BCEA6F" w14:textId="4CCB740A" w:rsidR="00302953" w:rsidRDefault="004B4A0F">
      <w:pPr>
        <w:pStyle w:val="TableofFigures"/>
        <w:tabs>
          <w:tab w:val="right" w:leader="dot" w:pos="9350"/>
        </w:tabs>
        <w:rPr>
          <w:rFonts w:asciiTheme="minorHAnsi" w:eastAsiaTheme="minorEastAsia" w:hAnsiTheme="minorHAnsi"/>
          <w:noProof/>
        </w:rPr>
      </w:pPr>
      <w:r>
        <w:rPr>
          <w:rFonts w:cs="Times New Roman"/>
        </w:rPr>
        <w:fldChar w:fldCharType="begin"/>
      </w:r>
      <w:r>
        <w:rPr>
          <w:rFonts w:cs="Times New Roman"/>
        </w:rPr>
        <w:instrText xml:space="preserve"> TOC \h \z \c "Table" </w:instrText>
      </w:r>
      <w:r>
        <w:rPr>
          <w:rFonts w:cs="Times New Roman"/>
        </w:rPr>
        <w:fldChar w:fldCharType="separate"/>
      </w:r>
      <w:hyperlink w:anchor="_Toc121495924" w:history="1">
        <w:r w:rsidR="00302953" w:rsidRPr="009D4459">
          <w:rPr>
            <w:rStyle w:val="Hyperlink"/>
            <w:noProof/>
          </w:rPr>
          <w:t>Table 1</w:t>
        </w:r>
        <w:r w:rsidR="00302953" w:rsidRPr="009D4459">
          <w:rPr>
            <w:rStyle w:val="Hyperlink"/>
            <w:noProof/>
          </w:rPr>
          <w:noBreakHyphen/>
          <w:t xml:space="preserve">1 </w:t>
        </w:r>
        <w:r w:rsidR="00302953" w:rsidRPr="009D4459">
          <w:rPr>
            <w:rStyle w:val="Hyperlink"/>
            <w:rFonts w:cs="Times New Roman"/>
            <w:noProof/>
          </w:rPr>
          <w:t>Soil sorptive coefficients (log Koc) values for three subspecies of neonicotinoids which are the focus of this study.</w:t>
        </w:r>
        <w:r w:rsidR="00302953">
          <w:rPr>
            <w:noProof/>
            <w:webHidden/>
          </w:rPr>
          <w:tab/>
        </w:r>
        <w:r w:rsidR="00302953">
          <w:rPr>
            <w:noProof/>
            <w:webHidden/>
          </w:rPr>
          <w:fldChar w:fldCharType="begin"/>
        </w:r>
        <w:r w:rsidR="00302953">
          <w:rPr>
            <w:noProof/>
            <w:webHidden/>
          </w:rPr>
          <w:instrText xml:space="preserve"> PAGEREF _Toc121495924 \h </w:instrText>
        </w:r>
        <w:r w:rsidR="00302953">
          <w:rPr>
            <w:noProof/>
            <w:webHidden/>
          </w:rPr>
        </w:r>
        <w:r w:rsidR="00302953">
          <w:rPr>
            <w:noProof/>
            <w:webHidden/>
          </w:rPr>
          <w:fldChar w:fldCharType="separate"/>
        </w:r>
        <w:r w:rsidR="00061096">
          <w:rPr>
            <w:noProof/>
            <w:webHidden/>
          </w:rPr>
          <w:t>6</w:t>
        </w:r>
        <w:r w:rsidR="00302953">
          <w:rPr>
            <w:noProof/>
            <w:webHidden/>
          </w:rPr>
          <w:fldChar w:fldCharType="end"/>
        </w:r>
      </w:hyperlink>
    </w:p>
    <w:p w14:paraId="487AA0EE" w14:textId="1FAD9CF2" w:rsidR="00302953" w:rsidRDefault="00000000">
      <w:pPr>
        <w:pStyle w:val="TableofFigures"/>
        <w:tabs>
          <w:tab w:val="right" w:leader="dot" w:pos="9350"/>
        </w:tabs>
        <w:rPr>
          <w:rFonts w:asciiTheme="minorHAnsi" w:eastAsiaTheme="minorEastAsia" w:hAnsiTheme="minorHAnsi"/>
          <w:noProof/>
        </w:rPr>
      </w:pPr>
      <w:hyperlink w:anchor="_Toc121495925" w:history="1">
        <w:r w:rsidR="00302953" w:rsidRPr="009D4459">
          <w:rPr>
            <w:rStyle w:val="Hyperlink"/>
            <w:rFonts w:cs="Times New Roman"/>
            <w:noProof/>
          </w:rPr>
          <w:t>Table 1</w:t>
        </w:r>
        <w:r w:rsidR="00302953" w:rsidRPr="009D4459">
          <w:rPr>
            <w:rStyle w:val="Hyperlink"/>
            <w:rFonts w:cs="Times New Roman"/>
            <w:noProof/>
          </w:rPr>
          <w:noBreakHyphen/>
          <w:t>2 Summary of acute and/or chronic values suggested for aquatic neonicotinoids (amended from Morrissey et al., 2015 and US EPA (2015a)).</w:t>
        </w:r>
        <w:r w:rsidR="00302953">
          <w:rPr>
            <w:noProof/>
            <w:webHidden/>
          </w:rPr>
          <w:tab/>
        </w:r>
        <w:r w:rsidR="00302953">
          <w:rPr>
            <w:noProof/>
            <w:webHidden/>
          </w:rPr>
          <w:fldChar w:fldCharType="begin"/>
        </w:r>
        <w:r w:rsidR="00302953">
          <w:rPr>
            <w:noProof/>
            <w:webHidden/>
          </w:rPr>
          <w:instrText xml:space="preserve"> PAGEREF _Toc121495925 \h </w:instrText>
        </w:r>
        <w:r w:rsidR="00302953">
          <w:rPr>
            <w:noProof/>
            <w:webHidden/>
          </w:rPr>
        </w:r>
        <w:r w:rsidR="00302953">
          <w:rPr>
            <w:noProof/>
            <w:webHidden/>
          </w:rPr>
          <w:fldChar w:fldCharType="separate"/>
        </w:r>
        <w:r w:rsidR="00061096">
          <w:rPr>
            <w:noProof/>
            <w:webHidden/>
          </w:rPr>
          <w:t>9</w:t>
        </w:r>
        <w:r w:rsidR="00302953">
          <w:rPr>
            <w:noProof/>
            <w:webHidden/>
          </w:rPr>
          <w:fldChar w:fldCharType="end"/>
        </w:r>
      </w:hyperlink>
    </w:p>
    <w:p w14:paraId="237CA700" w14:textId="33E4F8A4" w:rsidR="00302953" w:rsidRDefault="00000000">
      <w:pPr>
        <w:pStyle w:val="TableofFigures"/>
        <w:tabs>
          <w:tab w:val="right" w:leader="dot" w:pos="9350"/>
        </w:tabs>
        <w:rPr>
          <w:rFonts w:asciiTheme="minorHAnsi" w:eastAsiaTheme="minorEastAsia" w:hAnsiTheme="minorHAnsi"/>
          <w:noProof/>
        </w:rPr>
      </w:pPr>
      <w:hyperlink w:anchor="_Toc121495926" w:history="1">
        <w:r w:rsidR="00302953" w:rsidRPr="009D4459">
          <w:rPr>
            <w:rStyle w:val="Hyperlink"/>
            <w:rFonts w:cs="Times New Roman"/>
            <w:noProof/>
          </w:rPr>
          <w:t>Table 1</w:t>
        </w:r>
        <w:r w:rsidR="00302953" w:rsidRPr="009D4459">
          <w:rPr>
            <w:rStyle w:val="Hyperlink"/>
            <w:rFonts w:cs="Times New Roman"/>
            <w:noProof/>
          </w:rPr>
          <w:noBreakHyphen/>
          <w:t>3 Median influent and effluent values for metals in various BMP devices (grass swale, infiltration basin, percolation trench, bioretention, high rate biofiltration, and multi-chambered treatment train) for available studies nationwide. (BMP Statistical Analysis Tool, n.d.)</w:t>
        </w:r>
        <w:r w:rsidR="00302953">
          <w:rPr>
            <w:noProof/>
            <w:webHidden/>
          </w:rPr>
          <w:tab/>
        </w:r>
        <w:r w:rsidR="00302953">
          <w:rPr>
            <w:noProof/>
            <w:webHidden/>
          </w:rPr>
          <w:fldChar w:fldCharType="begin"/>
        </w:r>
        <w:r w:rsidR="00302953">
          <w:rPr>
            <w:noProof/>
            <w:webHidden/>
          </w:rPr>
          <w:instrText xml:space="preserve"> PAGEREF _Toc121495926 \h </w:instrText>
        </w:r>
        <w:r w:rsidR="00302953">
          <w:rPr>
            <w:noProof/>
            <w:webHidden/>
          </w:rPr>
        </w:r>
        <w:r w:rsidR="00302953">
          <w:rPr>
            <w:noProof/>
            <w:webHidden/>
          </w:rPr>
          <w:fldChar w:fldCharType="separate"/>
        </w:r>
        <w:r w:rsidR="00061096">
          <w:rPr>
            <w:noProof/>
            <w:webHidden/>
          </w:rPr>
          <w:t>16</w:t>
        </w:r>
        <w:r w:rsidR="00302953">
          <w:rPr>
            <w:noProof/>
            <w:webHidden/>
          </w:rPr>
          <w:fldChar w:fldCharType="end"/>
        </w:r>
      </w:hyperlink>
    </w:p>
    <w:p w14:paraId="001F6AFE" w14:textId="5894021A" w:rsidR="00302953" w:rsidRDefault="00000000">
      <w:pPr>
        <w:pStyle w:val="TableofFigures"/>
        <w:tabs>
          <w:tab w:val="right" w:leader="dot" w:pos="9350"/>
        </w:tabs>
        <w:rPr>
          <w:rFonts w:asciiTheme="minorHAnsi" w:eastAsiaTheme="minorEastAsia" w:hAnsiTheme="minorHAnsi"/>
          <w:noProof/>
        </w:rPr>
      </w:pPr>
      <w:hyperlink w:anchor="_Toc121495927" w:history="1">
        <w:r w:rsidR="00302953" w:rsidRPr="009D4459">
          <w:rPr>
            <w:rStyle w:val="Hyperlink"/>
            <w:rFonts w:cs="Times New Roman"/>
            <w:noProof/>
          </w:rPr>
          <w:t>Table 1</w:t>
        </w:r>
        <w:r w:rsidR="00302953" w:rsidRPr="009D4459">
          <w:rPr>
            <w:rStyle w:val="Hyperlink"/>
            <w:rFonts w:cs="Times New Roman"/>
            <w:noProof/>
          </w:rPr>
          <w:noBreakHyphen/>
          <w:t>4 EPA National Recommended Aquatic Life Criteria for freshwater (US EPA, 2015b).</w:t>
        </w:r>
        <w:r w:rsidR="00302953">
          <w:rPr>
            <w:noProof/>
            <w:webHidden/>
          </w:rPr>
          <w:tab/>
        </w:r>
        <w:r w:rsidR="00302953">
          <w:rPr>
            <w:noProof/>
            <w:webHidden/>
          </w:rPr>
          <w:fldChar w:fldCharType="begin"/>
        </w:r>
        <w:r w:rsidR="00302953">
          <w:rPr>
            <w:noProof/>
            <w:webHidden/>
          </w:rPr>
          <w:instrText xml:space="preserve"> PAGEREF _Toc121495927 \h </w:instrText>
        </w:r>
        <w:r w:rsidR="00302953">
          <w:rPr>
            <w:noProof/>
            <w:webHidden/>
          </w:rPr>
        </w:r>
        <w:r w:rsidR="00302953">
          <w:rPr>
            <w:noProof/>
            <w:webHidden/>
          </w:rPr>
          <w:fldChar w:fldCharType="separate"/>
        </w:r>
        <w:r w:rsidR="00061096">
          <w:rPr>
            <w:noProof/>
            <w:webHidden/>
          </w:rPr>
          <w:t>17</w:t>
        </w:r>
        <w:r w:rsidR="00302953">
          <w:rPr>
            <w:noProof/>
            <w:webHidden/>
          </w:rPr>
          <w:fldChar w:fldCharType="end"/>
        </w:r>
      </w:hyperlink>
    </w:p>
    <w:p w14:paraId="50584A65" w14:textId="20687170" w:rsidR="00302953" w:rsidRDefault="00000000">
      <w:pPr>
        <w:pStyle w:val="TableofFigures"/>
        <w:tabs>
          <w:tab w:val="right" w:leader="dot" w:pos="9350"/>
        </w:tabs>
        <w:rPr>
          <w:rFonts w:asciiTheme="minorHAnsi" w:eastAsiaTheme="minorEastAsia" w:hAnsiTheme="minorHAnsi"/>
          <w:noProof/>
        </w:rPr>
      </w:pPr>
      <w:hyperlink w:anchor="_Toc121495928" w:history="1">
        <w:r w:rsidR="00302953" w:rsidRPr="009D4459">
          <w:rPr>
            <w:rStyle w:val="Hyperlink"/>
            <w:rFonts w:cs="Times New Roman"/>
            <w:noProof/>
          </w:rPr>
          <w:t>Table 1</w:t>
        </w:r>
        <w:r w:rsidR="00302953" w:rsidRPr="009D4459">
          <w:rPr>
            <w:rStyle w:val="Hyperlink"/>
            <w:rFonts w:cs="Times New Roman"/>
            <w:noProof/>
          </w:rPr>
          <w:noBreakHyphen/>
          <w:t>5 Selected literature of heavy metal removal capacities of fly ash.</w:t>
        </w:r>
        <w:r w:rsidR="00302953">
          <w:rPr>
            <w:noProof/>
            <w:webHidden/>
          </w:rPr>
          <w:tab/>
        </w:r>
        <w:r w:rsidR="00302953">
          <w:rPr>
            <w:noProof/>
            <w:webHidden/>
          </w:rPr>
          <w:fldChar w:fldCharType="begin"/>
        </w:r>
        <w:r w:rsidR="00302953">
          <w:rPr>
            <w:noProof/>
            <w:webHidden/>
          </w:rPr>
          <w:instrText xml:space="preserve"> PAGEREF _Toc121495928 \h </w:instrText>
        </w:r>
        <w:r w:rsidR="00302953">
          <w:rPr>
            <w:noProof/>
            <w:webHidden/>
          </w:rPr>
        </w:r>
        <w:r w:rsidR="00302953">
          <w:rPr>
            <w:noProof/>
            <w:webHidden/>
          </w:rPr>
          <w:fldChar w:fldCharType="separate"/>
        </w:r>
        <w:r w:rsidR="00061096">
          <w:rPr>
            <w:b/>
            <w:bCs/>
            <w:noProof/>
            <w:webHidden/>
          </w:rPr>
          <w:t>Error! Bookmark not defined.</w:t>
        </w:r>
        <w:r w:rsidR="00302953">
          <w:rPr>
            <w:noProof/>
            <w:webHidden/>
          </w:rPr>
          <w:fldChar w:fldCharType="end"/>
        </w:r>
      </w:hyperlink>
    </w:p>
    <w:p w14:paraId="662AE067" w14:textId="3564B67A" w:rsidR="00302953" w:rsidRDefault="00000000">
      <w:pPr>
        <w:pStyle w:val="TableofFigures"/>
        <w:tabs>
          <w:tab w:val="right" w:leader="dot" w:pos="9350"/>
        </w:tabs>
        <w:rPr>
          <w:rFonts w:asciiTheme="minorHAnsi" w:eastAsiaTheme="minorEastAsia" w:hAnsiTheme="minorHAnsi"/>
          <w:noProof/>
        </w:rPr>
      </w:pPr>
      <w:hyperlink w:anchor="_Toc121495929" w:history="1">
        <w:r w:rsidR="00302953" w:rsidRPr="009D4459">
          <w:rPr>
            <w:rStyle w:val="Hyperlink"/>
            <w:rFonts w:cs="Times New Roman"/>
            <w:noProof/>
          </w:rPr>
          <w:t>Table 1</w:t>
        </w:r>
        <w:r w:rsidR="00302953" w:rsidRPr="009D4459">
          <w:rPr>
            <w:rStyle w:val="Hyperlink"/>
            <w:rFonts w:cs="Times New Roman"/>
            <w:noProof/>
          </w:rPr>
          <w:noBreakHyphen/>
          <w:t>6 General composition of iron and steel slags (X. Zhang et al., 2020).</w:t>
        </w:r>
        <w:r w:rsidR="00302953">
          <w:rPr>
            <w:noProof/>
            <w:webHidden/>
          </w:rPr>
          <w:tab/>
        </w:r>
        <w:r w:rsidR="00302953">
          <w:rPr>
            <w:noProof/>
            <w:webHidden/>
          </w:rPr>
          <w:fldChar w:fldCharType="begin"/>
        </w:r>
        <w:r w:rsidR="00302953">
          <w:rPr>
            <w:noProof/>
            <w:webHidden/>
          </w:rPr>
          <w:instrText xml:space="preserve"> PAGEREF _Toc121495929 \h </w:instrText>
        </w:r>
        <w:r w:rsidR="00302953">
          <w:rPr>
            <w:noProof/>
            <w:webHidden/>
          </w:rPr>
        </w:r>
        <w:r w:rsidR="00302953">
          <w:rPr>
            <w:noProof/>
            <w:webHidden/>
          </w:rPr>
          <w:fldChar w:fldCharType="separate"/>
        </w:r>
        <w:r w:rsidR="00061096">
          <w:rPr>
            <w:noProof/>
            <w:webHidden/>
          </w:rPr>
          <w:t>27</w:t>
        </w:r>
        <w:r w:rsidR="00302953">
          <w:rPr>
            <w:noProof/>
            <w:webHidden/>
          </w:rPr>
          <w:fldChar w:fldCharType="end"/>
        </w:r>
      </w:hyperlink>
    </w:p>
    <w:p w14:paraId="15EFC43C" w14:textId="2443FD8D" w:rsidR="00302953" w:rsidRDefault="00000000">
      <w:pPr>
        <w:pStyle w:val="TableofFigures"/>
        <w:tabs>
          <w:tab w:val="right" w:leader="dot" w:pos="9350"/>
        </w:tabs>
        <w:rPr>
          <w:rFonts w:asciiTheme="minorHAnsi" w:eastAsiaTheme="minorEastAsia" w:hAnsiTheme="minorHAnsi"/>
          <w:noProof/>
        </w:rPr>
      </w:pPr>
      <w:hyperlink w:anchor="_Toc121495930" w:history="1">
        <w:r w:rsidR="00302953" w:rsidRPr="009D4459">
          <w:rPr>
            <w:rStyle w:val="Hyperlink"/>
            <w:rFonts w:cs="Times New Roman"/>
            <w:noProof/>
          </w:rPr>
          <w:t>Table 1</w:t>
        </w:r>
        <w:r w:rsidR="00302953" w:rsidRPr="009D4459">
          <w:rPr>
            <w:rStyle w:val="Hyperlink"/>
            <w:rFonts w:cs="Times New Roman"/>
            <w:noProof/>
          </w:rPr>
          <w:noBreakHyphen/>
          <w:t>7 Comparison of biochar and activated carbon properties and performance (Mohanty et al., 2018).</w:t>
        </w:r>
        <w:r w:rsidR="00302953">
          <w:rPr>
            <w:noProof/>
            <w:webHidden/>
          </w:rPr>
          <w:tab/>
        </w:r>
        <w:r w:rsidR="00302953">
          <w:rPr>
            <w:noProof/>
            <w:webHidden/>
          </w:rPr>
          <w:fldChar w:fldCharType="begin"/>
        </w:r>
        <w:r w:rsidR="00302953">
          <w:rPr>
            <w:noProof/>
            <w:webHidden/>
          </w:rPr>
          <w:instrText xml:space="preserve"> PAGEREF _Toc121495930 \h </w:instrText>
        </w:r>
        <w:r w:rsidR="00302953">
          <w:rPr>
            <w:noProof/>
            <w:webHidden/>
          </w:rPr>
        </w:r>
        <w:r w:rsidR="00302953">
          <w:rPr>
            <w:noProof/>
            <w:webHidden/>
          </w:rPr>
          <w:fldChar w:fldCharType="separate"/>
        </w:r>
        <w:r w:rsidR="00061096">
          <w:rPr>
            <w:noProof/>
            <w:webHidden/>
          </w:rPr>
          <w:t>36</w:t>
        </w:r>
        <w:r w:rsidR="00302953">
          <w:rPr>
            <w:noProof/>
            <w:webHidden/>
          </w:rPr>
          <w:fldChar w:fldCharType="end"/>
        </w:r>
      </w:hyperlink>
    </w:p>
    <w:p w14:paraId="2A47EC18" w14:textId="6E9D9973" w:rsidR="00302953" w:rsidRDefault="00000000">
      <w:pPr>
        <w:pStyle w:val="TableofFigures"/>
        <w:tabs>
          <w:tab w:val="right" w:leader="dot" w:pos="9350"/>
        </w:tabs>
        <w:rPr>
          <w:rFonts w:asciiTheme="minorHAnsi" w:eastAsiaTheme="minorEastAsia" w:hAnsiTheme="minorHAnsi"/>
          <w:noProof/>
        </w:rPr>
      </w:pPr>
      <w:hyperlink w:anchor="_Toc121495931" w:history="1">
        <w:r w:rsidR="00302953" w:rsidRPr="009D4459">
          <w:rPr>
            <w:rStyle w:val="Hyperlink"/>
            <w:rFonts w:cs="Times New Roman"/>
            <w:noProof/>
          </w:rPr>
          <w:t>Table 2</w:t>
        </w:r>
        <w:r w:rsidR="00302953" w:rsidRPr="009D4459">
          <w:rPr>
            <w:rStyle w:val="Hyperlink"/>
            <w:rFonts w:cs="Times New Roman"/>
            <w:noProof/>
          </w:rPr>
          <w:noBreakHyphen/>
          <w:t>1 List of basic rainwater chemistry and chemicals used to create a synthetic rainwater (Ricci et al., 2010).</w:t>
        </w:r>
        <w:r w:rsidR="00302953">
          <w:rPr>
            <w:noProof/>
            <w:webHidden/>
          </w:rPr>
          <w:tab/>
        </w:r>
        <w:r w:rsidR="00302953">
          <w:rPr>
            <w:noProof/>
            <w:webHidden/>
          </w:rPr>
          <w:fldChar w:fldCharType="begin"/>
        </w:r>
        <w:r w:rsidR="00302953">
          <w:rPr>
            <w:noProof/>
            <w:webHidden/>
          </w:rPr>
          <w:instrText xml:space="preserve"> PAGEREF _Toc121495931 \h </w:instrText>
        </w:r>
        <w:r w:rsidR="00302953">
          <w:rPr>
            <w:noProof/>
            <w:webHidden/>
          </w:rPr>
        </w:r>
        <w:r w:rsidR="00302953">
          <w:rPr>
            <w:noProof/>
            <w:webHidden/>
          </w:rPr>
          <w:fldChar w:fldCharType="separate"/>
        </w:r>
        <w:r w:rsidR="00061096">
          <w:rPr>
            <w:noProof/>
            <w:webHidden/>
          </w:rPr>
          <w:t>38</w:t>
        </w:r>
        <w:r w:rsidR="00302953">
          <w:rPr>
            <w:noProof/>
            <w:webHidden/>
          </w:rPr>
          <w:fldChar w:fldCharType="end"/>
        </w:r>
      </w:hyperlink>
    </w:p>
    <w:p w14:paraId="24391456" w14:textId="4A465A17" w:rsidR="00302953" w:rsidRDefault="00000000">
      <w:pPr>
        <w:pStyle w:val="TableofFigures"/>
        <w:tabs>
          <w:tab w:val="right" w:leader="dot" w:pos="9350"/>
        </w:tabs>
        <w:rPr>
          <w:rFonts w:asciiTheme="minorHAnsi" w:eastAsiaTheme="minorEastAsia" w:hAnsiTheme="minorHAnsi"/>
          <w:noProof/>
        </w:rPr>
      </w:pPr>
      <w:hyperlink w:anchor="_Toc121495932" w:history="1">
        <w:r w:rsidR="00302953" w:rsidRPr="009D4459">
          <w:rPr>
            <w:rStyle w:val="Hyperlink"/>
            <w:rFonts w:cs="Times New Roman"/>
            <w:noProof/>
          </w:rPr>
          <w:t>Table 2</w:t>
        </w:r>
        <w:r w:rsidR="00302953" w:rsidRPr="009D4459">
          <w:rPr>
            <w:rStyle w:val="Hyperlink"/>
            <w:rFonts w:cs="Times New Roman"/>
            <w:noProof/>
          </w:rPr>
          <w:noBreakHyphen/>
          <w:t>2 Target metals concentrations in the synthetic stormwater.</w:t>
        </w:r>
        <w:r w:rsidR="00302953">
          <w:rPr>
            <w:noProof/>
            <w:webHidden/>
          </w:rPr>
          <w:tab/>
        </w:r>
        <w:r w:rsidR="00302953">
          <w:rPr>
            <w:noProof/>
            <w:webHidden/>
          </w:rPr>
          <w:fldChar w:fldCharType="begin"/>
        </w:r>
        <w:r w:rsidR="00302953">
          <w:rPr>
            <w:noProof/>
            <w:webHidden/>
          </w:rPr>
          <w:instrText xml:space="preserve"> PAGEREF _Toc121495932 \h </w:instrText>
        </w:r>
        <w:r w:rsidR="00302953">
          <w:rPr>
            <w:noProof/>
            <w:webHidden/>
          </w:rPr>
        </w:r>
        <w:r w:rsidR="00302953">
          <w:rPr>
            <w:noProof/>
            <w:webHidden/>
          </w:rPr>
          <w:fldChar w:fldCharType="separate"/>
        </w:r>
        <w:r w:rsidR="00061096">
          <w:rPr>
            <w:noProof/>
            <w:webHidden/>
          </w:rPr>
          <w:t>40</w:t>
        </w:r>
        <w:r w:rsidR="00302953">
          <w:rPr>
            <w:noProof/>
            <w:webHidden/>
          </w:rPr>
          <w:fldChar w:fldCharType="end"/>
        </w:r>
      </w:hyperlink>
    </w:p>
    <w:p w14:paraId="3CCDE2E3" w14:textId="416707D0" w:rsidR="00302953" w:rsidRDefault="00000000">
      <w:pPr>
        <w:pStyle w:val="TableofFigures"/>
        <w:tabs>
          <w:tab w:val="right" w:leader="dot" w:pos="9350"/>
        </w:tabs>
        <w:rPr>
          <w:rFonts w:asciiTheme="minorHAnsi" w:eastAsiaTheme="minorEastAsia" w:hAnsiTheme="minorHAnsi"/>
          <w:noProof/>
        </w:rPr>
      </w:pPr>
      <w:hyperlink w:anchor="_Toc121495933" w:history="1">
        <w:r w:rsidR="00302953" w:rsidRPr="009D4459">
          <w:rPr>
            <w:rStyle w:val="Hyperlink"/>
            <w:rFonts w:cs="Times New Roman"/>
            <w:noProof/>
          </w:rPr>
          <w:t>Table 2</w:t>
        </w:r>
        <w:r w:rsidR="00302953" w:rsidRPr="009D4459">
          <w:rPr>
            <w:rStyle w:val="Hyperlink"/>
            <w:rFonts w:cs="Times New Roman"/>
            <w:noProof/>
          </w:rPr>
          <w:noBreakHyphen/>
          <w:t>3 Composition of media used in this study. Fly ash is converted from % metal-oxide to % metal composition. Biochar is converted from mass/mass to % composition. BDL refers to a value being reported below the detection limit.</w:t>
        </w:r>
        <w:r w:rsidR="00302953">
          <w:rPr>
            <w:noProof/>
            <w:webHidden/>
          </w:rPr>
          <w:tab/>
        </w:r>
        <w:r w:rsidR="00302953">
          <w:rPr>
            <w:noProof/>
            <w:webHidden/>
          </w:rPr>
          <w:fldChar w:fldCharType="begin"/>
        </w:r>
        <w:r w:rsidR="00302953">
          <w:rPr>
            <w:noProof/>
            <w:webHidden/>
          </w:rPr>
          <w:instrText xml:space="preserve"> PAGEREF _Toc121495933 \h </w:instrText>
        </w:r>
        <w:r w:rsidR="00302953">
          <w:rPr>
            <w:noProof/>
            <w:webHidden/>
          </w:rPr>
        </w:r>
        <w:r w:rsidR="00302953">
          <w:rPr>
            <w:noProof/>
            <w:webHidden/>
          </w:rPr>
          <w:fldChar w:fldCharType="separate"/>
        </w:r>
        <w:r w:rsidR="00061096">
          <w:rPr>
            <w:noProof/>
            <w:webHidden/>
          </w:rPr>
          <w:t>43</w:t>
        </w:r>
        <w:r w:rsidR="00302953">
          <w:rPr>
            <w:noProof/>
            <w:webHidden/>
          </w:rPr>
          <w:fldChar w:fldCharType="end"/>
        </w:r>
      </w:hyperlink>
    </w:p>
    <w:p w14:paraId="4185E86B" w14:textId="2571B665" w:rsidR="00302953" w:rsidRDefault="00000000">
      <w:pPr>
        <w:pStyle w:val="TableofFigures"/>
        <w:tabs>
          <w:tab w:val="right" w:leader="dot" w:pos="9350"/>
        </w:tabs>
        <w:rPr>
          <w:rFonts w:asciiTheme="minorHAnsi" w:eastAsiaTheme="minorEastAsia" w:hAnsiTheme="minorHAnsi"/>
          <w:noProof/>
        </w:rPr>
      </w:pPr>
      <w:hyperlink w:anchor="_Toc121495934" w:history="1">
        <w:r w:rsidR="00302953" w:rsidRPr="009D4459">
          <w:rPr>
            <w:rStyle w:val="Hyperlink"/>
            <w:rFonts w:cs="Times New Roman"/>
            <w:noProof/>
          </w:rPr>
          <w:t>Table 2</w:t>
        </w:r>
        <w:r w:rsidR="00302953" w:rsidRPr="009D4459">
          <w:rPr>
            <w:rStyle w:val="Hyperlink"/>
            <w:rFonts w:cs="Times New Roman"/>
            <w:noProof/>
          </w:rPr>
          <w:noBreakHyphen/>
          <w:t>4 - Composition of the fly ash used in this study as reported by W. Zhang et al. (2008).</w:t>
        </w:r>
        <w:r w:rsidR="00302953">
          <w:rPr>
            <w:noProof/>
            <w:webHidden/>
          </w:rPr>
          <w:tab/>
        </w:r>
        <w:r w:rsidR="00302953">
          <w:rPr>
            <w:noProof/>
            <w:webHidden/>
          </w:rPr>
          <w:fldChar w:fldCharType="begin"/>
        </w:r>
        <w:r w:rsidR="00302953">
          <w:rPr>
            <w:noProof/>
            <w:webHidden/>
          </w:rPr>
          <w:instrText xml:space="preserve"> PAGEREF _Toc121495934 \h </w:instrText>
        </w:r>
        <w:r w:rsidR="00302953">
          <w:rPr>
            <w:noProof/>
            <w:webHidden/>
          </w:rPr>
        </w:r>
        <w:r w:rsidR="00302953">
          <w:rPr>
            <w:noProof/>
            <w:webHidden/>
          </w:rPr>
          <w:fldChar w:fldCharType="separate"/>
        </w:r>
        <w:r w:rsidR="00061096">
          <w:rPr>
            <w:noProof/>
            <w:webHidden/>
          </w:rPr>
          <w:t>45</w:t>
        </w:r>
        <w:r w:rsidR="00302953">
          <w:rPr>
            <w:noProof/>
            <w:webHidden/>
          </w:rPr>
          <w:fldChar w:fldCharType="end"/>
        </w:r>
      </w:hyperlink>
    </w:p>
    <w:p w14:paraId="4932356D" w14:textId="3BDBAD4D" w:rsidR="00302953" w:rsidRDefault="00000000">
      <w:pPr>
        <w:pStyle w:val="TableofFigures"/>
        <w:tabs>
          <w:tab w:val="right" w:leader="dot" w:pos="9350"/>
        </w:tabs>
        <w:rPr>
          <w:rFonts w:asciiTheme="minorHAnsi" w:eastAsiaTheme="minorEastAsia" w:hAnsiTheme="minorHAnsi"/>
          <w:noProof/>
        </w:rPr>
      </w:pPr>
      <w:hyperlink w:anchor="_Toc121495935" w:history="1">
        <w:r w:rsidR="00302953" w:rsidRPr="009D4459">
          <w:rPr>
            <w:rStyle w:val="Hyperlink"/>
            <w:rFonts w:cs="Times New Roman"/>
            <w:noProof/>
          </w:rPr>
          <w:t>Table 2</w:t>
        </w:r>
        <w:r w:rsidR="00302953" w:rsidRPr="009D4459">
          <w:rPr>
            <w:rStyle w:val="Hyperlink"/>
            <w:rFonts w:cs="Times New Roman"/>
            <w:noProof/>
          </w:rPr>
          <w:noBreakHyphen/>
          <w:t>5 Elemental composition of the steel slag used in this study (Bowen, 2021). Elements measured at levels below the detection limits of the instrument are reported as BDL.</w:t>
        </w:r>
        <w:r w:rsidR="00302953">
          <w:rPr>
            <w:noProof/>
            <w:webHidden/>
          </w:rPr>
          <w:tab/>
        </w:r>
        <w:r w:rsidR="00302953">
          <w:rPr>
            <w:noProof/>
            <w:webHidden/>
          </w:rPr>
          <w:fldChar w:fldCharType="begin"/>
        </w:r>
        <w:r w:rsidR="00302953">
          <w:rPr>
            <w:noProof/>
            <w:webHidden/>
          </w:rPr>
          <w:instrText xml:space="preserve"> PAGEREF _Toc121495935 \h </w:instrText>
        </w:r>
        <w:r w:rsidR="00302953">
          <w:rPr>
            <w:noProof/>
            <w:webHidden/>
          </w:rPr>
        </w:r>
        <w:r w:rsidR="00302953">
          <w:rPr>
            <w:noProof/>
            <w:webHidden/>
          </w:rPr>
          <w:fldChar w:fldCharType="separate"/>
        </w:r>
        <w:r w:rsidR="00061096">
          <w:rPr>
            <w:noProof/>
            <w:webHidden/>
          </w:rPr>
          <w:t>46</w:t>
        </w:r>
        <w:r w:rsidR="00302953">
          <w:rPr>
            <w:noProof/>
            <w:webHidden/>
          </w:rPr>
          <w:fldChar w:fldCharType="end"/>
        </w:r>
      </w:hyperlink>
    </w:p>
    <w:p w14:paraId="2638674C" w14:textId="4F759132" w:rsidR="00302953" w:rsidRDefault="00000000">
      <w:pPr>
        <w:pStyle w:val="TableofFigures"/>
        <w:tabs>
          <w:tab w:val="right" w:leader="dot" w:pos="9350"/>
        </w:tabs>
        <w:rPr>
          <w:rFonts w:asciiTheme="minorHAnsi" w:eastAsiaTheme="minorEastAsia" w:hAnsiTheme="minorHAnsi"/>
          <w:noProof/>
        </w:rPr>
      </w:pPr>
      <w:hyperlink w:anchor="_Toc121495936" w:history="1">
        <w:r w:rsidR="00302953" w:rsidRPr="009D4459">
          <w:rPr>
            <w:rStyle w:val="Hyperlink"/>
            <w:rFonts w:cs="Times New Roman"/>
            <w:noProof/>
          </w:rPr>
          <w:t>Table 2</w:t>
        </w:r>
        <w:r w:rsidR="00302953" w:rsidRPr="009D4459">
          <w:rPr>
            <w:rStyle w:val="Hyperlink"/>
            <w:rFonts w:cs="Times New Roman"/>
            <w:noProof/>
          </w:rPr>
          <w:noBreakHyphen/>
          <w:t>6 Reported compositions of the biochar used in this study (J. Gaspard, personal communication, October 10, 2022)</w:t>
        </w:r>
        <w:r w:rsidR="00302953">
          <w:rPr>
            <w:noProof/>
            <w:webHidden/>
          </w:rPr>
          <w:tab/>
        </w:r>
        <w:r w:rsidR="00302953">
          <w:rPr>
            <w:noProof/>
            <w:webHidden/>
          </w:rPr>
          <w:fldChar w:fldCharType="begin"/>
        </w:r>
        <w:r w:rsidR="00302953">
          <w:rPr>
            <w:noProof/>
            <w:webHidden/>
          </w:rPr>
          <w:instrText xml:space="preserve"> PAGEREF _Toc121495936 \h </w:instrText>
        </w:r>
        <w:r w:rsidR="00302953">
          <w:rPr>
            <w:noProof/>
            <w:webHidden/>
          </w:rPr>
        </w:r>
        <w:r w:rsidR="00302953">
          <w:rPr>
            <w:noProof/>
            <w:webHidden/>
          </w:rPr>
          <w:fldChar w:fldCharType="separate"/>
        </w:r>
        <w:r w:rsidR="00061096">
          <w:rPr>
            <w:noProof/>
            <w:webHidden/>
          </w:rPr>
          <w:t>47</w:t>
        </w:r>
        <w:r w:rsidR="00302953">
          <w:rPr>
            <w:noProof/>
            <w:webHidden/>
          </w:rPr>
          <w:fldChar w:fldCharType="end"/>
        </w:r>
      </w:hyperlink>
    </w:p>
    <w:p w14:paraId="5CDF9A23" w14:textId="55EAFCE1" w:rsidR="00302953" w:rsidRDefault="00000000">
      <w:pPr>
        <w:pStyle w:val="TableofFigures"/>
        <w:tabs>
          <w:tab w:val="right" w:leader="dot" w:pos="9350"/>
        </w:tabs>
        <w:rPr>
          <w:rFonts w:asciiTheme="minorHAnsi" w:eastAsiaTheme="minorEastAsia" w:hAnsiTheme="minorHAnsi"/>
          <w:noProof/>
        </w:rPr>
      </w:pPr>
      <w:hyperlink w:anchor="_Toc121495937" w:history="1">
        <w:r w:rsidR="00302953" w:rsidRPr="009D4459">
          <w:rPr>
            <w:rStyle w:val="Hyperlink"/>
            <w:rFonts w:cs="Times New Roman"/>
            <w:noProof/>
          </w:rPr>
          <w:t>Table 3</w:t>
        </w:r>
        <w:r w:rsidR="00302953" w:rsidRPr="009D4459">
          <w:rPr>
            <w:rStyle w:val="Hyperlink"/>
            <w:rFonts w:cs="Times New Roman"/>
            <w:noProof/>
          </w:rPr>
          <w:noBreakHyphen/>
          <w:t>1 Categories of results. 1: results below detection limits or did not resemble a breakthrough curve, or were too scattered; 2: media had no effect either generally or compared to the control column; 3: the media leached the contaminant; 4: media/contaminant combination of interest</w:t>
        </w:r>
        <w:r w:rsidR="00302953">
          <w:rPr>
            <w:noProof/>
            <w:webHidden/>
          </w:rPr>
          <w:tab/>
        </w:r>
        <w:r w:rsidR="00302953">
          <w:rPr>
            <w:noProof/>
            <w:webHidden/>
          </w:rPr>
          <w:fldChar w:fldCharType="begin"/>
        </w:r>
        <w:r w:rsidR="00302953">
          <w:rPr>
            <w:noProof/>
            <w:webHidden/>
          </w:rPr>
          <w:instrText xml:space="preserve"> PAGEREF _Toc121495937 \h </w:instrText>
        </w:r>
        <w:r w:rsidR="00302953">
          <w:rPr>
            <w:noProof/>
            <w:webHidden/>
          </w:rPr>
        </w:r>
        <w:r w:rsidR="00302953">
          <w:rPr>
            <w:noProof/>
            <w:webHidden/>
          </w:rPr>
          <w:fldChar w:fldCharType="separate"/>
        </w:r>
        <w:r w:rsidR="00061096">
          <w:rPr>
            <w:noProof/>
            <w:webHidden/>
          </w:rPr>
          <w:t>62</w:t>
        </w:r>
        <w:r w:rsidR="00302953">
          <w:rPr>
            <w:noProof/>
            <w:webHidden/>
          </w:rPr>
          <w:fldChar w:fldCharType="end"/>
        </w:r>
      </w:hyperlink>
    </w:p>
    <w:p w14:paraId="09290E27" w14:textId="597E8FAE" w:rsidR="00302953" w:rsidRDefault="00000000">
      <w:pPr>
        <w:pStyle w:val="TableofFigures"/>
        <w:tabs>
          <w:tab w:val="right" w:leader="dot" w:pos="9350"/>
        </w:tabs>
        <w:rPr>
          <w:rFonts w:asciiTheme="minorHAnsi" w:eastAsiaTheme="minorEastAsia" w:hAnsiTheme="minorHAnsi"/>
          <w:noProof/>
        </w:rPr>
      </w:pPr>
      <w:hyperlink w:anchor="_Toc121495938" w:history="1">
        <w:r w:rsidR="00302953" w:rsidRPr="009D4459">
          <w:rPr>
            <w:rStyle w:val="Hyperlink"/>
            <w:rFonts w:cs="Times New Roman"/>
            <w:noProof/>
          </w:rPr>
          <w:t>Table 4</w:t>
        </w:r>
        <w:r w:rsidR="00302953" w:rsidRPr="009D4459">
          <w:rPr>
            <w:rStyle w:val="Hyperlink"/>
            <w:rFonts w:cs="Times New Roman"/>
            <w:noProof/>
          </w:rPr>
          <w:noBreakHyphen/>
          <w:t>1 Media-contaminant-orientation combinations that yielded results below detection limit (BDL).</w:t>
        </w:r>
        <w:r w:rsidR="00302953">
          <w:rPr>
            <w:noProof/>
            <w:webHidden/>
          </w:rPr>
          <w:tab/>
        </w:r>
        <w:r w:rsidR="00302953">
          <w:rPr>
            <w:noProof/>
            <w:webHidden/>
          </w:rPr>
          <w:fldChar w:fldCharType="begin"/>
        </w:r>
        <w:r w:rsidR="00302953">
          <w:rPr>
            <w:noProof/>
            <w:webHidden/>
          </w:rPr>
          <w:instrText xml:space="preserve"> PAGEREF _Toc121495938 \h </w:instrText>
        </w:r>
        <w:r w:rsidR="00302953">
          <w:rPr>
            <w:noProof/>
            <w:webHidden/>
          </w:rPr>
        </w:r>
        <w:r w:rsidR="00302953">
          <w:rPr>
            <w:noProof/>
            <w:webHidden/>
          </w:rPr>
          <w:fldChar w:fldCharType="separate"/>
        </w:r>
        <w:r w:rsidR="00061096">
          <w:rPr>
            <w:noProof/>
            <w:webHidden/>
          </w:rPr>
          <w:t>118</w:t>
        </w:r>
        <w:r w:rsidR="00302953">
          <w:rPr>
            <w:noProof/>
            <w:webHidden/>
          </w:rPr>
          <w:fldChar w:fldCharType="end"/>
        </w:r>
      </w:hyperlink>
    </w:p>
    <w:p w14:paraId="0710B50E" w14:textId="2457E423" w:rsidR="00302953" w:rsidRDefault="00000000">
      <w:pPr>
        <w:pStyle w:val="TableofFigures"/>
        <w:tabs>
          <w:tab w:val="right" w:leader="dot" w:pos="9350"/>
        </w:tabs>
        <w:rPr>
          <w:rFonts w:asciiTheme="minorHAnsi" w:eastAsiaTheme="minorEastAsia" w:hAnsiTheme="minorHAnsi"/>
          <w:noProof/>
        </w:rPr>
      </w:pPr>
      <w:hyperlink w:anchor="_Toc121495939" w:history="1">
        <w:r w:rsidR="00302953" w:rsidRPr="009D4459">
          <w:rPr>
            <w:rStyle w:val="Hyperlink"/>
            <w:noProof/>
          </w:rPr>
          <w:t>Table 10</w:t>
        </w:r>
        <w:r w:rsidR="00302953" w:rsidRPr="009D4459">
          <w:rPr>
            <w:rStyle w:val="Hyperlink"/>
            <w:noProof/>
          </w:rPr>
          <w:noBreakHyphen/>
          <w:t xml:space="preserve">1 </w:t>
        </w:r>
        <w:r w:rsidR="00302953" w:rsidRPr="009D4459">
          <w:rPr>
            <w:rStyle w:val="Hyperlink"/>
            <w:rFonts w:cs="Times New Roman"/>
            <w:noProof/>
          </w:rPr>
          <w:t>Run and media combinations</w:t>
        </w:r>
        <w:r w:rsidR="00302953">
          <w:rPr>
            <w:noProof/>
            <w:webHidden/>
          </w:rPr>
          <w:tab/>
        </w:r>
        <w:r w:rsidR="00302953">
          <w:rPr>
            <w:noProof/>
            <w:webHidden/>
          </w:rPr>
          <w:fldChar w:fldCharType="begin"/>
        </w:r>
        <w:r w:rsidR="00302953">
          <w:rPr>
            <w:noProof/>
            <w:webHidden/>
          </w:rPr>
          <w:instrText xml:space="preserve"> PAGEREF _Toc121495939 \h </w:instrText>
        </w:r>
        <w:r w:rsidR="00302953">
          <w:rPr>
            <w:noProof/>
            <w:webHidden/>
          </w:rPr>
        </w:r>
        <w:r w:rsidR="00302953">
          <w:rPr>
            <w:noProof/>
            <w:webHidden/>
          </w:rPr>
          <w:fldChar w:fldCharType="separate"/>
        </w:r>
        <w:r w:rsidR="00061096">
          <w:rPr>
            <w:noProof/>
            <w:webHidden/>
          </w:rPr>
          <w:t>162</w:t>
        </w:r>
        <w:r w:rsidR="00302953">
          <w:rPr>
            <w:noProof/>
            <w:webHidden/>
          </w:rPr>
          <w:fldChar w:fldCharType="end"/>
        </w:r>
      </w:hyperlink>
    </w:p>
    <w:p w14:paraId="26FE871F" w14:textId="274D6443" w:rsidR="00302953" w:rsidRDefault="00000000">
      <w:pPr>
        <w:pStyle w:val="TableofFigures"/>
        <w:tabs>
          <w:tab w:val="right" w:leader="dot" w:pos="9350"/>
        </w:tabs>
        <w:rPr>
          <w:rFonts w:asciiTheme="minorHAnsi" w:eastAsiaTheme="minorEastAsia" w:hAnsiTheme="minorHAnsi"/>
          <w:noProof/>
        </w:rPr>
      </w:pPr>
      <w:hyperlink w:anchor="_Toc121495940" w:history="1">
        <w:r w:rsidR="00302953" w:rsidRPr="009D4459">
          <w:rPr>
            <w:rStyle w:val="Hyperlink"/>
            <w:noProof/>
          </w:rPr>
          <w:t>Table 10</w:t>
        </w:r>
        <w:r w:rsidR="00302953" w:rsidRPr="009D4459">
          <w:rPr>
            <w:rStyle w:val="Hyperlink"/>
            <w:noProof/>
          </w:rPr>
          <w:noBreakHyphen/>
          <w:t>2</w:t>
        </w:r>
        <w:r w:rsidR="00302953" w:rsidRPr="009D4459">
          <w:rPr>
            <w:rStyle w:val="Hyperlink"/>
            <w:rFonts w:cs="Times New Roman"/>
            <w:noProof/>
          </w:rPr>
          <w:t xml:space="preserve"> Sample collection information</w:t>
        </w:r>
        <w:r w:rsidR="00302953">
          <w:rPr>
            <w:noProof/>
            <w:webHidden/>
          </w:rPr>
          <w:tab/>
        </w:r>
        <w:r w:rsidR="00302953">
          <w:rPr>
            <w:noProof/>
            <w:webHidden/>
          </w:rPr>
          <w:fldChar w:fldCharType="begin"/>
        </w:r>
        <w:r w:rsidR="00302953">
          <w:rPr>
            <w:noProof/>
            <w:webHidden/>
          </w:rPr>
          <w:instrText xml:space="preserve"> PAGEREF _Toc121495940 \h </w:instrText>
        </w:r>
        <w:r w:rsidR="00302953">
          <w:rPr>
            <w:noProof/>
            <w:webHidden/>
          </w:rPr>
        </w:r>
        <w:r w:rsidR="00302953">
          <w:rPr>
            <w:noProof/>
            <w:webHidden/>
          </w:rPr>
          <w:fldChar w:fldCharType="separate"/>
        </w:r>
        <w:r w:rsidR="00061096">
          <w:rPr>
            <w:noProof/>
            <w:webHidden/>
          </w:rPr>
          <w:t>163</w:t>
        </w:r>
        <w:r w:rsidR="00302953">
          <w:rPr>
            <w:noProof/>
            <w:webHidden/>
          </w:rPr>
          <w:fldChar w:fldCharType="end"/>
        </w:r>
      </w:hyperlink>
    </w:p>
    <w:p w14:paraId="0D926A1C" w14:textId="6FA972DA" w:rsidR="00302953" w:rsidRDefault="00000000">
      <w:pPr>
        <w:pStyle w:val="TableofFigures"/>
        <w:tabs>
          <w:tab w:val="right" w:leader="dot" w:pos="9350"/>
        </w:tabs>
        <w:rPr>
          <w:rFonts w:asciiTheme="minorHAnsi" w:eastAsiaTheme="minorEastAsia" w:hAnsiTheme="minorHAnsi"/>
          <w:noProof/>
        </w:rPr>
      </w:pPr>
      <w:hyperlink w:anchor="_Toc121495941" w:history="1">
        <w:r w:rsidR="00302953" w:rsidRPr="009D4459">
          <w:rPr>
            <w:rStyle w:val="Hyperlink"/>
            <w:noProof/>
          </w:rPr>
          <w:t>Table 10</w:t>
        </w:r>
        <w:r w:rsidR="00302953" w:rsidRPr="009D4459">
          <w:rPr>
            <w:rStyle w:val="Hyperlink"/>
            <w:noProof/>
          </w:rPr>
          <w:noBreakHyphen/>
          <w:t>3</w:t>
        </w:r>
        <w:r w:rsidR="00302953" w:rsidRPr="009D4459">
          <w:rPr>
            <w:rStyle w:val="Hyperlink"/>
            <w:rFonts w:cs="Times New Roman"/>
            <w:noProof/>
          </w:rPr>
          <w:t xml:space="preserve"> pH, specific conductivity, and temperature results.</w:t>
        </w:r>
        <w:r w:rsidR="00302953">
          <w:rPr>
            <w:noProof/>
            <w:webHidden/>
          </w:rPr>
          <w:tab/>
        </w:r>
        <w:r w:rsidR="00302953">
          <w:rPr>
            <w:noProof/>
            <w:webHidden/>
          </w:rPr>
          <w:fldChar w:fldCharType="begin"/>
        </w:r>
        <w:r w:rsidR="00302953">
          <w:rPr>
            <w:noProof/>
            <w:webHidden/>
          </w:rPr>
          <w:instrText xml:space="preserve"> PAGEREF _Toc121495941 \h </w:instrText>
        </w:r>
        <w:r w:rsidR="00302953">
          <w:rPr>
            <w:noProof/>
            <w:webHidden/>
          </w:rPr>
        </w:r>
        <w:r w:rsidR="00302953">
          <w:rPr>
            <w:noProof/>
            <w:webHidden/>
          </w:rPr>
          <w:fldChar w:fldCharType="separate"/>
        </w:r>
        <w:r w:rsidR="00061096">
          <w:rPr>
            <w:noProof/>
            <w:webHidden/>
          </w:rPr>
          <w:t>167</w:t>
        </w:r>
        <w:r w:rsidR="00302953">
          <w:rPr>
            <w:noProof/>
            <w:webHidden/>
          </w:rPr>
          <w:fldChar w:fldCharType="end"/>
        </w:r>
      </w:hyperlink>
    </w:p>
    <w:p w14:paraId="44FD7057" w14:textId="1127EB66" w:rsidR="00302953" w:rsidRDefault="00000000">
      <w:pPr>
        <w:pStyle w:val="TableofFigures"/>
        <w:tabs>
          <w:tab w:val="right" w:leader="dot" w:pos="9350"/>
        </w:tabs>
        <w:rPr>
          <w:rFonts w:asciiTheme="minorHAnsi" w:eastAsiaTheme="minorEastAsia" w:hAnsiTheme="minorHAnsi"/>
          <w:noProof/>
        </w:rPr>
      </w:pPr>
      <w:hyperlink w:anchor="_Toc121495942" w:history="1">
        <w:r w:rsidR="00302953" w:rsidRPr="009D4459">
          <w:rPr>
            <w:rStyle w:val="Hyperlink"/>
            <w:noProof/>
          </w:rPr>
          <w:t>Table 10</w:t>
        </w:r>
        <w:r w:rsidR="00302953" w:rsidRPr="009D4459">
          <w:rPr>
            <w:rStyle w:val="Hyperlink"/>
            <w:noProof/>
          </w:rPr>
          <w:noBreakHyphen/>
          <w:t>4</w:t>
        </w:r>
        <w:r w:rsidR="00302953" w:rsidRPr="009D4459">
          <w:rPr>
            <w:rStyle w:val="Hyperlink"/>
            <w:rFonts w:cs="Times New Roman"/>
            <w:noProof/>
          </w:rPr>
          <w:t xml:space="preserve"> Dissolved metals sample results for Arsenic, beryllium, and calcium. All results in ug L</w:t>
        </w:r>
        <w:r w:rsidR="00302953" w:rsidRPr="009D4459">
          <w:rPr>
            <w:rStyle w:val="Hyperlink"/>
            <w:rFonts w:cs="Times New Roman"/>
            <w:noProof/>
            <w:vertAlign w:val="superscript"/>
          </w:rPr>
          <w:t>-1</w:t>
        </w:r>
        <w:r w:rsidR="00302953" w:rsidRPr="009D4459">
          <w:rPr>
            <w:rStyle w:val="Hyperlink"/>
            <w:rFonts w:cs="Times New Roman"/>
            <w:noProof/>
            <w:vertAlign w:val="superscript"/>
          </w:rPr>
          <w:noBreakHyphen/>
        </w:r>
        <w:r w:rsidR="00302953" w:rsidRPr="009D4459">
          <w:rPr>
            <w:rStyle w:val="Hyperlink"/>
            <w:rFonts w:cs="Times New Roman"/>
            <w:noProof/>
          </w:rPr>
          <w:t>.</w:t>
        </w:r>
        <w:r w:rsidR="00302953">
          <w:rPr>
            <w:noProof/>
            <w:webHidden/>
          </w:rPr>
          <w:tab/>
        </w:r>
        <w:r w:rsidR="00302953">
          <w:rPr>
            <w:noProof/>
            <w:webHidden/>
          </w:rPr>
          <w:fldChar w:fldCharType="begin"/>
        </w:r>
        <w:r w:rsidR="00302953">
          <w:rPr>
            <w:noProof/>
            <w:webHidden/>
          </w:rPr>
          <w:instrText xml:space="preserve"> PAGEREF _Toc121495942 \h </w:instrText>
        </w:r>
        <w:r w:rsidR="00302953">
          <w:rPr>
            <w:noProof/>
            <w:webHidden/>
          </w:rPr>
        </w:r>
        <w:r w:rsidR="00302953">
          <w:rPr>
            <w:noProof/>
            <w:webHidden/>
          </w:rPr>
          <w:fldChar w:fldCharType="separate"/>
        </w:r>
        <w:r w:rsidR="00061096">
          <w:rPr>
            <w:noProof/>
            <w:webHidden/>
          </w:rPr>
          <w:t>170</w:t>
        </w:r>
        <w:r w:rsidR="00302953">
          <w:rPr>
            <w:noProof/>
            <w:webHidden/>
          </w:rPr>
          <w:fldChar w:fldCharType="end"/>
        </w:r>
      </w:hyperlink>
    </w:p>
    <w:p w14:paraId="49CB8DF9" w14:textId="5FD275DD" w:rsidR="00302953" w:rsidRDefault="00000000">
      <w:pPr>
        <w:pStyle w:val="TableofFigures"/>
        <w:tabs>
          <w:tab w:val="right" w:leader="dot" w:pos="9350"/>
        </w:tabs>
        <w:rPr>
          <w:rFonts w:asciiTheme="minorHAnsi" w:eastAsiaTheme="minorEastAsia" w:hAnsiTheme="minorHAnsi"/>
          <w:noProof/>
        </w:rPr>
      </w:pPr>
      <w:hyperlink w:anchor="_Toc121495943" w:history="1">
        <w:r w:rsidR="00302953" w:rsidRPr="009D4459">
          <w:rPr>
            <w:rStyle w:val="Hyperlink"/>
            <w:noProof/>
          </w:rPr>
          <w:t>Table 10</w:t>
        </w:r>
        <w:r w:rsidR="00302953" w:rsidRPr="009D4459">
          <w:rPr>
            <w:rStyle w:val="Hyperlink"/>
            <w:noProof/>
          </w:rPr>
          <w:noBreakHyphen/>
          <w:t>5</w:t>
        </w:r>
        <w:r w:rsidR="00302953" w:rsidRPr="009D4459">
          <w:rPr>
            <w:rStyle w:val="Hyperlink"/>
            <w:rFonts w:cs="Times New Roman"/>
            <w:noProof/>
          </w:rPr>
          <w:t xml:space="preserve"> Dissolved metals sample results for cobalt, copper, iron, and potassium. All results in ug L</w:t>
        </w:r>
        <w:r w:rsidR="00302953" w:rsidRPr="009D4459">
          <w:rPr>
            <w:rStyle w:val="Hyperlink"/>
            <w:rFonts w:cs="Times New Roman"/>
            <w:noProof/>
            <w:vertAlign w:val="superscript"/>
          </w:rPr>
          <w:t>-1</w:t>
        </w:r>
        <w:r w:rsidR="00302953" w:rsidRPr="009D4459">
          <w:rPr>
            <w:rStyle w:val="Hyperlink"/>
            <w:rFonts w:cs="Times New Roman"/>
            <w:noProof/>
            <w:vertAlign w:val="superscript"/>
          </w:rPr>
          <w:noBreakHyphen/>
        </w:r>
        <w:r w:rsidR="00302953" w:rsidRPr="009D4459">
          <w:rPr>
            <w:rStyle w:val="Hyperlink"/>
            <w:rFonts w:cs="Times New Roman"/>
            <w:noProof/>
          </w:rPr>
          <w:t>.</w:t>
        </w:r>
        <w:r w:rsidR="00302953">
          <w:rPr>
            <w:noProof/>
            <w:webHidden/>
          </w:rPr>
          <w:tab/>
        </w:r>
        <w:r w:rsidR="00302953">
          <w:rPr>
            <w:noProof/>
            <w:webHidden/>
          </w:rPr>
          <w:fldChar w:fldCharType="begin"/>
        </w:r>
        <w:r w:rsidR="00302953">
          <w:rPr>
            <w:noProof/>
            <w:webHidden/>
          </w:rPr>
          <w:instrText xml:space="preserve"> PAGEREF _Toc121495943 \h </w:instrText>
        </w:r>
        <w:r w:rsidR="00302953">
          <w:rPr>
            <w:noProof/>
            <w:webHidden/>
          </w:rPr>
        </w:r>
        <w:r w:rsidR="00302953">
          <w:rPr>
            <w:noProof/>
            <w:webHidden/>
          </w:rPr>
          <w:fldChar w:fldCharType="separate"/>
        </w:r>
        <w:r w:rsidR="00061096">
          <w:rPr>
            <w:noProof/>
            <w:webHidden/>
          </w:rPr>
          <w:t>174</w:t>
        </w:r>
        <w:r w:rsidR="00302953">
          <w:rPr>
            <w:noProof/>
            <w:webHidden/>
          </w:rPr>
          <w:fldChar w:fldCharType="end"/>
        </w:r>
      </w:hyperlink>
    </w:p>
    <w:p w14:paraId="21127787" w14:textId="37A3563C" w:rsidR="00302953" w:rsidRDefault="00000000">
      <w:pPr>
        <w:pStyle w:val="TableofFigures"/>
        <w:tabs>
          <w:tab w:val="right" w:leader="dot" w:pos="9350"/>
        </w:tabs>
        <w:rPr>
          <w:rFonts w:asciiTheme="minorHAnsi" w:eastAsiaTheme="minorEastAsia" w:hAnsiTheme="minorHAnsi"/>
          <w:noProof/>
        </w:rPr>
      </w:pPr>
      <w:hyperlink w:anchor="_Toc121495944" w:history="1">
        <w:r w:rsidR="00302953" w:rsidRPr="009D4459">
          <w:rPr>
            <w:rStyle w:val="Hyperlink"/>
            <w:noProof/>
          </w:rPr>
          <w:t>Table 10</w:t>
        </w:r>
        <w:r w:rsidR="00302953" w:rsidRPr="009D4459">
          <w:rPr>
            <w:rStyle w:val="Hyperlink"/>
            <w:noProof/>
          </w:rPr>
          <w:noBreakHyphen/>
          <w:t>6</w:t>
        </w:r>
        <w:r w:rsidR="00302953" w:rsidRPr="009D4459">
          <w:rPr>
            <w:rStyle w:val="Hyperlink"/>
            <w:rFonts w:cs="Times New Roman"/>
            <w:noProof/>
          </w:rPr>
          <w:t xml:space="preserve"> Dissolved metals sample results for magnesium, manganese, sodium, and nickel. All results in ug L</w:t>
        </w:r>
        <w:r w:rsidR="00302953" w:rsidRPr="009D4459">
          <w:rPr>
            <w:rStyle w:val="Hyperlink"/>
            <w:rFonts w:cs="Times New Roman"/>
            <w:noProof/>
            <w:vertAlign w:val="superscript"/>
          </w:rPr>
          <w:t>-1</w:t>
        </w:r>
        <w:r w:rsidR="00302953" w:rsidRPr="009D4459">
          <w:rPr>
            <w:rStyle w:val="Hyperlink"/>
            <w:rFonts w:cs="Times New Roman"/>
            <w:noProof/>
          </w:rPr>
          <w:t xml:space="preserve"> .</w:t>
        </w:r>
        <w:r w:rsidR="00302953">
          <w:rPr>
            <w:noProof/>
            <w:webHidden/>
          </w:rPr>
          <w:tab/>
        </w:r>
        <w:r w:rsidR="00302953">
          <w:rPr>
            <w:noProof/>
            <w:webHidden/>
          </w:rPr>
          <w:fldChar w:fldCharType="begin"/>
        </w:r>
        <w:r w:rsidR="00302953">
          <w:rPr>
            <w:noProof/>
            <w:webHidden/>
          </w:rPr>
          <w:instrText xml:space="preserve"> PAGEREF _Toc121495944 \h </w:instrText>
        </w:r>
        <w:r w:rsidR="00302953">
          <w:rPr>
            <w:noProof/>
            <w:webHidden/>
          </w:rPr>
        </w:r>
        <w:r w:rsidR="00302953">
          <w:rPr>
            <w:noProof/>
            <w:webHidden/>
          </w:rPr>
          <w:fldChar w:fldCharType="separate"/>
        </w:r>
        <w:r w:rsidR="00061096">
          <w:rPr>
            <w:noProof/>
            <w:webHidden/>
          </w:rPr>
          <w:t>178</w:t>
        </w:r>
        <w:r w:rsidR="00302953">
          <w:rPr>
            <w:noProof/>
            <w:webHidden/>
          </w:rPr>
          <w:fldChar w:fldCharType="end"/>
        </w:r>
      </w:hyperlink>
    </w:p>
    <w:p w14:paraId="5C80495D" w14:textId="1DE0953A" w:rsidR="00302953" w:rsidRDefault="00000000">
      <w:pPr>
        <w:pStyle w:val="TableofFigures"/>
        <w:tabs>
          <w:tab w:val="right" w:leader="dot" w:pos="9350"/>
        </w:tabs>
        <w:rPr>
          <w:rFonts w:asciiTheme="minorHAnsi" w:eastAsiaTheme="minorEastAsia" w:hAnsiTheme="minorHAnsi"/>
          <w:noProof/>
        </w:rPr>
      </w:pPr>
      <w:hyperlink w:anchor="_Toc121495945" w:history="1">
        <w:r w:rsidR="00302953" w:rsidRPr="009D4459">
          <w:rPr>
            <w:rStyle w:val="Hyperlink"/>
            <w:noProof/>
          </w:rPr>
          <w:t>Table 10</w:t>
        </w:r>
        <w:r w:rsidR="00302953" w:rsidRPr="009D4459">
          <w:rPr>
            <w:rStyle w:val="Hyperlink"/>
            <w:noProof/>
          </w:rPr>
          <w:noBreakHyphen/>
          <w:t>7</w:t>
        </w:r>
        <w:r w:rsidR="00302953" w:rsidRPr="009D4459">
          <w:rPr>
            <w:rStyle w:val="Hyperlink"/>
            <w:rFonts w:cs="Times New Roman"/>
            <w:noProof/>
          </w:rPr>
          <w:t xml:space="preserve"> Dissolved metals sample results for lead, selenium, silica, and zinc. All results in ug L</w:t>
        </w:r>
        <w:r w:rsidR="00302953" w:rsidRPr="009D4459">
          <w:rPr>
            <w:rStyle w:val="Hyperlink"/>
            <w:rFonts w:cs="Times New Roman"/>
            <w:noProof/>
            <w:vertAlign w:val="superscript"/>
          </w:rPr>
          <w:t>-1</w:t>
        </w:r>
        <w:r w:rsidR="00302953" w:rsidRPr="009D4459">
          <w:rPr>
            <w:rStyle w:val="Hyperlink"/>
            <w:rFonts w:cs="Times New Roman"/>
            <w:noProof/>
          </w:rPr>
          <w:t xml:space="preserve"> .</w:t>
        </w:r>
        <w:r w:rsidR="00302953">
          <w:rPr>
            <w:noProof/>
            <w:webHidden/>
          </w:rPr>
          <w:tab/>
        </w:r>
        <w:r w:rsidR="00302953">
          <w:rPr>
            <w:noProof/>
            <w:webHidden/>
          </w:rPr>
          <w:fldChar w:fldCharType="begin"/>
        </w:r>
        <w:r w:rsidR="00302953">
          <w:rPr>
            <w:noProof/>
            <w:webHidden/>
          </w:rPr>
          <w:instrText xml:space="preserve"> PAGEREF _Toc121495945 \h </w:instrText>
        </w:r>
        <w:r w:rsidR="00302953">
          <w:rPr>
            <w:noProof/>
            <w:webHidden/>
          </w:rPr>
        </w:r>
        <w:r w:rsidR="00302953">
          <w:rPr>
            <w:noProof/>
            <w:webHidden/>
          </w:rPr>
          <w:fldChar w:fldCharType="separate"/>
        </w:r>
        <w:r w:rsidR="00061096">
          <w:rPr>
            <w:noProof/>
            <w:webHidden/>
          </w:rPr>
          <w:t>182</w:t>
        </w:r>
        <w:r w:rsidR="00302953">
          <w:rPr>
            <w:noProof/>
            <w:webHidden/>
          </w:rPr>
          <w:fldChar w:fldCharType="end"/>
        </w:r>
      </w:hyperlink>
    </w:p>
    <w:p w14:paraId="408B4E06" w14:textId="112E4E55" w:rsidR="00302953" w:rsidRDefault="00000000">
      <w:pPr>
        <w:pStyle w:val="TableofFigures"/>
        <w:tabs>
          <w:tab w:val="right" w:leader="dot" w:pos="9350"/>
        </w:tabs>
        <w:rPr>
          <w:rFonts w:asciiTheme="minorHAnsi" w:eastAsiaTheme="minorEastAsia" w:hAnsiTheme="minorHAnsi"/>
          <w:noProof/>
        </w:rPr>
      </w:pPr>
      <w:hyperlink w:anchor="_Toc121495946" w:history="1">
        <w:r w:rsidR="00302953" w:rsidRPr="009D4459">
          <w:rPr>
            <w:rStyle w:val="Hyperlink"/>
            <w:noProof/>
          </w:rPr>
          <w:t>Table 10</w:t>
        </w:r>
        <w:r w:rsidR="00302953" w:rsidRPr="009D4459">
          <w:rPr>
            <w:rStyle w:val="Hyperlink"/>
            <w:noProof/>
          </w:rPr>
          <w:noBreakHyphen/>
          <w:t>8</w:t>
        </w:r>
        <w:r w:rsidR="00302953" w:rsidRPr="009D4459">
          <w:rPr>
            <w:rStyle w:val="Hyperlink"/>
            <w:rFonts w:cs="Times New Roman"/>
            <w:noProof/>
          </w:rPr>
          <w:t xml:space="preserve"> Phosphorus sample results. All results in mg</w:t>
        </w:r>
        <w:r w:rsidR="00302953" w:rsidRPr="009D4459">
          <w:rPr>
            <w:rStyle w:val="Hyperlink"/>
            <w:rFonts w:cs="Times New Roman"/>
            <w:noProof/>
            <w:vertAlign w:val="superscript"/>
          </w:rPr>
          <w:t xml:space="preserve"> L-1</w:t>
        </w:r>
        <w:r w:rsidR="00302953" w:rsidRPr="009D4459">
          <w:rPr>
            <w:rStyle w:val="Hyperlink"/>
            <w:rFonts w:cs="Times New Roman"/>
            <w:noProof/>
          </w:rPr>
          <w:t xml:space="preserve"> .</w:t>
        </w:r>
        <w:r w:rsidR="00302953">
          <w:rPr>
            <w:noProof/>
            <w:webHidden/>
          </w:rPr>
          <w:tab/>
        </w:r>
        <w:r w:rsidR="00302953">
          <w:rPr>
            <w:noProof/>
            <w:webHidden/>
          </w:rPr>
          <w:fldChar w:fldCharType="begin"/>
        </w:r>
        <w:r w:rsidR="00302953">
          <w:rPr>
            <w:noProof/>
            <w:webHidden/>
          </w:rPr>
          <w:instrText xml:space="preserve"> PAGEREF _Toc121495946 \h </w:instrText>
        </w:r>
        <w:r w:rsidR="00302953">
          <w:rPr>
            <w:noProof/>
            <w:webHidden/>
          </w:rPr>
        </w:r>
        <w:r w:rsidR="00302953">
          <w:rPr>
            <w:noProof/>
            <w:webHidden/>
          </w:rPr>
          <w:fldChar w:fldCharType="separate"/>
        </w:r>
        <w:r w:rsidR="00061096">
          <w:rPr>
            <w:noProof/>
            <w:webHidden/>
          </w:rPr>
          <w:t>186</w:t>
        </w:r>
        <w:r w:rsidR="00302953">
          <w:rPr>
            <w:noProof/>
            <w:webHidden/>
          </w:rPr>
          <w:fldChar w:fldCharType="end"/>
        </w:r>
      </w:hyperlink>
    </w:p>
    <w:p w14:paraId="3B3D22D5" w14:textId="17A49159" w:rsidR="00302953" w:rsidRDefault="00000000">
      <w:pPr>
        <w:pStyle w:val="TableofFigures"/>
        <w:tabs>
          <w:tab w:val="right" w:leader="dot" w:pos="9350"/>
        </w:tabs>
        <w:rPr>
          <w:rFonts w:asciiTheme="minorHAnsi" w:eastAsiaTheme="minorEastAsia" w:hAnsiTheme="minorHAnsi"/>
          <w:noProof/>
        </w:rPr>
      </w:pPr>
      <w:hyperlink w:anchor="_Toc121495947" w:history="1">
        <w:r w:rsidR="00302953" w:rsidRPr="009D4459">
          <w:rPr>
            <w:rStyle w:val="Hyperlink"/>
            <w:noProof/>
          </w:rPr>
          <w:t>Table 10</w:t>
        </w:r>
        <w:r w:rsidR="00302953" w:rsidRPr="009D4459">
          <w:rPr>
            <w:rStyle w:val="Hyperlink"/>
            <w:noProof/>
          </w:rPr>
          <w:noBreakHyphen/>
          <w:t>9</w:t>
        </w:r>
        <w:r w:rsidR="00302953" w:rsidRPr="009D4459">
          <w:rPr>
            <w:rStyle w:val="Hyperlink"/>
            <w:rFonts w:cs="Times New Roman"/>
            <w:noProof/>
          </w:rPr>
          <w:t xml:space="preserve"> Neonicotinoid sample results. All results given in ug L</w:t>
        </w:r>
        <w:r w:rsidR="00302953" w:rsidRPr="009D4459">
          <w:rPr>
            <w:rStyle w:val="Hyperlink"/>
            <w:rFonts w:cs="Times New Roman"/>
            <w:noProof/>
            <w:vertAlign w:val="superscript"/>
          </w:rPr>
          <w:t>-1</w:t>
        </w:r>
        <w:r w:rsidR="00302953" w:rsidRPr="009D4459">
          <w:rPr>
            <w:rStyle w:val="Hyperlink"/>
            <w:rFonts w:cs="Times New Roman"/>
            <w:noProof/>
          </w:rPr>
          <w:t>.</w:t>
        </w:r>
        <w:r w:rsidR="00302953">
          <w:rPr>
            <w:noProof/>
            <w:webHidden/>
          </w:rPr>
          <w:tab/>
        </w:r>
        <w:r w:rsidR="00302953">
          <w:rPr>
            <w:noProof/>
            <w:webHidden/>
          </w:rPr>
          <w:fldChar w:fldCharType="begin"/>
        </w:r>
        <w:r w:rsidR="00302953">
          <w:rPr>
            <w:noProof/>
            <w:webHidden/>
          </w:rPr>
          <w:instrText xml:space="preserve"> PAGEREF _Toc121495947 \h </w:instrText>
        </w:r>
        <w:r w:rsidR="00302953">
          <w:rPr>
            <w:noProof/>
            <w:webHidden/>
          </w:rPr>
        </w:r>
        <w:r w:rsidR="00302953">
          <w:rPr>
            <w:noProof/>
            <w:webHidden/>
          </w:rPr>
          <w:fldChar w:fldCharType="separate"/>
        </w:r>
        <w:r w:rsidR="00061096">
          <w:rPr>
            <w:noProof/>
            <w:webHidden/>
          </w:rPr>
          <w:t>189</w:t>
        </w:r>
        <w:r w:rsidR="00302953">
          <w:rPr>
            <w:noProof/>
            <w:webHidden/>
          </w:rPr>
          <w:fldChar w:fldCharType="end"/>
        </w:r>
      </w:hyperlink>
    </w:p>
    <w:p w14:paraId="336E1960" w14:textId="0FF4CC78" w:rsidR="00302953" w:rsidRDefault="00000000">
      <w:pPr>
        <w:pStyle w:val="TableofFigures"/>
        <w:tabs>
          <w:tab w:val="right" w:leader="dot" w:pos="9350"/>
        </w:tabs>
        <w:rPr>
          <w:rFonts w:asciiTheme="minorHAnsi" w:eastAsiaTheme="minorEastAsia" w:hAnsiTheme="minorHAnsi"/>
          <w:noProof/>
        </w:rPr>
      </w:pPr>
      <w:hyperlink w:anchor="_Toc121495948" w:history="1">
        <w:r w:rsidR="00302953" w:rsidRPr="009D4459">
          <w:rPr>
            <w:rStyle w:val="Hyperlink"/>
            <w:noProof/>
          </w:rPr>
          <w:t>Table 10</w:t>
        </w:r>
        <w:r w:rsidR="00302953" w:rsidRPr="009D4459">
          <w:rPr>
            <w:rStyle w:val="Hyperlink"/>
            <w:noProof/>
          </w:rPr>
          <w:noBreakHyphen/>
          <w:t>10</w:t>
        </w:r>
        <w:r w:rsidR="00302953" w:rsidRPr="009D4459">
          <w:rPr>
            <w:rStyle w:val="Hyperlink"/>
            <w:rFonts w:cs="Times New Roman"/>
            <w:noProof/>
          </w:rPr>
          <w:t xml:space="preserve"> Coefficient of variation (%) for metals samples. A mild variation exceedance is &gt;10% and a substantial exceedance is &gt;20%.</w:t>
        </w:r>
        <w:r w:rsidR="00302953">
          <w:rPr>
            <w:noProof/>
            <w:webHidden/>
          </w:rPr>
          <w:tab/>
        </w:r>
        <w:r w:rsidR="00302953">
          <w:rPr>
            <w:noProof/>
            <w:webHidden/>
          </w:rPr>
          <w:fldChar w:fldCharType="begin"/>
        </w:r>
        <w:r w:rsidR="00302953">
          <w:rPr>
            <w:noProof/>
            <w:webHidden/>
          </w:rPr>
          <w:instrText xml:space="preserve"> PAGEREF _Toc121495948 \h </w:instrText>
        </w:r>
        <w:r w:rsidR="00302953">
          <w:rPr>
            <w:noProof/>
            <w:webHidden/>
          </w:rPr>
        </w:r>
        <w:r w:rsidR="00302953">
          <w:rPr>
            <w:noProof/>
            <w:webHidden/>
          </w:rPr>
          <w:fldChar w:fldCharType="separate"/>
        </w:r>
        <w:r w:rsidR="00061096">
          <w:rPr>
            <w:noProof/>
            <w:webHidden/>
          </w:rPr>
          <w:t>193</w:t>
        </w:r>
        <w:r w:rsidR="00302953">
          <w:rPr>
            <w:noProof/>
            <w:webHidden/>
          </w:rPr>
          <w:fldChar w:fldCharType="end"/>
        </w:r>
      </w:hyperlink>
    </w:p>
    <w:p w14:paraId="21D0431B" w14:textId="7907E2D2" w:rsidR="00302953" w:rsidRDefault="00000000">
      <w:pPr>
        <w:pStyle w:val="TableofFigures"/>
        <w:tabs>
          <w:tab w:val="right" w:leader="dot" w:pos="9350"/>
        </w:tabs>
        <w:rPr>
          <w:rFonts w:asciiTheme="minorHAnsi" w:eastAsiaTheme="minorEastAsia" w:hAnsiTheme="minorHAnsi"/>
          <w:noProof/>
        </w:rPr>
      </w:pPr>
      <w:hyperlink w:anchor="_Toc121495949" w:history="1">
        <w:r w:rsidR="00302953" w:rsidRPr="009D4459">
          <w:rPr>
            <w:rStyle w:val="Hyperlink"/>
            <w:noProof/>
          </w:rPr>
          <w:t>Table 10</w:t>
        </w:r>
        <w:r w:rsidR="00302953" w:rsidRPr="009D4459">
          <w:rPr>
            <w:rStyle w:val="Hyperlink"/>
            <w:noProof/>
          </w:rPr>
          <w:noBreakHyphen/>
          <w:t>11</w:t>
        </w:r>
        <w:r w:rsidR="00302953" w:rsidRPr="009D4459">
          <w:rPr>
            <w:rStyle w:val="Hyperlink"/>
            <w:rFonts w:cs="Times New Roman"/>
            <w:noProof/>
          </w:rPr>
          <w:t xml:space="preserve"> Coefficient of variation (%) for phosphorus and all three neonicotinoids. A mild variation exceedance is &gt;10% and a substantial exceedance is &gt;20%.</w:t>
        </w:r>
        <w:r w:rsidR="00302953">
          <w:rPr>
            <w:noProof/>
            <w:webHidden/>
          </w:rPr>
          <w:tab/>
        </w:r>
        <w:r w:rsidR="00302953">
          <w:rPr>
            <w:noProof/>
            <w:webHidden/>
          </w:rPr>
          <w:fldChar w:fldCharType="begin"/>
        </w:r>
        <w:r w:rsidR="00302953">
          <w:rPr>
            <w:noProof/>
            <w:webHidden/>
          </w:rPr>
          <w:instrText xml:space="preserve"> PAGEREF _Toc121495949 \h </w:instrText>
        </w:r>
        <w:r w:rsidR="00302953">
          <w:rPr>
            <w:noProof/>
            <w:webHidden/>
          </w:rPr>
        </w:r>
        <w:r w:rsidR="00302953">
          <w:rPr>
            <w:noProof/>
            <w:webHidden/>
          </w:rPr>
          <w:fldChar w:fldCharType="separate"/>
        </w:r>
        <w:r w:rsidR="00061096">
          <w:rPr>
            <w:noProof/>
            <w:webHidden/>
          </w:rPr>
          <w:t>195</w:t>
        </w:r>
        <w:r w:rsidR="00302953">
          <w:rPr>
            <w:noProof/>
            <w:webHidden/>
          </w:rPr>
          <w:fldChar w:fldCharType="end"/>
        </w:r>
      </w:hyperlink>
    </w:p>
    <w:p w14:paraId="4DAB245F" w14:textId="09363390" w:rsidR="00302953" w:rsidRDefault="00000000">
      <w:pPr>
        <w:pStyle w:val="TableofFigures"/>
        <w:tabs>
          <w:tab w:val="right" w:leader="dot" w:pos="9350"/>
        </w:tabs>
        <w:rPr>
          <w:rFonts w:asciiTheme="minorHAnsi" w:eastAsiaTheme="minorEastAsia" w:hAnsiTheme="minorHAnsi"/>
          <w:noProof/>
        </w:rPr>
      </w:pPr>
      <w:hyperlink w:anchor="_Toc121495950" w:history="1">
        <w:r w:rsidR="00302953" w:rsidRPr="009D4459">
          <w:rPr>
            <w:rStyle w:val="Hyperlink"/>
            <w:noProof/>
          </w:rPr>
          <w:t>Table 10</w:t>
        </w:r>
        <w:r w:rsidR="00302953" w:rsidRPr="009D4459">
          <w:rPr>
            <w:rStyle w:val="Hyperlink"/>
            <w:noProof/>
          </w:rPr>
          <w:noBreakHyphen/>
          <w:t>12</w:t>
        </w:r>
        <w:r w:rsidR="00302953" w:rsidRPr="009D4459">
          <w:rPr>
            <w:rStyle w:val="Hyperlink"/>
            <w:rFonts w:cs="Times New Roman"/>
            <w:noProof/>
          </w:rPr>
          <w:t xml:space="preserve"> Contaminant front experiment results. Column initially saturated with DI water then an 11,000 µS cm</w:t>
        </w:r>
        <w:r w:rsidR="00302953" w:rsidRPr="009D4459">
          <w:rPr>
            <w:rStyle w:val="Hyperlink"/>
            <w:rFonts w:cs="Times New Roman"/>
            <w:noProof/>
            <w:vertAlign w:val="superscript"/>
          </w:rPr>
          <w:t>-1</w:t>
        </w:r>
        <w:r w:rsidR="00302953" w:rsidRPr="009D4459">
          <w:rPr>
            <w:rStyle w:val="Hyperlink"/>
            <w:rFonts w:cs="Times New Roman"/>
            <w:noProof/>
          </w:rPr>
          <w:t xml:space="preserve"> NaCl solution poured with 6 in. of ponding at the top of the bioretention simulation sand and effluent SC values measured. One pore volume was ~300 mL.</w:t>
        </w:r>
        <w:r w:rsidR="00302953">
          <w:rPr>
            <w:noProof/>
            <w:webHidden/>
          </w:rPr>
          <w:tab/>
        </w:r>
        <w:r w:rsidR="00302953">
          <w:rPr>
            <w:noProof/>
            <w:webHidden/>
          </w:rPr>
          <w:fldChar w:fldCharType="begin"/>
        </w:r>
        <w:r w:rsidR="00302953">
          <w:rPr>
            <w:noProof/>
            <w:webHidden/>
          </w:rPr>
          <w:instrText xml:space="preserve"> PAGEREF _Toc121495950 \h </w:instrText>
        </w:r>
        <w:r w:rsidR="00302953">
          <w:rPr>
            <w:noProof/>
            <w:webHidden/>
          </w:rPr>
        </w:r>
        <w:r w:rsidR="00302953">
          <w:rPr>
            <w:noProof/>
            <w:webHidden/>
          </w:rPr>
          <w:fldChar w:fldCharType="separate"/>
        </w:r>
        <w:r w:rsidR="00061096">
          <w:rPr>
            <w:noProof/>
            <w:webHidden/>
          </w:rPr>
          <w:t>196</w:t>
        </w:r>
        <w:r w:rsidR="00302953">
          <w:rPr>
            <w:noProof/>
            <w:webHidden/>
          </w:rPr>
          <w:fldChar w:fldCharType="end"/>
        </w:r>
      </w:hyperlink>
    </w:p>
    <w:p w14:paraId="58FA8A2F" w14:textId="399F27E1" w:rsidR="00F7380B" w:rsidRPr="00770477" w:rsidRDefault="004B4A0F">
      <w:pPr>
        <w:spacing w:line="240" w:lineRule="auto"/>
        <w:rPr>
          <w:rFonts w:cs="Times New Roman"/>
        </w:rPr>
      </w:pPr>
      <w:r>
        <w:rPr>
          <w:rFonts w:cs="Times New Roman"/>
        </w:rPr>
        <w:fldChar w:fldCharType="end"/>
      </w:r>
    </w:p>
    <w:p w14:paraId="245A0CB5" w14:textId="7617C617" w:rsidR="007030ED" w:rsidRPr="00770477" w:rsidRDefault="00F7380B">
      <w:pPr>
        <w:spacing w:line="240" w:lineRule="auto"/>
        <w:rPr>
          <w:rFonts w:cs="Times New Roman"/>
        </w:rPr>
      </w:pPr>
      <w:r w:rsidRPr="00770477">
        <w:rPr>
          <w:rFonts w:cs="Times New Roman"/>
        </w:rPr>
        <w:br w:type="page"/>
      </w:r>
    </w:p>
    <w:p w14:paraId="5AB1CE36" w14:textId="77777777" w:rsidR="00613EFA" w:rsidRDefault="007030ED" w:rsidP="007030ED">
      <w:pPr>
        <w:rPr>
          <w:noProof/>
        </w:rPr>
      </w:pPr>
      <w:r w:rsidRPr="00770477">
        <w:rPr>
          <w:rFonts w:cs="Times New Roman"/>
          <w:color w:val="4472C4" w:themeColor="accent1"/>
          <w:sz w:val="32"/>
          <w:szCs w:val="32"/>
        </w:rPr>
        <w:lastRenderedPageBreak/>
        <w:t>Table of Equations</w:t>
      </w:r>
      <w:r w:rsidRPr="00770477">
        <w:rPr>
          <w:rFonts w:cs="Times New Roman"/>
        </w:rPr>
        <w:fldChar w:fldCharType="begin"/>
      </w:r>
      <w:r w:rsidRPr="00770477">
        <w:rPr>
          <w:rFonts w:cs="Times New Roman"/>
        </w:rPr>
        <w:instrText xml:space="preserve"> TOC \h \z \c "Equation" </w:instrText>
      </w:r>
      <w:r w:rsidRPr="00770477">
        <w:rPr>
          <w:rFonts w:cs="Times New Roman"/>
        </w:rPr>
        <w:fldChar w:fldCharType="separate"/>
      </w:r>
    </w:p>
    <w:p w14:paraId="7240C2F5" w14:textId="5B6BF563" w:rsidR="00613EFA" w:rsidRDefault="00000000">
      <w:pPr>
        <w:pStyle w:val="TableofFigures"/>
        <w:tabs>
          <w:tab w:val="right" w:leader="dot" w:pos="9350"/>
        </w:tabs>
        <w:rPr>
          <w:rFonts w:asciiTheme="minorHAnsi" w:eastAsiaTheme="minorEastAsia" w:hAnsiTheme="minorHAnsi"/>
          <w:noProof/>
        </w:rPr>
      </w:pPr>
      <w:hyperlink w:anchor="_Toc121486640" w:history="1">
        <w:r w:rsidR="00613EFA" w:rsidRPr="001200D9">
          <w:rPr>
            <w:rStyle w:val="Hyperlink"/>
            <w:rFonts w:cs="Times New Roman"/>
            <w:noProof/>
          </w:rPr>
          <w:t>Equation 2</w:t>
        </w:r>
        <w:r w:rsidR="00613EFA" w:rsidRPr="001200D9">
          <w:rPr>
            <w:rStyle w:val="Hyperlink"/>
            <w:rFonts w:cs="Times New Roman"/>
            <w:noProof/>
          </w:rPr>
          <w:noBreakHyphen/>
          <w:t>1  Phosphorus removal reactions in calcium rich materials (Scott &amp; Penn, 2021)</w:t>
        </w:r>
        <w:r w:rsidR="00613EFA">
          <w:rPr>
            <w:noProof/>
            <w:webHidden/>
          </w:rPr>
          <w:tab/>
        </w:r>
        <w:r w:rsidR="00613EFA">
          <w:rPr>
            <w:noProof/>
            <w:webHidden/>
          </w:rPr>
          <w:fldChar w:fldCharType="begin"/>
        </w:r>
        <w:r w:rsidR="00613EFA">
          <w:rPr>
            <w:noProof/>
            <w:webHidden/>
          </w:rPr>
          <w:instrText xml:space="preserve"> PAGEREF _Toc121486640 \h </w:instrText>
        </w:r>
        <w:r w:rsidR="00613EFA">
          <w:rPr>
            <w:noProof/>
            <w:webHidden/>
          </w:rPr>
        </w:r>
        <w:r w:rsidR="00613EFA">
          <w:rPr>
            <w:noProof/>
            <w:webHidden/>
          </w:rPr>
          <w:fldChar w:fldCharType="separate"/>
        </w:r>
        <w:r w:rsidR="00061096">
          <w:rPr>
            <w:noProof/>
            <w:webHidden/>
          </w:rPr>
          <w:t>28</w:t>
        </w:r>
        <w:r w:rsidR="00613EFA">
          <w:rPr>
            <w:noProof/>
            <w:webHidden/>
          </w:rPr>
          <w:fldChar w:fldCharType="end"/>
        </w:r>
      </w:hyperlink>
    </w:p>
    <w:p w14:paraId="39842CF0" w14:textId="58C14A85" w:rsidR="00613EFA" w:rsidRDefault="00000000">
      <w:pPr>
        <w:pStyle w:val="TableofFigures"/>
        <w:tabs>
          <w:tab w:val="right" w:leader="dot" w:pos="9350"/>
        </w:tabs>
        <w:rPr>
          <w:rFonts w:asciiTheme="minorHAnsi" w:eastAsiaTheme="minorEastAsia" w:hAnsiTheme="minorHAnsi"/>
          <w:noProof/>
        </w:rPr>
      </w:pPr>
      <w:hyperlink w:anchor="_Toc121486641" w:history="1">
        <w:r w:rsidR="00613EFA" w:rsidRPr="001200D9">
          <w:rPr>
            <w:rStyle w:val="Hyperlink"/>
            <w:rFonts w:cs="Times New Roman"/>
            <w:noProof/>
          </w:rPr>
          <w:t>Equation 3</w:t>
        </w:r>
        <w:r w:rsidR="00613EFA" w:rsidRPr="001200D9">
          <w:rPr>
            <w:rStyle w:val="Hyperlink"/>
            <w:rFonts w:cs="Times New Roman"/>
            <w:noProof/>
          </w:rPr>
          <w:noBreakHyphen/>
          <w:t>1 Equation used for pore volume determination.</w:t>
        </w:r>
        <w:r w:rsidR="00613EFA">
          <w:rPr>
            <w:noProof/>
            <w:webHidden/>
          </w:rPr>
          <w:tab/>
        </w:r>
        <w:r w:rsidR="00613EFA">
          <w:rPr>
            <w:noProof/>
            <w:webHidden/>
          </w:rPr>
          <w:fldChar w:fldCharType="begin"/>
        </w:r>
        <w:r w:rsidR="00613EFA">
          <w:rPr>
            <w:noProof/>
            <w:webHidden/>
          </w:rPr>
          <w:instrText xml:space="preserve"> PAGEREF _Toc121486641 \h </w:instrText>
        </w:r>
        <w:r w:rsidR="00613EFA">
          <w:rPr>
            <w:noProof/>
            <w:webHidden/>
          </w:rPr>
        </w:r>
        <w:r w:rsidR="00613EFA">
          <w:rPr>
            <w:noProof/>
            <w:webHidden/>
          </w:rPr>
          <w:fldChar w:fldCharType="separate"/>
        </w:r>
        <w:r w:rsidR="00061096">
          <w:rPr>
            <w:noProof/>
            <w:webHidden/>
          </w:rPr>
          <w:t>48</w:t>
        </w:r>
        <w:r w:rsidR="00613EFA">
          <w:rPr>
            <w:noProof/>
            <w:webHidden/>
          </w:rPr>
          <w:fldChar w:fldCharType="end"/>
        </w:r>
      </w:hyperlink>
    </w:p>
    <w:p w14:paraId="1EBCB773" w14:textId="713DE217" w:rsidR="00613EFA" w:rsidRDefault="00000000">
      <w:pPr>
        <w:pStyle w:val="TableofFigures"/>
        <w:tabs>
          <w:tab w:val="right" w:leader="dot" w:pos="9350"/>
        </w:tabs>
        <w:rPr>
          <w:rFonts w:asciiTheme="minorHAnsi" w:eastAsiaTheme="minorEastAsia" w:hAnsiTheme="minorHAnsi"/>
          <w:noProof/>
        </w:rPr>
      </w:pPr>
      <w:hyperlink w:anchor="_Toc121486642" w:history="1">
        <w:r w:rsidR="00613EFA" w:rsidRPr="001200D9">
          <w:rPr>
            <w:rStyle w:val="Hyperlink"/>
            <w:rFonts w:cs="Times New Roman"/>
            <w:noProof/>
          </w:rPr>
          <w:t>Equation 3</w:t>
        </w:r>
        <w:r w:rsidR="00613EFA" w:rsidRPr="001200D9">
          <w:rPr>
            <w:rStyle w:val="Hyperlink"/>
            <w:rFonts w:cs="Times New Roman"/>
            <w:noProof/>
          </w:rPr>
          <w:noBreakHyphen/>
          <w:t>2 Influent - effluent ratio calculation</w:t>
        </w:r>
        <w:r w:rsidR="00613EFA">
          <w:rPr>
            <w:noProof/>
            <w:webHidden/>
          </w:rPr>
          <w:tab/>
        </w:r>
        <w:r w:rsidR="00613EFA">
          <w:rPr>
            <w:noProof/>
            <w:webHidden/>
          </w:rPr>
          <w:fldChar w:fldCharType="begin"/>
        </w:r>
        <w:r w:rsidR="00613EFA">
          <w:rPr>
            <w:noProof/>
            <w:webHidden/>
          </w:rPr>
          <w:instrText xml:space="preserve"> PAGEREF _Toc121486642 \h </w:instrText>
        </w:r>
        <w:r w:rsidR="00613EFA">
          <w:rPr>
            <w:noProof/>
            <w:webHidden/>
          </w:rPr>
        </w:r>
        <w:r w:rsidR="00613EFA">
          <w:rPr>
            <w:noProof/>
            <w:webHidden/>
          </w:rPr>
          <w:fldChar w:fldCharType="separate"/>
        </w:r>
        <w:r w:rsidR="00061096">
          <w:rPr>
            <w:noProof/>
            <w:webHidden/>
          </w:rPr>
          <w:t>53</w:t>
        </w:r>
        <w:r w:rsidR="00613EFA">
          <w:rPr>
            <w:noProof/>
            <w:webHidden/>
          </w:rPr>
          <w:fldChar w:fldCharType="end"/>
        </w:r>
      </w:hyperlink>
    </w:p>
    <w:p w14:paraId="48D67C76" w14:textId="18A059E3" w:rsidR="00613EFA" w:rsidRDefault="00000000">
      <w:pPr>
        <w:pStyle w:val="TableofFigures"/>
        <w:tabs>
          <w:tab w:val="right" w:leader="dot" w:pos="9350"/>
        </w:tabs>
        <w:rPr>
          <w:rFonts w:asciiTheme="minorHAnsi" w:eastAsiaTheme="minorEastAsia" w:hAnsiTheme="minorHAnsi"/>
          <w:noProof/>
        </w:rPr>
      </w:pPr>
      <w:hyperlink w:anchor="_Toc121486643" w:history="1">
        <w:r w:rsidR="00613EFA" w:rsidRPr="001200D9">
          <w:rPr>
            <w:rStyle w:val="Hyperlink"/>
            <w:rFonts w:cs="Times New Roman"/>
            <w:noProof/>
          </w:rPr>
          <w:t>Equation 3</w:t>
        </w:r>
        <w:r w:rsidR="00613EFA" w:rsidRPr="001200D9">
          <w:rPr>
            <w:rStyle w:val="Hyperlink"/>
            <w:rFonts w:cs="Times New Roman"/>
            <w:noProof/>
          </w:rPr>
          <w:noBreakHyphen/>
          <w:t>3 Simplified Gompertz function as defined by (Chu, 2020).</w:t>
        </w:r>
        <w:r w:rsidR="00613EFA">
          <w:rPr>
            <w:noProof/>
            <w:webHidden/>
          </w:rPr>
          <w:tab/>
        </w:r>
        <w:r w:rsidR="00613EFA">
          <w:rPr>
            <w:noProof/>
            <w:webHidden/>
          </w:rPr>
          <w:fldChar w:fldCharType="begin"/>
        </w:r>
        <w:r w:rsidR="00613EFA">
          <w:rPr>
            <w:noProof/>
            <w:webHidden/>
          </w:rPr>
          <w:instrText xml:space="preserve"> PAGEREF _Toc121486643 \h </w:instrText>
        </w:r>
        <w:r w:rsidR="00613EFA">
          <w:rPr>
            <w:noProof/>
            <w:webHidden/>
          </w:rPr>
        </w:r>
        <w:r w:rsidR="00613EFA">
          <w:rPr>
            <w:noProof/>
            <w:webHidden/>
          </w:rPr>
          <w:fldChar w:fldCharType="separate"/>
        </w:r>
        <w:r w:rsidR="00061096">
          <w:rPr>
            <w:noProof/>
            <w:webHidden/>
          </w:rPr>
          <w:t>54</w:t>
        </w:r>
        <w:r w:rsidR="00613EFA">
          <w:rPr>
            <w:noProof/>
            <w:webHidden/>
          </w:rPr>
          <w:fldChar w:fldCharType="end"/>
        </w:r>
      </w:hyperlink>
    </w:p>
    <w:p w14:paraId="677191DB" w14:textId="0CC55EFF" w:rsidR="00613EFA" w:rsidRDefault="00000000">
      <w:pPr>
        <w:pStyle w:val="TableofFigures"/>
        <w:tabs>
          <w:tab w:val="right" w:leader="dot" w:pos="9350"/>
        </w:tabs>
        <w:rPr>
          <w:rFonts w:asciiTheme="minorHAnsi" w:eastAsiaTheme="minorEastAsia" w:hAnsiTheme="minorHAnsi"/>
          <w:noProof/>
        </w:rPr>
      </w:pPr>
      <w:hyperlink w:anchor="_Toc121486644" w:history="1">
        <w:r w:rsidR="00613EFA" w:rsidRPr="001200D9">
          <w:rPr>
            <w:rStyle w:val="Hyperlink"/>
            <w:rFonts w:cs="Times New Roman"/>
            <w:noProof/>
          </w:rPr>
          <w:t>Equation 3</w:t>
        </w:r>
        <w:r w:rsidR="00613EFA" w:rsidRPr="001200D9">
          <w:rPr>
            <w:rStyle w:val="Hyperlink"/>
            <w:rFonts w:cs="Times New Roman"/>
            <w:noProof/>
          </w:rPr>
          <w:noBreakHyphen/>
          <w:t>4 Rearranged Gompertz equation to determine volume at which media exhaustion occurs</w:t>
        </w:r>
        <w:r w:rsidR="00613EFA">
          <w:rPr>
            <w:noProof/>
            <w:webHidden/>
          </w:rPr>
          <w:tab/>
        </w:r>
        <w:r w:rsidR="00613EFA">
          <w:rPr>
            <w:noProof/>
            <w:webHidden/>
          </w:rPr>
          <w:fldChar w:fldCharType="begin"/>
        </w:r>
        <w:r w:rsidR="00613EFA">
          <w:rPr>
            <w:noProof/>
            <w:webHidden/>
          </w:rPr>
          <w:instrText xml:space="preserve"> PAGEREF _Toc121486644 \h </w:instrText>
        </w:r>
        <w:r w:rsidR="00613EFA">
          <w:rPr>
            <w:noProof/>
            <w:webHidden/>
          </w:rPr>
        </w:r>
        <w:r w:rsidR="00613EFA">
          <w:rPr>
            <w:noProof/>
            <w:webHidden/>
          </w:rPr>
          <w:fldChar w:fldCharType="separate"/>
        </w:r>
        <w:r w:rsidR="00061096">
          <w:rPr>
            <w:noProof/>
            <w:webHidden/>
          </w:rPr>
          <w:t>56</w:t>
        </w:r>
        <w:r w:rsidR="00613EFA">
          <w:rPr>
            <w:noProof/>
            <w:webHidden/>
          </w:rPr>
          <w:fldChar w:fldCharType="end"/>
        </w:r>
      </w:hyperlink>
    </w:p>
    <w:p w14:paraId="0AF57A58" w14:textId="6C18E9A7" w:rsidR="00613EFA" w:rsidRDefault="00000000">
      <w:pPr>
        <w:pStyle w:val="TableofFigures"/>
        <w:tabs>
          <w:tab w:val="right" w:leader="dot" w:pos="9350"/>
        </w:tabs>
        <w:rPr>
          <w:rFonts w:asciiTheme="minorHAnsi" w:eastAsiaTheme="minorEastAsia" w:hAnsiTheme="minorHAnsi"/>
          <w:noProof/>
        </w:rPr>
      </w:pPr>
      <w:hyperlink w:anchor="_Toc121486645" w:history="1">
        <w:r w:rsidR="00613EFA" w:rsidRPr="001200D9">
          <w:rPr>
            <w:rStyle w:val="Hyperlink"/>
            <w:rFonts w:cs="Times New Roman"/>
            <w:noProof/>
          </w:rPr>
          <w:t>Equation 3</w:t>
        </w:r>
        <w:r w:rsidR="00613EFA" w:rsidRPr="001200D9">
          <w:rPr>
            <w:rStyle w:val="Hyperlink"/>
            <w:rFonts w:cs="Times New Roman"/>
            <w:noProof/>
          </w:rPr>
          <w:noBreakHyphen/>
          <w:t>5 Mass removal rate calculation</w:t>
        </w:r>
        <w:r w:rsidR="00613EFA">
          <w:rPr>
            <w:noProof/>
            <w:webHidden/>
          </w:rPr>
          <w:tab/>
        </w:r>
        <w:r w:rsidR="00613EFA">
          <w:rPr>
            <w:noProof/>
            <w:webHidden/>
          </w:rPr>
          <w:fldChar w:fldCharType="begin"/>
        </w:r>
        <w:r w:rsidR="00613EFA">
          <w:rPr>
            <w:noProof/>
            <w:webHidden/>
          </w:rPr>
          <w:instrText xml:space="preserve"> PAGEREF _Toc121486645 \h </w:instrText>
        </w:r>
        <w:r w:rsidR="00613EFA">
          <w:rPr>
            <w:noProof/>
            <w:webHidden/>
          </w:rPr>
        </w:r>
        <w:r w:rsidR="00613EFA">
          <w:rPr>
            <w:noProof/>
            <w:webHidden/>
          </w:rPr>
          <w:fldChar w:fldCharType="separate"/>
        </w:r>
        <w:r w:rsidR="00061096">
          <w:rPr>
            <w:noProof/>
            <w:webHidden/>
          </w:rPr>
          <w:t>58</w:t>
        </w:r>
        <w:r w:rsidR="00613EFA">
          <w:rPr>
            <w:noProof/>
            <w:webHidden/>
          </w:rPr>
          <w:fldChar w:fldCharType="end"/>
        </w:r>
      </w:hyperlink>
    </w:p>
    <w:p w14:paraId="06633825" w14:textId="33154E32" w:rsidR="00613EFA" w:rsidRDefault="00000000">
      <w:pPr>
        <w:pStyle w:val="TableofFigures"/>
        <w:tabs>
          <w:tab w:val="right" w:leader="dot" w:pos="9350"/>
        </w:tabs>
        <w:rPr>
          <w:rFonts w:asciiTheme="minorHAnsi" w:eastAsiaTheme="minorEastAsia" w:hAnsiTheme="minorHAnsi"/>
          <w:noProof/>
        </w:rPr>
      </w:pPr>
      <w:hyperlink w:anchor="_Toc121486646" w:history="1">
        <w:r w:rsidR="00613EFA" w:rsidRPr="001200D9">
          <w:rPr>
            <w:rStyle w:val="Hyperlink"/>
            <w:rFonts w:cs="Times New Roman"/>
            <w:noProof/>
          </w:rPr>
          <w:t>Equation 5</w:t>
        </w:r>
        <w:r w:rsidR="00613EFA" w:rsidRPr="001200D9">
          <w:rPr>
            <w:rStyle w:val="Hyperlink"/>
            <w:rFonts w:cs="Times New Roman"/>
            <w:noProof/>
          </w:rPr>
          <w:noBreakHyphen/>
          <w:t>1 Generalized dissolution reactions which contribute to solution pH increase.</w:t>
        </w:r>
        <w:r w:rsidR="00613EFA">
          <w:rPr>
            <w:noProof/>
            <w:webHidden/>
          </w:rPr>
          <w:tab/>
        </w:r>
        <w:r w:rsidR="00613EFA">
          <w:rPr>
            <w:noProof/>
            <w:webHidden/>
          </w:rPr>
          <w:fldChar w:fldCharType="begin"/>
        </w:r>
        <w:r w:rsidR="00613EFA">
          <w:rPr>
            <w:noProof/>
            <w:webHidden/>
          </w:rPr>
          <w:instrText xml:space="preserve"> PAGEREF _Toc121486646 \h </w:instrText>
        </w:r>
        <w:r w:rsidR="00613EFA">
          <w:rPr>
            <w:noProof/>
            <w:webHidden/>
          </w:rPr>
        </w:r>
        <w:r w:rsidR="00613EFA">
          <w:rPr>
            <w:noProof/>
            <w:webHidden/>
          </w:rPr>
          <w:fldChar w:fldCharType="separate"/>
        </w:r>
        <w:r w:rsidR="00061096">
          <w:rPr>
            <w:noProof/>
            <w:webHidden/>
          </w:rPr>
          <w:t>115</w:t>
        </w:r>
        <w:r w:rsidR="00613EFA">
          <w:rPr>
            <w:noProof/>
            <w:webHidden/>
          </w:rPr>
          <w:fldChar w:fldCharType="end"/>
        </w:r>
      </w:hyperlink>
    </w:p>
    <w:p w14:paraId="5283C87F" w14:textId="73D4EA52" w:rsidR="0022323C" w:rsidRPr="00770477" w:rsidRDefault="007030ED" w:rsidP="007030ED">
      <w:pPr>
        <w:rPr>
          <w:rFonts w:cs="Times New Roman"/>
        </w:rPr>
      </w:pPr>
      <w:r w:rsidRPr="00770477">
        <w:rPr>
          <w:rFonts w:cs="Times New Roman"/>
        </w:rPr>
        <w:fldChar w:fldCharType="end"/>
      </w:r>
      <w:r w:rsidRPr="00770477">
        <w:rPr>
          <w:rFonts w:cs="Times New Roman"/>
        </w:rPr>
        <w:br w:type="page"/>
      </w:r>
    </w:p>
    <w:p w14:paraId="17C4BD52" w14:textId="77777777" w:rsidR="0053713C" w:rsidRPr="00770477" w:rsidRDefault="0053713C" w:rsidP="0053713C">
      <w:pPr>
        <w:pStyle w:val="Heading1"/>
        <w:numPr>
          <w:ilvl w:val="0"/>
          <w:numId w:val="0"/>
        </w:numPr>
        <w:ind w:left="432" w:hanging="432"/>
        <w:rPr>
          <w:rFonts w:cs="Times New Roman"/>
        </w:rPr>
      </w:pPr>
      <w:bookmarkStart w:id="0" w:name="_Toc121495966"/>
      <w:r w:rsidRPr="00770477">
        <w:rPr>
          <w:rFonts w:cs="Times New Roman"/>
        </w:rPr>
        <w:lastRenderedPageBreak/>
        <w:t>Abstract</w:t>
      </w:r>
      <w:bookmarkEnd w:id="0"/>
    </w:p>
    <w:p w14:paraId="719FBD6B" w14:textId="77777777" w:rsidR="0053713C" w:rsidRPr="00770477" w:rsidRDefault="0053713C" w:rsidP="0053713C">
      <w:pPr>
        <w:rPr>
          <w:rFonts w:cs="Times New Roman"/>
        </w:rPr>
      </w:pPr>
      <w:r w:rsidRPr="00770477">
        <w:rPr>
          <w:rFonts w:cs="Times New Roman"/>
        </w:rPr>
        <w:tab/>
        <w:t xml:space="preserve">Around the world, stormwater is a frequent and growing source of contamination for waterbodies. Common sources of pollution include heavy metals such as, but not limited to aluminum (Al), arsenic (As), cadmium (Cd), cobalt (Co), copper (Cu), lead (Pb), manganese (Mn), nickel (Ni), selenium (Se), and zinc (Zn). Nutrients such as phosphorus (P) also pose a </w:t>
      </w:r>
      <w:r>
        <w:rPr>
          <w:rFonts w:cs="Times New Roman"/>
        </w:rPr>
        <w:t>large</w:t>
      </w:r>
      <w:r w:rsidRPr="00770477">
        <w:rPr>
          <w:rFonts w:cs="Times New Roman"/>
        </w:rPr>
        <w:t xml:space="preserve"> risk to waterbodies. Neonicotinoid pesticides are the </w:t>
      </w:r>
      <w:proofErr w:type="gramStart"/>
      <w:r w:rsidRPr="00770477">
        <w:rPr>
          <w:rFonts w:cs="Times New Roman"/>
        </w:rPr>
        <w:t>most commonly used</w:t>
      </w:r>
      <w:proofErr w:type="gramEnd"/>
      <w:r w:rsidRPr="00770477">
        <w:rPr>
          <w:rFonts w:cs="Times New Roman"/>
        </w:rPr>
        <w:t xml:space="preserve"> pesticide in the United States and are of growing concern to waterbodies, aquatic life, and non-aquatic life. Low impact development (LID) structures such as bioretention have been effective in the management of stormwater pollutants for decades. More recently, areas for improvement in bioretention have been identified and a need for additional water quality improvements has been recognized. Industrial byproducts have been suggested as an augmentation to bioretention design </w:t>
      </w:r>
      <w:proofErr w:type="gramStart"/>
      <w:r w:rsidRPr="00770477">
        <w:rPr>
          <w:rFonts w:cs="Times New Roman"/>
        </w:rPr>
        <w:t>as a way to</w:t>
      </w:r>
      <w:proofErr w:type="gramEnd"/>
      <w:r w:rsidRPr="00770477">
        <w:rPr>
          <w:rFonts w:cs="Times New Roman"/>
        </w:rPr>
        <w:t xml:space="preserve"> provide low-cost water quality improvement while giving an otherwise disposed byproduct a second and sustainable use. </w:t>
      </w:r>
    </w:p>
    <w:p w14:paraId="18329F6B" w14:textId="77777777" w:rsidR="0053713C" w:rsidRPr="00770477" w:rsidRDefault="0053713C" w:rsidP="0053713C">
      <w:pPr>
        <w:rPr>
          <w:rFonts w:cs="Times New Roman"/>
        </w:rPr>
      </w:pPr>
      <w:r w:rsidRPr="00770477">
        <w:rPr>
          <w:rFonts w:cs="Times New Roman"/>
        </w:rPr>
        <w:tab/>
        <w:t xml:space="preserve">This study focused on using fly ash (a coal burning byproduct), steel slag (a steel smelting byproduct), and biochar (wood waste heated with little to no oxygen) in treating a complex synthetic stormwater. This </w:t>
      </w:r>
      <w:proofErr w:type="gramStart"/>
      <w:r w:rsidRPr="00770477">
        <w:rPr>
          <w:rFonts w:cs="Times New Roman"/>
        </w:rPr>
        <w:t>proof of concept</w:t>
      </w:r>
      <w:proofErr w:type="gramEnd"/>
      <w:r w:rsidRPr="00770477">
        <w:rPr>
          <w:rFonts w:cs="Times New Roman"/>
        </w:rPr>
        <w:t xml:space="preserve"> benchtop study looked at influent and effluent concentrations in flowthrough column studies for a suite of metals, phosphorus, and three selected neonicotinoids to identify which media yielded the best removal potential for the various contaminants. Columns were set up in two orientations, one vertical with constant flow and full saturation and another horizontal which included a bioretention simulation with head-driven flow which flowed into a treatment column filled with the experimental media. </w:t>
      </w:r>
    </w:p>
    <w:p w14:paraId="691A94ED" w14:textId="77777777" w:rsidR="0053713C" w:rsidRPr="00770477" w:rsidRDefault="0053713C" w:rsidP="0053713C">
      <w:pPr>
        <w:rPr>
          <w:rFonts w:cs="Times New Roman"/>
        </w:rPr>
      </w:pPr>
      <w:r w:rsidRPr="00770477">
        <w:rPr>
          <w:rFonts w:cs="Times New Roman"/>
        </w:rPr>
        <w:tab/>
        <w:t xml:space="preserve">Results showed that </w:t>
      </w:r>
      <w:r>
        <w:rPr>
          <w:rFonts w:cs="Times New Roman"/>
        </w:rPr>
        <w:t>aggregated fly ash</w:t>
      </w:r>
      <w:r w:rsidRPr="00770477">
        <w:rPr>
          <w:rFonts w:cs="Times New Roman"/>
        </w:rPr>
        <w:t xml:space="preserve"> and steel slag yielded a </w:t>
      </w:r>
      <w:r>
        <w:rPr>
          <w:rFonts w:cs="Times New Roman"/>
        </w:rPr>
        <w:t>noticeably</w:t>
      </w:r>
      <w:r w:rsidRPr="00770477">
        <w:rPr>
          <w:rFonts w:cs="Times New Roman"/>
        </w:rPr>
        <w:t xml:space="preserve"> higher pH, likely from the dissolution of different -oxide species into solution. This dissolution also contributed to </w:t>
      </w:r>
      <w:r w:rsidRPr="00770477">
        <w:rPr>
          <w:rFonts w:cs="Times New Roman"/>
        </w:rPr>
        <w:lastRenderedPageBreak/>
        <w:t xml:space="preserve">a </w:t>
      </w:r>
      <w:r>
        <w:rPr>
          <w:rFonts w:cs="Times New Roman"/>
        </w:rPr>
        <w:t>noticeable</w:t>
      </w:r>
      <w:r w:rsidRPr="00770477">
        <w:rPr>
          <w:rFonts w:cs="Times New Roman"/>
        </w:rPr>
        <w:t xml:space="preserve"> increase in specific conductivity. These trends were observed for biochar as well but at </w:t>
      </w:r>
      <w:r>
        <w:rPr>
          <w:rFonts w:cs="Times New Roman"/>
        </w:rPr>
        <w:t>noticeably</w:t>
      </w:r>
      <w:r w:rsidRPr="00770477">
        <w:rPr>
          <w:rFonts w:cs="Times New Roman"/>
        </w:rPr>
        <w:t xml:space="preserve"> lower magnitudes. In vertical columns, the small-sized fraction of steel slag proved to be the best to remove most contaminants from solution. Some exceptions existed where either the large-sized fraction of </w:t>
      </w:r>
      <w:r>
        <w:rPr>
          <w:rFonts w:cs="Times New Roman"/>
        </w:rPr>
        <w:t>aggregated fly ash</w:t>
      </w:r>
      <w:r w:rsidRPr="00770477">
        <w:rPr>
          <w:rFonts w:cs="Times New Roman"/>
        </w:rPr>
        <w:t xml:space="preserve"> was more effective, or results were mixed. Removal is generally understood to be via sorption, however further studies would be required to confirm the mode of removal. Major cations such as </w:t>
      </w:r>
      <w:r>
        <w:rPr>
          <w:rFonts w:cs="Times New Roman"/>
        </w:rPr>
        <w:t>Ca</w:t>
      </w:r>
      <w:r w:rsidRPr="00CB02A7">
        <w:rPr>
          <w:rFonts w:cs="Times New Roman"/>
          <w:vertAlign w:val="superscript"/>
        </w:rPr>
        <w:t>+2</w:t>
      </w:r>
      <w:r w:rsidRPr="00770477">
        <w:rPr>
          <w:rFonts w:cs="Times New Roman"/>
        </w:rPr>
        <w:t xml:space="preserve">, </w:t>
      </w:r>
      <w:r>
        <w:rPr>
          <w:rFonts w:cs="Times New Roman"/>
        </w:rPr>
        <w:t>Na</w:t>
      </w:r>
      <w:r w:rsidRPr="00C52F03">
        <w:rPr>
          <w:rFonts w:cs="Times New Roman"/>
          <w:vertAlign w:val="superscript"/>
        </w:rPr>
        <w:t>+</w:t>
      </w:r>
      <w:r w:rsidRPr="00770477">
        <w:rPr>
          <w:rFonts w:cs="Times New Roman"/>
        </w:rPr>
        <w:t xml:space="preserve">, </w:t>
      </w:r>
      <w:r>
        <w:rPr>
          <w:rFonts w:cs="Times New Roman"/>
        </w:rPr>
        <w:t>Mg</w:t>
      </w:r>
      <w:r w:rsidRPr="00E865BE">
        <w:rPr>
          <w:rFonts w:cs="Times New Roman"/>
          <w:vertAlign w:val="superscript"/>
        </w:rPr>
        <w:t>+2</w:t>
      </w:r>
      <w:r w:rsidRPr="00770477">
        <w:rPr>
          <w:rFonts w:cs="Times New Roman"/>
        </w:rPr>
        <w:t xml:space="preserve">, and </w:t>
      </w:r>
      <w:r>
        <w:rPr>
          <w:rFonts w:cs="Times New Roman"/>
        </w:rPr>
        <w:t>K</w:t>
      </w:r>
      <w:r w:rsidRPr="00E05983">
        <w:rPr>
          <w:rFonts w:cs="Times New Roman"/>
          <w:vertAlign w:val="superscript"/>
        </w:rPr>
        <w:t>+</w:t>
      </w:r>
      <w:r w:rsidRPr="00770477">
        <w:rPr>
          <w:rFonts w:cs="Times New Roman"/>
        </w:rPr>
        <w:t xml:space="preserve"> were generally leached from the media with </w:t>
      </w:r>
      <w:r>
        <w:rPr>
          <w:rFonts w:cs="Times New Roman"/>
        </w:rPr>
        <w:t>aggregated fly ash</w:t>
      </w:r>
      <w:r w:rsidRPr="00770477">
        <w:rPr>
          <w:rFonts w:cs="Times New Roman"/>
        </w:rPr>
        <w:t xml:space="preserve"> and steel slag as the most </w:t>
      </w:r>
      <w:r>
        <w:rPr>
          <w:rFonts w:cs="Times New Roman"/>
        </w:rPr>
        <w:t>common</w:t>
      </w:r>
      <w:r w:rsidRPr="00770477">
        <w:rPr>
          <w:rFonts w:cs="Times New Roman"/>
        </w:rPr>
        <w:t xml:space="preserve"> culprits due to their high composition of these elements. Because biochar posed a lesser leaching risk and showed comparable contaminant removal to </w:t>
      </w:r>
      <w:r>
        <w:rPr>
          <w:rFonts w:cs="Times New Roman"/>
        </w:rPr>
        <w:t>aggregated fly ash</w:t>
      </w:r>
      <w:r w:rsidRPr="00770477">
        <w:rPr>
          <w:rFonts w:cs="Times New Roman"/>
        </w:rPr>
        <w:t xml:space="preserve">, vertical column experiments suggest biochar as the next best treatment media behind small steel slag. Horizontal column experiments had the additional condition of results being compared to the removal rates of a bioretention simulation control column. Where the control failed to treat all three neonicotinoids, P, </w:t>
      </w:r>
      <w:proofErr w:type="gramStart"/>
      <w:r>
        <w:rPr>
          <w:rFonts w:cs="Times New Roman"/>
        </w:rPr>
        <w:t>As</w:t>
      </w:r>
      <w:proofErr w:type="gramEnd"/>
      <w:r w:rsidRPr="009E5089">
        <w:rPr>
          <w:rFonts w:cs="Times New Roman"/>
          <w:vertAlign w:val="superscript"/>
        </w:rPr>
        <w:t>+5</w:t>
      </w:r>
      <w:r w:rsidRPr="00770477">
        <w:rPr>
          <w:rFonts w:cs="Times New Roman"/>
        </w:rPr>
        <w:t>, and Na</w:t>
      </w:r>
      <w:r>
        <w:rPr>
          <w:rFonts w:cs="Times New Roman"/>
          <w:vertAlign w:val="superscript"/>
        </w:rPr>
        <w:t>+</w:t>
      </w:r>
      <w:r w:rsidRPr="00770477">
        <w:rPr>
          <w:rFonts w:cs="Times New Roman"/>
        </w:rPr>
        <w:t xml:space="preserve">, the experimental columns containing the media of study proved to be effective treatments. Small steel slag again showed to be the best medium to remove </w:t>
      </w:r>
      <w:proofErr w:type="gramStart"/>
      <w:r>
        <w:rPr>
          <w:rFonts w:cs="Times New Roman"/>
        </w:rPr>
        <w:t>As</w:t>
      </w:r>
      <w:proofErr w:type="gramEnd"/>
      <w:r w:rsidRPr="009E5089">
        <w:rPr>
          <w:rFonts w:cs="Times New Roman"/>
          <w:vertAlign w:val="superscript"/>
        </w:rPr>
        <w:t>+5</w:t>
      </w:r>
      <w:r w:rsidRPr="00770477">
        <w:rPr>
          <w:rFonts w:cs="Times New Roman"/>
        </w:rPr>
        <w:t xml:space="preserve">, and P where biochar proved to yet again prevent meaningful major cation leaching and was a sink for Na and all three neonicotinoids. Depending on the contaminant of concern being treated, either biochar or small steel slag would be the standout options for bioretention effluent treatment. </w:t>
      </w:r>
    </w:p>
    <w:p w14:paraId="3BD025C2" w14:textId="77777777" w:rsidR="0053713C" w:rsidRPr="00770477" w:rsidRDefault="0053713C" w:rsidP="0053713C">
      <w:pPr>
        <w:rPr>
          <w:rFonts w:cs="Times New Roman"/>
        </w:rPr>
      </w:pPr>
      <w:r w:rsidRPr="00770477">
        <w:rPr>
          <w:rFonts w:cs="Times New Roman"/>
        </w:rPr>
        <w:tab/>
        <w:t xml:space="preserve">Further studies are recommended to confirm the mechanism by which contaminants are removed, the stability of the removed contaminants to stay out of solution, and the environmental safety of deploying these media into the real world. Modeling is also recommended to help guide future studies by predicting the state and species of contaminants in solution and their likelihood to sorb to the experimental media or precipitate </w:t>
      </w:r>
      <w:proofErr w:type="gramStart"/>
      <w:r w:rsidRPr="00770477">
        <w:rPr>
          <w:rFonts w:cs="Times New Roman"/>
        </w:rPr>
        <w:t>as a result of</w:t>
      </w:r>
      <w:proofErr w:type="gramEnd"/>
      <w:r w:rsidRPr="00770477">
        <w:rPr>
          <w:rFonts w:cs="Times New Roman"/>
        </w:rPr>
        <w:t xml:space="preserve"> treatment. </w:t>
      </w:r>
    </w:p>
    <w:p w14:paraId="3B455F44" w14:textId="4A2E3344" w:rsidR="0053713C" w:rsidRPr="00770477" w:rsidRDefault="0053713C" w:rsidP="0053713C">
      <w:pPr>
        <w:spacing w:line="240" w:lineRule="auto"/>
        <w:rPr>
          <w:rFonts w:cs="Times New Roman"/>
        </w:rPr>
      </w:pPr>
    </w:p>
    <w:p w14:paraId="4AA16FBA" w14:textId="77777777" w:rsidR="002C5F66" w:rsidRPr="00770477" w:rsidRDefault="002C5F66" w:rsidP="0022323C">
      <w:pPr>
        <w:pStyle w:val="Heading1"/>
        <w:numPr>
          <w:ilvl w:val="0"/>
          <w:numId w:val="0"/>
        </w:numPr>
        <w:ind w:left="432"/>
        <w:rPr>
          <w:rFonts w:cs="Times New Roman"/>
        </w:rPr>
        <w:sectPr w:rsidR="002C5F66" w:rsidRPr="00770477" w:rsidSect="00594D20">
          <w:footerReference w:type="default" r:id="rId16"/>
          <w:pgSz w:w="12240" w:h="15840"/>
          <w:pgMar w:top="1440" w:right="1440" w:bottom="1440" w:left="1440" w:header="720" w:footer="720" w:gutter="0"/>
          <w:pgNumType w:fmt="lowerRoman" w:start="4"/>
          <w:cols w:space="720"/>
          <w:docGrid w:linePitch="360"/>
        </w:sectPr>
      </w:pPr>
    </w:p>
    <w:p w14:paraId="46BD374A" w14:textId="409FF0C7" w:rsidR="00920454" w:rsidRPr="00770477" w:rsidRDefault="00920454" w:rsidP="00A80CF0">
      <w:pPr>
        <w:pStyle w:val="Heading1"/>
        <w:rPr>
          <w:rFonts w:cs="Times New Roman"/>
        </w:rPr>
      </w:pPr>
      <w:bookmarkStart w:id="1" w:name="_Toc121495967"/>
      <w:r w:rsidRPr="00770477">
        <w:rPr>
          <w:rFonts w:cs="Times New Roman"/>
        </w:rPr>
        <w:lastRenderedPageBreak/>
        <w:t>Introduction</w:t>
      </w:r>
      <w:bookmarkEnd w:id="1"/>
    </w:p>
    <w:p w14:paraId="52E4EBB7" w14:textId="2CE05F94" w:rsidR="00920454" w:rsidRPr="00770477" w:rsidRDefault="00E84CBA" w:rsidP="00F72623">
      <w:pPr>
        <w:ind w:firstLine="720"/>
        <w:rPr>
          <w:rFonts w:cs="Times New Roman"/>
        </w:rPr>
      </w:pPr>
      <w:r w:rsidRPr="00770477">
        <w:rPr>
          <w:rFonts w:cs="Times New Roman"/>
        </w:rPr>
        <w:t xml:space="preserve">Stormwater is a common and increasing </w:t>
      </w:r>
      <w:r w:rsidR="00653465" w:rsidRPr="00770477">
        <w:rPr>
          <w:rFonts w:cs="Times New Roman"/>
        </w:rPr>
        <w:t xml:space="preserve">source of pollution to waterbodies worldwide. Increases in urbanization </w:t>
      </w:r>
      <w:r w:rsidR="00DE6990" w:rsidRPr="00770477">
        <w:rPr>
          <w:rFonts w:cs="Times New Roman"/>
        </w:rPr>
        <w:t xml:space="preserve">leads to reductions in permeable surfaces which </w:t>
      </w:r>
      <w:r w:rsidR="00C6386B" w:rsidRPr="00770477">
        <w:rPr>
          <w:rFonts w:cs="Times New Roman"/>
        </w:rPr>
        <w:t>leads to</w:t>
      </w:r>
      <w:r w:rsidR="001F312A" w:rsidRPr="00770477">
        <w:rPr>
          <w:rFonts w:cs="Times New Roman"/>
        </w:rPr>
        <w:t xml:space="preserve"> </w:t>
      </w:r>
      <w:r w:rsidR="00BE46E8">
        <w:rPr>
          <w:rFonts w:cs="Times New Roman"/>
        </w:rPr>
        <w:t>large</w:t>
      </w:r>
      <w:r w:rsidR="001F312A" w:rsidRPr="00770477">
        <w:rPr>
          <w:rFonts w:cs="Times New Roman"/>
        </w:rPr>
        <w:t xml:space="preserve"> quantities of water running off into receiving waterbodies. Additionally,</w:t>
      </w:r>
      <w:r w:rsidR="003D32D0" w:rsidRPr="00770477">
        <w:rPr>
          <w:rFonts w:cs="Times New Roman"/>
        </w:rPr>
        <w:t xml:space="preserve"> </w:t>
      </w:r>
      <w:r w:rsidR="001F312A" w:rsidRPr="00770477">
        <w:rPr>
          <w:rFonts w:cs="Times New Roman"/>
        </w:rPr>
        <w:t xml:space="preserve">the quality of stormwater is </w:t>
      </w:r>
      <w:r w:rsidR="00764A23" w:rsidRPr="00770477">
        <w:rPr>
          <w:rFonts w:cs="Times New Roman"/>
        </w:rPr>
        <w:t xml:space="preserve">negatively impacted by urbanization. </w:t>
      </w:r>
      <w:r w:rsidR="00822D73" w:rsidRPr="00770477">
        <w:rPr>
          <w:rFonts w:cs="Times New Roman"/>
        </w:rPr>
        <w:t>Amongst many other</w:t>
      </w:r>
      <w:r w:rsidR="00913039" w:rsidRPr="00770477">
        <w:rPr>
          <w:rFonts w:cs="Times New Roman"/>
        </w:rPr>
        <w:t>s</w:t>
      </w:r>
      <w:r w:rsidR="00822D73" w:rsidRPr="00770477">
        <w:rPr>
          <w:rFonts w:cs="Times New Roman"/>
        </w:rPr>
        <w:t xml:space="preserve">, roofs, cars, and roadway construction </w:t>
      </w:r>
      <w:r w:rsidR="5D8BB871" w:rsidRPr="00770477">
        <w:rPr>
          <w:rFonts w:cs="Times New Roman"/>
        </w:rPr>
        <w:t>are</w:t>
      </w:r>
      <w:r w:rsidR="00822D73" w:rsidRPr="00770477">
        <w:rPr>
          <w:rFonts w:cs="Times New Roman"/>
        </w:rPr>
        <w:t xml:space="preserve"> </w:t>
      </w:r>
      <w:r w:rsidR="000253AC" w:rsidRPr="00770477">
        <w:rPr>
          <w:rFonts w:cs="Times New Roman"/>
        </w:rPr>
        <w:t>prominent</w:t>
      </w:r>
      <w:r w:rsidR="00822D73" w:rsidRPr="00770477">
        <w:rPr>
          <w:rFonts w:cs="Times New Roman"/>
        </w:rPr>
        <w:t xml:space="preserve"> </w:t>
      </w:r>
      <w:r w:rsidR="67B5878E" w:rsidRPr="00770477">
        <w:rPr>
          <w:rFonts w:cs="Times New Roman"/>
        </w:rPr>
        <w:t>source</w:t>
      </w:r>
      <w:r w:rsidR="5D8BB871" w:rsidRPr="00770477">
        <w:rPr>
          <w:rFonts w:cs="Times New Roman"/>
        </w:rPr>
        <w:t>s</w:t>
      </w:r>
      <w:r w:rsidR="00822D73" w:rsidRPr="00770477">
        <w:rPr>
          <w:rFonts w:cs="Times New Roman"/>
        </w:rPr>
        <w:t xml:space="preserve"> of </w:t>
      </w:r>
      <w:r w:rsidR="003F15E6" w:rsidRPr="00770477">
        <w:rPr>
          <w:rFonts w:cs="Times New Roman"/>
        </w:rPr>
        <w:t xml:space="preserve">heavy metal pollution to stormwater </w:t>
      </w:r>
      <w:r w:rsidR="003F15E6" w:rsidRPr="00770477">
        <w:rPr>
          <w:rFonts w:cs="Times New Roman"/>
        </w:rPr>
        <w:fldChar w:fldCharType="begin"/>
      </w:r>
      <w:r w:rsidR="002074AD">
        <w:rPr>
          <w:rFonts w:cs="Times New Roman"/>
        </w:rPr>
        <w:instrText xml:space="preserve"> ADDIN ZOTERO_ITEM CSL_CITATION {"citationID":"AikExkt4","properties":{"formattedCitation":"(Gunawardana et al., 2015; Kayhanian et al., 2012)","plainCitation":"(Gunawardana et al., 2015; Kayhanian et al., 2012)","noteIndex":0},"citationItems":[{"id":527,"uris":["http://zotero.org/users/8423188/items/RHBLFRM4"],"itemData":{"id":527,"type":"article-journal","abstract":"The study investigated the adsorption and bioavailability characteristics of trafﬁc generated metals common to urban land uses, in road deposited solids particles. To validate the outcomes derived from the analysis of ﬁeld samples, adsorption and desorption experiments were undertaken. The analysis of ﬁeld samples revealed that metals are selectively adsorbed to different charge sites on solids. Zinc, copper, lead and nickel are adsorbed preferentially to oxides of manganese, iron and aluminium. Lead is adsorbed to organic matter through chemisorption. Cadmium and chromium form weak bonding through cation exchange with most of the particle sizes. Adsorption and desorption experiments revealed that at high metal concentrations, chromium, copper and lead form relatively strong bonds with solids particles while zinc is adsorbed through cation exchange with high likelihood of being released back into solution. Outcomes from this study provide speciﬁc guidance for the removal of metals from stormwater based on solids removal.","container-title":"Chemosphere","DOI":"10.1016/j.chemosphere.2014.02.048","ISSN":"00456535","journalAbbreviation":"Chemosphere","language":"en","page":"1391-1398","source":"DOI.org (Crossref)","title":"Adsorption and mobility of metals in build-up on road surfaces","volume":"119","author":[{"family":"Gunawardana","given":"Chandima"},{"family":"Egodawatta","given":"Prasanna"},{"family":"Goonetilleke","given":"Ashantha"}],"issued":{"date-parts":[["2015",1]]}}},{"id":525,"uris":["http://zotero.org/users/8423188/items/USSRH4WP"],"itemData":{"id":525,"type":"article-journal","abstract":"This review interprets highway runoff characterization studies performed on different continents. The results are synthesized to discuss the historical trends, ﬁrst ﬂush effects of pollutants, pollutant form as dissolved vs. particulate, and to identify surrogate water quality parameters. The information presented in this review showed that: (1) variability has been observed in all quality parameters from each continent and among continents; (2) with a few exceptions the variability seems to be within the expected range; (3) inconsistent monitoring data as well as inconsistent quality assurance and quality control measures were reported among studies, which may be partially responsible for variability of water quality results; (4) compared with historic data, the concentration of total Pb decreased exponentially, which can mostly be credited to leaded gasoline phase-out regulation; (5) ﬁrst ﬂush effects of pollutants based on concentration have been reported consistently (however, mass ﬁrst ﬂush effects for pollutants have been reported inconsistently compared with concentration ﬁrst ﬂush effect); (6) most metal pollutants and phosphorus are present in both the particulate and dissolved forms; and (7) strong correlations were observed between TSS, TDS, TOC and iron (Fe) and 13 other constituents and water quality parameters (turbidity, O&amp;G, TPH, DOC, TKN, EC, Cl, Cd, Cr, Cu, Ni, Pb, Zn).","container-title":"Water Research","DOI":"10.1016/j.watres.2012.07.026","ISSN":"00431354","issue":"20","journalAbbreviation":"Water Research","language":"en","page":"6609-6624","source":"DOI.org (Crossref)","title":"Review of highway runoff characteristics: Comparative analysis and universal implications","title-short":"Review of highway runoff characteristics","volume":"46","author":[{"family":"Kayhanian","given":"Masoud"},{"family":"Fruchtman","given":"Boaz D."},{"family":"Gulliver","given":"John S."},{"family":"Montanaro","given":"Comasia"},{"family":"Ranieri","given":"Ezio"},{"family":"Wuertz","given":"Stefan"}],"issued":{"date-parts":[["2012",12]]}}}],"schema":"https://github.com/citation-style-language/schema/raw/master/csl-citation.json"} </w:instrText>
      </w:r>
      <w:r w:rsidR="003F15E6" w:rsidRPr="00770477">
        <w:rPr>
          <w:rFonts w:cs="Times New Roman"/>
        </w:rPr>
        <w:fldChar w:fldCharType="separate"/>
      </w:r>
      <w:r w:rsidR="00E11E17" w:rsidRPr="00770477">
        <w:rPr>
          <w:rFonts w:cs="Times New Roman"/>
        </w:rPr>
        <w:t>(Gunawardana et al., 2015; Kayhanian et al., 2012)</w:t>
      </w:r>
      <w:r w:rsidR="003F15E6" w:rsidRPr="00770477">
        <w:rPr>
          <w:rFonts w:cs="Times New Roman"/>
        </w:rPr>
        <w:fldChar w:fldCharType="end"/>
      </w:r>
      <w:r w:rsidR="004F0D43" w:rsidRPr="00770477">
        <w:rPr>
          <w:rFonts w:cs="Times New Roman"/>
        </w:rPr>
        <w:t xml:space="preserve">. </w:t>
      </w:r>
      <w:r w:rsidR="00C53399" w:rsidRPr="00770477">
        <w:rPr>
          <w:rFonts w:cs="Times New Roman"/>
        </w:rPr>
        <w:t xml:space="preserve">The increased use of neonicotinoid pesticides over the last three decades has </w:t>
      </w:r>
      <w:r w:rsidR="00E241BA" w:rsidRPr="00770477">
        <w:rPr>
          <w:rFonts w:cs="Times New Roman"/>
        </w:rPr>
        <w:t xml:space="preserve">impacted invertebrate and increasingly so, vertebrate populations </w:t>
      </w:r>
      <w:r w:rsidR="00BF3108" w:rsidRPr="00770477">
        <w:rPr>
          <w:rFonts w:cs="Times New Roman"/>
        </w:rPr>
        <w:t xml:space="preserve">from </w:t>
      </w:r>
      <w:r w:rsidR="00C9662C" w:rsidRPr="00770477">
        <w:rPr>
          <w:rFonts w:cs="Times New Roman"/>
        </w:rPr>
        <w:t xml:space="preserve">the impacts of agricultural and urban runoff </w:t>
      </w:r>
      <w:r w:rsidR="00C9662C" w:rsidRPr="00770477">
        <w:rPr>
          <w:rFonts w:cs="Times New Roman"/>
        </w:rPr>
        <w:fldChar w:fldCharType="begin"/>
      </w:r>
      <w:r w:rsidR="002074AD">
        <w:rPr>
          <w:rFonts w:cs="Times New Roman"/>
        </w:rPr>
        <w:instrText xml:space="preserve"> ADDIN ZOTERO_ITEM CSL_CITATION {"citationID":"HVyiJXek","properties":{"formattedCitation":"(Borsuah et al., 2020; Jeschke et al., 2011; Jeschke &amp; Nauen, 2008; Morrissey et al., 2015)","plainCitation":"(Borsuah et al., 2020; Jeschke et al., 2011; Jeschke &amp; Nauen, 2008; Morrissey et al., 2015)","noteIndex":0},"citationItems":[{"id":219,"uris":["http://zotero.org/users/8423188/items/7H8NAD43"],"itemData":{"id":219,"type":"article-journal","abstract":"Neonicotinoids have been the most commonly used insecticides since the early 1990s. Despite their eﬃcacy in improving crop protection and management, these agrochemicals have gained recent attention for their negative impacts on non-target species such as honeybees and aquatic invertebrates. In recent years, neonicotinoids have been detected in rivers and streams across the world. Determining and predicting the exposure potential of neonicotinoids in surface water requires a thorough understanding of their fate and transport mechanisms. Therefore, our objective was to provide a comprehensive review of neonicotinoids with a focus on their fate and transport mechanisms to and within surface waters and their occurrence in waterways throughout the world. A better understanding of fate and transport mechanisms will enable researchers to accurately predict occurrence and persistence of insecticides entering surface waters and potential exposure to non-target organisms in agricultural intensive regions. This review has direct implications on how neonicotinoids are monitored and degraded in aquatic ecosystems. Further, an improved understanding of the fate and transport of neonicotinoids aide natural resource practitioners in the development and implementation of eﬀective best management practices to reduce the potential impact and exposure of neonicotinoids in waterways and aquatic ecosystems.","container-title":"Water","DOI":"10.3390/w12123388","ISSN":"2073-4441","issue":"12","journalAbbreviation":"Water","language":"en","page":"3388","source":"DOI.org (Crossref)","title":"Literature Review: Global Neonicotinoid Insecticide Occurrence in Aquatic Environments","title-short":"Literature Review","volume":"12","author":[{"family":"Borsuah","given":"Josephus F."},{"family":"Messer","given":"Tiffany L."},{"family":"Snow","given":"Daniel D."},{"family":"Comfort","given":"Steve D."},{"family":"Mittelstet","given":"Aaron R."}],"issued":{"date-parts":[["2020",12,2]]}}},{"id":364,"uris":["http://zotero.org/users/8423188/items/R77UHG9C"],"itemData":{"id":364,"type":"article-journal","abstract":"In recent years, neonicotinoid insecticides have been the fastest growing class of insecticides in modern crop protection, with widespread use against a broad spectrum of sucking and certain chewing pests. As potent agonists, they act selectively on insect nicotinic acetylcholine receptors (nAChRs), their molecular target site. The discovery of neonicotinoids can be considered as a milestone in insecticide research and greatly facilitates the understanding of functional properties of the insect nAChRs. In this context, the crystal structure of the acetylcholine-binding proteins provides the theoretical foundation for designing homology models of the corresponding receptor ligand binding domains within the nAChRs, a useful basis for virtual screening of chemical libraries and rational design of novel insecticides acting on these practically relevant channels. Because of the relatively low risk for nontarget organisms and the environment, the high target speciﬁcity of neonicotinoid insecticides, and their versatility in application methods, this important class has to be maintained globally for integrated pest management strategies and insect resistance management programs. Innovative concepts for life-cycle management, jointly with the introduction of generic products, have made neonicotinoids the most important chemical class for the insecticide market.","container-title":"Journal of Agricultural and Food Chemistry","DOI":"10.1021/jf101303g","ISSN":"0021-8561, 1520-5118","issue":"7","journalAbbreviation":"J. Agric. Food Chem.","language":"en","page":"2897-2908","source":"DOI.org (Crossref)","title":"Overview of the Status and Global Strategy for Neonicotinoids","volume":"59","author":[{"family":"Jeschke","given":"Peter"},{"family":"Nauen","given":"Ralf"},{"family":"Schindler","given":"Michael"},{"family":"Elbert","given":"Alfred"}],"issued":{"date-parts":[["2011",4,13]]}}},{"id":359,"uris":["http://zotero.org/users/8423188/items/6Q6PGAJI"],"itemData":{"id":359,"type":"article-journal","abstract":"In recent years, neonicotinoids have been the fastest-growing class of insecticides in modern crop protection, with widespread use against a broad spectrum of sucking and certain chewing pests. As potent agonists, they act selectively on insect nicotinic acetylcholine receptors, their molecular target site. The discovery of neonicotinoids can be considered as a milestone in insecticide research and facilitates greatly the understanding of the functional properties of insect nicotinic acetylcholine receptors. Because of the relatively low risk for non-target organisms and environment, the high target specificity of neonicotinoid insecticides and their versatility in application methods, this important class has to be maintained globally for integrated pest management strategies and insect resistance management programmes. This review comprehensively describes particularly the origin, structure and bonding as well as associated properties of neonicotinoid insecticides. Copyright © 2008 Society of Chemical Industry","container-title":"Pest Management Science","DOI":"10.1002/ps.1631","ISSN":"1526-4998","issue":"11","language":"en","note":"_eprint: https://onlinelibrary.wiley.com/doi/pdf/10.1002/ps.1631","page":"1084-1098","source":"Wiley Online Library","title":"Neonicotinoids—from zero to hero in insecticide chemistry","volume":"64","author":[{"family":"Jeschke","given":"Peter"},{"family":"Nauen","given":"Ralf"}],"issued":{"date-parts":[["2008"]]}}},{"id":221,"uris":["http://zotero.org/users/8423188/items/VC3HAM8N"],"itemData":{"id":221,"type":"article-journal","abstract":"Neonicotinoids, broad-spectrum systemic insecticides, are the fastest growing class of insecticides worldwide and are now registered for use on hundreds of ﬁeld crops in over 120 different countries. The environmental proﬁle of this class of pesticides indicate that they are persistent, have high leaching and runoff potential, and are highly toxic to a wide range of invertebrates. Therefore, neonicotinoids represent a significant risk to surface waters and the diverse aquatic and terrestrial fauna that these ecosystems support. This review synthesizes the current state of knowledge on the reported concentrations of neonicotinoids in surface waters from 29 studies in 9 countries world-wide in tandem with published data on their acute and chronic toxicity to 49 species of aquatic insects and crustaceans spanning 12 invertebrate orders. Strong evidence exists that water-borne neonicotinoid exposures are frequent, long-term and at levels (geometric means = 0.13 μg/L (averages) and 0.63 μg/L (maxima)) which commonly exceed several existing water quality guidelines. Imidacloprid is by far the most widely studied neonicotinoid (66% of the 214 toxicity tests reviewed) with differences in sensitivity among aquatic invertebrate species ranging several orders of magnitude; other neonicotinoids display analogous modes of action and similar toxicities, although comparative data are limited. Of the species evaluated, insects belonging to the orders Ephemeroptera, Trichoptera and Diptera appear to be the most sensitive, while those of Crustacea (although not universally so) are less sensitive. In particular, the standard test species Daphnia magna appears to be very tolerant, with 24–96 hour LC50 values exceeding 100,000 μg/L (geometric mean N 44,000 μg/L), which is at least 2–3 orders of magnitude higher than the geometric mean of all other invertebrate species tested. Overall, neonicotinoids can exert adverse effects on survival, growth, emergence, mobility, and behavior of many sensitive aquatic invertebrate taxa at concentrations at or below 1 μg/L under acute exposure and 0.1 μg/L for chronic exposure. Using probabilistic approaches (species sensitivity distributions), we recommend here that ecological thresholds for neonicotinoid water concentrations need to be below 0.2 μg/L (shortterm acute) or 0.035 μg/L (long-term chronic) to avoid lasting effects on aquatic invertebrate communities. The application of safety factors may still be warranted considering potential issues of slow recovery, additive or synergistic effects and multiple stressors that can occur in the ﬁeld. Our analysis revealed that 81% (22/27) and 74% (14/19) of global surface water studies reporting maximum and average individual neonicotinoid concentrations respectively, exceeded these thresholds of 0.2 and 0.035 μg/L. Therefore, it appears that environmentally relevant concentrations of neonicotinoids in surface waters worldwide are well within the range where both short- and long-term impacts on aquatic invertebrate species are possible over broad spatial scales.","container-title":"Environment International","DOI":"10.1016/j.envint.2014.10.024","ISSN":"01604120","journalAbbreviation":"Environment International","language":"en","page":"291-303","source":"DOI.org (Crossref)","title":"Neonicotinoid contamination of global surface waters and associated risk to aquatic invertebrates: A review","title-short":"Neonicotinoid contamination of global surface waters and associated risk to aquatic invertebrates","volume":"74","author":[{"family":"Morrissey","given":"Christy A."},{"family":"Mineau","given":"Pierre"},{"family":"Devries","given":"James H."},{"family":"Sanchez-Bayo","given":"Francisco"},{"family":"Liess","given":"Matthias"},{"family":"Cavallaro","given":"Michael C."},{"family":"Liber","given":"Karsten"}],"issued":{"date-parts":[["2015",1]]}}}],"schema":"https://github.com/citation-style-language/schema/raw/master/csl-citation.json"} </w:instrText>
      </w:r>
      <w:r w:rsidR="00C9662C" w:rsidRPr="00770477">
        <w:rPr>
          <w:rFonts w:cs="Times New Roman"/>
        </w:rPr>
        <w:fldChar w:fldCharType="separate"/>
      </w:r>
      <w:r w:rsidR="00E11E17" w:rsidRPr="00770477">
        <w:rPr>
          <w:rFonts w:cs="Times New Roman"/>
        </w:rPr>
        <w:t>(Borsuah et al., 2020; Jeschke et al., 2011; Jeschke &amp; Nauen, 2008; Morrissey et al., 2015)</w:t>
      </w:r>
      <w:r w:rsidR="00C9662C" w:rsidRPr="00770477">
        <w:rPr>
          <w:rFonts w:cs="Times New Roman"/>
        </w:rPr>
        <w:fldChar w:fldCharType="end"/>
      </w:r>
      <w:r w:rsidR="001444EC" w:rsidRPr="00770477">
        <w:rPr>
          <w:rFonts w:cs="Times New Roman"/>
        </w:rPr>
        <w:t xml:space="preserve">. </w:t>
      </w:r>
      <w:r w:rsidR="006F5B7A" w:rsidRPr="00770477">
        <w:rPr>
          <w:rFonts w:cs="Times New Roman"/>
        </w:rPr>
        <w:t>Additionally</w:t>
      </w:r>
      <w:r w:rsidR="007C2788" w:rsidRPr="00770477">
        <w:rPr>
          <w:rFonts w:cs="Times New Roman"/>
        </w:rPr>
        <w:t xml:space="preserve">, </w:t>
      </w:r>
      <w:r w:rsidR="004F6DF4" w:rsidRPr="00770477">
        <w:rPr>
          <w:rFonts w:cs="Times New Roman"/>
        </w:rPr>
        <w:t xml:space="preserve">both urban and agricultural uses of phosphorus-based fertilizers has created increasing concern </w:t>
      </w:r>
      <w:r w:rsidR="006F5B7A" w:rsidRPr="00770477">
        <w:rPr>
          <w:rFonts w:cs="Times New Roman"/>
        </w:rPr>
        <w:t xml:space="preserve">for decades </w:t>
      </w:r>
      <w:r w:rsidR="002B7801" w:rsidRPr="00770477">
        <w:rPr>
          <w:rFonts w:cs="Times New Roman"/>
        </w:rPr>
        <w:t xml:space="preserve">for its role in oversaturating waterbodies with </w:t>
      </w:r>
      <w:r w:rsidR="00D937D0" w:rsidRPr="00770477">
        <w:rPr>
          <w:rFonts w:cs="Times New Roman"/>
        </w:rPr>
        <w:t xml:space="preserve">nutrients, therefore leading to eutrophication and loss of aquatic life and beneficial uses </w:t>
      </w:r>
      <w:r w:rsidR="00D937D0" w:rsidRPr="00770477">
        <w:rPr>
          <w:rFonts w:cs="Times New Roman"/>
        </w:rPr>
        <w:fldChar w:fldCharType="begin"/>
      </w:r>
      <w:r w:rsidR="002074AD">
        <w:rPr>
          <w:rFonts w:cs="Times New Roman"/>
        </w:rPr>
        <w:instrText xml:space="preserve"> ADDIN ZOTERO_ITEM CSL_CITATION {"citationID":"zFh749qD","properties":{"formattedCitation":"(Davis et al., 2006; Lyngsie et al., 2014; Qin et al., 2018; Ul\\uc0\\u233{}n et al., 2007)","plainCitation":"(Davis et al., 2006; Lyngsie et al., 2014; Qin et al., 2018; Ulén et al., 2007)","noteIndex":0},"citationItems":[{"id":281,"uris":["http://zotero.org/users/8423188/items/279KQFGG"],"itemData":{"id":281,"type":"article-journal","abstract":"High nutrient inputs and eutrophication continue to be one of the highest priority water quality problems. Bioretention is a low-impact development technology that has been advocated for use in urban and other developed areas. This work provides an in-depth analysis on removal of nutrients from a synthetic stormwater runoff by bioretention. Results have indicated good removal of phosphorus (70 to 85%) and total Kjeldahl nitrogen (55 to 65%). Nitrate reduction was poor (&lt;20%) and, in several cases, nitrate production was noted. Variations in flowrate (intensity) and duration had a moderate affect on nutrient removal. Mass balances demonstrate the importance of water attenuation in the facility in reducing mass nutrient loads. Captured nitrogen can be converted to nitrate between storm events and subsequently washed from the system. Analysis on the fate of nutrients in bioretention suggests that accumulation of phosphorus and nitrogen may be controlled by carefully managing growing and harvesting of vegetation. Water Environ. Res., 78, 284 (2006).","container-title":"Water Environment Research","DOI":"10.2175/106143005X94376","ISSN":"10614303","issue":"3","journalAbbreviation":"Water Environment Research","language":"en","page":"284-293","source":"DOI.org (Crossref)","title":"Water Quality Improvement through Bioretention Media: Nitrogen and Phosphorus Removal","title-short":"Water Quality Improvement through Bioretention Media","volume":"78","author":[{"family":"Davis","given":"Allen P."},{"family":"Shokouhian","given":"Mohammad"},{"family":"Sharma","given":"Himanshu"},{"family":"Minami","given":"Christie"}],"issued":{"date-parts":[["2006",3]]}}},{"id":252,"uris":["http://zotero.org/users/8423188/items/8TPIW58S"],"itemData":{"id":252,"type":"article-journal","abstract":"Phosphorus (P) eutrophication of lakes and streams, coming from drained farmlands, is a serious problem in areas with intensive agriculture. Installation of P sorbing ﬁlters at drain outlets may be a solution. Efﬁcient sorbents to be used for such ﬁlters must possess high P bonding afﬁnity to retain ortho-phosphate (Pi) at low concentrations. In addition high P sorption capacity, fast bonding and low desorption is necessary. In this study ﬁve potential ﬁlter materials (Filtralite-PÒ, limestone, calcinated diatomaceous earth, shell-sand and iron-oxide based CFH) in four particle size intervals were investigated under ﬁeld relevant P concentrations (0e161 mM) and retentions times of 0e24 min. Of the ﬁve materials examined, the results from P sorption and desorption studies clearly demonstrate that the iron based CFH is superior as a ﬁlter material compared to calcium based materials when tested against criteria for sorption afﬁnity, capacity and stability. The ﬁnest CFH and Filtralite-PÒ fractions (0.05e0.5 mm) were best with P retention of !90% of Pi from an initial concentration of 161 mM corresponding to 14.5 mmol/kg sorbed within 24 min. They were further capable to retain !90% of Pi from an initially 16 mM solution within 1½ min. However, only the ﬁnest CFH fraction was also able to retain !90% of Pi sorbed from the 16 mM solution against 4 times desorption sequences with 6 mM KNO3. Among the materials investigated, the ﬁnest CFH fraction is therefore the only suitable ﬁlter material, when very fast and strong bonding of high Pi concentrations is needed, e.g. in drains under P rich soils during extreme weather conditions.","container-title":"Water Research","DOI":"10.1016/j.watres.2013.10.061","ISSN":"00431354","journalAbbreviation":"Water Research","language":"en","page":"256-265","source":"DOI.org (Crossref)","title":"A three-step test of phosphate sorption efficiency of potential agricultural drainage filter materials","volume":"51","author":[{"family":"Lyngsie","given":"G."},{"family":"Borggaard","given":"O.K."},{"family":"Hansen","given":"H.C.B."}],"issued":{"date-parts":[["2014",3]]}}},{"id":250,"uris":["http://zotero.org/users/8423188/items/L2UI4H3R"],"itemData":{"id":250,"type":"article-journal","abstract":"Stormwater filters are a structural best management practice designed to reduce dissolved P losses from runoff. Various industrial byproducts are suitable for use as P sorbing materials (PSMs) for the treatment of drainage water; P sorption by PSMs varies with material physical and chemical properties. Previously, P removal capacity by PSMs was estimated using chemical extractions. We determined the speciation of P when reacted with various PSMs using X-ray absorption near edge structure (XANES) spectroscopy. Twelve PSMs were reacted with P solution in the laboratory under batch or flow-through conditions. In addition, three slag materials were collected from working stormwater filtration structures. Phosphorus K-edge XANES spectra were collected on each reacted PSM and compared with spectra of 22 known P standards using linear combination fitting in Athena. We found evidence of formation of a variety of Ca-, Al-, and/or Fe-phosphate minerals and sorbed phases on the reacted PSMs, with the exact speciation influenced by the chemical properties of the original unreacted PSMs. We grouped PSMs into three general categories based on the dominant P removal mechanism: (i) Fe- and Al-mediated removal [i.e., adsorption of P to Fe- or Al-(hydro-)oxide minerals and/or precipitation of Fe- or Alphosphate minerals]; (ii) Ca-mediated removal (i.e., precipitation of Ca-phosphate mineral); and (iii) both mechanisms. We recommend the use of Fe/Al sorbing PSMs for use in stormwater filtration structures where stormwater retention time is limited because reaction of P with Fe or Al generally occurs more quickly than Ca-P precipitation.","container-title":"Journal of Environmental Quality","DOI":"10.2134/jeq2018.02.0064","ISSN":"0047-2425, 1537-2537","issue":"5","journalAbbreviation":"J. environ. qual.","language":"en","page":"1232-1241","source":"DOI.org (Crossref)","title":"Mechanisms of Phosphorus Removal by Phosphorus Sorbing Materials","volume":"47","author":[{"family":"Qin","given":"Zhixuan"},{"family":"Shober","given":"Amy L."},{"family":"Scheckel","given":"Kirk G."},{"family":"Penn","given":"Chad J."},{"family":"Turner","given":"Kathryn C."}],"issued":{"date-parts":[["2018",9]]}}},{"id":271,"uris":["http://zotero.org/users/8423188/items/U5DBY6EZ"],"itemData":{"id":271,"type":"article-journal","abstract":"In the north-western European countries Norway, Sweden, United Kingdom (UK) and Ireland, variability in the forms, amounts and timing of phosphorus (P) loss from agricultural land is related to national differences in climate, soil, hydrological conditions and agricultural production. The dissolved form of P constitutes 9–93% of the total phosphorus (TP) in water, subsurface drainage can contribute 12–60% and surface erosion 40–88% of TP transfer. TP export in small agricultural streams is generally in the range 0.3–6 kg ha)1 year)1, with the highest losses in Norway and UK. All four countries are complying with the EU Water Framework Directive and developing a range of measures based on P source with transport controls over P losses. A decreasing trend in TP losses has been detected in agricultural streams following the introduction of measures to reduce erosion in Norway. Average P concentrations in Swedish streams have shown a reduction of nearly 2% per year since 1993 as a result of measures introduced in southern Sweden. However, in two large rivers in agricultural regions of Sweden, the concentrations of suspended solids (SS) and TP were shown to increase by 0.4% and 0.7% per year, respectively, over the period 1975–2004, possibly as a result of climate change. It is too early to detect trends in agricultural contributions to P in surface waters as a result of catchment-sensitive farming (CSF) in the UK and Ireland.","container-title":"Soil Use and Management","DOI":"10.1111/j.1475-2743.2007.00115.x","ISSN":"0266-0032, 1475-2743","issue":"s1","journalAbbreviation":"Soil Use &amp; Management","language":"en","page":"5-15","source":"DOI.org (Crossref)","title":"Agriculture as a phosphorus source for eutrophication in the north-west European countries, Norway, Sweden, United Kingdom and Ireland: a review","title-short":"Agriculture as a phosphorus source for eutrophication in the north-west European countries, Norway, Sweden, United Kingdom and Ireland","volume":"23","author":[{"family":"Ulén","given":"B."},{"family":"Bechmann","given":"M."},{"family":"Fölster","given":"J."},{"family":"Jarvie","given":"H. P."},{"family":"Tunney","given":"H."}],"issued":{"date-parts":[["2007",9]]}}}],"schema":"https://github.com/citation-style-language/schema/raw/master/csl-citation.json"} </w:instrText>
      </w:r>
      <w:r w:rsidR="00D937D0" w:rsidRPr="00770477">
        <w:rPr>
          <w:rFonts w:cs="Times New Roman"/>
        </w:rPr>
        <w:fldChar w:fldCharType="separate"/>
      </w:r>
      <w:r w:rsidR="00E11E17" w:rsidRPr="00770477">
        <w:rPr>
          <w:rFonts w:cs="Times New Roman"/>
        </w:rPr>
        <w:t>(Davis et al., 2006; Lyngsie et al., 2014; Qin et al., 2018; Ulén et al., 2007)</w:t>
      </w:r>
      <w:r w:rsidR="00D937D0" w:rsidRPr="00770477">
        <w:rPr>
          <w:rFonts w:cs="Times New Roman"/>
        </w:rPr>
        <w:fldChar w:fldCharType="end"/>
      </w:r>
      <w:r w:rsidR="00B976A0" w:rsidRPr="00770477">
        <w:rPr>
          <w:rFonts w:cs="Times New Roman"/>
        </w:rPr>
        <w:t xml:space="preserve">. </w:t>
      </w:r>
      <w:r w:rsidR="00120AE8">
        <w:rPr>
          <w:rFonts w:cs="Times New Roman"/>
        </w:rPr>
        <w:t xml:space="preserve">In terms of water quality, a “beneficial use” is often defined as </w:t>
      </w:r>
      <w:r w:rsidR="00AF5A0F">
        <w:rPr>
          <w:rFonts w:cs="Times New Roman"/>
        </w:rPr>
        <w:t xml:space="preserve">“public and private water supply, fish and wildlife </w:t>
      </w:r>
      <w:proofErr w:type="spellStart"/>
      <w:r w:rsidR="00AF5A0F">
        <w:rPr>
          <w:rFonts w:cs="Times New Roman"/>
        </w:rPr>
        <w:t>propogation</w:t>
      </w:r>
      <w:proofErr w:type="spellEnd"/>
      <w:r w:rsidR="00AF5A0F">
        <w:rPr>
          <w:rFonts w:cs="Times New Roman"/>
        </w:rPr>
        <w:t xml:space="preserve">, agriculture, primary body contact recreation (such as swimming), secondary body contact recreation (such as boating or fishing), navigation, and/or aesthetics” </w:t>
      </w:r>
      <w:r w:rsidR="00AF5A0F">
        <w:rPr>
          <w:rFonts w:cs="Times New Roman"/>
        </w:rPr>
        <w:fldChar w:fldCharType="begin"/>
      </w:r>
      <w:r w:rsidR="002074AD">
        <w:rPr>
          <w:rFonts w:cs="Times New Roman"/>
        </w:rPr>
        <w:instrText xml:space="preserve"> ADDIN ZOTERO_ITEM CSL_CITATION {"citationID":"a2m10n1kj31","properties":{"formattedCitation":"({\\i{}Water Quality Standards | Oklahoma Water Resources Board}, n.d.)","plainCitation":"(Water Quality Standards | Oklahoma Water Resources Board, n.d.)","noteIndex":0},"citationItems":[{"id":74,"uris":["http://zotero.org/users/8423188/items/J7Z3VX4P"],"itemData":{"id":74,"type":"webpage","title":"Water Quality Standards | Oklahoma Water Resources Board","URL":"https://www.owrb.ok.gov/quality/standards/standards.php","accessed":{"date-parts":[["2021",11,3]]}}}],"schema":"https://github.com/citation-style-language/schema/raw/master/csl-citation.json"} </w:instrText>
      </w:r>
      <w:r w:rsidR="00AF5A0F">
        <w:rPr>
          <w:rFonts w:cs="Times New Roman"/>
        </w:rPr>
        <w:fldChar w:fldCharType="separate"/>
      </w:r>
      <w:r w:rsidR="002074AD" w:rsidRPr="002074AD">
        <w:rPr>
          <w:rFonts w:cs="Times New Roman"/>
        </w:rPr>
        <w:t>(</w:t>
      </w:r>
      <w:r w:rsidR="002074AD" w:rsidRPr="002074AD">
        <w:rPr>
          <w:rFonts w:cs="Times New Roman"/>
          <w:i/>
          <w:iCs/>
        </w:rPr>
        <w:t>Water Quality Standards | Oklahoma Water Resources Board</w:t>
      </w:r>
      <w:r w:rsidR="002074AD" w:rsidRPr="002074AD">
        <w:rPr>
          <w:rFonts w:cs="Times New Roman"/>
        </w:rPr>
        <w:t>, n.d.)</w:t>
      </w:r>
      <w:r w:rsidR="00AF5A0F">
        <w:rPr>
          <w:rFonts w:cs="Times New Roman"/>
        </w:rPr>
        <w:fldChar w:fldCharType="end"/>
      </w:r>
      <w:r w:rsidR="00160D38">
        <w:rPr>
          <w:rFonts w:cs="Times New Roman"/>
        </w:rPr>
        <w:t xml:space="preserve">. </w:t>
      </w:r>
      <w:r w:rsidR="00C671F5" w:rsidRPr="00770477">
        <w:rPr>
          <w:rFonts w:cs="Times New Roman"/>
        </w:rPr>
        <w:t>This thesis will not go into depth</w:t>
      </w:r>
      <w:r w:rsidR="00FA32B0" w:rsidRPr="00770477">
        <w:rPr>
          <w:rFonts w:cs="Times New Roman"/>
        </w:rPr>
        <w:t xml:space="preserve"> on</w:t>
      </w:r>
      <w:r w:rsidR="00C671F5" w:rsidRPr="00770477">
        <w:rPr>
          <w:rFonts w:cs="Times New Roman"/>
        </w:rPr>
        <w:t xml:space="preserve"> the many types and sources of </w:t>
      </w:r>
      <w:r w:rsidR="00604EE3" w:rsidRPr="00770477">
        <w:rPr>
          <w:rFonts w:cs="Times New Roman"/>
        </w:rPr>
        <w:t xml:space="preserve">stormwater pollutants, but rather rely on the evidence that stormwater pollution </w:t>
      </w:r>
      <w:r w:rsidR="008E23D6" w:rsidRPr="00770477">
        <w:rPr>
          <w:rFonts w:cs="Times New Roman"/>
        </w:rPr>
        <w:t>is widespread, highly dynamic</w:t>
      </w:r>
      <w:r w:rsidR="00DE4CDB" w:rsidRPr="00770477">
        <w:rPr>
          <w:rFonts w:cs="Times New Roman"/>
        </w:rPr>
        <w:t>, highly</w:t>
      </w:r>
      <w:r w:rsidR="008E23D6" w:rsidRPr="00770477">
        <w:rPr>
          <w:rFonts w:cs="Times New Roman"/>
        </w:rPr>
        <w:t xml:space="preserve"> variable, and of increasing concern</w:t>
      </w:r>
      <w:r w:rsidR="00D920B9" w:rsidRPr="00770477">
        <w:rPr>
          <w:rFonts w:cs="Times New Roman"/>
        </w:rPr>
        <w:t xml:space="preserve">. </w:t>
      </w:r>
    </w:p>
    <w:p w14:paraId="7C7D1565" w14:textId="43FC8C3C" w:rsidR="00D920B9" w:rsidRPr="00770477" w:rsidRDefault="00D920B9" w:rsidP="00F72623">
      <w:pPr>
        <w:ind w:firstLine="720"/>
        <w:rPr>
          <w:rFonts w:cs="Times New Roman"/>
        </w:rPr>
      </w:pPr>
      <w:r w:rsidRPr="00770477">
        <w:rPr>
          <w:rFonts w:cs="Times New Roman"/>
        </w:rPr>
        <w:t xml:space="preserve">Despite the challenges, </w:t>
      </w:r>
      <w:r w:rsidR="00DC2B29" w:rsidRPr="00770477">
        <w:rPr>
          <w:rFonts w:cs="Times New Roman"/>
        </w:rPr>
        <w:t xml:space="preserve">much work has been done in the field of low impact development (LID) to implement </w:t>
      </w:r>
      <w:r w:rsidR="004D0DFC" w:rsidRPr="00770477">
        <w:rPr>
          <w:rFonts w:cs="Times New Roman"/>
        </w:rPr>
        <w:t xml:space="preserve">various best management practice (BMP) techniques such as, but not limited to, </w:t>
      </w:r>
      <w:r w:rsidR="00827391" w:rsidRPr="00770477">
        <w:rPr>
          <w:rFonts w:cs="Times New Roman"/>
        </w:rPr>
        <w:t>bioretention swales</w:t>
      </w:r>
      <w:r w:rsidR="00B3666F" w:rsidRPr="00770477">
        <w:rPr>
          <w:rFonts w:cs="Times New Roman"/>
        </w:rPr>
        <w:t>,</w:t>
      </w:r>
      <w:r w:rsidR="004D0DFC" w:rsidRPr="00770477">
        <w:rPr>
          <w:rFonts w:cs="Times New Roman"/>
        </w:rPr>
        <w:t xml:space="preserve"> </w:t>
      </w:r>
      <w:r w:rsidR="00FF62AE" w:rsidRPr="00770477">
        <w:rPr>
          <w:rFonts w:cs="Times New Roman"/>
        </w:rPr>
        <w:t xml:space="preserve">pervious pavement, </w:t>
      </w:r>
      <w:r w:rsidR="00B3666F" w:rsidRPr="00770477">
        <w:rPr>
          <w:rFonts w:cs="Times New Roman"/>
        </w:rPr>
        <w:t xml:space="preserve">detention/retention ponds, </w:t>
      </w:r>
      <w:r w:rsidR="00827391" w:rsidRPr="00770477">
        <w:rPr>
          <w:rFonts w:cs="Times New Roman"/>
        </w:rPr>
        <w:t>infiltration basins, and green roo</w:t>
      </w:r>
      <w:r w:rsidR="00234F41" w:rsidRPr="00770477">
        <w:rPr>
          <w:rFonts w:cs="Times New Roman"/>
        </w:rPr>
        <w:t>f</w:t>
      </w:r>
      <w:r w:rsidR="00827391" w:rsidRPr="00770477">
        <w:rPr>
          <w:rFonts w:cs="Times New Roman"/>
        </w:rPr>
        <w:t xml:space="preserve">s. </w:t>
      </w:r>
      <w:r w:rsidR="00614D06" w:rsidRPr="00770477">
        <w:rPr>
          <w:rFonts w:cs="Times New Roman"/>
        </w:rPr>
        <w:t xml:space="preserve">Bioretention swales (hereafter referred to as simply “bioretention” or “swales”) </w:t>
      </w:r>
      <w:r w:rsidR="00D27609" w:rsidRPr="00770477">
        <w:rPr>
          <w:rFonts w:cs="Times New Roman"/>
        </w:rPr>
        <w:t xml:space="preserve">have </w:t>
      </w:r>
      <w:r w:rsidR="00D27609" w:rsidRPr="00770477">
        <w:rPr>
          <w:rFonts w:cs="Times New Roman"/>
        </w:rPr>
        <w:lastRenderedPageBreak/>
        <w:t xml:space="preserve">been </w:t>
      </w:r>
      <w:r w:rsidR="005A3DDE" w:rsidRPr="00770477">
        <w:rPr>
          <w:rFonts w:cs="Times New Roman"/>
        </w:rPr>
        <w:t xml:space="preserve">shown to improve water quality outcomes by capturing, retaining, treating, and slowly discharging stormwater back to the environment or stormwater infrastructure </w:t>
      </w:r>
      <w:r w:rsidR="005A3DDE" w:rsidRPr="00770477">
        <w:rPr>
          <w:rFonts w:cs="Times New Roman"/>
        </w:rPr>
        <w:fldChar w:fldCharType="begin"/>
      </w:r>
      <w:r w:rsidR="002074AD">
        <w:rPr>
          <w:rFonts w:cs="Times New Roman"/>
        </w:rPr>
        <w:instrText xml:space="preserve"> ADDIN ZOTERO_ITEM CSL_CITATION {"citationID":"adee22se08","properties":{"formattedCitation":"(Davis et al., 2006; Kandel et al., 2017; Paus et al., 2014; J. Vogel, personal communication, February 2022)","plainCitation":"(Davis et al., 2006; Kandel et al., 2017; Paus et al., 2014; J. Vogel, personal communication, February 2022)","noteIndex":0},"citationItems":[{"id":281,"uris":["http://zotero.org/users/8423188/items/279KQFGG"],"itemData":{"id":281,"type":"article-journal","abstract":"High nutrient inputs and eutrophication continue to be one of the highest priority water quality problems. Bioretention is a low-impact development technology that has been advocated for use in urban and other developed areas. This work provides an in-depth analysis on removal of nutrients from a synthetic stormwater runoff by bioretention. Results have indicated good removal of phosphorus (70 to 85%) and total Kjeldahl nitrogen (55 to 65%). Nitrate reduction was poor (&lt;20%) and, in several cases, nitrate production was noted. Variations in flowrate (intensity) and duration had a moderate affect on nutrient removal. Mass balances demonstrate the importance of water attenuation in the facility in reducing mass nutrient loads. Captured nitrogen can be converted to nitrate between storm events and subsequently washed from the system. Analysis on the fate of nutrients in bioretention suggests that accumulation of phosphorus and nitrogen may be controlled by carefully managing growing and harvesting of vegetation. Water Environ. Res., 78, 284 (2006).","container-title":"Water Environment Research","DOI":"10.2175/106143005X94376","ISSN":"10614303","issue":"3","journalAbbreviation":"Water Environment Research","language":"en","page":"284-293","source":"DOI.org (Crossref)","title":"Water Quality Improvement through Bioretention Media: Nitrogen and Phosphorus Removal","title-short":"Water Quality Improvement through Bioretention Media","volume":"78","author":[{"family":"Davis","given":"Allen P."},{"family":"Shokouhian","given":"Mohammad"},{"family":"Sharma","given":"Himanshu"},{"family":"Minami","given":"Christie"}],"issued":{"date-parts":[["2006",3]]}}},{"id":83,"uris":["http://zotero.org/users/8423188/items/PRJYJ92J"],"itemData":{"id":83,"type":"article-journal","abstract":"Bioretention cells (BRCs) have shown potential for storm water quantity and quality control. However, the phosphorus (P) removal in BRC has been variable due to differences of soil properties in ﬁlter media. The objectives of this research were to identify and evaluate P accumulation in ﬁlter media and to quantify efﬂuent P reduction in BRC. Each cell has a sand and ﬂy ash media designed to remove phosphorous. Filter media were collected in 2014 across the cell surface and to a depth of 0.6 m to quantify the P accumulation. The mean total P (T-P) concentration increased over the seven years of operation, but the changes were not statistically signiﬁcant. The average Mehlich-3 P (M3-P) and water-soluble P (WS-P) concentrations in the media proﬁles showed higher P accumulation in the top 0.15 m. The average M3-P and WS-P concentrations between 0.15 m to 0.30 m, and 0.30 m to 0.60 m were variable on all four BRCs media. The media with 5% ﬂy ash signiﬁcantly retained M3-P and WS-P over the top 0.15 m. Stormwater inﬂuent and efﬂuent samples from three of the BRCs monitored over one year showed reductions in both P concentration (68% to 75%) and P mass (76% to 93%).","container-title":"Water","DOI":"10.3390/w9100746","ISSN":"2073-4441","issue":"10","journalAbbreviation":"Water","language":"en","page":"746","source":"DOI.org (Crossref)","title":"Phosphorus Retention by Fly Ash Amended Filter Media in Aged Bioretention Cells","volume":"9","author":[{"family":"Kandel","given":"Saroj"},{"family":"Vogel","given":"Jason"},{"family":"Penn","given":"Chad"},{"family":"Brown","given":"Glenn"}],"issued":{"date-parts":[["2017",9,29]]}}},{"id":283,"uris":["http://zotero.org/users/8423188/items/H5DWI5LJ"],"itemData":{"id":283,"type":"article-journal","abstract":"Batch and column experiments were conducted to investigate the effects of compost volume fraction (CVF; 0–50%) on bioretention media hydraulic conductivity, toxic metal (i.e., Cd, Zn, and Cu) capture, and phosphorus (P) release. Three sources of compost were tested and all exhibited high Cd and Zn sorption capacities. Thus, metal breakthrough times in the columns increased with increasing CVF. Typical breakthrough behavior was not observed for Cu, because little to no Cu was observed in the column effluents after more than 1,000 pore volumes. The unique behavior of Cu was attributable to its precipitation in the synthetic storm water with removal primarily attributed to filtration rather than sorption. Although beneficial for metal removal from storm water, increasing the CVF of the media resulted in reduced hydraulic conductivity and significant release of P. The release of nutrients from compost is a significant concern, and addition of a second layer of media beneath the compost-amended sand to promote P retention, such as iron-amended sand, should be considered. DOI: 10.1061/(ASCE)EE.1943-7870.0000846. © 2014 American Society of Civil Engineers.","container-title":"Journal of Environmental Engineering","DOI":"10.1061/(ASCE)EE.1943-7870.0000846","ISSN":"0733-9372, 1943-7870","issue":"10","journalAbbreviation":"J. Environ. Eng.","language":"en","page":"04014033","source":"DOI.org (Crossref)","title":"Effects of Bioretention Media Compost Volume Fraction on Toxic Metals Removal, Hydraulic Conductivity, and Phosphorous Release","volume":"140","author":[{"family":"Paus","given":"Kim H."},{"family":"Morgan","given":"Joel"},{"family":"Gulliver","given":"John S."},{"family":"Hozalski","given":"Raymond M."}],"issued":{"date-parts":[["2014",10]]}}},{"id":927,"uris":["http://zotero.org/users/8423188/items/7VVIAKEF"],"itemData":{"id":927,"type":"interview","language":"English","medium":"Lecture","title":"Bioretention","author":[{"family":"Vogel","given":"Jason"}],"issued":{"date-parts":[["2022",2]]}}}],"schema":"https://github.com/citation-style-language/schema/raw/master/csl-citation.json"} </w:instrText>
      </w:r>
      <w:r w:rsidR="005A3DDE" w:rsidRPr="00770477">
        <w:rPr>
          <w:rFonts w:cs="Times New Roman"/>
        </w:rPr>
        <w:fldChar w:fldCharType="separate"/>
      </w:r>
      <w:r w:rsidR="002074AD" w:rsidRPr="002074AD">
        <w:rPr>
          <w:rFonts w:cs="Times New Roman"/>
        </w:rPr>
        <w:t>(Davis et al., 2006; Kandel et al., 2017; Paus et al., 2014; J. Vogel, personal communication, February 2022)</w:t>
      </w:r>
      <w:r w:rsidR="005A3DDE" w:rsidRPr="00770477">
        <w:rPr>
          <w:rFonts w:cs="Times New Roman"/>
        </w:rPr>
        <w:fldChar w:fldCharType="end"/>
      </w:r>
      <w:r w:rsidR="005A3DDE" w:rsidRPr="00770477">
        <w:rPr>
          <w:rFonts w:cs="Times New Roman"/>
        </w:rPr>
        <w:t xml:space="preserve">. Swales </w:t>
      </w:r>
      <w:r w:rsidR="00DC53C2" w:rsidRPr="00770477">
        <w:rPr>
          <w:rFonts w:cs="Times New Roman"/>
        </w:rPr>
        <w:t xml:space="preserve">fundamentally consists of </w:t>
      </w:r>
      <w:r w:rsidR="0098283D" w:rsidRPr="00770477">
        <w:rPr>
          <w:rFonts w:cs="Times New Roman"/>
        </w:rPr>
        <w:t xml:space="preserve">a soil </w:t>
      </w:r>
      <w:r w:rsidR="00235CAB" w:rsidRPr="00770477">
        <w:rPr>
          <w:rFonts w:cs="Times New Roman"/>
        </w:rPr>
        <w:t>containing 85-92% sand, 8-12% fines, and 0-5% organic material</w:t>
      </w:r>
      <w:r w:rsidR="008F3D48" w:rsidRPr="00770477">
        <w:rPr>
          <w:rFonts w:cs="Times New Roman"/>
        </w:rPr>
        <w:t xml:space="preserve"> </w:t>
      </w:r>
      <w:r w:rsidR="009D0C57" w:rsidRPr="00770477">
        <w:rPr>
          <w:rFonts w:cs="Times New Roman"/>
        </w:rPr>
        <w:fldChar w:fldCharType="begin"/>
      </w:r>
      <w:r w:rsidR="002074AD">
        <w:rPr>
          <w:rFonts w:cs="Times New Roman"/>
        </w:rPr>
        <w:instrText xml:space="preserve"> ADDIN ZOTERO_ITEM CSL_CITATION {"citationID":"a2f6vq9bup3","properties":{"formattedCitation":"(J. Vogel, personal communication, February 2022)","plainCitation":"(J. Vogel, personal communication, February 2022)","noteIndex":0},"citationItems":[{"id":927,"uris":["http://zotero.org/users/8423188/items/7VVIAKEF"],"itemData":{"id":927,"type":"interview","language":"English","medium":"Lecture","title":"Bioretention","author":[{"family":"Vogel","given":"Jason"}],"issued":{"date-parts":[["2022",2]]}}}],"schema":"https://github.com/citation-style-language/schema/raw/master/csl-citation.json"} </w:instrText>
      </w:r>
      <w:r w:rsidR="009D0C57" w:rsidRPr="00770477">
        <w:rPr>
          <w:rFonts w:cs="Times New Roman"/>
        </w:rPr>
        <w:fldChar w:fldCharType="separate"/>
      </w:r>
      <w:r w:rsidR="002074AD" w:rsidRPr="002074AD">
        <w:rPr>
          <w:rFonts w:cs="Times New Roman"/>
        </w:rPr>
        <w:t>(J. Vogel, personal communication, February 2022)</w:t>
      </w:r>
      <w:r w:rsidR="009D0C57" w:rsidRPr="00770477">
        <w:rPr>
          <w:rFonts w:cs="Times New Roman"/>
        </w:rPr>
        <w:fldChar w:fldCharType="end"/>
      </w:r>
      <w:r w:rsidR="00C97A93" w:rsidRPr="00770477">
        <w:rPr>
          <w:rFonts w:cs="Times New Roman"/>
        </w:rPr>
        <w:t xml:space="preserve">. </w:t>
      </w:r>
      <w:r w:rsidR="00235CAB" w:rsidRPr="00770477">
        <w:rPr>
          <w:rFonts w:cs="Times New Roman"/>
        </w:rPr>
        <w:t>Also key to the success of bioretention</w:t>
      </w:r>
      <w:r w:rsidR="002675FB" w:rsidRPr="00770477">
        <w:rPr>
          <w:rFonts w:cs="Times New Roman"/>
        </w:rPr>
        <w:t xml:space="preserve"> is the addition of plants to assist in water and contaminant uptake and storage. </w:t>
      </w:r>
      <w:r w:rsidR="00245157" w:rsidRPr="00770477">
        <w:rPr>
          <w:rFonts w:cs="Times New Roman"/>
        </w:rPr>
        <w:t xml:space="preserve">This BMP is designed to receive stormwater from </w:t>
      </w:r>
      <w:r w:rsidR="001C7912" w:rsidRPr="00770477">
        <w:rPr>
          <w:rFonts w:cs="Times New Roman"/>
        </w:rPr>
        <w:t xml:space="preserve">a designated impervious area and allow it to slowly </w:t>
      </w:r>
      <w:r w:rsidR="00E93803" w:rsidRPr="00770477">
        <w:rPr>
          <w:rFonts w:cs="Times New Roman"/>
        </w:rPr>
        <w:t>dissipate</w:t>
      </w:r>
      <w:r w:rsidR="001C7912" w:rsidRPr="00770477">
        <w:rPr>
          <w:rFonts w:cs="Times New Roman"/>
        </w:rPr>
        <w:t xml:space="preserve"> either via seepage or </w:t>
      </w:r>
      <w:r w:rsidR="00E93803" w:rsidRPr="00770477">
        <w:rPr>
          <w:rFonts w:cs="Times New Roman"/>
        </w:rPr>
        <w:t xml:space="preserve">to </w:t>
      </w:r>
      <w:r w:rsidR="001313A7" w:rsidRPr="00770477">
        <w:rPr>
          <w:rFonts w:cs="Times New Roman"/>
        </w:rPr>
        <w:t>discharge more slowly</w:t>
      </w:r>
      <w:r w:rsidR="00E93803" w:rsidRPr="00770477">
        <w:rPr>
          <w:rFonts w:cs="Times New Roman"/>
        </w:rPr>
        <w:t xml:space="preserve"> to receiving streams or stormwater infrastructure. Meanwhile, </w:t>
      </w:r>
      <w:r w:rsidR="00D815BC" w:rsidRPr="00770477">
        <w:rPr>
          <w:rFonts w:cs="Times New Roman"/>
        </w:rPr>
        <w:t xml:space="preserve">natural processes such as settling, physical filtration, cation exchange, sorption, </w:t>
      </w:r>
      <w:r w:rsidR="007C3DC1" w:rsidRPr="00770477">
        <w:rPr>
          <w:rFonts w:cs="Times New Roman"/>
        </w:rPr>
        <w:t xml:space="preserve">biological uptake, and </w:t>
      </w:r>
      <w:r w:rsidR="00FC336E" w:rsidRPr="00770477">
        <w:rPr>
          <w:rFonts w:cs="Times New Roman"/>
        </w:rPr>
        <w:t xml:space="preserve">pH </w:t>
      </w:r>
      <w:r w:rsidR="0079656B" w:rsidRPr="00770477">
        <w:rPr>
          <w:rFonts w:cs="Times New Roman"/>
        </w:rPr>
        <w:t xml:space="preserve">buffering </w:t>
      </w:r>
      <w:r w:rsidR="001313A7" w:rsidRPr="00770477">
        <w:rPr>
          <w:rFonts w:cs="Times New Roman"/>
        </w:rPr>
        <w:t xml:space="preserve">helps to improve water quality </w:t>
      </w:r>
      <w:r w:rsidR="00F24D53" w:rsidRPr="00770477">
        <w:rPr>
          <w:rFonts w:cs="Times New Roman"/>
        </w:rPr>
        <w:t>prior to flowing into</w:t>
      </w:r>
      <w:r w:rsidR="001313A7" w:rsidRPr="00770477">
        <w:rPr>
          <w:rFonts w:cs="Times New Roman"/>
        </w:rPr>
        <w:t xml:space="preserve"> a downstream </w:t>
      </w:r>
      <w:r w:rsidR="001B3A56" w:rsidRPr="00770477">
        <w:rPr>
          <w:rFonts w:cs="Times New Roman"/>
        </w:rPr>
        <w:t>waterbody</w:t>
      </w:r>
      <w:r w:rsidR="000B23D2" w:rsidRPr="00770477">
        <w:rPr>
          <w:rFonts w:cs="Times New Roman"/>
        </w:rPr>
        <w:t xml:space="preserve"> </w:t>
      </w:r>
      <w:r w:rsidR="000B23D2" w:rsidRPr="00770477">
        <w:rPr>
          <w:rFonts w:cs="Times New Roman"/>
        </w:rPr>
        <w:fldChar w:fldCharType="begin"/>
      </w:r>
      <w:r w:rsidR="002074AD">
        <w:rPr>
          <w:rFonts w:cs="Times New Roman"/>
        </w:rPr>
        <w:instrText xml:space="preserve"> ADDIN ZOTERO_ITEM CSL_CITATION {"citationID":"OHWcEnwt","properties":{"formattedCitation":"(Davis et al., 2001, 2006)","plainCitation":"(Davis et al., 2001, 2006)","noteIndex":0},"citationItems":[{"id":"6PIx2nXX/xAQEnExs","uris":["http://zotero.org/users/8423188/items/XGESB6GG"],"itemData":{"id":"TN1qIYKK/57xUprvU","type":"article-journal","abstract":"Urban stormwater runoff contains a broad range of pollutants that are transported to natural water systems. A practice known as biological retention (bioretention) has been suggested to manage stormwater runoff from small, developed areas. Bioretention facilities consist of porous soil, a topping layer of hardwood mulch, and a variety of different plant species. A detailed study of the characteristics and performance of bioretention systems for the removal of several heavy metals (copper, lead, and zinc) and nutrients (phosphorus, total Kjeldahl nitrogen [TKN], ammonium, and nitrate) from a synthetic urban stormwater runoff was completed using batch and column adsorption studies along with pilot-scale laboratory systems. The roles of the soil, mulch, and plants in the removal of heavy metals and nutrients were evaluated to estimate the treatment capacity of laboratory bioretention systems. Reductions in concentrations of all metals were excellent (&gt;90%) with specific metal removals of 15 to 145 mg/m2 per event. Moderate reductions of TKN, ammonium, and phosphorus levels were found (60 to 80%). Little nitrate was removed, and nitrate production was noted in several cases. The importance of the mulch layer in metal removal was identified. Overall results support the use of bioretention as a stormwater best management practice and indicate the need for further research and development. Water Environ. Res., 73, 5 (2001).","container-title":"Water Environment Research","DOI":"10.2175/106143001X138624","ISSN":"10614303","issue":"1","journalAbbreviation":"Water Environment Research","language":"en","page":"5-14","source":"DOI.org (Crossref)","title":"Laboratory Study of Biological Retention for Urban Stormwater Management","volume":"73","author":[{"family":"Davis","given":"Allen P."},{"family":"Shokouhian","given":"Mohammad"},{"family":"Sharma","given":"Himanshu"},{"family":"Minami","given":"Christie"}],"issued":{"date-parts":[["2001",1]]}}},{"id":281,"uris":["http://zotero.org/users/8423188/items/279KQFGG"],"itemData":{"id":281,"type":"article-journal","abstract":"High nutrient inputs and eutrophication continue to be one of the highest priority water quality problems. Bioretention is a low-impact development technology that has been advocated for use in urban and other developed areas. This work provides an in-depth analysis on removal of nutrients from a synthetic stormwater runoff by bioretention. Results have indicated good removal of phosphorus (70 to 85%) and total Kjeldahl nitrogen (55 to 65%). Nitrate reduction was poor (&lt;20%) and, in several cases, nitrate production was noted. Variations in flowrate (intensity) and duration had a moderate affect on nutrient removal. Mass balances demonstrate the importance of water attenuation in the facility in reducing mass nutrient loads. Captured nitrogen can be converted to nitrate between storm events and subsequently washed from the system. Analysis on the fate of nutrients in bioretention suggests that accumulation of phosphorus and nitrogen may be controlled by carefully managing growing and harvesting of vegetation. Water Environ. Res., 78, 284 (2006).","container-title":"Water Environment Research","DOI":"10.2175/106143005X94376","ISSN":"10614303","issue":"3","journalAbbreviation":"Water Environment Research","language":"en","page":"284-293","source":"DOI.org (Crossref)","title":"Water Quality Improvement through Bioretention Media: Nitrogen and Phosphorus Removal","title-short":"Water Quality Improvement through Bioretention Media","volume":"78","author":[{"family":"Davis","given":"Allen P."},{"family":"Shokouhian","given":"Mohammad"},{"family":"Sharma","given":"Himanshu"},{"family":"Minami","given":"Christie"}],"issued":{"date-parts":[["2006",3]]}}}],"schema":"https://github.com/citation-style-language/schema/raw/master/csl-citation.json"} </w:instrText>
      </w:r>
      <w:r w:rsidR="000B23D2" w:rsidRPr="00770477">
        <w:rPr>
          <w:rFonts w:cs="Times New Roman"/>
        </w:rPr>
        <w:fldChar w:fldCharType="separate"/>
      </w:r>
      <w:r w:rsidR="00E11E17" w:rsidRPr="00770477">
        <w:rPr>
          <w:rFonts w:cs="Times New Roman"/>
        </w:rPr>
        <w:t>(Davis et al., 2001, 2006)</w:t>
      </w:r>
      <w:r w:rsidR="000B23D2" w:rsidRPr="00770477">
        <w:rPr>
          <w:rFonts w:cs="Times New Roman"/>
        </w:rPr>
        <w:fldChar w:fldCharType="end"/>
      </w:r>
      <w:r w:rsidR="001B3A56" w:rsidRPr="00770477">
        <w:rPr>
          <w:rFonts w:cs="Times New Roman"/>
        </w:rPr>
        <w:t xml:space="preserve">. </w:t>
      </w:r>
      <w:r w:rsidR="00871DFE" w:rsidRPr="00770477">
        <w:rPr>
          <w:rFonts w:cs="Times New Roman"/>
        </w:rPr>
        <w:t xml:space="preserve">However, bioretention is not always </w:t>
      </w:r>
      <w:r w:rsidR="00E86CD4" w:rsidRPr="00770477">
        <w:rPr>
          <w:rFonts w:cs="Times New Roman"/>
        </w:rPr>
        <w:t xml:space="preserve">comprehensive in its ability to remove all pollutants </w:t>
      </w:r>
      <w:r w:rsidR="009432A2" w:rsidRPr="00770477">
        <w:rPr>
          <w:rFonts w:cs="Times New Roman"/>
        </w:rPr>
        <w:t>or effective enough</w:t>
      </w:r>
      <w:r w:rsidR="006E2BFF" w:rsidRPr="00770477">
        <w:rPr>
          <w:rFonts w:cs="Times New Roman"/>
        </w:rPr>
        <w:t xml:space="preserve"> to improve water quality to </w:t>
      </w:r>
      <w:r w:rsidR="009F08EC" w:rsidRPr="00770477">
        <w:rPr>
          <w:rFonts w:cs="Times New Roman"/>
        </w:rPr>
        <w:t>meet ambient water quality standards</w:t>
      </w:r>
      <w:r w:rsidR="00B0322B" w:rsidRPr="00770477">
        <w:rPr>
          <w:rFonts w:cs="Times New Roman"/>
        </w:rPr>
        <w:t xml:space="preserve"> </w:t>
      </w:r>
      <w:r w:rsidR="00A42EA3" w:rsidRPr="00770477">
        <w:rPr>
          <w:rFonts w:cs="Times New Roman"/>
        </w:rPr>
        <w:fldChar w:fldCharType="begin"/>
      </w:r>
      <w:r w:rsidR="002074AD">
        <w:rPr>
          <w:rFonts w:cs="Times New Roman"/>
        </w:rPr>
        <w:instrText xml:space="preserve"> ADDIN ZOTERO_ITEM CSL_CITATION {"citationID":"1hlknhLt","properties":{"formattedCitation":"({\\i{}BMP Statistical Analysis Tool}, n.d.; Paus et al., 2014)","plainCitation":"(BMP Statistical Analysis Tool, n.d.; Paus et al., 2014)","noteIndex":0},"citationItems":[{"id":61,"uris":["http://zotero.org/users/8423188/items/USTC4DRG"],"itemData":{"id":61,"type":"webpage","container-title":"INT'L STORMWATER BMP DBASE","language":"en-US","title":"BMP Statistical Analysis Tool","URL":"https://bmpdatabase.org/bmp-statistical-analysis-tool","accessed":{"date-parts":[["2021",11,18]]}}},{"id":283,"uris":["http://zotero.org/users/8423188/items/H5DWI5LJ"],"itemData":{"id":283,"type":"article-journal","abstract":"Batch and column experiments were conducted to investigate the effects of compost volume fraction (CVF; 0–50%) on bioretention media hydraulic conductivity, toxic metal (i.e., Cd, Zn, and Cu) capture, and phosphorus (P) release. Three sources of compost were tested and all exhibited high Cd and Zn sorption capacities. Thus, metal breakthrough times in the columns increased with increasing CVF. Typical breakthrough behavior was not observed for Cu, because little to no Cu was observed in the column effluents after more than 1,000 pore volumes. The unique behavior of Cu was attributable to its precipitation in the synthetic storm water with removal primarily attributed to filtration rather than sorption. Although beneficial for metal removal from storm water, increasing the CVF of the media resulted in reduced hydraulic conductivity and significant release of P. The release of nutrients from compost is a significant concern, and addition of a second layer of media beneath the compost-amended sand to promote P retention, such as iron-amended sand, should be considered. DOI: 10.1061/(ASCE)EE.1943-7870.0000846. © 2014 American Society of Civil Engineers.","container-title":"Journal of Environmental Engineering","DOI":"10.1061/(ASCE)EE.1943-7870.0000846","ISSN":"0733-9372, 1943-7870","issue":"10","journalAbbreviation":"J. Environ. Eng.","language":"en","page":"04014033","source":"DOI.org (Crossref)","title":"Effects of Bioretention Media Compost Volume Fraction on Toxic Metals Removal, Hydraulic Conductivity, and Phosphorous Release","volume":"140","author":[{"family":"Paus","given":"Kim H."},{"family":"Morgan","given":"Joel"},{"family":"Gulliver","given":"John S."},{"family":"Hozalski","given":"Raymond M."}],"issued":{"date-parts":[["2014",10]]}}}],"schema":"https://github.com/citation-style-language/schema/raw/master/csl-citation.json"} </w:instrText>
      </w:r>
      <w:r w:rsidR="00A42EA3" w:rsidRPr="00770477">
        <w:rPr>
          <w:rFonts w:cs="Times New Roman"/>
        </w:rPr>
        <w:fldChar w:fldCharType="separate"/>
      </w:r>
      <w:r w:rsidR="00E11E17" w:rsidRPr="00770477">
        <w:rPr>
          <w:rFonts w:cs="Times New Roman"/>
        </w:rPr>
        <w:t>(</w:t>
      </w:r>
      <w:r w:rsidR="00E11E17" w:rsidRPr="00770477">
        <w:rPr>
          <w:rFonts w:cs="Times New Roman"/>
          <w:i/>
          <w:iCs/>
        </w:rPr>
        <w:t>BMP Statistical Analysis Tool</w:t>
      </w:r>
      <w:r w:rsidR="00E11E17" w:rsidRPr="00770477">
        <w:rPr>
          <w:rFonts w:cs="Times New Roman"/>
        </w:rPr>
        <w:t>, n.d.; Paus et al., 2014)</w:t>
      </w:r>
      <w:r w:rsidR="00A42EA3" w:rsidRPr="00770477">
        <w:rPr>
          <w:rFonts w:cs="Times New Roman"/>
        </w:rPr>
        <w:fldChar w:fldCharType="end"/>
      </w:r>
      <w:r w:rsidR="00151BB9" w:rsidRPr="00770477">
        <w:rPr>
          <w:rFonts w:cs="Times New Roman"/>
        </w:rPr>
        <w:t>.</w:t>
      </w:r>
      <w:r w:rsidR="00AA67C7" w:rsidRPr="00770477">
        <w:rPr>
          <w:rFonts w:cs="Times New Roman"/>
        </w:rPr>
        <w:t xml:space="preserve"> </w:t>
      </w:r>
      <w:r w:rsidR="001642F8" w:rsidRPr="00770477">
        <w:rPr>
          <w:rFonts w:cs="Times New Roman"/>
        </w:rPr>
        <w:t>S</w:t>
      </w:r>
      <w:r w:rsidR="00C2266E" w:rsidRPr="00770477">
        <w:rPr>
          <w:rFonts w:cs="Times New Roman"/>
        </w:rPr>
        <w:t>oil amendment studies have shown promising results for a variety of media</w:t>
      </w:r>
      <w:r w:rsidR="00A764A8" w:rsidRPr="00770477">
        <w:rPr>
          <w:rFonts w:cs="Times New Roman"/>
        </w:rPr>
        <w:t xml:space="preserve"> such as fly ash</w:t>
      </w:r>
      <w:r w:rsidR="00FD3175" w:rsidRPr="00770477">
        <w:rPr>
          <w:rFonts w:cs="Times New Roman"/>
        </w:rPr>
        <w:t xml:space="preserve"> </w:t>
      </w:r>
      <w:r w:rsidR="00FD3175" w:rsidRPr="00770477">
        <w:rPr>
          <w:rFonts w:cs="Times New Roman"/>
        </w:rPr>
        <w:fldChar w:fldCharType="begin"/>
      </w:r>
      <w:r w:rsidR="002074AD">
        <w:rPr>
          <w:rFonts w:cs="Times New Roman"/>
        </w:rPr>
        <w:instrText xml:space="preserve"> ADDIN ZOTERO_ITEM CSL_CITATION {"citationID":"zbV0Ryug","properties":{"formattedCitation":"(Cheung et al., 1994; Kandel et al., 2017; W. Zhang et al., 2008)","plainCitation":"(Cheung et al., 1994; Kandel et al., 2017; W. Zhang et al., 2008)","noteIndex":0},"citationItems":[{"id":622,"uris":["http://zotero.org/users/8423188/items/CRS28DN3"],"itemData":{"id":622,"type":"article-journal","abstract":"Phosphorus sorption capacities of several different materials including Merribrook soil (a loamy sand) and some industrial solid wastes (red mud neutralized with gypsum, fly ash, bottom ash and black oxide) were determined in sorption isotherms by Langmuir and Freundlich equations. The materials were characterized by bulk density, particle density, total porosity and particle size distributions. Red mud gypsum possessed the best sorption capacity based on the Langmuir maxima. Alkaline fly ash and Merribrook soil had lower sorption maxima compared to the red mud gypsum. Bottom ash and acidic fly ash had very low sorption capacity at low concentrations. Merribrook soil had the highest hydraulic conductivity. The results suggested that alkaline fly ash may be a promising amendment for coarse sand bed to enhance phosphorus removal. Merribrook soil appears to be suitable for on-site wastewater treatment.","container-title":"Water Science and Technology","DOI":"10.2166/wst.1994.0275","ISSN":"0273-1223, 1996-9732","issue":"6","language":"en","page":"247-256","source":"DOI.org (Crossref)","title":"Selecting soil amendment materials for removal of phosphorus","volume":"30","author":[{"family":"Cheung","given":"K. C."},{"family":"Venkitachalam","given":"T. H."},{"family":"Scott","given":"W. D."}],"issued":{"date-parts":[["1994",9,1]]}}},{"id":83,"uris":["http://zotero.org/users/8423188/items/PRJYJ92J"],"itemData":{"id":83,"type":"article-journal","abstract":"Bioretention cells (BRCs) have shown potential for storm water quantity and quality control. However, the phosphorus (P) removal in BRC has been variable due to differences of soil properties in ﬁlter media. The objectives of this research were to identify and evaluate P accumulation in ﬁlter media and to quantify efﬂuent P reduction in BRC. Each cell has a sand and ﬂy ash media designed to remove phosphorous. Filter media were collected in 2014 across the cell surface and to a depth of 0.6 m to quantify the P accumulation. The mean total P (T-P) concentration increased over the seven years of operation, but the changes were not statistically signiﬁcant. The average Mehlich-3 P (M3-P) and water-soluble P (WS-P) concentrations in the media proﬁles showed higher P accumulation in the top 0.15 m. The average M3-P and WS-P concentrations between 0.15 m to 0.30 m, and 0.30 m to 0.60 m were variable on all four BRCs media. The media with 5% ﬂy ash signiﬁcantly retained M3-P and WS-P over the top 0.15 m. Stormwater inﬂuent and efﬂuent samples from three of the BRCs monitored over one year showed reductions in both P concentration (68% to 75%) and P mass (76% to 93%).","container-title":"Water","DOI":"10.3390/w9100746","ISSN":"2073-4441","issue":"10","journalAbbreviation":"Water","language":"en","page":"746","source":"DOI.org (Crossref)","title":"Phosphorus Retention by Fly Ash Amended Filter Media in Aged Bioretention Cells","volume":"9","author":[{"family":"Kandel","given":"Saroj"},{"family":"Vogel","given":"Jason"},{"family":"Penn","given":"Chad"},{"family":"Brown","given":"Glenn"}],"issued":{"date-parts":[["2017",9,29]]}}},{"id":85,"uris":["http://zotero.org/users/8423188/items/DFEUEDT5"],"itemData":{"id":85,"type":"article-journal","container-title":"Water Environment Research","DOI":"10.2175/106143008X266823","ISSN":"10614303","issue":"6","journalAbbreviation":"Water Environment Research","language":"en","page":"507-516","source":"DOI.org (Crossref)","title":"Fly-Ash-Amended Sand as Filter Media in Bioretention Cells to Improve Phosphorus Removal","volume":"80","author":[{"family":"Zhang","given":"Wei"},{"family":"Brown","given":"Glenn O."},{"family":"Storm","given":"Daniel E."},{"family":"Zhang","given":"Hailin"}],"issued":{"date-parts":[["2008",6]]}}}],"schema":"https://github.com/citation-style-language/schema/raw/master/csl-citation.json"} </w:instrText>
      </w:r>
      <w:r w:rsidR="00FD3175" w:rsidRPr="00770477">
        <w:rPr>
          <w:rFonts w:cs="Times New Roman"/>
        </w:rPr>
        <w:fldChar w:fldCharType="separate"/>
      </w:r>
      <w:r w:rsidR="00E11E17" w:rsidRPr="00770477">
        <w:rPr>
          <w:rFonts w:cs="Times New Roman"/>
        </w:rPr>
        <w:t>(Cheung et al., 1994; Kandel et al., 2017; W. Zhang et al., 2008)</w:t>
      </w:r>
      <w:r w:rsidR="00FD3175" w:rsidRPr="00770477">
        <w:rPr>
          <w:rFonts w:cs="Times New Roman"/>
        </w:rPr>
        <w:fldChar w:fldCharType="end"/>
      </w:r>
      <w:r w:rsidR="00E07CEC" w:rsidRPr="00770477">
        <w:rPr>
          <w:rFonts w:cs="Times New Roman"/>
        </w:rPr>
        <w:t xml:space="preserve">, </w:t>
      </w:r>
      <w:r w:rsidR="0092236A" w:rsidRPr="00770477">
        <w:rPr>
          <w:rFonts w:cs="Times New Roman"/>
        </w:rPr>
        <w:t>wood chips</w:t>
      </w:r>
      <w:r w:rsidR="00145005" w:rsidRPr="00770477">
        <w:rPr>
          <w:rFonts w:cs="Times New Roman"/>
        </w:rPr>
        <w:t xml:space="preserve"> </w:t>
      </w:r>
      <w:r w:rsidR="00145005" w:rsidRPr="00770477">
        <w:rPr>
          <w:rFonts w:cs="Times New Roman"/>
        </w:rPr>
        <w:fldChar w:fldCharType="begin"/>
      </w:r>
      <w:r w:rsidR="002074AD">
        <w:rPr>
          <w:rFonts w:cs="Times New Roman"/>
        </w:rPr>
        <w:instrText xml:space="preserve"> ADDIN ZOTERO_ITEM CSL_CITATION {"citationID":"hbYxSgqv","properties":{"formattedCitation":"(Ashoori et al., 2019; Trenouth &amp; Gharabaghi, 2015)","plainCitation":"(Ashoori et al., 2019; Trenouth &amp; Gharabaghi, 2015)","noteIndex":0},"citationItems":[{"id":68,"uris":["http://zotero.org/users/8423188/items/XUYXXTWF"],"itemData":{"id":68,"type":"article-journal","abstract":"Stormwater is increasingly being valued as a freshwater resource in arid regions and can provide opportunities for beneﬁcial reuse via aquifer recharge if adequate pollutant removal can be achieved. We envision a multi-unit operation approach to capture, treat, and recharge (CTR) stormwater using low energy, cost-effective technologies appropriate for larger magnitude, less frequent events. Herein, we tested nutrient, metal, and trace organic contaminant removal of a pilot-scale CTR system in the laboratory using biochar-amended woodchip bioreactors following eight months of aging under ﬁeld conditions with exposure to real stormwater. Replicate columns with woodchips and biochar (33% by weight), woodchips and straw, or woodchips only were operated with continuous, saturated ﬂow for eight months using water from a watershed that drained an urban area consisting of residential housing and parks in Sonoma, California. After aging, columns were challenged for ﬁve months by continuous exposure to synthetic stormwater amended with 50 mg LÀ1 of six trace organic contaminants (i.e., ﬁpronil, diuron, 1H-benzotriazole, atrazine, 2,4-D, and TCEP) and ﬁve metals (Cd, Cu, Ni, Pb, Zn) frequently detected in stormwater in order to replicate the treatment unit operation of a CTR system. Throughout the eight-month aging and ﬁve-month challenge experiment, nitrate concentrations were below the detection limit after treatment (i.e., &lt;0.05 mg N LÀ1). The removal efﬁciencies for metals in all treatments were &gt;80% for Ni, Cu, Cd, and Pb. For Zn, about 50% removal occurred in the woodchipbiochar systems while the other systems achieved about 20% removal. No breakthrough of the trace organic compounds was observed in any biochar-containing columns. Woodchip columns without biochar removed approximately 99% of inﬂuent atrazine and 90% of inﬂuent ﬁpronil, but exhibited relatively rapid breakthrough of TCEP, 2,4-D, 1H-benzotriazole, and diuron. The addition of straw to the woodchip columns provided no signiﬁcant beneﬁt compared to woodchips alone. Due to the lack of breakthrough of trace organics in the biochar-woodchip columns, we estimated column breakthrough with a diffusion-limited sorption model. Results of the model indicate breakthrough for the trace organics would occur between 10,000 and 32,000 pore volumes. Under ideal conditions this could be equivalent to decades of service, assuming failure by other processes (e.g., clogging, biofouling) does not occur. These results indicate that multiple contaminants can be removed in woodchip-biochar reactors employed in stormwater treatment systems with suitable ﬂow control and that the removal of trace organic contaminants is enhanced signiﬁcantly by addition of biochar.","container-title":"Water Research","DOI":"10.1016/j.watres.2019.01.040","ISSN":"00431354","journalAbbreviation":"Water Research","language":"en","page":"1-11","source":"DOI.org (Crossref)","title":"Evaluation of pilot-scale biochar-amended woodchip bioreactors to remove nitrate, metals, and trace organic contaminants from urban stormwater runoff","volume":"154","author":[{"family":"Ashoori","given":"Negin"},{"family":"Teixido","given":"Marc"},{"family":"Spahr","given":"Stephanie"},{"family":"LeFevre","given":"Gregory H."},{"family":"Sedlak","given":"David L."},{"family":"Luthy","given":"Richard G."}],"issued":{"date-parts":[["2019",5]]}}},{"id":70,"uris":["http://zotero.org/users/8423188/items/MUFGF283"],"itemData":{"id":70,"type":"article-journal","abstract":"Concentrations of dissolved metals in stormwater runoff from urbanized watersheds are much higher than established guidelines for the protection of aquatic life. Five potential soil amendment materials derived from affordable, abundant sources have been tested as ﬁlter media using shaker tests and were found to remove dissolved metals in stormwater runoff. Blast furnace (BF) slag and basic oxygenated furnace (BOF) slag from a steel mill, a drinking water treatment residual (DWTR) from a surface water treatment plant, goethite-rich overburden (IRON) from a coal mine, and woodchips (WC) were tested. The IRON and BOF amendments were shown to remove 46–98% of dissolved metals (Cr, Co, Cu, Pb, Ni, Zn) in repacked soil columns. Freundlich adsorption isotherm constants for six metals across ﬁve materials were calculated. Breakthrough curves of dissolved metals and total metal accumulation within the ﬁlter media were measured in column tests using synthetic runoff. A reduction in system performance over time occurred due to progressive saturation of the treatment media. Despite this, the top 7 cm of each ﬁlter media removed up to 72% of the dissolved metals. A calibrated HYDRUS-1D model was used to simulate long-term metal accumulation in the ﬁlter media, and model results suggest that for these metals a BOF ﬁlter media thickness as low as 15 cm can be used to improve stormwater quality to meet standards for up to twenty years. The treatment media evaluated in this research can be used to improve urban stormwater runoff discharging to environmentally sensitive areas (ESAs).","container-title":"Journal of Hydrology","DOI":"10.1016/j.jhydrol.2015.08.034","ISSN":"00221694","journalAbbreviation":"Journal of Hydrology","language":"en","page":"1478-1487","source":"DOI.org (Crossref)","title":"Soil amendments for heavy metals removal from stormwater runoff discharging to environmentally sensitive areas","volume":"529","author":[{"family":"Trenouth","given":"William R."},{"family":"Gharabaghi","given":"Bahram"}],"issued":{"date-parts":[["2015",10]]}}}],"schema":"https://github.com/citation-style-language/schema/raw/master/csl-citation.json"} </w:instrText>
      </w:r>
      <w:r w:rsidR="00145005" w:rsidRPr="00770477">
        <w:rPr>
          <w:rFonts w:cs="Times New Roman"/>
        </w:rPr>
        <w:fldChar w:fldCharType="separate"/>
      </w:r>
      <w:r w:rsidR="00E11E17" w:rsidRPr="00770477">
        <w:rPr>
          <w:rFonts w:cs="Times New Roman"/>
        </w:rPr>
        <w:t>(Ashoori et al., 2019; Trenouth &amp; Gharabaghi, 2015)</w:t>
      </w:r>
      <w:r w:rsidR="00145005" w:rsidRPr="00770477">
        <w:rPr>
          <w:rFonts w:cs="Times New Roman"/>
        </w:rPr>
        <w:fldChar w:fldCharType="end"/>
      </w:r>
      <w:r w:rsidR="0092236A" w:rsidRPr="00770477">
        <w:rPr>
          <w:rFonts w:cs="Times New Roman"/>
        </w:rPr>
        <w:t>, biochar</w:t>
      </w:r>
      <w:r w:rsidR="0013779C" w:rsidRPr="00770477">
        <w:rPr>
          <w:rFonts w:cs="Times New Roman"/>
        </w:rPr>
        <w:t xml:space="preserve"> </w:t>
      </w:r>
      <w:r w:rsidR="0013779C" w:rsidRPr="00770477">
        <w:rPr>
          <w:rFonts w:cs="Times New Roman"/>
        </w:rPr>
        <w:fldChar w:fldCharType="begin"/>
      </w:r>
      <w:r w:rsidR="002074AD">
        <w:rPr>
          <w:rFonts w:cs="Times New Roman"/>
        </w:rPr>
        <w:instrText xml:space="preserve"> ADDIN ZOTERO_ITEM CSL_CITATION {"citationID":"KEP5OjkI","properties":{"formattedCitation":"(Ashoori et al., 2019; Cairns et al., 2022)","plainCitation":"(Ashoori et al., 2019; Cairns et al., 2022)","noteIndex":0},"citationItems":[{"id":68,"uris":["http://zotero.org/users/8423188/items/XUYXXTWF"],"itemData":{"id":68,"type":"article-journal","abstract":"Stormwater is increasingly being valued as a freshwater resource in arid regions and can provide opportunities for beneﬁcial reuse via aquifer recharge if adequate pollutant removal can be achieved. We envision a multi-unit operation approach to capture, treat, and recharge (CTR) stormwater using low energy, cost-effective technologies appropriate for larger magnitude, less frequent events. Herein, we tested nutrient, metal, and trace organic contaminant removal of a pilot-scale CTR system in the laboratory using biochar-amended woodchip bioreactors following eight months of aging under ﬁeld conditions with exposure to real stormwater. Replicate columns with woodchips and biochar (33% by weight), woodchips and straw, or woodchips only were operated with continuous, saturated ﬂow for eight months using water from a watershed that drained an urban area consisting of residential housing and parks in Sonoma, California. After aging, columns were challenged for ﬁve months by continuous exposure to synthetic stormwater amended with 50 mg LÀ1 of six trace organic contaminants (i.e., ﬁpronil, diuron, 1H-benzotriazole, atrazine, 2,4-D, and TCEP) and ﬁve metals (Cd, Cu, Ni, Pb, Zn) frequently detected in stormwater in order to replicate the treatment unit operation of a CTR system. Throughout the eight-month aging and ﬁve-month challenge experiment, nitrate concentrations were below the detection limit after treatment (i.e., &lt;0.05 mg N LÀ1). The removal efﬁciencies for metals in all treatments were &gt;80% for Ni, Cu, Cd, and Pb. For Zn, about 50% removal occurred in the woodchipbiochar systems while the other systems achieved about 20% removal. No breakthrough of the trace organic compounds was observed in any biochar-containing columns. Woodchip columns without biochar removed approximately 99% of inﬂuent atrazine and 90% of inﬂuent ﬁpronil, but exhibited relatively rapid breakthrough of TCEP, 2,4-D, 1H-benzotriazole, and diuron. The addition of straw to the woodchip columns provided no signiﬁcant beneﬁt compared to woodchips alone. Due to the lack of breakthrough of trace organics in the biochar-woodchip columns, we estimated column breakthrough with a diffusion-limited sorption model. Results of the model indicate breakthrough for the trace organics would occur between 10,000 and 32,000 pore volumes. Under ideal conditions this could be equivalent to decades of service, assuming failure by other processes (e.g., clogging, biofouling) does not occur. These results indicate that multiple contaminants can be removed in woodchip-biochar reactors employed in stormwater treatment systems with suitable ﬂow control and that the removal of trace organic contaminants is enhanced signiﬁcantly by addition of biochar.","container-title":"Water Research","DOI":"10.1016/j.watres.2019.01.040","ISSN":"00431354","journalAbbreviation":"Water Research","language":"en","page":"1-11","source":"DOI.org (Crossref)","title":"Evaluation of pilot-scale biochar-amended woodchip bioreactors to remove nitrate, metals, and trace organic contaminants from urban stormwater runoff","volume":"154","author":[{"family":"Ashoori","given":"Negin"},{"family":"Teixido","given":"Marc"},{"family":"Spahr","given":"Stephanie"},{"family":"LeFevre","given":"Gregory H."},{"family":"Sedlak","given":"David L."},{"family":"Luthy","given":"Richard G."}],"issued":{"date-parts":[["2019",5]]}}},{"id":335,"uris":["http://zotero.org/users/8423188/items/485BYMY5"],"itemData":{"id":335,"type":"article-journal","abstract":"The pollution of aqueous environments by metals has continued to increase due to anthropogenic activities such as mining, waste disposal, industrial activities and the use of motor vehicles.\n          , \n            \n              The pollution of aqueous environments by metals has continued to increase due to anthropogenic activities such as mining, waste disposal, industrial activities and the use of motor vehicles. Globally, vehicle numbers are predicted to increase to 2.8 billion by 2050 with aqueous pollutants associated with vehicles, such as Pb, Cu, Zn and Cd, increasing alongside vehicle numbers. With these increases, methods to minimise metal pollution are important to find; one such method is wood ash amended biochar. Whilst biochar has the potential to reduce contaminated runoff, this study explores the potential for the biochar itself to leach nutrients (PO\n              4\n              3−\n              , SO\n              4\n              2−\n              and NO\n              3\n              −\n              ) which are constituent parts of its biomass and potentially harmful to the ecosystem the biochar would be deployed to remediate. Treatments such as sintering wood ash to the biochar, granulating the biochar and rinsing the biochar were studied to ascertain their impact on the retention of minerals key to immobilisation, the leaching of nutrients and the immobilisation of Pb, Cu, Zn and Cd. It was demonstrated that wood ash sintered larch biochar granulated &lt;3 mm (WASGr) retained the highest concentration of minerals associated with immobilisation, reduced leaching of nutrients to below Water Framework Directive thresholds and maintained Pb, Cu, Zn and Cd immobilisation at 97–100% once rinsed with deionised water. As a result, WASGr rinsed with deionised water, has the potential to be scaled-up and deployed to immobilise Pb, Cu, Zn and Cd from motorway runoff without a negative impact on the concentration of nutrients in the surrounding waters.","container-title":"Environmental Science: Water Research &amp; Technology","DOI":"10.1039/D1EW00962A","ISSN":"2053-1400, 2053-1419","journalAbbreviation":"Environ. Sci.: Water Res. Technol.","language":"en","page":"10.1039.D1EW00962A","source":"DOI.org (Crossref)","title":"Treatments of wood ash amended biochar to reduce nutrient leaching and immobilise lead, copper, zinc and cadmium in aqueous solution: column experiments","title-short":"Treatments of wood ash amended biochar to reduce nutrient leaching and immobilise lead, copper, zinc and cadmium in aqueous solution","author":[{"family":"Cairns","given":"Stuart"},{"family":"Robertson","given":"Iain"},{"family":"Holliman","given":"Peter"},{"family":"Street-Perrott","given":"Alayne"}],"issued":{"date-parts":[["2022"]]}}}],"schema":"https://github.com/citation-style-language/schema/raw/master/csl-citation.json"} </w:instrText>
      </w:r>
      <w:r w:rsidR="0013779C" w:rsidRPr="00770477">
        <w:rPr>
          <w:rFonts w:cs="Times New Roman"/>
        </w:rPr>
        <w:fldChar w:fldCharType="separate"/>
      </w:r>
      <w:r w:rsidR="00E11E17" w:rsidRPr="00770477">
        <w:rPr>
          <w:rFonts w:cs="Times New Roman"/>
        </w:rPr>
        <w:t>(Ashoori et al., 2019; Cairns et al., 2022)</w:t>
      </w:r>
      <w:r w:rsidR="0013779C" w:rsidRPr="00770477">
        <w:rPr>
          <w:rFonts w:cs="Times New Roman"/>
        </w:rPr>
        <w:fldChar w:fldCharType="end"/>
      </w:r>
      <w:r w:rsidR="0092236A" w:rsidRPr="00770477">
        <w:rPr>
          <w:rFonts w:cs="Times New Roman"/>
        </w:rPr>
        <w:t>, various types of slag</w:t>
      </w:r>
      <w:r w:rsidR="00CB4ABD" w:rsidRPr="00770477">
        <w:rPr>
          <w:rFonts w:cs="Times New Roman"/>
        </w:rPr>
        <w:t xml:space="preserve"> </w:t>
      </w:r>
      <w:r w:rsidR="00CB4ABD" w:rsidRPr="00770477">
        <w:rPr>
          <w:rFonts w:cs="Times New Roman"/>
        </w:rPr>
        <w:fldChar w:fldCharType="begin"/>
      </w:r>
      <w:r w:rsidR="002074AD">
        <w:rPr>
          <w:rFonts w:cs="Times New Roman"/>
        </w:rPr>
        <w:instrText xml:space="preserve"> ADDIN ZOTERO_ITEM CSL_CITATION {"citationID":"SxwbN9sO","properties":{"formattedCitation":"(Trenouth &amp; Gharabaghi, 2015)","plainCitation":"(Trenouth &amp; Gharabaghi, 2015)","noteIndex":0},"citationItems":[{"id":70,"uris":["http://zotero.org/users/8423188/items/MUFGF283"],"itemData":{"id":70,"type":"article-journal","abstract":"Concentrations of dissolved metals in stormwater runoff from urbanized watersheds are much higher than established guidelines for the protection of aquatic life. Five potential soil amendment materials derived from affordable, abundant sources have been tested as ﬁlter media using shaker tests and were found to remove dissolved metals in stormwater runoff. Blast furnace (BF) slag and basic oxygenated furnace (BOF) slag from a steel mill, a drinking water treatment residual (DWTR) from a surface water treatment plant, goethite-rich overburden (IRON) from a coal mine, and woodchips (WC) were tested. The IRON and BOF amendments were shown to remove 46–98% of dissolved metals (Cr, Co, Cu, Pb, Ni, Zn) in repacked soil columns. Freundlich adsorption isotherm constants for six metals across ﬁve materials were calculated. Breakthrough curves of dissolved metals and total metal accumulation within the ﬁlter media were measured in column tests using synthetic runoff. A reduction in system performance over time occurred due to progressive saturation of the treatment media. Despite this, the top 7 cm of each ﬁlter media removed up to 72% of the dissolved metals. A calibrated HYDRUS-1D model was used to simulate long-term metal accumulation in the ﬁlter media, and model results suggest that for these metals a BOF ﬁlter media thickness as low as 15 cm can be used to improve stormwater quality to meet standards for up to twenty years. The treatment media evaluated in this research can be used to improve urban stormwater runoff discharging to environmentally sensitive areas (ESAs).","container-title":"Journal of Hydrology","DOI":"10.1016/j.jhydrol.2015.08.034","ISSN":"00221694","journalAbbreviation":"Journal of Hydrology","language":"en","page":"1478-1487","source":"DOI.org (Crossref)","title":"Soil amendments for heavy metals removal from stormwater runoff discharging to environmentally sensitive areas","volume":"529","author":[{"family":"Trenouth","given":"William R."},{"family":"Gharabaghi","given":"Bahram"}],"issued":{"date-parts":[["2015",10]]}}}],"schema":"https://github.com/citation-style-language/schema/raw/master/csl-citation.json"} </w:instrText>
      </w:r>
      <w:r w:rsidR="00CB4ABD" w:rsidRPr="00770477">
        <w:rPr>
          <w:rFonts w:cs="Times New Roman"/>
        </w:rPr>
        <w:fldChar w:fldCharType="separate"/>
      </w:r>
      <w:r w:rsidR="00E11E17" w:rsidRPr="00770477">
        <w:rPr>
          <w:rFonts w:cs="Times New Roman"/>
        </w:rPr>
        <w:t>(Trenouth &amp; Gharabaghi, 2015)</w:t>
      </w:r>
      <w:r w:rsidR="00CB4ABD" w:rsidRPr="00770477">
        <w:rPr>
          <w:rFonts w:cs="Times New Roman"/>
        </w:rPr>
        <w:fldChar w:fldCharType="end"/>
      </w:r>
      <w:r w:rsidR="0092236A" w:rsidRPr="00770477">
        <w:rPr>
          <w:rFonts w:cs="Times New Roman"/>
        </w:rPr>
        <w:t xml:space="preserve">, and other </w:t>
      </w:r>
      <w:r w:rsidR="00CB4ABD" w:rsidRPr="00770477">
        <w:rPr>
          <w:rFonts w:cs="Times New Roman"/>
        </w:rPr>
        <w:t>metal-containing/metal-coated media</w:t>
      </w:r>
      <w:r w:rsidR="00145005" w:rsidRPr="00770477">
        <w:rPr>
          <w:rFonts w:cs="Times New Roman"/>
        </w:rPr>
        <w:t xml:space="preserve"> </w:t>
      </w:r>
      <w:r w:rsidR="00145005" w:rsidRPr="00770477">
        <w:rPr>
          <w:rFonts w:cs="Times New Roman"/>
        </w:rPr>
        <w:fldChar w:fldCharType="begin"/>
      </w:r>
      <w:r w:rsidR="002074AD">
        <w:rPr>
          <w:rFonts w:cs="Times New Roman"/>
        </w:rPr>
        <w:instrText xml:space="preserve"> ADDIN ZOTERO_ITEM CSL_CITATION {"citationID":"BmLAahsj","properties":{"formattedCitation":"(Trenouth &amp; Gharabaghi, 2015)","plainCitation":"(Trenouth &amp; Gharabaghi, 2015)","noteIndex":0},"citationItems":[{"id":70,"uris":["http://zotero.org/users/8423188/items/MUFGF283"],"itemData":{"id":70,"type":"article-journal","abstract":"Concentrations of dissolved metals in stormwater runoff from urbanized watersheds are much higher than established guidelines for the protection of aquatic life. Five potential soil amendment materials derived from affordable, abundant sources have been tested as ﬁlter media using shaker tests and were found to remove dissolved metals in stormwater runoff. Blast furnace (BF) slag and basic oxygenated furnace (BOF) slag from a steel mill, a drinking water treatment residual (DWTR) from a surface water treatment plant, goethite-rich overburden (IRON) from a coal mine, and woodchips (WC) were tested. The IRON and BOF amendments were shown to remove 46–98% of dissolved metals (Cr, Co, Cu, Pb, Ni, Zn) in repacked soil columns. Freundlich adsorption isotherm constants for six metals across ﬁve materials were calculated. Breakthrough curves of dissolved metals and total metal accumulation within the ﬁlter media were measured in column tests using synthetic runoff. A reduction in system performance over time occurred due to progressive saturation of the treatment media. Despite this, the top 7 cm of each ﬁlter media removed up to 72% of the dissolved metals. A calibrated HYDRUS-1D model was used to simulate long-term metal accumulation in the ﬁlter media, and model results suggest that for these metals a BOF ﬁlter media thickness as low as 15 cm can be used to improve stormwater quality to meet standards for up to twenty years. The treatment media evaluated in this research can be used to improve urban stormwater runoff discharging to environmentally sensitive areas (ESAs).","container-title":"Journal of Hydrology","DOI":"10.1016/j.jhydrol.2015.08.034","ISSN":"00221694","journalAbbreviation":"Journal of Hydrology","language":"en","page":"1478-1487","source":"DOI.org (Crossref)","title":"Soil amendments for heavy metals removal from stormwater runoff discharging to environmentally sensitive areas","volume":"529","author":[{"family":"Trenouth","given":"William R."},{"family":"Gharabaghi","given":"Bahram"}],"issued":{"date-parts":[["2015",10]]}}}],"schema":"https://github.com/citation-style-language/schema/raw/master/csl-citation.json"} </w:instrText>
      </w:r>
      <w:r w:rsidR="00145005" w:rsidRPr="00770477">
        <w:rPr>
          <w:rFonts w:cs="Times New Roman"/>
        </w:rPr>
        <w:fldChar w:fldCharType="separate"/>
      </w:r>
      <w:r w:rsidR="00E11E17" w:rsidRPr="00770477">
        <w:rPr>
          <w:rFonts w:cs="Times New Roman"/>
        </w:rPr>
        <w:t>(Trenouth &amp; Gharabaghi, 2015)</w:t>
      </w:r>
      <w:r w:rsidR="00145005" w:rsidRPr="00770477">
        <w:rPr>
          <w:rFonts w:cs="Times New Roman"/>
        </w:rPr>
        <w:fldChar w:fldCharType="end"/>
      </w:r>
      <w:r w:rsidR="00F807EF" w:rsidRPr="00770477">
        <w:rPr>
          <w:rFonts w:cs="Times New Roman"/>
        </w:rPr>
        <w:t xml:space="preserve"> to assist in filling gaps in the performance of bioretention to meet water quality standards. </w:t>
      </w:r>
      <w:r w:rsidR="00D443CE" w:rsidRPr="00770477">
        <w:rPr>
          <w:rFonts w:cs="Times New Roman"/>
        </w:rPr>
        <w:t>While</w:t>
      </w:r>
      <w:r w:rsidR="001A7DD1" w:rsidRPr="00770477">
        <w:rPr>
          <w:rFonts w:cs="Times New Roman"/>
        </w:rPr>
        <w:t xml:space="preserve"> these amendments </w:t>
      </w:r>
      <w:r w:rsidR="00DE2431" w:rsidRPr="00770477">
        <w:rPr>
          <w:rFonts w:cs="Times New Roman"/>
        </w:rPr>
        <w:t xml:space="preserve">are encouraging, there are limitations to their application. </w:t>
      </w:r>
      <w:r w:rsidR="00941E15" w:rsidRPr="00770477">
        <w:rPr>
          <w:rFonts w:cs="Times New Roman"/>
        </w:rPr>
        <w:t>All media have a limited lifespan in their ability to remove pollutants from stormwater</w:t>
      </w:r>
      <w:r w:rsidR="005657AF" w:rsidRPr="00770477">
        <w:rPr>
          <w:rFonts w:cs="Times New Roman"/>
        </w:rPr>
        <w:t xml:space="preserve"> due to the exhaustion of sorption</w:t>
      </w:r>
      <w:r w:rsidR="00C90DE9" w:rsidRPr="00770477">
        <w:rPr>
          <w:rFonts w:cs="Times New Roman"/>
        </w:rPr>
        <w:t xml:space="preserve">/exchange sites or from the media itself </w:t>
      </w:r>
      <w:r w:rsidR="00204714" w:rsidRPr="00770477">
        <w:rPr>
          <w:rFonts w:cs="Times New Roman"/>
        </w:rPr>
        <w:t>dissolv</w:t>
      </w:r>
      <w:r w:rsidR="002352C5" w:rsidRPr="00770477">
        <w:rPr>
          <w:rFonts w:cs="Times New Roman"/>
        </w:rPr>
        <w:t>ing</w:t>
      </w:r>
      <w:r w:rsidR="00204714" w:rsidRPr="00770477">
        <w:rPr>
          <w:rFonts w:cs="Times New Roman"/>
        </w:rPr>
        <w:t xml:space="preserve"> to</w:t>
      </w:r>
      <w:r w:rsidR="00C90DE9" w:rsidRPr="00770477">
        <w:rPr>
          <w:rFonts w:cs="Times New Roman"/>
        </w:rPr>
        <w:t xml:space="preserve"> creat</w:t>
      </w:r>
      <w:r w:rsidR="00204714" w:rsidRPr="00770477">
        <w:rPr>
          <w:rFonts w:cs="Times New Roman"/>
        </w:rPr>
        <w:t xml:space="preserve">e </w:t>
      </w:r>
      <w:r w:rsidR="00C90DE9" w:rsidRPr="00770477">
        <w:rPr>
          <w:rFonts w:cs="Times New Roman"/>
        </w:rPr>
        <w:t>complexes and precip</w:t>
      </w:r>
      <w:r w:rsidR="00174E36" w:rsidRPr="00770477">
        <w:rPr>
          <w:rFonts w:cs="Times New Roman"/>
        </w:rPr>
        <w:t>itates</w:t>
      </w:r>
      <w:r w:rsidR="004F541B" w:rsidRPr="00770477">
        <w:rPr>
          <w:rFonts w:cs="Times New Roman"/>
        </w:rPr>
        <w:t xml:space="preserve"> or a combination of the two </w:t>
      </w:r>
      <w:r w:rsidR="00ED45DD" w:rsidRPr="00770477">
        <w:rPr>
          <w:rFonts w:cs="Times New Roman"/>
        </w:rPr>
        <w:t>with precipitates coating the treatment media</w:t>
      </w:r>
      <w:r w:rsidR="00174E36" w:rsidRPr="00770477">
        <w:rPr>
          <w:rFonts w:cs="Times New Roman"/>
        </w:rPr>
        <w:t xml:space="preserve"> </w:t>
      </w:r>
      <w:r w:rsidR="00E519AA" w:rsidRPr="00770477">
        <w:rPr>
          <w:rFonts w:cs="Times New Roman"/>
        </w:rPr>
        <w:fldChar w:fldCharType="begin"/>
      </w:r>
      <w:r w:rsidR="002074AD">
        <w:rPr>
          <w:rFonts w:cs="Times New Roman"/>
        </w:rPr>
        <w:instrText xml:space="preserve"> ADDIN ZOTERO_ITEM CSL_CITATION {"citationID":"EOGsWy65","properties":{"formattedCitation":"(Qin et al., 2018; W. Zhang et al., 2008)","plainCitation":"(Qin et al., 2018; W. Zhang et al., 2008)","noteIndex":0},"citationItems":[{"id":250,"uris":["http://zotero.org/users/8423188/items/L2UI4H3R"],"itemData":{"id":250,"type":"article-journal","abstract":"Stormwater filters are a structural best management practice designed to reduce dissolved P losses from runoff. Various industrial byproducts are suitable for use as P sorbing materials (PSMs) for the treatment of drainage water; P sorption by PSMs varies with material physical and chemical properties. Previously, P removal capacity by PSMs was estimated using chemical extractions. We determined the speciation of P when reacted with various PSMs using X-ray absorption near edge structure (XANES) spectroscopy. Twelve PSMs were reacted with P solution in the laboratory under batch or flow-through conditions. In addition, three slag materials were collected from working stormwater filtration structures. Phosphorus K-edge XANES spectra were collected on each reacted PSM and compared with spectra of 22 known P standards using linear combination fitting in Athena. We found evidence of formation of a variety of Ca-, Al-, and/or Fe-phosphate minerals and sorbed phases on the reacted PSMs, with the exact speciation influenced by the chemical properties of the original unreacted PSMs. We grouped PSMs into three general categories based on the dominant P removal mechanism: (i) Fe- and Al-mediated removal [i.e., adsorption of P to Fe- or Al-(hydro-)oxide minerals and/or precipitation of Fe- or Alphosphate minerals]; (ii) Ca-mediated removal (i.e., precipitation of Ca-phosphate mineral); and (iii) both mechanisms. We recommend the use of Fe/Al sorbing PSMs for use in stormwater filtration structures where stormwater retention time is limited because reaction of P with Fe or Al generally occurs more quickly than Ca-P precipitation.","container-title":"Journal of Environmental Quality","DOI":"10.2134/jeq2018.02.0064","ISSN":"0047-2425, 1537-2537","issue":"5","journalAbbreviation":"J. environ. qual.","language":"en","page":"1232-1241","source":"DOI.org (Crossref)","title":"Mechanisms of Phosphorus Removal by Phosphorus Sorbing Materials","volume":"47","author":[{"family":"Qin","given":"Zhixuan"},{"family":"Shober","given":"Amy L."},{"family":"Scheckel","given":"Kirk G."},{"family":"Penn","given":"Chad J."},{"family":"Turner","given":"Kathryn C."}],"issued":{"date-parts":[["2018",9]]}}},{"id":85,"uris":["http://zotero.org/users/8423188/items/DFEUEDT5"],"itemData":{"id":85,"type":"article-journal","container-title":"Water Environment Research","DOI":"10.2175/106143008X266823","ISSN":"10614303","issue":"6","journalAbbreviation":"Water Environment Research","language":"en","page":"507-516","source":"DOI.org (Crossref)","title":"Fly-Ash-Amended Sand as Filter Media in Bioretention Cells to Improve Phosphorus Removal","volume":"80","author":[{"family":"Zhang","given":"Wei"},{"family":"Brown","given":"Glenn O."},{"family":"Storm","given":"Daniel E."},{"family":"Zhang","given":"Hailin"}],"issued":{"date-parts":[["2008",6]]}}}],"schema":"https://github.com/citation-style-language/schema/raw/master/csl-citation.json"} </w:instrText>
      </w:r>
      <w:r w:rsidR="00E519AA" w:rsidRPr="00770477">
        <w:rPr>
          <w:rFonts w:cs="Times New Roman"/>
        </w:rPr>
        <w:fldChar w:fldCharType="separate"/>
      </w:r>
      <w:r w:rsidR="00E11E17" w:rsidRPr="00770477">
        <w:rPr>
          <w:rFonts w:cs="Times New Roman"/>
        </w:rPr>
        <w:t>(Qin et al., 2018; W. Zhang et al., 2008)</w:t>
      </w:r>
      <w:r w:rsidR="00E519AA" w:rsidRPr="00770477">
        <w:rPr>
          <w:rFonts w:cs="Times New Roman"/>
        </w:rPr>
        <w:fldChar w:fldCharType="end"/>
      </w:r>
      <w:r w:rsidR="00174E36" w:rsidRPr="00770477">
        <w:rPr>
          <w:rFonts w:cs="Times New Roman"/>
        </w:rPr>
        <w:t xml:space="preserve">. </w:t>
      </w:r>
      <w:r w:rsidR="00D66A99" w:rsidRPr="00770477">
        <w:rPr>
          <w:rFonts w:cs="Times New Roman"/>
        </w:rPr>
        <w:t xml:space="preserve">A solution suggested in this thesis is </w:t>
      </w:r>
      <w:r w:rsidR="00EE6AB9" w:rsidRPr="00770477">
        <w:rPr>
          <w:rFonts w:cs="Times New Roman"/>
        </w:rPr>
        <w:t xml:space="preserve">developing a permeable “sock” containing </w:t>
      </w:r>
      <w:r w:rsidR="00C56C0A" w:rsidRPr="00770477">
        <w:rPr>
          <w:rFonts w:cs="Times New Roman"/>
        </w:rPr>
        <w:lastRenderedPageBreak/>
        <w:t xml:space="preserve">treatment media which can be inserted in the underdrain of a bioretention swale and easily removed and replaced when exhausted. </w:t>
      </w:r>
      <w:r w:rsidR="00956512" w:rsidRPr="00770477">
        <w:rPr>
          <w:rFonts w:cs="Times New Roman"/>
        </w:rPr>
        <w:t xml:space="preserve">The objective of this study is to investigate the </w:t>
      </w:r>
      <w:r w:rsidR="00031C3E" w:rsidRPr="00770477">
        <w:rPr>
          <w:rFonts w:cs="Times New Roman"/>
        </w:rPr>
        <w:t>suitability</w:t>
      </w:r>
      <w:r w:rsidR="00956512" w:rsidRPr="00770477">
        <w:rPr>
          <w:rFonts w:cs="Times New Roman"/>
        </w:rPr>
        <w:t xml:space="preserve"> of three different industrial byproducts </w:t>
      </w:r>
      <w:r w:rsidR="00DD3AED" w:rsidRPr="00770477">
        <w:rPr>
          <w:rFonts w:cs="Times New Roman"/>
        </w:rPr>
        <w:t xml:space="preserve">to augment bioretention design and act as a water quality finisher. </w:t>
      </w:r>
      <w:r w:rsidR="00031C3E" w:rsidRPr="00770477">
        <w:rPr>
          <w:rFonts w:cs="Times New Roman"/>
        </w:rPr>
        <w:t xml:space="preserve">Results from this study will help to inform a scaled-up version including </w:t>
      </w:r>
      <w:r w:rsidR="000253AC" w:rsidRPr="00770477">
        <w:rPr>
          <w:rFonts w:cs="Times New Roman"/>
        </w:rPr>
        <w:t>an</w:t>
      </w:r>
      <w:r w:rsidR="00031C3E" w:rsidRPr="00770477">
        <w:rPr>
          <w:rFonts w:cs="Times New Roman"/>
        </w:rPr>
        <w:t xml:space="preserve"> underdrain sock design and to-scale bioretention design. Furthermore</w:t>
      </w:r>
      <w:r w:rsidR="00C56C0A" w:rsidRPr="00770477">
        <w:rPr>
          <w:rFonts w:cs="Times New Roman"/>
        </w:rPr>
        <w:t xml:space="preserve">, this </w:t>
      </w:r>
      <w:r w:rsidR="00427FBF" w:rsidRPr="00770477">
        <w:rPr>
          <w:rFonts w:cs="Times New Roman"/>
        </w:rPr>
        <w:t xml:space="preserve">method has </w:t>
      </w:r>
      <w:r w:rsidR="00150D32" w:rsidRPr="00770477">
        <w:rPr>
          <w:rFonts w:cs="Times New Roman"/>
        </w:rPr>
        <w:t xml:space="preserve">additional </w:t>
      </w:r>
      <w:r w:rsidR="00427FBF" w:rsidRPr="00770477">
        <w:rPr>
          <w:rFonts w:cs="Times New Roman"/>
        </w:rPr>
        <w:t xml:space="preserve">potential </w:t>
      </w:r>
      <w:r w:rsidR="00FB7BDB" w:rsidRPr="00770477">
        <w:rPr>
          <w:rFonts w:cs="Times New Roman"/>
        </w:rPr>
        <w:t xml:space="preserve">to serve as a retrofit to existing stormwater infrastructure where </w:t>
      </w:r>
      <w:r w:rsidR="00062FF5" w:rsidRPr="00770477">
        <w:rPr>
          <w:rFonts w:cs="Times New Roman"/>
        </w:rPr>
        <w:t>bioretention</w:t>
      </w:r>
      <w:r w:rsidR="00FB7BDB" w:rsidRPr="00770477">
        <w:rPr>
          <w:rFonts w:cs="Times New Roman"/>
        </w:rPr>
        <w:t xml:space="preserve"> or other LID</w:t>
      </w:r>
      <w:r w:rsidR="00062FF5" w:rsidRPr="00770477">
        <w:rPr>
          <w:rFonts w:cs="Times New Roman"/>
        </w:rPr>
        <w:t xml:space="preserve"> tools are cost</w:t>
      </w:r>
      <w:r w:rsidR="001A22D0" w:rsidRPr="00770477">
        <w:rPr>
          <w:rFonts w:cs="Times New Roman"/>
        </w:rPr>
        <w:t xml:space="preserve"> </w:t>
      </w:r>
      <w:r w:rsidR="00062FF5" w:rsidRPr="00770477">
        <w:rPr>
          <w:rFonts w:cs="Times New Roman"/>
        </w:rPr>
        <w:t xml:space="preserve">prohibitive or infeasible. </w:t>
      </w:r>
    </w:p>
    <w:p w14:paraId="69EB4512" w14:textId="0366EB4F" w:rsidR="00877672" w:rsidRPr="00770477" w:rsidRDefault="006A5E40" w:rsidP="005A7A96">
      <w:pPr>
        <w:ind w:firstLine="720"/>
        <w:rPr>
          <w:rFonts w:cs="Times New Roman"/>
        </w:rPr>
      </w:pPr>
      <w:r w:rsidRPr="00770477">
        <w:rPr>
          <w:rFonts w:cs="Times New Roman"/>
        </w:rPr>
        <w:t>The primary objective of this study was</w:t>
      </w:r>
      <w:r w:rsidR="00AF08CC" w:rsidRPr="00770477">
        <w:rPr>
          <w:rFonts w:cs="Times New Roman"/>
        </w:rPr>
        <w:t xml:space="preserve"> to investigate three media (</w:t>
      </w:r>
      <w:r w:rsidR="00495350">
        <w:rPr>
          <w:rFonts w:cs="Times New Roman"/>
        </w:rPr>
        <w:t>aggregated fly ash</w:t>
      </w:r>
      <w:r w:rsidR="00AF08CC" w:rsidRPr="00770477">
        <w:rPr>
          <w:rFonts w:cs="Times New Roman"/>
        </w:rPr>
        <w:t xml:space="preserve">, </w:t>
      </w:r>
      <w:r w:rsidR="00F65C0E" w:rsidRPr="00770477">
        <w:rPr>
          <w:rFonts w:cs="Times New Roman"/>
        </w:rPr>
        <w:t xml:space="preserve">electric arc furnace </w:t>
      </w:r>
      <w:r w:rsidR="002F48E8" w:rsidRPr="00770477">
        <w:rPr>
          <w:rFonts w:cs="Times New Roman"/>
        </w:rPr>
        <w:t>steel</w:t>
      </w:r>
      <w:r w:rsidR="00F65C0E" w:rsidRPr="00770477">
        <w:rPr>
          <w:rFonts w:cs="Times New Roman"/>
        </w:rPr>
        <w:t xml:space="preserve"> slag, and biochar) </w:t>
      </w:r>
      <w:r w:rsidR="00D97A19" w:rsidRPr="00770477">
        <w:rPr>
          <w:rFonts w:cs="Times New Roman"/>
        </w:rPr>
        <w:t xml:space="preserve">and their ability to remove </w:t>
      </w:r>
      <w:r w:rsidR="00881276" w:rsidRPr="00770477">
        <w:rPr>
          <w:rFonts w:cs="Times New Roman"/>
        </w:rPr>
        <w:t xml:space="preserve">phosphorus, a series of </w:t>
      </w:r>
      <w:r w:rsidR="22E6361B" w:rsidRPr="00770477">
        <w:rPr>
          <w:rFonts w:cs="Times New Roman"/>
        </w:rPr>
        <w:t xml:space="preserve">trace </w:t>
      </w:r>
      <w:r w:rsidR="00881276" w:rsidRPr="00770477">
        <w:rPr>
          <w:rFonts w:cs="Times New Roman"/>
        </w:rPr>
        <w:t xml:space="preserve">metals, and </w:t>
      </w:r>
      <w:r w:rsidR="00163305" w:rsidRPr="00770477">
        <w:rPr>
          <w:rFonts w:cs="Times New Roman"/>
        </w:rPr>
        <w:t>neonicotinoid pesticides</w:t>
      </w:r>
      <w:r w:rsidR="0009308D" w:rsidRPr="00770477">
        <w:rPr>
          <w:rFonts w:cs="Times New Roman"/>
        </w:rPr>
        <w:t xml:space="preserve"> from </w:t>
      </w:r>
      <w:r w:rsidR="00536241" w:rsidRPr="00770477">
        <w:rPr>
          <w:rFonts w:cs="Times New Roman"/>
        </w:rPr>
        <w:t>a synthetic storm water (SSW)</w:t>
      </w:r>
      <w:r w:rsidR="002819E4" w:rsidRPr="00770477">
        <w:rPr>
          <w:rFonts w:cs="Times New Roman"/>
        </w:rPr>
        <w:t xml:space="preserve">. </w:t>
      </w:r>
      <w:r w:rsidR="005D7571" w:rsidRPr="00770477">
        <w:rPr>
          <w:rFonts w:cs="Times New Roman"/>
        </w:rPr>
        <w:t>This w</w:t>
      </w:r>
      <w:r w:rsidR="006030A0" w:rsidRPr="00770477">
        <w:rPr>
          <w:rFonts w:cs="Times New Roman"/>
        </w:rPr>
        <w:t>as</w:t>
      </w:r>
      <w:r w:rsidR="005D7571" w:rsidRPr="00770477">
        <w:rPr>
          <w:rFonts w:cs="Times New Roman"/>
        </w:rPr>
        <w:t xml:space="preserve"> </w:t>
      </w:r>
      <w:r w:rsidR="00C16C13" w:rsidRPr="00770477">
        <w:rPr>
          <w:rFonts w:cs="Times New Roman"/>
        </w:rPr>
        <w:t xml:space="preserve">achieved by conducting a series of flow through </w:t>
      </w:r>
      <w:r w:rsidR="00417BCC" w:rsidRPr="00770477">
        <w:rPr>
          <w:rFonts w:cs="Times New Roman"/>
        </w:rPr>
        <w:t xml:space="preserve">column studies as suggested </w:t>
      </w:r>
      <w:r w:rsidR="00E62186" w:rsidRPr="00770477">
        <w:rPr>
          <w:rFonts w:cs="Times New Roman"/>
        </w:rPr>
        <w:t xml:space="preserve">by </w:t>
      </w:r>
      <w:r w:rsidR="00E62186" w:rsidRPr="00770477">
        <w:rPr>
          <w:rFonts w:cs="Times New Roman"/>
        </w:rPr>
        <w:fldChar w:fldCharType="begin"/>
      </w:r>
      <w:r w:rsidR="002074AD">
        <w:rPr>
          <w:rFonts w:cs="Times New Roman"/>
        </w:rPr>
        <w:instrText xml:space="preserve"> ADDIN ZOTERO_ITEM CSL_CITATION {"citationID":"sjJBHFFp","properties":{"formattedCitation":"(Brown, 2017)","plainCitation":"(Brown, 2017)","dontUpdate":true,"noteIndex":0},"citationItems":[{"id":625,"uris":["http://zotero.org/users/8423188/items/XJP9AX5F"],"itemData":{"id":625,"type":"report","event-place":"Department of Biosystems &amp; Agricultural Engineering","publisher":"Oklahoma State University","publisher-place":"Department of Biosystems &amp; Agricultural Engineering","title":"The Application of Fly Ash to Treat Stormwater around Poultry Houses","author":[{"family":"Brown","given":"Glen"}],"issued":{"date-parts":[["2017",4,11]]}}}],"schema":"https://github.com/citation-style-language/schema/raw/master/csl-citation.json"} </w:instrText>
      </w:r>
      <w:r w:rsidR="00E62186" w:rsidRPr="00770477">
        <w:rPr>
          <w:rFonts w:cs="Times New Roman"/>
        </w:rPr>
        <w:fldChar w:fldCharType="separate"/>
      </w:r>
      <w:r w:rsidR="006F7755" w:rsidRPr="00770477">
        <w:rPr>
          <w:rFonts w:cs="Times New Roman"/>
          <w:noProof/>
        </w:rPr>
        <w:t>Brown (2017)</w:t>
      </w:r>
      <w:r w:rsidR="00E62186" w:rsidRPr="00770477">
        <w:rPr>
          <w:rFonts w:cs="Times New Roman"/>
        </w:rPr>
        <w:fldChar w:fldCharType="end"/>
      </w:r>
      <w:r w:rsidR="006F7755" w:rsidRPr="00770477">
        <w:rPr>
          <w:rFonts w:cs="Times New Roman"/>
        </w:rPr>
        <w:t xml:space="preserve"> and by an original design. </w:t>
      </w:r>
      <w:r w:rsidR="00810E70" w:rsidRPr="00770477">
        <w:rPr>
          <w:rFonts w:cs="Times New Roman"/>
        </w:rPr>
        <w:fldChar w:fldCharType="begin"/>
      </w:r>
      <w:r w:rsidR="002074AD">
        <w:rPr>
          <w:rFonts w:cs="Times New Roman"/>
        </w:rPr>
        <w:instrText xml:space="preserve"> ADDIN ZOTERO_ITEM CSL_CITATION {"citationID":"QUrnvkDo","properties":{"formattedCitation":"(Brown, 2017)","plainCitation":"(Brown, 2017)","dontUpdate":true,"noteIndex":0},"citationItems":[{"id":625,"uris":["http://zotero.org/users/8423188/items/XJP9AX5F"],"itemData":{"id":625,"type":"report","event-place":"Department of Biosystems &amp; Agricultural Engineering","publisher":"Oklahoma State University","publisher-place":"Department of Biosystems &amp; Agricultural Engineering","title":"The Application of Fly Ash to Treat Stormwater around Poultry Houses","author":[{"family":"Brown","given":"Glen"}],"issued":{"date-parts":[["2017",4,11]]}}}],"schema":"https://github.com/citation-style-language/schema/raw/master/csl-citation.json"} </w:instrText>
      </w:r>
      <w:r w:rsidR="00810E70" w:rsidRPr="00770477">
        <w:rPr>
          <w:rFonts w:cs="Times New Roman"/>
        </w:rPr>
        <w:fldChar w:fldCharType="separate"/>
      </w:r>
      <w:r w:rsidR="000D71D8" w:rsidRPr="00770477">
        <w:rPr>
          <w:rFonts w:cs="Times New Roman"/>
          <w:noProof/>
        </w:rPr>
        <w:t>Brown (2017)</w:t>
      </w:r>
      <w:r w:rsidR="00810E70" w:rsidRPr="00770477">
        <w:rPr>
          <w:rFonts w:cs="Times New Roman"/>
        </w:rPr>
        <w:fldChar w:fldCharType="end"/>
      </w:r>
      <w:r w:rsidR="000D71D8" w:rsidRPr="00770477">
        <w:rPr>
          <w:rFonts w:cs="Times New Roman"/>
        </w:rPr>
        <w:t xml:space="preserve"> developed a</w:t>
      </w:r>
      <w:r w:rsidR="00E535DE" w:rsidRPr="00770477">
        <w:rPr>
          <w:rFonts w:cs="Times New Roman"/>
        </w:rPr>
        <w:t>n</w:t>
      </w:r>
      <w:r w:rsidR="000D71D8" w:rsidRPr="00770477">
        <w:rPr>
          <w:rFonts w:cs="Times New Roman"/>
        </w:rPr>
        <w:t xml:space="preserve"> upward</w:t>
      </w:r>
      <w:r w:rsidR="00292567" w:rsidRPr="00770477">
        <w:rPr>
          <w:rFonts w:cs="Times New Roman"/>
        </w:rPr>
        <w:t>-</w:t>
      </w:r>
      <w:r w:rsidR="000D71D8" w:rsidRPr="00770477">
        <w:rPr>
          <w:rFonts w:cs="Times New Roman"/>
        </w:rPr>
        <w:t xml:space="preserve">flowing vertical column that is packed with a treatment </w:t>
      </w:r>
      <w:r w:rsidR="00B812E5" w:rsidRPr="00770477">
        <w:rPr>
          <w:rFonts w:cs="Times New Roman"/>
        </w:rPr>
        <w:t>medium</w:t>
      </w:r>
      <w:r w:rsidR="00292567" w:rsidRPr="00770477">
        <w:rPr>
          <w:rFonts w:cs="Times New Roman"/>
        </w:rPr>
        <w:t>. A contaminant-spiked solution is then created and flowed through the column to measure the medi</w:t>
      </w:r>
      <w:r w:rsidR="00B812E5" w:rsidRPr="00770477">
        <w:rPr>
          <w:rFonts w:cs="Times New Roman"/>
        </w:rPr>
        <w:t xml:space="preserve">um’s ability to remove the contaminant. </w:t>
      </w:r>
      <w:r w:rsidR="00D32317" w:rsidRPr="00770477">
        <w:rPr>
          <w:rFonts w:cs="Times New Roman"/>
        </w:rPr>
        <w:t xml:space="preserve">This design is ideal because it </w:t>
      </w:r>
      <w:r w:rsidR="00B2180C" w:rsidRPr="00770477">
        <w:rPr>
          <w:rFonts w:cs="Times New Roman"/>
        </w:rPr>
        <w:t>minimizes variables by controlling</w:t>
      </w:r>
      <w:r w:rsidR="00DE6B14" w:rsidRPr="00770477">
        <w:rPr>
          <w:rFonts w:cs="Times New Roman"/>
        </w:rPr>
        <w:t xml:space="preserve"> </w:t>
      </w:r>
      <w:r w:rsidR="0096589A" w:rsidRPr="00770477">
        <w:rPr>
          <w:rFonts w:cs="Times New Roman"/>
        </w:rPr>
        <w:t>velocity</w:t>
      </w:r>
      <w:r w:rsidR="00B2180C" w:rsidRPr="00770477">
        <w:rPr>
          <w:rFonts w:cs="Times New Roman"/>
        </w:rPr>
        <w:t xml:space="preserve"> (6 mL </w:t>
      </w:r>
      <w:proofErr w:type="gramStart"/>
      <w:r w:rsidR="00B2180C" w:rsidRPr="00770477">
        <w:rPr>
          <w:rFonts w:cs="Times New Roman"/>
        </w:rPr>
        <w:t>min</w:t>
      </w:r>
      <w:r w:rsidR="00B2180C" w:rsidRPr="00770477">
        <w:rPr>
          <w:rFonts w:cs="Times New Roman"/>
          <w:vertAlign w:val="superscript"/>
        </w:rPr>
        <w:t>-1</w:t>
      </w:r>
      <w:proofErr w:type="gramEnd"/>
      <w:r w:rsidR="00B2180C" w:rsidRPr="00770477">
        <w:rPr>
          <w:rFonts w:cs="Times New Roman"/>
        </w:rPr>
        <w:t>)</w:t>
      </w:r>
      <w:r w:rsidR="0045454D" w:rsidRPr="00770477">
        <w:rPr>
          <w:rFonts w:cs="Times New Roman"/>
        </w:rPr>
        <w:t>, temperature</w:t>
      </w:r>
      <w:r w:rsidR="00B2180C" w:rsidRPr="00770477">
        <w:rPr>
          <w:rFonts w:cs="Times New Roman"/>
        </w:rPr>
        <w:t xml:space="preserve"> (25˚C)</w:t>
      </w:r>
      <w:r w:rsidR="0045454D" w:rsidRPr="00770477">
        <w:rPr>
          <w:rFonts w:cs="Times New Roman"/>
        </w:rPr>
        <w:t>, and</w:t>
      </w:r>
      <w:r w:rsidR="0096589A" w:rsidRPr="00770477">
        <w:rPr>
          <w:rFonts w:cs="Times New Roman"/>
        </w:rPr>
        <w:t xml:space="preserve"> saturation</w:t>
      </w:r>
      <w:r w:rsidR="00B2180C" w:rsidRPr="00770477">
        <w:rPr>
          <w:rFonts w:cs="Times New Roman"/>
        </w:rPr>
        <w:t xml:space="preserve"> (100%)</w:t>
      </w:r>
      <w:r w:rsidR="0096589A" w:rsidRPr="00770477">
        <w:rPr>
          <w:rFonts w:cs="Times New Roman"/>
        </w:rPr>
        <w:t xml:space="preserve">. The second design consists of a vertical </w:t>
      </w:r>
      <w:r w:rsidR="00B63310" w:rsidRPr="00770477">
        <w:rPr>
          <w:rFonts w:cs="Times New Roman"/>
        </w:rPr>
        <w:t xml:space="preserve">constant head column filled with fine to </w:t>
      </w:r>
      <w:r w:rsidR="000B2C7A" w:rsidRPr="00770477">
        <w:rPr>
          <w:rFonts w:cs="Times New Roman"/>
        </w:rPr>
        <w:t>medium</w:t>
      </w:r>
      <w:r w:rsidR="00B63310" w:rsidRPr="00770477">
        <w:rPr>
          <w:rFonts w:cs="Times New Roman"/>
        </w:rPr>
        <w:t xml:space="preserve"> sand </w:t>
      </w:r>
      <w:r w:rsidR="00CA2C88" w:rsidRPr="00770477">
        <w:rPr>
          <w:rFonts w:cs="Times New Roman"/>
        </w:rPr>
        <w:t xml:space="preserve">as a proxy for bioretention media then an attached horizontal column packed with the media of interest </w:t>
      </w:r>
      <w:r w:rsidR="007F25A6" w:rsidRPr="00770477">
        <w:rPr>
          <w:rFonts w:cs="Times New Roman"/>
        </w:rPr>
        <w:t xml:space="preserve">and a </w:t>
      </w:r>
      <w:r w:rsidR="007F3303" w:rsidRPr="00770477">
        <w:rPr>
          <w:rFonts w:cs="Times New Roman"/>
        </w:rPr>
        <w:t>1/16 in.</w:t>
      </w:r>
      <w:r w:rsidR="00FA1E4B" w:rsidRPr="00770477">
        <w:rPr>
          <w:rFonts w:cs="Times New Roman"/>
        </w:rPr>
        <w:t xml:space="preserve"> (0.16 cm)</w:t>
      </w:r>
      <w:r w:rsidR="007F25A6" w:rsidRPr="00770477">
        <w:rPr>
          <w:rFonts w:cs="Times New Roman"/>
        </w:rPr>
        <w:t xml:space="preserve"> orifice</w:t>
      </w:r>
      <w:r w:rsidR="006748A1" w:rsidRPr="00770477">
        <w:rPr>
          <w:rFonts w:cs="Times New Roman"/>
        </w:rPr>
        <w:t>. The second design</w:t>
      </w:r>
      <w:r w:rsidR="000E45F8" w:rsidRPr="00770477">
        <w:rPr>
          <w:rFonts w:cs="Times New Roman"/>
        </w:rPr>
        <w:t xml:space="preserve"> </w:t>
      </w:r>
      <w:r w:rsidR="001A2957" w:rsidRPr="00770477">
        <w:rPr>
          <w:rFonts w:cs="Times New Roman"/>
        </w:rPr>
        <w:t>was</w:t>
      </w:r>
      <w:r w:rsidR="000E45F8" w:rsidRPr="00770477">
        <w:rPr>
          <w:rFonts w:cs="Times New Roman"/>
        </w:rPr>
        <w:t xml:space="preserve"> meant to serve as a laboratory proxy for the processes observe</w:t>
      </w:r>
      <w:r w:rsidR="008219DB" w:rsidRPr="00770477">
        <w:rPr>
          <w:rFonts w:cs="Times New Roman"/>
        </w:rPr>
        <w:t>d</w:t>
      </w:r>
      <w:r w:rsidR="000E45F8" w:rsidRPr="00770477">
        <w:rPr>
          <w:rFonts w:cs="Times New Roman"/>
        </w:rPr>
        <w:t xml:space="preserve"> in </w:t>
      </w:r>
      <w:r w:rsidR="004E2ED3" w:rsidRPr="00770477">
        <w:rPr>
          <w:rFonts w:cs="Times New Roman"/>
        </w:rPr>
        <w:t xml:space="preserve">a field-deployed bioretention swale. </w:t>
      </w:r>
      <w:r w:rsidR="00DB750C" w:rsidRPr="00770477">
        <w:rPr>
          <w:rFonts w:cs="Times New Roman"/>
        </w:rPr>
        <w:t xml:space="preserve">Samples were taken </w:t>
      </w:r>
      <w:r w:rsidR="00C44BF2" w:rsidRPr="00770477">
        <w:rPr>
          <w:rFonts w:cs="Times New Roman"/>
        </w:rPr>
        <w:t xml:space="preserve">at the influent and effluent of each column </w:t>
      </w:r>
      <w:r w:rsidR="00252D15" w:rsidRPr="00770477">
        <w:rPr>
          <w:rFonts w:cs="Times New Roman"/>
        </w:rPr>
        <w:t xml:space="preserve">to ensure a complete mass balance across the treatment media. </w:t>
      </w:r>
      <w:r w:rsidR="001E7F03" w:rsidRPr="00770477">
        <w:rPr>
          <w:rFonts w:cs="Times New Roman"/>
        </w:rPr>
        <w:t>Initial analysis was conducted by comparing the</w:t>
      </w:r>
      <w:r w:rsidR="00166ECD" w:rsidRPr="00770477">
        <w:rPr>
          <w:rFonts w:cs="Times New Roman"/>
        </w:rPr>
        <w:t xml:space="preserve"> ratio of an individual contaminant at the influent and the effluent </w:t>
      </w:r>
      <w:r w:rsidR="00E0401B" w:rsidRPr="00770477">
        <w:rPr>
          <w:rFonts w:cs="Times New Roman"/>
        </w:rPr>
        <w:t>points such that a value of 1.0 represent</w:t>
      </w:r>
      <w:r w:rsidR="003A0F5A" w:rsidRPr="00770477">
        <w:rPr>
          <w:rFonts w:cs="Times New Roman"/>
        </w:rPr>
        <w:t>s</w:t>
      </w:r>
      <w:r w:rsidR="00E0401B" w:rsidRPr="00770477">
        <w:rPr>
          <w:rFonts w:cs="Times New Roman"/>
        </w:rPr>
        <w:t xml:space="preserve"> no contaminant removal, 0.0 represent</w:t>
      </w:r>
      <w:r w:rsidR="003A0F5A" w:rsidRPr="00770477">
        <w:rPr>
          <w:rFonts w:cs="Times New Roman"/>
        </w:rPr>
        <w:t>s</w:t>
      </w:r>
      <w:r w:rsidR="00E0401B" w:rsidRPr="00770477">
        <w:rPr>
          <w:rFonts w:cs="Times New Roman"/>
        </w:rPr>
        <w:t xml:space="preserve"> complete contaminant removal, and </w:t>
      </w:r>
      <w:r w:rsidR="006E4E0C" w:rsidRPr="00770477">
        <w:rPr>
          <w:rFonts w:cs="Times New Roman"/>
        </w:rPr>
        <w:t>&gt;1.0 represent</w:t>
      </w:r>
      <w:r w:rsidR="003A0F5A" w:rsidRPr="00770477">
        <w:rPr>
          <w:rFonts w:cs="Times New Roman"/>
        </w:rPr>
        <w:t>s</w:t>
      </w:r>
      <w:r w:rsidR="006E4E0C" w:rsidRPr="00770477">
        <w:rPr>
          <w:rFonts w:cs="Times New Roman"/>
        </w:rPr>
        <w:t xml:space="preserve"> contaminant leaching. </w:t>
      </w:r>
      <w:r w:rsidR="00AB1E1D" w:rsidRPr="00770477">
        <w:rPr>
          <w:rFonts w:cs="Times New Roman"/>
        </w:rPr>
        <w:t xml:space="preserve">Henceforth this will be </w:t>
      </w:r>
      <w:r w:rsidR="00AB1E1D" w:rsidRPr="00770477">
        <w:rPr>
          <w:rFonts w:cs="Times New Roman"/>
        </w:rPr>
        <w:lastRenderedPageBreak/>
        <w:t xml:space="preserve">referred to as the IE ratio (influent-effluent ratio). </w:t>
      </w:r>
      <w:r w:rsidR="00877672" w:rsidRPr="00770477">
        <w:rPr>
          <w:rFonts w:cs="Times New Roman"/>
        </w:rPr>
        <w:t xml:space="preserve">Results from this </w:t>
      </w:r>
      <w:r w:rsidR="006F51A9" w:rsidRPr="00770477">
        <w:rPr>
          <w:rFonts w:cs="Times New Roman"/>
        </w:rPr>
        <w:t xml:space="preserve">study will help to better structure bioretention </w:t>
      </w:r>
      <w:r w:rsidR="001E7733" w:rsidRPr="00770477">
        <w:rPr>
          <w:rFonts w:cs="Times New Roman"/>
        </w:rPr>
        <w:t xml:space="preserve">to achieve </w:t>
      </w:r>
      <w:r w:rsidR="00875B2E" w:rsidRPr="00770477">
        <w:rPr>
          <w:rFonts w:cs="Times New Roman"/>
        </w:rPr>
        <w:t>better and more thorough water quality outcomes.</w:t>
      </w:r>
    </w:p>
    <w:p w14:paraId="1140F85F" w14:textId="77777777" w:rsidR="007B3DB8" w:rsidRPr="00770477" w:rsidRDefault="007B3DB8" w:rsidP="005A7A96">
      <w:pPr>
        <w:rPr>
          <w:rFonts w:cs="Times New Roman"/>
        </w:rPr>
      </w:pPr>
    </w:p>
    <w:p w14:paraId="55417E55" w14:textId="29B148C2" w:rsidR="00BF6912" w:rsidRPr="00770477" w:rsidRDefault="00BF6912" w:rsidP="00A80CF0">
      <w:pPr>
        <w:pStyle w:val="Heading2"/>
        <w:rPr>
          <w:rFonts w:cs="Times New Roman"/>
        </w:rPr>
      </w:pPr>
      <w:bookmarkStart w:id="2" w:name="_Toc121495968"/>
      <w:r w:rsidRPr="00770477">
        <w:rPr>
          <w:rFonts w:cs="Times New Roman"/>
        </w:rPr>
        <w:t>Pollutants</w:t>
      </w:r>
      <w:bookmarkEnd w:id="2"/>
    </w:p>
    <w:p w14:paraId="09E24B62" w14:textId="7C294751" w:rsidR="00BF6912" w:rsidRPr="00770477" w:rsidRDefault="004A74FA" w:rsidP="005A7A96">
      <w:pPr>
        <w:ind w:firstLine="720"/>
        <w:rPr>
          <w:rFonts w:cs="Times New Roman"/>
        </w:rPr>
      </w:pPr>
      <w:r w:rsidRPr="00770477">
        <w:rPr>
          <w:rFonts w:cs="Times New Roman"/>
        </w:rPr>
        <w:t xml:space="preserve">The three </w:t>
      </w:r>
      <w:r w:rsidR="008127DF" w:rsidRPr="00770477">
        <w:rPr>
          <w:rFonts w:cs="Times New Roman"/>
        </w:rPr>
        <w:t>pollutant groups</w:t>
      </w:r>
      <w:r w:rsidRPr="00770477">
        <w:rPr>
          <w:rFonts w:cs="Times New Roman"/>
        </w:rPr>
        <w:t xml:space="preserve"> were selected</w:t>
      </w:r>
      <w:r w:rsidR="00AB795F" w:rsidRPr="00770477">
        <w:rPr>
          <w:rFonts w:cs="Times New Roman"/>
        </w:rPr>
        <w:t xml:space="preserve"> </w:t>
      </w:r>
      <w:r w:rsidR="008127DF" w:rsidRPr="00770477">
        <w:rPr>
          <w:rFonts w:cs="Times New Roman"/>
        </w:rPr>
        <w:t>due to their</w:t>
      </w:r>
      <w:r w:rsidR="00B11EC4" w:rsidRPr="00770477">
        <w:rPr>
          <w:rFonts w:cs="Times New Roman"/>
        </w:rPr>
        <w:t xml:space="preserve"> </w:t>
      </w:r>
      <w:r w:rsidR="003D04B9" w:rsidRPr="00770477">
        <w:rPr>
          <w:rFonts w:cs="Times New Roman"/>
        </w:rPr>
        <w:t>growing or persistent concern to</w:t>
      </w:r>
      <w:r w:rsidR="00C7379C" w:rsidRPr="00770477">
        <w:rPr>
          <w:rFonts w:cs="Times New Roman"/>
        </w:rPr>
        <w:t xml:space="preserve"> </w:t>
      </w:r>
      <w:r w:rsidR="00A1483A" w:rsidRPr="00770477">
        <w:rPr>
          <w:rFonts w:cs="Times New Roman"/>
        </w:rPr>
        <w:t>water and environmental managers</w:t>
      </w:r>
      <w:r w:rsidR="0022122F" w:rsidRPr="00770477">
        <w:rPr>
          <w:rFonts w:cs="Times New Roman"/>
        </w:rPr>
        <w:t xml:space="preserve"> </w:t>
      </w:r>
      <w:r w:rsidR="0022122F" w:rsidRPr="00770477">
        <w:rPr>
          <w:rFonts w:cs="Times New Roman"/>
        </w:rPr>
        <w:fldChar w:fldCharType="begin"/>
      </w:r>
      <w:r w:rsidR="002074AD">
        <w:rPr>
          <w:rFonts w:cs="Times New Roman"/>
        </w:rPr>
        <w:instrText xml:space="preserve"> ADDIN ZOTERO_ITEM CSL_CITATION {"citationID":"a2l8nimg349","properties":{"formattedCitation":"(Dr. E. Rebek, personal communication, September 13, 2021)","plainCitation":"(Dr. E. Rebek, personal communication, September 13, 2021)","noteIndex":0},"citationItems":[{"id":985,"uris":["http://zotero.org/users/8423188/items/HYHCDMC4"],"itemData":{"id":985,"type":"interview","medium":"Phone Call","title":"Personal Communications","author":[{"family":"Rebek","given":"Dr. Eric"}],"issued":{"date-parts":[["2021",9,13]]}}}],"schema":"https://github.com/citation-style-language/schema/raw/master/csl-citation.json"} </w:instrText>
      </w:r>
      <w:r w:rsidR="0022122F" w:rsidRPr="00770477">
        <w:rPr>
          <w:rFonts w:cs="Times New Roman"/>
        </w:rPr>
        <w:fldChar w:fldCharType="separate"/>
      </w:r>
      <w:r w:rsidR="002074AD" w:rsidRPr="002074AD">
        <w:rPr>
          <w:rFonts w:cs="Times New Roman"/>
        </w:rPr>
        <w:t>(Dr. E. Rebek, personal communication, September 13, 2021)</w:t>
      </w:r>
      <w:r w:rsidR="0022122F" w:rsidRPr="00770477">
        <w:rPr>
          <w:rFonts w:cs="Times New Roman"/>
        </w:rPr>
        <w:fldChar w:fldCharType="end"/>
      </w:r>
      <w:r w:rsidR="00A1483A" w:rsidRPr="00770477">
        <w:rPr>
          <w:rFonts w:cs="Times New Roman"/>
        </w:rPr>
        <w:t>.</w:t>
      </w:r>
      <w:r w:rsidR="006F02CF" w:rsidRPr="00770477">
        <w:rPr>
          <w:rFonts w:cs="Times New Roman"/>
        </w:rPr>
        <w:t xml:space="preserve"> </w:t>
      </w:r>
      <w:r w:rsidR="00387B8A" w:rsidRPr="00770477">
        <w:rPr>
          <w:rFonts w:cs="Times New Roman"/>
        </w:rPr>
        <w:t>Each contaminant poses a threat to</w:t>
      </w:r>
      <w:r w:rsidR="006470E4" w:rsidRPr="00770477">
        <w:rPr>
          <w:rFonts w:cs="Times New Roman"/>
        </w:rPr>
        <w:t xml:space="preserve"> waterbody</w:t>
      </w:r>
      <w:r w:rsidR="00387B8A" w:rsidRPr="00770477">
        <w:rPr>
          <w:rFonts w:cs="Times New Roman"/>
        </w:rPr>
        <w:t xml:space="preserve"> beneficial uses </w:t>
      </w:r>
      <w:r w:rsidR="00892DD1" w:rsidRPr="00770477">
        <w:rPr>
          <w:rFonts w:cs="Times New Roman"/>
        </w:rPr>
        <w:t xml:space="preserve">and </w:t>
      </w:r>
      <w:r w:rsidR="006470E4" w:rsidRPr="00770477">
        <w:rPr>
          <w:rFonts w:cs="Times New Roman"/>
        </w:rPr>
        <w:t>the aquatic life therewith</w:t>
      </w:r>
      <w:r w:rsidR="00805DD9" w:rsidRPr="00770477">
        <w:rPr>
          <w:rFonts w:cs="Times New Roman"/>
        </w:rPr>
        <w:t>in</w:t>
      </w:r>
      <w:r w:rsidR="006470E4" w:rsidRPr="00770477">
        <w:rPr>
          <w:rFonts w:cs="Times New Roman"/>
        </w:rPr>
        <w:t xml:space="preserve"> across a variety of scales. </w:t>
      </w:r>
      <w:r w:rsidR="00805DD9" w:rsidRPr="00770477">
        <w:rPr>
          <w:rFonts w:cs="Times New Roman"/>
        </w:rPr>
        <w:t xml:space="preserve">As is discussed below, </w:t>
      </w:r>
      <w:r w:rsidR="0056593C" w:rsidRPr="00770477">
        <w:rPr>
          <w:rFonts w:cs="Times New Roman"/>
        </w:rPr>
        <w:t xml:space="preserve">dangers include </w:t>
      </w:r>
      <w:r w:rsidR="007B70E0" w:rsidRPr="00770477">
        <w:rPr>
          <w:rFonts w:cs="Times New Roman"/>
        </w:rPr>
        <w:t>eutrophic</w:t>
      </w:r>
      <w:r w:rsidR="2FDE7EC2" w:rsidRPr="00770477">
        <w:rPr>
          <w:rFonts w:cs="Times New Roman"/>
        </w:rPr>
        <w:t>ation</w:t>
      </w:r>
      <w:r w:rsidR="007B70E0" w:rsidRPr="00770477">
        <w:rPr>
          <w:rFonts w:cs="Times New Roman"/>
        </w:rPr>
        <w:t xml:space="preserve"> </w:t>
      </w:r>
      <w:r w:rsidR="7BB82907" w:rsidRPr="00770477">
        <w:rPr>
          <w:rFonts w:cs="Times New Roman"/>
        </w:rPr>
        <w:t xml:space="preserve">of surface waters </w:t>
      </w:r>
      <w:proofErr w:type="gramStart"/>
      <w:r w:rsidR="7BB82907" w:rsidRPr="00770477">
        <w:rPr>
          <w:rFonts w:cs="Times New Roman"/>
        </w:rPr>
        <w:t>and</w:t>
      </w:r>
      <w:r w:rsidR="007B70E0" w:rsidRPr="00770477">
        <w:rPr>
          <w:rFonts w:cs="Times New Roman"/>
        </w:rPr>
        <w:t xml:space="preserve">  acute</w:t>
      </w:r>
      <w:proofErr w:type="gramEnd"/>
      <w:r w:rsidR="007B70E0" w:rsidRPr="00770477">
        <w:rPr>
          <w:rFonts w:cs="Times New Roman"/>
        </w:rPr>
        <w:t xml:space="preserve"> and chronic </w:t>
      </w:r>
      <w:r w:rsidR="00605BA2" w:rsidRPr="00770477">
        <w:rPr>
          <w:rFonts w:cs="Times New Roman"/>
        </w:rPr>
        <w:t xml:space="preserve">impacts on </w:t>
      </w:r>
      <w:r w:rsidR="00B60855" w:rsidRPr="00770477">
        <w:rPr>
          <w:rFonts w:cs="Times New Roman"/>
        </w:rPr>
        <w:t>aquatic or aquatic-dependent organisms</w:t>
      </w:r>
      <w:r w:rsidR="007F731B" w:rsidRPr="00770477">
        <w:rPr>
          <w:rFonts w:cs="Times New Roman"/>
        </w:rPr>
        <w:t>, including humans</w:t>
      </w:r>
      <w:r w:rsidR="00F866DA" w:rsidRPr="00770477">
        <w:rPr>
          <w:rFonts w:cs="Times New Roman"/>
        </w:rPr>
        <w:t xml:space="preserve"> </w:t>
      </w:r>
      <w:r w:rsidR="00672AAE" w:rsidRPr="00770477">
        <w:rPr>
          <w:rFonts w:cs="Times New Roman"/>
        </w:rPr>
        <w:t>The behavior o</w:t>
      </w:r>
      <w:r w:rsidR="00CD385E" w:rsidRPr="00770477">
        <w:rPr>
          <w:rFonts w:cs="Times New Roman"/>
        </w:rPr>
        <w:t>f</w:t>
      </w:r>
      <w:r w:rsidR="00672AAE" w:rsidRPr="00770477">
        <w:rPr>
          <w:rFonts w:cs="Times New Roman"/>
        </w:rPr>
        <w:t xml:space="preserve"> all </w:t>
      </w:r>
      <w:r w:rsidR="00CD385E" w:rsidRPr="00770477">
        <w:rPr>
          <w:rFonts w:cs="Times New Roman"/>
        </w:rPr>
        <w:t>contaminants</w:t>
      </w:r>
      <w:r w:rsidR="00672AAE" w:rsidRPr="00770477">
        <w:rPr>
          <w:rFonts w:cs="Times New Roman"/>
        </w:rPr>
        <w:t xml:space="preserve"> </w:t>
      </w:r>
      <w:r w:rsidR="00EC0B7E" w:rsidRPr="00770477">
        <w:rPr>
          <w:rFonts w:cs="Times New Roman"/>
        </w:rPr>
        <w:t xml:space="preserve">are extremely variable and dynamic and will be highly dependent on environmental conditions. </w:t>
      </w:r>
    </w:p>
    <w:p w14:paraId="7EC40440" w14:textId="77777777" w:rsidR="007B3DB8" w:rsidRPr="00770477" w:rsidRDefault="007B3DB8" w:rsidP="005A7A96">
      <w:pPr>
        <w:rPr>
          <w:rFonts w:cs="Times New Roman"/>
        </w:rPr>
      </w:pPr>
    </w:p>
    <w:p w14:paraId="4CE07506" w14:textId="04850957" w:rsidR="00BF6912" w:rsidRPr="00770477" w:rsidRDefault="00BF6912" w:rsidP="00A80CF0">
      <w:pPr>
        <w:pStyle w:val="Heading3"/>
        <w:rPr>
          <w:rFonts w:cs="Times New Roman"/>
        </w:rPr>
      </w:pPr>
      <w:bookmarkStart w:id="3" w:name="_Toc121495969"/>
      <w:r w:rsidRPr="00770477">
        <w:rPr>
          <w:rFonts w:cs="Times New Roman"/>
        </w:rPr>
        <w:t>Neonicotinoid Pesticides</w:t>
      </w:r>
      <w:bookmarkEnd w:id="3"/>
    </w:p>
    <w:p w14:paraId="6DAFADA3" w14:textId="0253D18C" w:rsidR="006529A0" w:rsidRPr="00770477" w:rsidRDefault="00C700A7" w:rsidP="005D573C">
      <w:pPr>
        <w:spacing w:before="240"/>
        <w:ind w:firstLine="720"/>
        <w:rPr>
          <w:rFonts w:cs="Times New Roman"/>
        </w:rPr>
      </w:pPr>
      <w:r w:rsidRPr="00770477">
        <w:rPr>
          <w:rFonts w:cs="Times New Roman"/>
        </w:rPr>
        <w:t xml:space="preserve">Neonicotinoid pesticides are a class of nitroguanidine systematic insecticides that include six common sub-species: acetamiprid, clothianidin, dinotefuran, imidacloprid, thiacloprid, and thiamethoxam. The use of neonicotinoids grew in popularity in the 1990s as a soil and seed treatment due to their effectiveness against insecticide-intolerant pests and their ability to target invertebrate species with little to no effect </w:t>
      </w:r>
      <w:r w:rsidR="000320E0" w:rsidRPr="00770477">
        <w:rPr>
          <w:rFonts w:cs="Times New Roman"/>
        </w:rPr>
        <w:t xml:space="preserve">to </w:t>
      </w:r>
      <w:r w:rsidRPr="00770477">
        <w:rPr>
          <w:rFonts w:cs="Times New Roman"/>
        </w:rPr>
        <w:t xml:space="preserve">mammal and vertebrate species </w:t>
      </w:r>
      <w:r w:rsidRPr="00770477">
        <w:rPr>
          <w:rFonts w:cs="Times New Roman"/>
        </w:rPr>
        <w:fldChar w:fldCharType="begin"/>
      </w:r>
      <w:r w:rsidR="002074AD">
        <w:rPr>
          <w:rFonts w:cs="Times New Roman"/>
        </w:rPr>
        <w:instrText xml:space="preserve"> ADDIN ZOTERO_ITEM CSL_CITATION {"citationID":"DOHQdvbU","properties":{"formattedCitation":"(Yamamoto et al., 1995)","plainCitation":"(Yamamoto et al., 1995)","noteIndex":0},"citationItems":[{"id":399,"uris":["http://zotero.org/users/8423188/items/RGMIGZLP"],"itemData":{"id":399,"type":"article-journal","container-title":"Journal of Pesticide Science","DOI":"10.1584/jpestics.20.33","ISSN":"1348-589X, 1349-0923","issue":"1","journalAbbreviation":"J. Pestic. Sci.","language":"en","page":"33-40","source":"DOI.org (Crossref)","title":"Molecular Mechanism for Selective Toxicity of Nicotinoids and Neonicotinoids","volume":"20","author":[{"family":"Yamamoto","given":"Izuru"},{"family":"Yabuta","given":"Goro"},{"family":"Tomizawa","given":"Motohiro"},{"family":"Saito","given":"Takayuki"},{"family":"Miyamoto","given":"Toru"},{"family":"Kagabu","given":"Shinzo"}],"issued":{"date-parts":[["1995"]]}}}],"schema":"https://github.com/citation-style-language/schema/raw/master/csl-citation.json"} </w:instrText>
      </w:r>
      <w:r w:rsidRPr="00770477">
        <w:rPr>
          <w:rFonts w:cs="Times New Roman"/>
        </w:rPr>
        <w:fldChar w:fldCharType="separate"/>
      </w:r>
      <w:r w:rsidR="00E11E17" w:rsidRPr="00770477">
        <w:rPr>
          <w:rFonts w:cs="Times New Roman"/>
        </w:rPr>
        <w:t>(Yamamoto et al., 1995)</w:t>
      </w:r>
      <w:r w:rsidRPr="00770477">
        <w:rPr>
          <w:rFonts w:cs="Times New Roman"/>
        </w:rPr>
        <w:fldChar w:fldCharType="end"/>
      </w:r>
      <w:r w:rsidRPr="00770477">
        <w:rPr>
          <w:rFonts w:cs="Times New Roman"/>
        </w:rPr>
        <w:t xml:space="preserve">. </w:t>
      </w:r>
      <w:r w:rsidR="00E51926" w:rsidRPr="00770477">
        <w:rPr>
          <w:rFonts w:cs="Times New Roman"/>
        </w:rPr>
        <w:t xml:space="preserve">Acetamiprid, dinotefuran, and imidacloprid are all registered to treat sucking and chewing insects with applications including topical (for pets), on structures, on crops, or as seed treatments </w:t>
      </w:r>
      <w:r w:rsidR="00E51926" w:rsidRPr="00770477">
        <w:rPr>
          <w:rFonts w:cs="Times New Roman"/>
        </w:rPr>
        <w:fldChar w:fldCharType="begin"/>
      </w:r>
      <w:r w:rsidR="002074AD">
        <w:rPr>
          <w:rFonts w:cs="Times New Roman"/>
        </w:rPr>
        <w:instrText xml:space="preserve"> ADDIN ZOTERO_ITEM CSL_CITATION {"citationID":"85GF0dC2","properties":{"formattedCitation":"({\\i{}Imidacloprid Technical Fact Sheet}, n.d.; {\\i{}Pesticide Fact Sheet: Acetamiprid}, 2002; {\\i{}Pesticide Fact Sheet: Dinotefuran}, 2004)","plainCitation":"(Imidacloprid Technical Fact Sheet, n.d.; Pesticide Fact Sheet: Acetamiprid, 2002; Pesticide Fact Sheet: Dinotefuran, 2004)","noteIndex":0},"citationItems":[{"id":993,"uris":["http://zotero.org/users/8423188/items/GAZV72EM"],"itemData":{"id":993,"type":"webpage","title":"Imidacloprid Technical Fact Sheet","URL":"http://npic.orst.edu/factsheets/archive/imidacloprid.html","accessed":{"date-parts":[["2022",10,17]]}}},{"id":996,"uris":["http://zotero.org/users/8423188/items/N6K9GYIM"],"itemData":{"id":996,"type":"document","publisher":"US EPA","title":"Pesticide Fact Sheet: Acetamiprid","issued":{"date-parts":[["2002",3,15]]}}},{"id":998,"uris":["http://zotero.org/users/8423188/items/DJV3UWN8"],"itemData":{"id":998,"type":"document","publisher":"US EPA","title":"Pesticide Fact Sheet: Dinotefuran","issued":{"date-parts":[["2004",9]]}}}],"schema":"https://github.com/citation-style-language/schema/raw/master/csl-citation.json"} </w:instrText>
      </w:r>
      <w:r w:rsidR="00E51926" w:rsidRPr="00770477">
        <w:rPr>
          <w:rFonts w:cs="Times New Roman"/>
        </w:rPr>
        <w:fldChar w:fldCharType="separate"/>
      </w:r>
      <w:r w:rsidR="00E11E17" w:rsidRPr="00770477">
        <w:rPr>
          <w:rFonts w:cs="Times New Roman"/>
        </w:rPr>
        <w:t>(</w:t>
      </w:r>
      <w:r w:rsidR="00E11E17" w:rsidRPr="00770477">
        <w:rPr>
          <w:rFonts w:cs="Times New Roman"/>
          <w:i/>
          <w:iCs/>
        </w:rPr>
        <w:t>Imidacloprid Technical Fact Sheet</w:t>
      </w:r>
      <w:r w:rsidR="00E11E17" w:rsidRPr="00770477">
        <w:rPr>
          <w:rFonts w:cs="Times New Roman"/>
        </w:rPr>
        <w:t xml:space="preserve">, n.d.; </w:t>
      </w:r>
      <w:r w:rsidR="00E11E17" w:rsidRPr="00770477">
        <w:rPr>
          <w:rFonts w:cs="Times New Roman"/>
          <w:i/>
          <w:iCs/>
        </w:rPr>
        <w:t>Pesticide Fact Sheet: Acetamiprid</w:t>
      </w:r>
      <w:r w:rsidR="00E11E17" w:rsidRPr="00770477">
        <w:rPr>
          <w:rFonts w:cs="Times New Roman"/>
        </w:rPr>
        <w:t xml:space="preserve">, 2002; </w:t>
      </w:r>
      <w:r w:rsidR="00E11E17" w:rsidRPr="00770477">
        <w:rPr>
          <w:rFonts w:cs="Times New Roman"/>
          <w:i/>
          <w:iCs/>
        </w:rPr>
        <w:t>Pesticide Fact Sheet: Dinotefuran</w:t>
      </w:r>
      <w:r w:rsidR="00E11E17" w:rsidRPr="00770477">
        <w:rPr>
          <w:rFonts w:cs="Times New Roman"/>
        </w:rPr>
        <w:t>, 2004)</w:t>
      </w:r>
      <w:r w:rsidR="00E51926" w:rsidRPr="00770477">
        <w:rPr>
          <w:rFonts w:cs="Times New Roman"/>
        </w:rPr>
        <w:fldChar w:fldCharType="end"/>
      </w:r>
      <w:r w:rsidR="00E51926" w:rsidRPr="00770477">
        <w:rPr>
          <w:rFonts w:cs="Times New Roman"/>
        </w:rPr>
        <w:t xml:space="preserve">. These pesticides are used on industrial and household scales to treat a variety of pests including (but not limited to) aphids, beetles, cockroaches, and fleas </w:t>
      </w:r>
      <w:r w:rsidR="00E51926" w:rsidRPr="00770477">
        <w:rPr>
          <w:rFonts w:cs="Times New Roman"/>
        </w:rPr>
        <w:fldChar w:fldCharType="begin"/>
      </w:r>
      <w:r w:rsidR="002074AD">
        <w:rPr>
          <w:rFonts w:cs="Times New Roman"/>
        </w:rPr>
        <w:instrText xml:space="preserve"> ADDIN ZOTERO_ITEM CSL_CITATION {"citationID":"rNp80zNZ","properties":{"formattedCitation":"({\\i{}Imidacloprid Technical Fact Sheet}, n.d.; {\\i{}Pesticide Fact Sheet: Acetamiprid}, 2002; {\\i{}Pesticide Fact Sheet: Dinotefuran}, 2004)","plainCitation":"(Imidacloprid Technical Fact Sheet, n.d.; Pesticide Fact Sheet: Acetamiprid, 2002; Pesticide Fact Sheet: Dinotefuran, 2004)","noteIndex":0},"citationItems":[{"id":993,"uris":["http://zotero.org/users/8423188/items/GAZV72EM"],"itemData":{"id":993,"type":"webpage","title":"Imidacloprid Technical Fact Sheet","URL":"http://npic.orst.edu/factsheets/archive/imidacloprid.html","accessed":{"date-parts":[["2022",10,17]]}}},{"id":996,"uris":["http://zotero.org/users/8423188/items/N6K9GYIM"],"itemData":{"id":996,"type":"document","publisher":"US EPA","title":"Pesticide Fact Sheet: Acetamiprid","issued":{"date-parts":[["2002",3,15]]}}},{"id":998,"uris":["http://zotero.org/users/8423188/items/DJV3UWN8"],"itemData":{"id":998,"type":"document","publisher":"US EPA","title":"Pesticide Fact Sheet: Dinotefuran","issued":{"date-parts":[["2004",9]]}}}],"schema":"https://github.com/citation-style-language/schema/raw/master/csl-citation.json"} </w:instrText>
      </w:r>
      <w:r w:rsidR="00E51926" w:rsidRPr="00770477">
        <w:rPr>
          <w:rFonts w:cs="Times New Roman"/>
        </w:rPr>
        <w:fldChar w:fldCharType="separate"/>
      </w:r>
      <w:r w:rsidR="00E11E17" w:rsidRPr="00770477">
        <w:rPr>
          <w:rFonts w:cs="Times New Roman"/>
        </w:rPr>
        <w:t>(</w:t>
      </w:r>
      <w:r w:rsidR="00E11E17" w:rsidRPr="00770477">
        <w:rPr>
          <w:rFonts w:cs="Times New Roman"/>
          <w:i/>
          <w:iCs/>
        </w:rPr>
        <w:t xml:space="preserve">Imidacloprid </w:t>
      </w:r>
      <w:r w:rsidR="00E11E17" w:rsidRPr="00770477">
        <w:rPr>
          <w:rFonts w:cs="Times New Roman"/>
          <w:i/>
          <w:iCs/>
        </w:rPr>
        <w:lastRenderedPageBreak/>
        <w:t>Technical Fact Sheet</w:t>
      </w:r>
      <w:r w:rsidR="00E11E17" w:rsidRPr="00770477">
        <w:rPr>
          <w:rFonts w:cs="Times New Roman"/>
        </w:rPr>
        <w:t xml:space="preserve">, n.d.; </w:t>
      </w:r>
      <w:r w:rsidR="00E11E17" w:rsidRPr="00770477">
        <w:rPr>
          <w:rFonts w:cs="Times New Roman"/>
          <w:i/>
          <w:iCs/>
        </w:rPr>
        <w:t>Pesticide Fact Sheet: Acetamiprid</w:t>
      </w:r>
      <w:r w:rsidR="00E11E17" w:rsidRPr="00770477">
        <w:rPr>
          <w:rFonts w:cs="Times New Roman"/>
        </w:rPr>
        <w:t xml:space="preserve">, 2002; </w:t>
      </w:r>
      <w:r w:rsidR="00E11E17" w:rsidRPr="00770477">
        <w:rPr>
          <w:rFonts w:cs="Times New Roman"/>
          <w:i/>
          <w:iCs/>
        </w:rPr>
        <w:t>Pesticide Fact Sheet: Dinotefuran</w:t>
      </w:r>
      <w:r w:rsidR="00E11E17" w:rsidRPr="00770477">
        <w:rPr>
          <w:rFonts w:cs="Times New Roman"/>
        </w:rPr>
        <w:t>, 2004)</w:t>
      </w:r>
      <w:r w:rsidR="00E51926" w:rsidRPr="00770477">
        <w:rPr>
          <w:rFonts w:cs="Times New Roman"/>
        </w:rPr>
        <w:fldChar w:fldCharType="end"/>
      </w:r>
      <w:r w:rsidR="00E51926" w:rsidRPr="00770477">
        <w:rPr>
          <w:rFonts w:cs="Times New Roman"/>
        </w:rPr>
        <w:t xml:space="preserve">. </w:t>
      </w:r>
      <w:r w:rsidRPr="00770477">
        <w:rPr>
          <w:rFonts w:cs="Times New Roman"/>
        </w:rPr>
        <w:t xml:space="preserve">One or more species of neonicotinoids are registered in over 120 countries and presently </w:t>
      </w:r>
      <w:r w:rsidR="00C63E77" w:rsidRPr="00770477">
        <w:rPr>
          <w:rFonts w:cs="Times New Roman"/>
        </w:rPr>
        <w:t>are</w:t>
      </w:r>
      <w:r w:rsidRPr="00770477">
        <w:rPr>
          <w:rFonts w:cs="Times New Roman"/>
        </w:rPr>
        <w:t xml:space="preserve"> the largest selling class of insecticide globally </w:t>
      </w:r>
      <w:r w:rsidRPr="00770477">
        <w:rPr>
          <w:rFonts w:cs="Times New Roman"/>
        </w:rPr>
        <w:fldChar w:fldCharType="begin"/>
      </w:r>
      <w:r w:rsidR="002074AD">
        <w:rPr>
          <w:rFonts w:cs="Times New Roman"/>
        </w:rPr>
        <w:instrText xml:space="preserve"> ADDIN ZOTERO_ITEM CSL_CITATION {"citationID":"HMJmcv7x","properties":{"formattedCitation":"(Jeschke et al., 2011; Jeschke &amp; Nauen, 2008)","plainCitation":"(Jeschke et al., 2011; Jeschke &amp; Nauen, 2008)","noteIndex":0},"citationItems":[{"id":364,"uris":["http://zotero.org/users/8423188/items/R77UHG9C"],"itemData":{"id":364,"type":"article-journal","abstract":"In recent years, neonicotinoid insecticides have been the fastest growing class of insecticides in modern crop protection, with widespread use against a broad spectrum of sucking and certain chewing pests. As potent agonists, they act selectively on insect nicotinic acetylcholine receptors (nAChRs), their molecular target site. The discovery of neonicotinoids can be considered as a milestone in insecticide research and greatly facilitates the understanding of functional properties of the insect nAChRs. In this context, the crystal structure of the acetylcholine-binding proteins provides the theoretical foundation for designing homology models of the corresponding receptor ligand binding domains within the nAChRs, a useful basis for virtual screening of chemical libraries and rational design of novel insecticides acting on these practically relevant channels. Because of the relatively low risk for nontarget organisms and the environment, the high target speciﬁcity of neonicotinoid insecticides, and their versatility in application methods, this important class has to be maintained globally for integrated pest management strategies and insect resistance management programs. Innovative concepts for life-cycle management, jointly with the introduction of generic products, have made neonicotinoids the most important chemical class for the insecticide market.","container-title":"Journal of Agricultural and Food Chemistry","DOI":"10.1021/jf101303g","ISSN":"0021-8561, 1520-5118","issue":"7","journalAbbreviation":"J. Agric. Food Chem.","language":"en","page":"2897-2908","source":"DOI.org (Crossref)","title":"Overview of the Status and Global Strategy for Neonicotinoids","volume":"59","author":[{"family":"Jeschke","given":"Peter"},{"family":"Nauen","given":"Ralf"},{"family":"Schindler","given":"Michael"},{"family":"Elbert","given":"Alfred"}],"issued":{"date-parts":[["2011",4,13]]}}},{"id":359,"uris":["http://zotero.org/users/8423188/items/6Q6PGAJI"],"itemData":{"id":359,"type":"article-journal","abstract":"In recent years, neonicotinoids have been the fastest-growing class of insecticides in modern crop protection, with widespread use against a broad spectrum of sucking and certain chewing pests. As potent agonists, they act selectively on insect nicotinic acetylcholine receptors, their molecular target site. The discovery of neonicotinoids can be considered as a milestone in insecticide research and facilitates greatly the understanding of the functional properties of insect nicotinic acetylcholine receptors. Because of the relatively low risk for non-target organisms and environment, the high target specificity of neonicotinoid insecticides and their versatility in application methods, this important class has to be maintained globally for integrated pest management strategies and insect resistance management programmes. This review comprehensively describes particularly the origin, structure and bonding as well as associated properties of neonicotinoid insecticides. Copyright © 2008 Society of Chemical Industry","container-title":"Pest Management Science","DOI":"10.1002/ps.1631","ISSN":"1526-4998","issue":"11","language":"en","note":"_eprint: https://onlinelibrary.wiley.com/doi/pdf/10.1002/ps.1631","page":"1084-1098","source":"Wiley Online Library","title":"Neonicotinoids—from zero to hero in insecticide chemistry","volume":"64","author":[{"family":"Jeschke","given":"Peter"},{"family":"Nauen","given":"Ralf"}],"issued":{"date-parts":[["2008"]]}}}],"schema":"https://github.com/citation-style-language/schema/raw/master/csl-citation.json"} </w:instrText>
      </w:r>
      <w:r w:rsidRPr="00770477">
        <w:rPr>
          <w:rFonts w:cs="Times New Roman"/>
        </w:rPr>
        <w:fldChar w:fldCharType="separate"/>
      </w:r>
      <w:r w:rsidR="00E11E17" w:rsidRPr="00770477">
        <w:rPr>
          <w:rFonts w:cs="Times New Roman"/>
        </w:rPr>
        <w:t>(Jeschke et al., 2011; Jeschke &amp; Nauen, 2008)</w:t>
      </w:r>
      <w:r w:rsidRPr="00770477">
        <w:rPr>
          <w:rFonts w:cs="Times New Roman"/>
        </w:rPr>
        <w:fldChar w:fldCharType="end"/>
      </w:r>
      <w:r w:rsidRPr="00770477">
        <w:rPr>
          <w:rFonts w:cs="Times New Roman"/>
        </w:rPr>
        <w:t xml:space="preserve">. Despite their popularity, neonicotinoids possess properties that make them particularly susceptible to runoff as a result of rainfall or irrigation </w:t>
      </w:r>
      <w:r w:rsidRPr="00770477">
        <w:rPr>
          <w:rFonts w:cs="Times New Roman"/>
        </w:rPr>
        <w:fldChar w:fldCharType="begin"/>
      </w:r>
      <w:r w:rsidR="002074AD">
        <w:rPr>
          <w:rFonts w:cs="Times New Roman"/>
        </w:rPr>
        <w:instrText xml:space="preserve"> ADDIN ZOTERO_ITEM CSL_CITATION {"citationID":"06p64jJs","properties":{"formattedCitation":"(Armbrust &amp; Peeler, 2002)","plainCitation":"(Armbrust &amp; Peeler, 2002)","noteIndex":0},"citationItems":[{"id":373,"uris":["http://zotero.org/users/8423188/items/NFIL5CCY"],"itemData":{"id":373,"type":"article-journal","abstract":"Imidacloprid is a pesticide often used to control insect pests on residential lawns and golf courses. To investigate its potential to be transported into non-target aquatic systems by rainfall events, imidacloprid was applied as 5.0 g kg−1 GR and 750 g kg−1 WP to 12 plots planted with bermuda grass set on a 5% slope. The dimethylamine salt of the herbicide 2,4-D was applied simultaneously to the plots in order to normalize the results to prior trials conducted with other pesticides. At a rate of 2.5 cm h−1, 5-cm rainfall events were simulated at 24 and 48 h after application and 2.5-cm events were simulated at 96 and 192 h. After each event water was collected from each plot and analyzed by HPLC for residual insecticide or herbicide. Approximately 1.4% of the insecticide formulated as WP and 1.9% of that formulated as GR was lost from the plots after four run-off events. Of the total mass lost, 64% and 30% respectively occurred in the first and second run-off events for the WP formulation versus 75% and 20% for the GR formulation. These values compare with a total mass export of 2.6% for 2,4-D, of which 95% and 4% of the loss occurred respectively in the first and second run-off events. The maximum concentration of imidacloprid detected in run-off water was 0.49 mg litre−1 and occurred during the first run-off event. © 2002 Society of Chemical Industry","container-title":"Pest Management Science","DOI":"10.1002/ps.518","ISSN":"1526-4998","issue":"7","language":"en","note":"_eprint: https://onlinelibrary.wiley.com/doi/pdf/10.1002/ps.518","page":"702-706","source":"Wiley Online Library","title":"Effects of formulation on the run-off of imidacloprid from turf","volume":"58","author":[{"family":"Armbrust","given":"Kevin L"},{"family":"Peeler","given":"Harold B"}],"issued":{"date-parts":[["2002"]]}}}],"schema":"https://github.com/citation-style-language/schema/raw/master/csl-citation.json"} </w:instrText>
      </w:r>
      <w:r w:rsidRPr="00770477">
        <w:rPr>
          <w:rFonts w:cs="Times New Roman"/>
        </w:rPr>
        <w:fldChar w:fldCharType="separate"/>
      </w:r>
      <w:r w:rsidR="00E11E17" w:rsidRPr="00770477">
        <w:rPr>
          <w:rFonts w:cs="Times New Roman"/>
        </w:rPr>
        <w:t>(Armbrust &amp; Peeler, 2002)</w:t>
      </w:r>
      <w:r w:rsidRPr="00770477">
        <w:rPr>
          <w:rFonts w:cs="Times New Roman"/>
        </w:rPr>
        <w:fldChar w:fldCharType="end"/>
      </w:r>
      <w:r w:rsidRPr="00770477">
        <w:rPr>
          <w:rFonts w:cs="Times New Roman"/>
        </w:rPr>
        <w:t xml:space="preserve">. Water solubility and partitioning properties are particularly high (log </w:t>
      </w:r>
      <w:proofErr w:type="spellStart"/>
      <w:r w:rsidRPr="00770477">
        <w:rPr>
          <w:rFonts w:cs="Times New Roman"/>
        </w:rPr>
        <w:t>K</w:t>
      </w:r>
      <w:r w:rsidR="0020173F">
        <w:rPr>
          <w:rFonts w:cs="Times New Roman"/>
          <w:vertAlign w:val="subscript"/>
        </w:rPr>
        <w:t>ow</w:t>
      </w:r>
      <w:proofErr w:type="spellEnd"/>
      <w:r w:rsidRPr="00770477">
        <w:rPr>
          <w:rFonts w:cs="Times New Roman"/>
        </w:rPr>
        <w:t xml:space="preserve"> ranging from -0.66 to 1.26) and soil adsorption is low (log </w:t>
      </w:r>
      <w:proofErr w:type="spellStart"/>
      <w:r w:rsidRPr="00770477">
        <w:rPr>
          <w:rFonts w:cs="Times New Roman"/>
        </w:rPr>
        <w:t>K</w:t>
      </w:r>
      <w:r w:rsidR="0020173F">
        <w:rPr>
          <w:rFonts w:cs="Times New Roman"/>
          <w:vertAlign w:val="subscript"/>
        </w:rPr>
        <w:t>oc</w:t>
      </w:r>
      <w:proofErr w:type="spellEnd"/>
      <w:r w:rsidRPr="00770477">
        <w:rPr>
          <w:rFonts w:cs="Times New Roman"/>
        </w:rPr>
        <w:t xml:space="preserve"> ranging from 1.41 to 3.67) which not only promotes the aqueous transport of neonicotinoids away from applied sites to waterbodies, but it also promotes long term leaching and subsurface transport </w:t>
      </w:r>
      <w:r w:rsidRPr="00770477">
        <w:rPr>
          <w:rFonts w:cs="Times New Roman"/>
        </w:rPr>
        <w:fldChar w:fldCharType="begin"/>
      </w:r>
      <w:r w:rsidR="002074AD">
        <w:rPr>
          <w:rFonts w:cs="Times New Roman"/>
        </w:rPr>
        <w:instrText xml:space="preserve"> ADDIN ZOTERO_ITEM CSL_CITATION {"citationID":"9jukZosC","properties":{"formattedCitation":"(Morrissey et al., 2015)","plainCitation":"(Morrissey et al., 2015)","noteIndex":0},"citationItems":[{"id":221,"uris":["http://zotero.org/users/8423188/items/VC3HAM8N"],"itemData":{"id":221,"type":"article-journal","abstract":"Neonicotinoids, broad-spectrum systemic insecticides, are the fastest growing class of insecticides worldwide and are now registered for use on hundreds of ﬁeld crops in over 120 different countries. The environmental proﬁle of this class of pesticides indicate that they are persistent, have high leaching and runoff potential, and are highly toxic to a wide range of invertebrates. Therefore, neonicotinoids represent a significant risk to surface waters and the diverse aquatic and terrestrial fauna that these ecosystems support. This review synthesizes the current state of knowledge on the reported concentrations of neonicotinoids in surface waters from 29 studies in 9 countries world-wide in tandem with published data on their acute and chronic toxicity to 49 species of aquatic insects and crustaceans spanning 12 invertebrate orders. Strong evidence exists that water-borne neonicotinoid exposures are frequent, long-term and at levels (geometric means = 0.13 μg/L (averages) and 0.63 μg/L (maxima)) which commonly exceed several existing water quality guidelines. Imidacloprid is by far the most widely studied neonicotinoid (66% of the 214 toxicity tests reviewed) with differences in sensitivity among aquatic invertebrate species ranging several orders of magnitude; other neonicotinoids display analogous modes of action and similar toxicities, although comparative data are limited. Of the species evaluated, insects belonging to the orders Ephemeroptera, Trichoptera and Diptera appear to be the most sensitive, while those of Crustacea (although not universally so) are less sensitive. In particular, the standard test species Daphnia magna appears to be very tolerant, with 24–96 hour LC50 values exceeding 100,000 μg/L (geometric mean N 44,000 μg/L), which is at least 2–3 orders of magnitude higher than the geometric mean of all other invertebrate species tested. Overall, neonicotinoids can exert adverse effects on survival, growth, emergence, mobility, and behavior of many sensitive aquatic invertebrate taxa at concentrations at or below 1 μg/L under acute exposure and 0.1 μg/L for chronic exposure. Using probabilistic approaches (species sensitivity distributions), we recommend here that ecological thresholds for neonicotinoid water concentrations need to be below 0.2 μg/L (shortterm acute) or 0.035 μg/L (long-term chronic) to avoid lasting effects on aquatic invertebrate communities. The application of safety factors may still be warranted considering potential issues of slow recovery, additive or synergistic effects and multiple stressors that can occur in the ﬁeld. Our analysis revealed that 81% (22/27) and 74% (14/19) of global surface water studies reporting maximum and average individual neonicotinoid concentrations respectively, exceeded these thresholds of 0.2 and 0.035 μg/L. Therefore, it appears that environmentally relevant concentrations of neonicotinoids in surface waters worldwide are well within the range where both short- and long-term impacts on aquatic invertebrate species are possible over broad spatial scales.","container-title":"Environment International","DOI":"10.1016/j.envint.2014.10.024","ISSN":"01604120","journalAbbreviation":"Environment International","language":"en","page":"291-303","source":"DOI.org (Crossref)","title":"Neonicotinoid contamination of global surface waters and associated risk to aquatic invertebrates: A review","title-short":"Neonicotinoid contamination of global surface waters and associated risk to aquatic invertebrates","volume":"74","author":[{"family":"Morrissey","given":"Christy A."},{"family":"Mineau","given":"Pierre"},{"family":"Devries","given":"James H."},{"family":"Sanchez-Bayo","given":"Francisco"},{"family":"Liess","given":"Matthias"},{"family":"Cavallaro","given":"Michael C."},{"family":"Liber","given":"Karsten"}],"issued":{"date-parts":[["2015",1]]}}}],"schema":"https://github.com/citation-style-language/schema/raw/master/csl-citation.json"} </w:instrText>
      </w:r>
      <w:r w:rsidRPr="00770477">
        <w:rPr>
          <w:rFonts w:cs="Times New Roman"/>
        </w:rPr>
        <w:fldChar w:fldCharType="separate"/>
      </w:r>
      <w:r w:rsidR="00E11E17" w:rsidRPr="00770477">
        <w:rPr>
          <w:rFonts w:cs="Times New Roman"/>
        </w:rPr>
        <w:t>(Morrissey et al., 2015)</w:t>
      </w:r>
      <w:r w:rsidRPr="00770477">
        <w:rPr>
          <w:rFonts w:cs="Times New Roman"/>
        </w:rPr>
        <w:fldChar w:fldCharType="end"/>
      </w:r>
      <w:r w:rsidRPr="00770477">
        <w:rPr>
          <w:rFonts w:cs="Times New Roman"/>
        </w:rPr>
        <w:t xml:space="preserve">. </w:t>
      </w:r>
      <w:r w:rsidR="005D573C" w:rsidRPr="00770477">
        <w:rPr>
          <w:rFonts w:cs="Times New Roman"/>
        </w:rPr>
        <w:t xml:space="preserve">The log </w:t>
      </w:r>
      <w:proofErr w:type="spellStart"/>
      <w:r w:rsidR="005D573C" w:rsidRPr="00770477">
        <w:rPr>
          <w:rFonts w:cs="Times New Roman"/>
        </w:rPr>
        <w:t>K</w:t>
      </w:r>
      <w:r w:rsidR="005D573C" w:rsidRPr="00770477">
        <w:rPr>
          <w:rFonts w:cs="Times New Roman"/>
        </w:rPr>
        <w:softHyphen/>
      </w:r>
      <w:r w:rsidR="005D573C" w:rsidRPr="00770477">
        <w:rPr>
          <w:rFonts w:cs="Times New Roman"/>
          <w:vertAlign w:val="subscript"/>
        </w:rPr>
        <w:t>oc</w:t>
      </w:r>
      <w:proofErr w:type="spellEnd"/>
      <w:r w:rsidR="005D573C" w:rsidRPr="00770477">
        <w:rPr>
          <w:rFonts w:cs="Times New Roman"/>
        </w:rPr>
        <w:t xml:space="preserve"> values for three subspecies of neonicotinoids that are the focus of this study are shown in </w:t>
      </w:r>
      <w:r w:rsidR="00550993">
        <w:rPr>
          <w:rFonts w:cs="Times New Roman"/>
        </w:rPr>
        <w:fldChar w:fldCharType="begin"/>
      </w:r>
      <w:r w:rsidR="00550993">
        <w:rPr>
          <w:rFonts w:cs="Times New Roman"/>
        </w:rPr>
        <w:instrText xml:space="preserve"> REF _Ref121494986 \h </w:instrText>
      </w:r>
      <w:r w:rsidR="00550993">
        <w:rPr>
          <w:rFonts w:cs="Times New Roman"/>
        </w:rPr>
      </w:r>
      <w:r w:rsidR="00550993">
        <w:rPr>
          <w:rFonts w:cs="Times New Roman"/>
        </w:rPr>
        <w:fldChar w:fldCharType="separate"/>
      </w:r>
      <w:r w:rsidR="00061096">
        <w:t xml:space="preserve">Table </w:t>
      </w:r>
      <w:r w:rsidR="00061096">
        <w:rPr>
          <w:noProof/>
        </w:rPr>
        <w:t>1</w:t>
      </w:r>
      <w:r w:rsidR="00061096">
        <w:noBreakHyphen/>
      </w:r>
      <w:r w:rsidR="00061096">
        <w:rPr>
          <w:noProof/>
        </w:rPr>
        <w:t>1</w:t>
      </w:r>
      <w:r w:rsidR="00550993">
        <w:rPr>
          <w:rFonts w:cs="Times New Roman"/>
        </w:rPr>
        <w:fldChar w:fldCharType="end"/>
      </w:r>
      <w:r w:rsidR="00550993">
        <w:rPr>
          <w:rFonts w:cs="Times New Roman"/>
        </w:rPr>
        <w:t xml:space="preserve"> </w:t>
      </w:r>
      <w:r w:rsidR="005D573C" w:rsidRPr="00770477">
        <w:rPr>
          <w:rFonts w:cs="Times New Roman"/>
        </w:rPr>
        <w:t>below.</w:t>
      </w:r>
    </w:p>
    <w:p w14:paraId="690FD9B0" w14:textId="77777777" w:rsidR="006529A0" w:rsidRPr="00770477" w:rsidRDefault="006529A0">
      <w:pPr>
        <w:spacing w:line="240" w:lineRule="auto"/>
        <w:jc w:val="left"/>
        <w:rPr>
          <w:rFonts w:cs="Times New Roman"/>
        </w:rPr>
      </w:pPr>
      <w:r w:rsidRPr="00770477">
        <w:rPr>
          <w:rFonts w:cs="Times New Roman"/>
        </w:rPr>
        <w:br w:type="page"/>
      </w:r>
    </w:p>
    <w:p w14:paraId="43283E70" w14:textId="460E4BE7" w:rsidR="00425342" w:rsidRPr="00770477" w:rsidRDefault="0014448E" w:rsidP="0014448E">
      <w:pPr>
        <w:pStyle w:val="Caption"/>
        <w:rPr>
          <w:rFonts w:cs="Times New Roman"/>
        </w:rPr>
      </w:pPr>
      <w:bookmarkStart w:id="4" w:name="_Ref121494986"/>
      <w:bookmarkStart w:id="5" w:name="_Toc121495924"/>
      <w:r>
        <w:lastRenderedPageBreak/>
        <w:t xml:space="preserve">Table </w:t>
      </w:r>
      <w:fldSimple w:instr=" STYLEREF 1 \s ">
        <w:r w:rsidR="00061096">
          <w:rPr>
            <w:noProof/>
          </w:rPr>
          <w:t>1</w:t>
        </w:r>
      </w:fldSimple>
      <w:r w:rsidR="00B26DDF">
        <w:noBreakHyphen/>
      </w:r>
      <w:fldSimple w:instr=" SEQ Table \* ARABIC \s 1 ">
        <w:r w:rsidR="00061096">
          <w:rPr>
            <w:noProof/>
          </w:rPr>
          <w:t>1</w:t>
        </w:r>
      </w:fldSimple>
      <w:bookmarkEnd w:id="4"/>
      <w:r>
        <w:t xml:space="preserve"> </w:t>
      </w:r>
      <w:r w:rsidR="00425342" w:rsidRPr="00770477">
        <w:rPr>
          <w:rFonts w:cs="Times New Roman"/>
        </w:rPr>
        <w:t xml:space="preserve">Soil sorptive coefficients (log </w:t>
      </w:r>
      <w:proofErr w:type="spellStart"/>
      <w:r w:rsidR="00425342" w:rsidRPr="00770477">
        <w:rPr>
          <w:rFonts w:cs="Times New Roman"/>
        </w:rPr>
        <w:t>K</w:t>
      </w:r>
      <w:r w:rsidR="0020173F">
        <w:rPr>
          <w:rFonts w:cs="Times New Roman"/>
        </w:rPr>
        <w:t>oc</w:t>
      </w:r>
      <w:proofErr w:type="spellEnd"/>
      <w:r w:rsidR="00425342" w:rsidRPr="00770477">
        <w:rPr>
          <w:rFonts w:cs="Times New Roman"/>
        </w:rPr>
        <w:t>) values for three subspecies of neonicotinoids which are the focus of this study.</w:t>
      </w:r>
      <w:bookmarkEnd w:id="5"/>
    </w:p>
    <w:tbl>
      <w:tblPr>
        <w:tblStyle w:val="PlainTable5"/>
        <w:tblW w:w="7460" w:type="dxa"/>
        <w:tblLook w:val="04A0" w:firstRow="1" w:lastRow="0" w:firstColumn="1" w:lastColumn="0" w:noHBand="0" w:noVBand="1"/>
      </w:tblPr>
      <w:tblGrid>
        <w:gridCol w:w="2040"/>
        <w:gridCol w:w="1460"/>
        <w:gridCol w:w="3960"/>
      </w:tblGrid>
      <w:tr w:rsidR="00425342" w:rsidRPr="00770477" w14:paraId="40510C9D" w14:textId="77777777" w:rsidTr="00425342">
        <w:trPr>
          <w:cnfStyle w:val="100000000000" w:firstRow="1" w:lastRow="0" w:firstColumn="0" w:lastColumn="0" w:oddVBand="0" w:evenVBand="0" w:oddHBand="0" w:evenHBand="0" w:firstRowFirstColumn="0" w:firstRowLastColumn="0" w:lastRowFirstColumn="0" w:lastRowLastColumn="0"/>
          <w:trHeight w:val="586"/>
        </w:trPr>
        <w:tc>
          <w:tcPr>
            <w:cnfStyle w:val="001000000100" w:firstRow="0" w:lastRow="0" w:firstColumn="1" w:lastColumn="0" w:oddVBand="0" w:evenVBand="0" w:oddHBand="0" w:evenHBand="0" w:firstRowFirstColumn="1" w:firstRowLastColumn="0" w:lastRowFirstColumn="0" w:lastRowLastColumn="0"/>
            <w:tcW w:w="2040" w:type="dxa"/>
            <w:hideMark/>
          </w:tcPr>
          <w:p w14:paraId="5CB8E182" w14:textId="77777777" w:rsidR="00425342" w:rsidRPr="00770477" w:rsidRDefault="00425342" w:rsidP="00425342">
            <w:pPr>
              <w:spacing w:line="240" w:lineRule="auto"/>
              <w:rPr>
                <w:rFonts w:cs="Times New Roman"/>
              </w:rPr>
            </w:pPr>
            <w:r w:rsidRPr="00770477">
              <w:rPr>
                <w:rFonts w:cs="Times New Roman"/>
              </w:rPr>
              <w:t>Neonicotinoid</w:t>
            </w:r>
          </w:p>
        </w:tc>
        <w:tc>
          <w:tcPr>
            <w:tcW w:w="1460" w:type="dxa"/>
            <w:hideMark/>
          </w:tcPr>
          <w:p w14:paraId="3BB030A3" w14:textId="42D02353" w:rsidR="00425342" w:rsidRPr="00770477" w:rsidRDefault="00425342" w:rsidP="00425342">
            <w:pPr>
              <w:spacing w:line="240" w:lineRule="auto"/>
              <w:cnfStyle w:val="100000000000" w:firstRow="1" w:lastRow="0" w:firstColumn="0" w:lastColumn="0" w:oddVBand="0" w:evenVBand="0" w:oddHBand="0" w:evenHBand="0" w:firstRowFirstColumn="0" w:firstRowLastColumn="0" w:lastRowFirstColumn="0" w:lastRowLastColumn="0"/>
              <w:rPr>
                <w:rFonts w:cs="Times New Roman"/>
              </w:rPr>
            </w:pPr>
            <w:r w:rsidRPr="00770477">
              <w:rPr>
                <w:rFonts w:cs="Times New Roman"/>
              </w:rPr>
              <w:t xml:space="preserve">Log </w:t>
            </w:r>
            <w:proofErr w:type="spellStart"/>
            <w:r w:rsidRPr="00770477">
              <w:rPr>
                <w:rFonts w:cs="Times New Roman"/>
              </w:rPr>
              <w:t>K</w:t>
            </w:r>
            <w:r w:rsidRPr="00770477">
              <w:rPr>
                <w:rFonts w:cs="Times New Roman"/>
                <w:vertAlign w:val="subscript"/>
              </w:rPr>
              <w:t>oc</w:t>
            </w:r>
            <w:proofErr w:type="spellEnd"/>
          </w:p>
        </w:tc>
        <w:tc>
          <w:tcPr>
            <w:tcW w:w="3960" w:type="dxa"/>
            <w:hideMark/>
          </w:tcPr>
          <w:p w14:paraId="7146B314" w14:textId="6D9B030D" w:rsidR="00425342" w:rsidRPr="00770477" w:rsidRDefault="00425342" w:rsidP="00425342">
            <w:pPr>
              <w:spacing w:line="240" w:lineRule="auto"/>
              <w:cnfStyle w:val="100000000000" w:firstRow="1" w:lastRow="0" w:firstColumn="0" w:lastColumn="0" w:oddVBand="0" w:evenVBand="0" w:oddHBand="0" w:evenHBand="0" w:firstRowFirstColumn="0" w:firstRowLastColumn="0" w:lastRowFirstColumn="0" w:lastRowLastColumn="0"/>
              <w:rPr>
                <w:rFonts w:cs="Times New Roman"/>
              </w:rPr>
            </w:pPr>
            <w:r w:rsidRPr="00770477">
              <w:rPr>
                <w:rFonts w:cs="Times New Roman"/>
              </w:rPr>
              <w:t>FOA Soil Mobility Classification</w:t>
            </w:r>
          </w:p>
        </w:tc>
      </w:tr>
      <w:tr w:rsidR="00425342" w:rsidRPr="00770477" w14:paraId="29E63984" w14:textId="77777777" w:rsidTr="00425342">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040" w:type="dxa"/>
            <w:hideMark/>
          </w:tcPr>
          <w:p w14:paraId="005DB0BD" w14:textId="77777777" w:rsidR="00425342" w:rsidRPr="00770477" w:rsidRDefault="00425342" w:rsidP="00425342">
            <w:pPr>
              <w:spacing w:line="240" w:lineRule="auto"/>
              <w:rPr>
                <w:rFonts w:cs="Times New Roman"/>
              </w:rPr>
            </w:pPr>
            <w:r w:rsidRPr="00770477">
              <w:rPr>
                <w:rFonts w:cs="Times New Roman"/>
              </w:rPr>
              <w:t>Acetamiprid</w:t>
            </w:r>
          </w:p>
        </w:tc>
        <w:tc>
          <w:tcPr>
            <w:tcW w:w="1460" w:type="dxa"/>
            <w:hideMark/>
          </w:tcPr>
          <w:p w14:paraId="25520400" w14:textId="77777777" w:rsidR="00425342" w:rsidRPr="00770477" w:rsidRDefault="00425342" w:rsidP="00425342">
            <w:pPr>
              <w:spacing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2.3</w:t>
            </w:r>
          </w:p>
        </w:tc>
        <w:tc>
          <w:tcPr>
            <w:tcW w:w="3960" w:type="dxa"/>
            <w:hideMark/>
          </w:tcPr>
          <w:p w14:paraId="56703676" w14:textId="77777777" w:rsidR="00425342" w:rsidRPr="00770477" w:rsidRDefault="00425342" w:rsidP="00425342">
            <w:pPr>
              <w:spacing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Moderately Mobile</w:t>
            </w:r>
          </w:p>
        </w:tc>
      </w:tr>
      <w:tr w:rsidR="00425342" w:rsidRPr="00770477" w14:paraId="179FF379" w14:textId="77777777" w:rsidTr="00425342">
        <w:trPr>
          <w:trHeight w:val="586"/>
        </w:trPr>
        <w:tc>
          <w:tcPr>
            <w:cnfStyle w:val="001000000000" w:firstRow="0" w:lastRow="0" w:firstColumn="1" w:lastColumn="0" w:oddVBand="0" w:evenVBand="0" w:oddHBand="0" w:evenHBand="0" w:firstRowFirstColumn="0" w:firstRowLastColumn="0" w:lastRowFirstColumn="0" w:lastRowLastColumn="0"/>
            <w:tcW w:w="2040" w:type="dxa"/>
            <w:hideMark/>
          </w:tcPr>
          <w:p w14:paraId="00393EF8" w14:textId="77777777" w:rsidR="00425342" w:rsidRPr="00770477" w:rsidRDefault="00425342" w:rsidP="00425342">
            <w:pPr>
              <w:spacing w:line="240" w:lineRule="auto"/>
              <w:rPr>
                <w:rFonts w:cs="Times New Roman"/>
              </w:rPr>
            </w:pPr>
            <w:r w:rsidRPr="00770477">
              <w:rPr>
                <w:rFonts w:cs="Times New Roman"/>
              </w:rPr>
              <w:t>Dinotefuran</w:t>
            </w:r>
          </w:p>
        </w:tc>
        <w:tc>
          <w:tcPr>
            <w:tcW w:w="1460" w:type="dxa"/>
            <w:hideMark/>
          </w:tcPr>
          <w:p w14:paraId="2F31648B" w14:textId="77777777" w:rsidR="00425342" w:rsidRPr="00770477" w:rsidRDefault="00425342" w:rsidP="00425342">
            <w:pPr>
              <w:spacing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1.41</w:t>
            </w:r>
          </w:p>
        </w:tc>
        <w:tc>
          <w:tcPr>
            <w:tcW w:w="3960" w:type="dxa"/>
            <w:hideMark/>
          </w:tcPr>
          <w:p w14:paraId="14EB0809" w14:textId="77777777" w:rsidR="00425342" w:rsidRPr="00770477" w:rsidRDefault="00425342" w:rsidP="00425342">
            <w:pPr>
              <w:spacing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Mobile</w:t>
            </w:r>
          </w:p>
        </w:tc>
      </w:tr>
      <w:tr w:rsidR="00425342" w:rsidRPr="00770477" w14:paraId="3415AA6F" w14:textId="77777777" w:rsidTr="00425342">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040" w:type="dxa"/>
            <w:hideMark/>
          </w:tcPr>
          <w:p w14:paraId="6E4C3741" w14:textId="77777777" w:rsidR="00425342" w:rsidRPr="00770477" w:rsidRDefault="00425342" w:rsidP="00425342">
            <w:pPr>
              <w:spacing w:line="240" w:lineRule="auto"/>
              <w:rPr>
                <w:rFonts w:cs="Times New Roman"/>
              </w:rPr>
            </w:pPr>
            <w:r w:rsidRPr="00770477">
              <w:rPr>
                <w:rFonts w:cs="Times New Roman"/>
              </w:rPr>
              <w:t>Imidacloprid</w:t>
            </w:r>
          </w:p>
        </w:tc>
        <w:tc>
          <w:tcPr>
            <w:tcW w:w="1460" w:type="dxa"/>
            <w:hideMark/>
          </w:tcPr>
          <w:p w14:paraId="7CF0B1B2" w14:textId="77777777" w:rsidR="00425342" w:rsidRPr="00770477" w:rsidRDefault="00425342" w:rsidP="00425342">
            <w:pPr>
              <w:spacing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2.19-2.90</w:t>
            </w:r>
          </w:p>
        </w:tc>
        <w:tc>
          <w:tcPr>
            <w:tcW w:w="3960" w:type="dxa"/>
            <w:hideMark/>
          </w:tcPr>
          <w:p w14:paraId="38DDE7E2" w14:textId="77777777" w:rsidR="00425342" w:rsidRPr="00770477" w:rsidRDefault="00425342" w:rsidP="00425342">
            <w:pPr>
              <w:spacing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Moderately Mobile</w:t>
            </w:r>
          </w:p>
        </w:tc>
      </w:tr>
    </w:tbl>
    <w:p w14:paraId="680B11D2" w14:textId="77777777" w:rsidR="006529A0" w:rsidRPr="00770477" w:rsidRDefault="006529A0" w:rsidP="00425342">
      <w:pPr>
        <w:spacing w:before="240"/>
        <w:rPr>
          <w:rFonts w:cs="Times New Roman"/>
        </w:rPr>
      </w:pPr>
    </w:p>
    <w:p w14:paraId="15B34EB3" w14:textId="1063061E" w:rsidR="000A0591" w:rsidRPr="00770477" w:rsidRDefault="00C700A7" w:rsidP="006529A0">
      <w:pPr>
        <w:spacing w:before="240"/>
        <w:ind w:firstLine="720"/>
        <w:rPr>
          <w:rFonts w:cs="Times New Roman"/>
        </w:rPr>
      </w:pPr>
      <w:r w:rsidRPr="00770477">
        <w:rPr>
          <w:rFonts w:cs="Times New Roman"/>
        </w:rPr>
        <w:t xml:space="preserve">Soil persistence half-lives can range </w:t>
      </w:r>
      <w:r w:rsidR="003726A5" w:rsidRPr="00770477">
        <w:rPr>
          <w:rFonts w:cs="Times New Roman"/>
        </w:rPr>
        <w:t xml:space="preserve">widely </w:t>
      </w:r>
      <w:r w:rsidRPr="00770477">
        <w:rPr>
          <w:rFonts w:cs="Times New Roman"/>
        </w:rPr>
        <w:t xml:space="preserve">depending on a variety of environmental conditions but </w:t>
      </w:r>
      <w:r w:rsidR="00197870" w:rsidRPr="00770477">
        <w:rPr>
          <w:rFonts w:cs="Times New Roman"/>
        </w:rPr>
        <w:t xml:space="preserve">are </w:t>
      </w:r>
      <w:r w:rsidRPr="00770477">
        <w:rPr>
          <w:rFonts w:cs="Times New Roman"/>
        </w:rPr>
        <w:t xml:space="preserve">generally on the scale of days to weeks. </w:t>
      </w:r>
      <w:r w:rsidR="00F04B6D" w:rsidRPr="00770477">
        <w:rPr>
          <w:rFonts w:cs="Times New Roman"/>
        </w:rPr>
        <w:t xml:space="preserve">Degradation of the neonicotinoid molecule by water (water hydrolysis) </w:t>
      </w:r>
      <w:r w:rsidRPr="00770477">
        <w:rPr>
          <w:rFonts w:cs="Times New Roman"/>
        </w:rPr>
        <w:t xml:space="preserve">largely does not occur in acidic to neutral waters, however, above pH 9, some species can hydrolyze with half-lives ranging from 2.9 days to greater than a year. </w:t>
      </w:r>
      <w:r w:rsidR="00F04B6D" w:rsidRPr="00770477">
        <w:rPr>
          <w:rFonts w:cs="Times New Roman"/>
        </w:rPr>
        <w:t xml:space="preserve">Degradation of the </w:t>
      </w:r>
      <w:r w:rsidR="00DD14D8" w:rsidRPr="00770477">
        <w:rPr>
          <w:rFonts w:cs="Times New Roman"/>
        </w:rPr>
        <w:t>neonicotinoid</w:t>
      </w:r>
      <w:r w:rsidR="00F04B6D" w:rsidRPr="00770477">
        <w:rPr>
          <w:rFonts w:cs="Times New Roman"/>
        </w:rPr>
        <w:t xml:space="preserve"> molecule by </w:t>
      </w:r>
      <w:r w:rsidR="00DD14D8" w:rsidRPr="00770477">
        <w:rPr>
          <w:rFonts w:cs="Times New Roman"/>
        </w:rPr>
        <w:t>sunlight while in an aqueous solution (w</w:t>
      </w:r>
      <w:r w:rsidRPr="00770477">
        <w:rPr>
          <w:rFonts w:cs="Times New Roman"/>
        </w:rPr>
        <w:t>ater photolysis</w:t>
      </w:r>
      <w:r w:rsidR="00DD14D8" w:rsidRPr="00770477">
        <w:rPr>
          <w:rFonts w:cs="Times New Roman"/>
        </w:rPr>
        <w:t>)</w:t>
      </w:r>
      <w:r w:rsidRPr="00770477">
        <w:rPr>
          <w:rFonts w:cs="Times New Roman"/>
        </w:rPr>
        <w:t xml:space="preserve"> half-lives are especially shorter ranging from less than a day up to 63 days. Notably, </w:t>
      </w:r>
      <w:r w:rsidR="0025036A" w:rsidRPr="00770477">
        <w:rPr>
          <w:rFonts w:cs="Times New Roman"/>
        </w:rPr>
        <w:t xml:space="preserve">acetamiprid has a water photolysis half-life of </w:t>
      </w:r>
      <w:r w:rsidR="000D229F" w:rsidRPr="00770477">
        <w:rPr>
          <w:rFonts w:cs="Times New Roman"/>
        </w:rPr>
        <w:t xml:space="preserve">34 days, </w:t>
      </w:r>
      <w:r w:rsidRPr="00770477">
        <w:rPr>
          <w:rFonts w:cs="Times New Roman"/>
        </w:rPr>
        <w:t>dinotefuran of &lt;2 days and imidacloprid</w:t>
      </w:r>
      <w:r w:rsidR="000D229F" w:rsidRPr="00770477">
        <w:rPr>
          <w:rFonts w:cs="Times New Roman"/>
        </w:rPr>
        <w:t xml:space="preserve"> of</w:t>
      </w:r>
      <w:r w:rsidRPr="00770477">
        <w:rPr>
          <w:rFonts w:cs="Times New Roman"/>
        </w:rPr>
        <w:t xml:space="preserve"> &lt;1 day </w:t>
      </w:r>
      <w:r w:rsidRPr="00770477">
        <w:rPr>
          <w:rFonts w:cs="Times New Roman"/>
        </w:rPr>
        <w:fldChar w:fldCharType="begin"/>
      </w:r>
      <w:r w:rsidR="002074AD">
        <w:rPr>
          <w:rFonts w:cs="Times New Roman"/>
        </w:rPr>
        <w:instrText xml:space="preserve"> ADDIN ZOTERO_ITEM CSL_CITATION {"citationID":"tr1R4nqN","properties":{"formattedCitation":"(Morrissey et al., 2015)","plainCitation":"(Morrissey et al., 2015)","noteIndex":0},"citationItems":[{"id":221,"uris":["http://zotero.org/users/8423188/items/VC3HAM8N"],"itemData":{"id":221,"type":"article-journal","abstract":"Neonicotinoids, broad-spectrum systemic insecticides, are the fastest growing class of insecticides worldwide and are now registered for use on hundreds of ﬁeld crops in over 120 different countries. The environmental proﬁle of this class of pesticides indicate that they are persistent, have high leaching and runoff potential, and are highly toxic to a wide range of invertebrates. Therefore, neonicotinoids represent a significant risk to surface waters and the diverse aquatic and terrestrial fauna that these ecosystems support. This review synthesizes the current state of knowledge on the reported concentrations of neonicotinoids in surface waters from 29 studies in 9 countries world-wide in tandem with published data on their acute and chronic toxicity to 49 species of aquatic insects and crustaceans spanning 12 invertebrate orders. Strong evidence exists that water-borne neonicotinoid exposures are frequent, long-term and at levels (geometric means = 0.13 μg/L (averages) and 0.63 μg/L (maxima)) which commonly exceed several existing water quality guidelines. Imidacloprid is by far the most widely studied neonicotinoid (66% of the 214 toxicity tests reviewed) with differences in sensitivity among aquatic invertebrate species ranging several orders of magnitude; other neonicotinoids display analogous modes of action and similar toxicities, although comparative data are limited. Of the species evaluated, insects belonging to the orders Ephemeroptera, Trichoptera and Diptera appear to be the most sensitive, while those of Crustacea (although not universally so) are less sensitive. In particular, the standard test species Daphnia magna appears to be very tolerant, with 24–96 hour LC50 values exceeding 100,000 μg/L (geometric mean N 44,000 μg/L), which is at least 2–3 orders of magnitude higher than the geometric mean of all other invertebrate species tested. Overall, neonicotinoids can exert adverse effects on survival, growth, emergence, mobility, and behavior of many sensitive aquatic invertebrate taxa at concentrations at or below 1 μg/L under acute exposure and 0.1 μg/L for chronic exposure. Using probabilistic approaches (species sensitivity distributions), we recommend here that ecological thresholds for neonicotinoid water concentrations need to be below 0.2 μg/L (shortterm acute) or 0.035 μg/L (long-term chronic) to avoid lasting effects on aquatic invertebrate communities. The application of safety factors may still be warranted considering potential issues of slow recovery, additive or synergistic effects and multiple stressors that can occur in the ﬁeld. Our analysis revealed that 81% (22/27) and 74% (14/19) of global surface water studies reporting maximum and average individual neonicotinoid concentrations respectively, exceeded these thresholds of 0.2 and 0.035 μg/L. Therefore, it appears that environmentally relevant concentrations of neonicotinoids in surface waters worldwide are well within the range where both short- and long-term impacts on aquatic invertebrate species are possible over broad spatial scales.","container-title":"Environment International","DOI":"10.1016/j.envint.2014.10.024","ISSN":"01604120","journalAbbreviation":"Environment International","language":"en","page":"291-303","source":"DOI.org (Crossref)","title":"Neonicotinoid contamination of global surface waters and associated risk to aquatic invertebrates: A review","title-short":"Neonicotinoid contamination of global surface waters and associated risk to aquatic invertebrates","volume":"74","author":[{"family":"Morrissey","given":"Christy A."},{"family":"Mineau","given":"Pierre"},{"family":"Devries","given":"James H."},{"family":"Sanchez-Bayo","given":"Francisco"},{"family":"Liess","given":"Matthias"},{"family":"Cavallaro","given":"Michael C."},{"family":"Liber","given":"Karsten"}],"issued":{"date-parts":[["2015",1]]}}}],"schema":"https://github.com/citation-style-language/schema/raw/master/csl-citation.json"} </w:instrText>
      </w:r>
      <w:r w:rsidRPr="00770477">
        <w:rPr>
          <w:rFonts w:cs="Times New Roman"/>
        </w:rPr>
        <w:fldChar w:fldCharType="separate"/>
      </w:r>
      <w:r w:rsidR="00E11E17" w:rsidRPr="00770477">
        <w:rPr>
          <w:rFonts w:cs="Times New Roman"/>
        </w:rPr>
        <w:t>(Morrissey et al., 2015)</w:t>
      </w:r>
      <w:r w:rsidRPr="00770477">
        <w:rPr>
          <w:rFonts w:cs="Times New Roman"/>
        </w:rPr>
        <w:fldChar w:fldCharType="end"/>
      </w:r>
      <w:r w:rsidRPr="00770477">
        <w:rPr>
          <w:rFonts w:cs="Times New Roman"/>
        </w:rPr>
        <w:t xml:space="preserve">. </w:t>
      </w:r>
      <w:r w:rsidRPr="00770477">
        <w:rPr>
          <w:rFonts w:cs="Times New Roman"/>
        </w:rPr>
        <w:fldChar w:fldCharType="begin"/>
      </w:r>
      <w:r w:rsidR="002074AD">
        <w:rPr>
          <w:rFonts w:cs="Times New Roman"/>
        </w:rPr>
        <w:instrText xml:space="preserve"> ADDIN ZOTERO_ITEM CSL_CITATION {"citationID":"Dje9YlbJ","properties":{"formattedCitation":"(Borsuah et al., 2020)","plainCitation":"(Borsuah et al., 2020)","dontUpdate":true,"noteIndex":0},"citationItems":[{"id":219,"uris":["http://zotero.org/users/8423188/items/7H8NAD43"],"itemData":{"id":219,"type":"article-journal","abstract":"Neonicotinoids have been the most commonly used insecticides since the early 1990s. Despite their eﬃcacy in improving crop protection and management, these agrochemicals have gained recent attention for their negative impacts on non-target species such as honeybees and aquatic invertebrates. In recent years, neonicotinoids have been detected in rivers and streams across the world. Determining and predicting the exposure potential of neonicotinoids in surface water requires a thorough understanding of their fate and transport mechanisms. Therefore, our objective was to provide a comprehensive review of neonicotinoids with a focus on their fate and transport mechanisms to and within surface waters and their occurrence in waterways throughout the world. A better understanding of fate and transport mechanisms will enable researchers to accurately predict occurrence and persistence of insecticides entering surface waters and potential exposure to non-target organisms in agricultural intensive regions. This review has direct implications on how neonicotinoids are monitored and degraded in aquatic ecosystems. Further, an improved understanding of the fate and transport of neonicotinoids aide natural resource practitioners in the development and implementation of eﬀective best management practices to reduce the potential impact and exposure of neonicotinoids in waterways and aquatic ecosystems.","container-title":"Water","DOI":"10.3390/w12123388","ISSN":"2073-4441","issue":"12","journalAbbreviation":"Water","language":"en","page":"3388","source":"DOI.org (Crossref)","title":"Literature Review: Global Neonicotinoid Insecticide Occurrence in Aquatic Environments","title-short":"Literature Review","volume":"12","author":[{"family":"Borsuah","given":"Josephus F."},{"family":"Messer","given":"Tiffany L."},{"family":"Snow","given":"Daniel D."},{"family":"Comfort","given":"Steve D."},{"family":"Mittelstet","given":"Aaron R."}],"issued":{"date-parts":[["2020",12,2]]}}}],"schema":"https://github.com/citation-style-language/schema/raw/master/csl-citation.json"} </w:instrText>
      </w:r>
      <w:r w:rsidRPr="00770477">
        <w:rPr>
          <w:rFonts w:cs="Times New Roman"/>
        </w:rPr>
        <w:fldChar w:fldCharType="separate"/>
      </w:r>
      <w:r w:rsidRPr="00770477">
        <w:rPr>
          <w:rFonts w:cs="Times New Roman"/>
          <w:noProof/>
        </w:rPr>
        <w:t>Borsuah et al. (2020)</w:t>
      </w:r>
      <w:r w:rsidRPr="00770477">
        <w:rPr>
          <w:rFonts w:cs="Times New Roman"/>
        </w:rPr>
        <w:fldChar w:fldCharType="end"/>
      </w:r>
      <w:r w:rsidRPr="00770477">
        <w:rPr>
          <w:rFonts w:cs="Times New Roman"/>
        </w:rPr>
        <w:t xml:space="preserve"> and </w:t>
      </w:r>
      <w:r w:rsidRPr="00770477">
        <w:rPr>
          <w:rFonts w:cs="Times New Roman"/>
        </w:rPr>
        <w:fldChar w:fldCharType="begin"/>
      </w:r>
      <w:r w:rsidR="002074AD">
        <w:rPr>
          <w:rFonts w:cs="Times New Roman"/>
        </w:rPr>
        <w:instrText xml:space="preserve"> ADDIN ZOTERO_ITEM CSL_CITATION {"citationID":"gUrVBX6d","properties":{"formattedCitation":"(Morrissey et al., 2015)","plainCitation":"(Morrissey et al., 2015)","dontUpdate":true,"noteIndex":0},"citationItems":[{"id":221,"uris":["http://zotero.org/users/8423188/items/VC3HAM8N"],"itemData":{"id":221,"type":"article-journal","abstract":"Neonicotinoids, broad-spectrum systemic insecticides, are the fastest growing class of insecticides worldwide and are now registered for use on hundreds of ﬁeld crops in over 120 different countries. The environmental proﬁle of this class of pesticides indicate that they are persistent, have high leaching and runoff potential, and are highly toxic to a wide range of invertebrates. Therefore, neonicotinoids represent a significant risk to surface waters and the diverse aquatic and terrestrial fauna that these ecosystems support. This review synthesizes the current state of knowledge on the reported concentrations of neonicotinoids in surface waters from 29 studies in 9 countries world-wide in tandem with published data on their acute and chronic toxicity to 49 species of aquatic insects and crustaceans spanning 12 invertebrate orders. Strong evidence exists that water-borne neonicotinoid exposures are frequent, long-term and at levels (geometric means = 0.13 μg/L (averages) and 0.63 μg/L (maxima)) which commonly exceed several existing water quality guidelines. Imidacloprid is by far the most widely studied neonicotinoid (66% of the 214 toxicity tests reviewed) with differences in sensitivity among aquatic invertebrate species ranging several orders of magnitude; other neonicotinoids display analogous modes of action and similar toxicities, although comparative data are limited. Of the species evaluated, insects belonging to the orders Ephemeroptera, Trichoptera and Diptera appear to be the most sensitive, while those of Crustacea (although not universally so) are less sensitive. In particular, the standard test species Daphnia magna appears to be very tolerant, with 24–96 hour LC50 values exceeding 100,000 μg/L (geometric mean N 44,000 μg/L), which is at least 2–3 orders of magnitude higher than the geometric mean of all other invertebrate species tested. Overall, neonicotinoids can exert adverse effects on survival, growth, emergence, mobility, and behavior of many sensitive aquatic invertebrate taxa at concentrations at or below 1 μg/L under acute exposure and 0.1 μg/L for chronic exposure. Using probabilistic approaches (species sensitivity distributions), we recommend here that ecological thresholds for neonicotinoid water concentrations need to be below 0.2 μg/L (shortterm acute) or 0.035 μg/L (long-term chronic) to avoid lasting effects on aquatic invertebrate communities. The application of safety factors may still be warranted considering potential issues of slow recovery, additive or synergistic effects and multiple stressors that can occur in the ﬁeld. Our analysis revealed that 81% (22/27) and 74% (14/19) of global surface water studies reporting maximum and average individual neonicotinoid concentrations respectively, exceeded these thresholds of 0.2 and 0.035 μg/L. Therefore, it appears that environmentally relevant concentrations of neonicotinoids in surface waters worldwide are well within the range where both short- and long-term impacts on aquatic invertebrate species are possible over broad spatial scales.","container-title":"Environment International","DOI":"10.1016/j.envint.2014.10.024","ISSN":"01604120","journalAbbreviation":"Environment International","language":"en","page":"291-303","source":"DOI.org (Crossref)","title":"Neonicotinoid contamination of global surface waters and associated risk to aquatic invertebrates: A review","title-short":"Neonicotinoid contamination of global surface waters and associated risk to aquatic invertebrates","volume":"74","author":[{"family":"Morrissey","given":"Christy A."},{"family":"Mineau","given":"Pierre"},{"family":"Devries","given":"James H."},{"family":"Sanchez-Bayo","given":"Francisco"},{"family":"Liess","given":"Matthias"},{"family":"Cavallaro","given":"Michael C."},{"family":"Liber","given":"Karsten"}],"issued":{"date-parts":[["2015",1]]}}}],"schema":"https://github.com/citation-style-language/schema/raw/master/csl-citation.json"} </w:instrText>
      </w:r>
      <w:r w:rsidRPr="00770477">
        <w:rPr>
          <w:rFonts w:cs="Times New Roman"/>
        </w:rPr>
        <w:fldChar w:fldCharType="separate"/>
      </w:r>
      <w:r w:rsidRPr="00770477">
        <w:rPr>
          <w:rFonts w:cs="Times New Roman"/>
          <w:noProof/>
        </w:rPr>
        <w:t>Morrissey et al. (2015)</w:t>
      </w:r>
      <w:r w:rsidRPr="00770477">
        <w:rPr>
          <w:rFonts w:cs="Times New Roman"/>
        </w:rPr>
        <w:fldChar w:fldCharType="end"/>
      </w:r>
      <w:r w:rsidRPr="00770477">
        <w:rPr>
          <w:rFonts w:cs="Times New Roman"/>
        </w:rPr>
        <w:t xml:space="preserve"> have published extensive reviews of the prevalence of neonicotinoids in surface waters around the world. </w:t>
      </w:r>
      <w:r w:rsidRPr="00770477">
        <w:rPr>
          <w:rFonts w:cs="Times New Roman"/>
        </w:rPr>
        <w:fldChar w:fldCharType="begin"/>
      </w:r>
      <w:r w:rsidR="002074AD">
        <w:rPr>
          <w:rFonts w:cs="Times New Roman"/>
        </w:rPr>
        <w:instrText xml:space="preserve"> ADDIN ZOTERO_ITEM CSL_CITATION {"citationID":"DFMbpUwn","properties":{"formattedCitation":"(Morrissey et al., 2015)","plainCitation":"(Morrissey et al., 2015)","dontUpdate":true,"noteIndex":0},"citationItems":[{"id":221,"uris":["http://zotero.org/users/8423188/items/VC3HAM8N"],"itemData":{"id":221,"type":"article-journal","abstract":"Neonicotinoids, broad-spectrum systemic insecticides, are the fastest growing class of insecticides worldwide and are now registered for use on hundreds of ﬁeld crops in over 120 different countries. The environmental proﬁle of this class of pesticides indicate that they are persistent, have high leaching and runoff potential, and are highly toxic to a wide range of invertebrates. Therefore, neonicotinoids represent a significant risk to surface waters and the diverse aquatic and terrestrial fauna that these ecosystems support. This review synthesizes the current state of knowledge on the reported concentrations of neonicotinoids in surface waters from 29 studies in 9 countries world-wide in tandem with published data on their acute and chronic toxicity to 49 species of aquatic insects and crustaceans spanning 12 invertebrate orders. Strong evidence exists that water-borne neonicotinoid exposures are frequent, long-term and at levels (geometric means = 0.13 μg/L (averages) and 0.63 μg/L (maxima)) which commonly exceed several existing water quality guidelines. Imidacloprid is by far the most widely studied neonicotinoid (66% of the 214 toxicity tests reviewed) with differences in sensitivity among aquatic invertebrate species ranging several orders of magnitude; other neonicotinoids display analogous modes of action and similar toxicities, although comparative data are limited. Of the species evaluated, insects belonging to the orders Ephemeroptera, Trichoptera and Diptera appear to be the most sensitive, while those of Crustacea (although not universally so) are less sensitive. In particular, the standard test species Daphnia magna appears to be very tolerant, with 24–96 hour LC50 values exceeding 100,000 μg/L (geometric mean N 44,000 μg/L), which is at least 2–3 orders of magnitude higher than the geometric mean of all other invertebrate species tested. Overall, neonicotinoids can exert adverse effects on survival, growth, emergence, mobility, and behavior of many sensitive aquatic invertebrate taxa at concentrations at or below 1 μg/L under acute exposure and 0.1 μg/L for chronic exposure. Using probabilistic approaches (species sensitivity distributions), we recommend here that ecological thresholds for neonicotinoid water concentrations need to be below 0.2 μg/L (shortterm acute) or 0.035 μg/L (long-term chronic) to avoid lasting effects on aquatic invertebrate communities. The application of safety factors may still be warranted considering potential issues of slow recovery, additive or synergistic effects and multiple stressors that can occur in the ﬁeld. Our analysis revealed that 81% (22/27) and 74% (14/19) of global surface water studies reporting maximum and average individual neonicotinoid concentrations respectively, exceeded these thresholds of 0.2 and 0.035 μg/L. Therefore, it appears that environmentally relevant concentrations of neonicotinoids in surface waters worldwide are well within the range where both short- and long-term impacts on aquatic invertebrate species are possible over broad spatial scales.","container-title":"Environment International","DOI":"10.1016/j.envint.2014.10.024","ISSN":"01604120","journalAbbreviation":"Environment International","language":"en","page":"291-303","source":"DOI.org (Crossref)","title":"Neonicotinoid contamination of global surface waters and associated risk to aquatic invertebrates: A review","title-short":"Neonicotinoid contamination of global surface waters and associated risk to aquatic invertebrates","volume":"74","author":[{"family":"Morrissey","given":"Christy A."},{"family":"Mineau","given":"Pierre"},{"family":"Devries","given":"James H."},{"family":"Sanchez-Bayo","given":"Francisco"},{"family":"Liess","given":"Matthias"},{"family":"Cavallaro","given":"Michael C."},{"family":"Liber","given":"Karsten"}],"issued":{"date-parts":[["2015",1]]}}}],"schema":"https://github.com/citation-style-language/schema/raw/master/csl-citation.json"} </w:instrText>
      </w:r>
      <w:r w:rsidRPr="00770477">
        <w:rPr>
          <w:rFonts w:cs="Times New Roman"/>
        </w:rPr>
        <w:fldChar w:fldCharType="separate"/>
      </w:r>
      <w:r w:rsidRPr="00770477">
        <w:rPr>
          <w:rFonts w:cs="Times New Roman"/>
          <w:noProof/>
        </w:rPr>
        <w:t>Morrissey et al. (2015)</w:t>
      </w:r>
      <w:r w:rsidRPr="00770477">
        <w:rPr>
          <w:rFonts w:cs="Times New Roman"/>
        </w:rPr>
        <w:fldChar w:fldCharType="end"/>
      </w:r>
      <w:r w:rsidRPr="00770477">
        <w:rPr>
          <w:rFonts w:cs="Times New Roman"/>
        </w:rPr>
        <w:t xml:space="preserve"> conducted a review including 29 studies across 9 countries. Neonicotinoids were detected in “most” surface water samples including puddled water, irrigation channels, streams, rivers, and wetlands. The geometric mean of average surface water contamination was 0.13 </w:t>
      </w:r>
      <w:r w:rsidR="00EE3F3E">
        <w:rPr>
          <w:rFonts w:cs="Times New Roman"/>
        </w:rPr>
        <w:t>µg L</w:t>
      </w:r>
      <w:r w:rsidR="00EE3F3E" w:rsidRPr="00D94174">
        <w:rPr>
          <w:rFonts w:cs="Times New Roman"/>
          <w:vertAlign w:val="superscript"/>
        </w:rPr>
        <w:t>-1</w:t>
      </w:r>
      <w:r w:rsidRPr="00770477">
        <w:rPr>
          <w:rFonts w:cs="Times New Roman"/>
        </w:rPr>
        <w:t xml:space="preserve"> (n = 19 studies) where geometric mean peak concentrations were 0.63 µg</w:t>
      </w:r>
      <w:r w:rsidR="00880C7D" w:rsidRPr="00770477">
        <w:rPr>
          <w:rFonts w:cs="Times New Roman"/>
        </w:rPr>
        <w:t xml:space="preserve"> L</w:t>
      </w:r>
      <w:r w:rsidR="00880C7D" w:rsidRPr="00770477">
        <w:rPr>
          <w:rFonts w:cs="Times New Roman"/>
          <w:vertAlign w:val="superscript"/>
        </w:rPr>
        <w:t>-1</w:t>
      </w:r>
      <w:r w:rsidRPr="00770477">
        <w:rPr>
          <w:rFonts w:cs="Times New Roman"/>
        </w:rPr>
        <w:t xml:space="preserve"> (n = 27 studies). Half of all available water monitoring studies showed detectable imidacloprid concentrations ranging from 0.001 to 320 </w:t>
      </w:r>
      <w:r w:rsidR="00EE3F3E">
        <w:rPr>
          <w:rFonts w:cs="Times New Roman"/>
        </w:rPr>
        <w:t>µg L</w:t>
      </w:r>
      <w:r w:rsidR="00EE3F3E" w:rsidRPr="001F3003">
        <w:rPr>
          <w:rFonts w:cs="Times New Roman"/>
          <w:vertAlign w:val="superscript"/>
        </w:rPr>
        <w:t>-1</w:t>
      </w:r>
      <w:r w:rsidRPr="00770477">
        <w:rPr>
          <w:rFonts w:cs="Times New Roman"/>
        </w:rPr>
        <w:t xml:space="preserve">. Other species of neonicotinoids were detected at similar rates with concentrations ranging from 0.008 to 44.1 </w:t>
      </w:r>
      <w:r w:rsidR="00EE3F3E">
        <w:rPr>
          <w:rFonts w:cs="Times New Roman"/>
        </w:rPr>
        <w:t>µg L</w:t>
      </w:r>
      <w:r w:rsidR="00EE3F3E" w:rsidRPr="001F3003">
        <w:rPr>
          <w:rFonts w:cs="Times New Roman"/>
          <w:vertAlign w:val="superscript"/>
        </w:rPr>
        <w:t>-1</w:t>
      </w:r>
      <w:r w:rsidRPr="00770477">
        <w:rPr>
          <w:rFonts w:cs="Times New Roman"/>
        </w:rPr>
        <w:t xml:space="preserve"> for acetamiprid, 0.003 to 3.1 </w:t>
      </w:r>
      <w:r w:rsidR="00EE3F3E">
        <w:rPr>
          <w:rFonts w:cs="Times New Roman"/>
        </w:rPr>
        <w:lastRenderedPageBreak/>
        <w:t>µg L</w:t>
      </w:r>
      <w:r w:rsidR="00EE3F3E" w:rsidRPr="001F3003">
        <w:rPr>
          <w:rFonts w:cs="Times New Roman"/>
          <w:vertAlign w:val="superscript"/>
        </w:rPr>
        <w:t>-1</w:t>
      </w:r>
      <w:r w:rsidRPr="00770477">
        <w:rPr>
          <w:rFonts w:cs="Times New Roman"/>
        </w:rPr>
        <w:t xml:space="preserve"> for clothianidin, and 0.001 to 225 </w:t>
      </w:r>
      <w:r w:rsidR="00EE3F3E">
        <w:rPr>
          <w:rFonts w:cs="Times New Roman"/>
        </w:rPr>
        <w:t>µg L</w:t>
      </w:r>
      <w:r w:rsidR="00EE3F3E" w:rsidRPr="001F3003">
        <w:rPr>
          <w:rFonts w:cs="Times New Roman"/>
          <w:vertAlign w:val="superscript"/>
        </w:rPr>
        <w:t>-1</w:t>
      </w:r>
      <w:r w:rsidRPr="00770477">
        <w:rPr>
          <w:rFonts w:cs="Times New Roman"/>
        </w:rPr>
        <w:t xml:space="preserve"> for thiamethoxam. </w:t>
      </w:r>
      <w:r w:rsidR="008C1374" w:rsidRPr="00770477">
        <w:rPr>
          <w:rFonts w:cs="Times New Roman"/>
        </w:rPr>
        <w:t>A</w:t>
      </w:r>
      <w:r w:rsidRPr="00770477">
        <w:rPr>
          <w:rFonts w:cs="Times New Roman"/>
        </w:rPr>
        <w:t xml:space="preserve"> study in Eastern Canada conducted in the mid-1990s </w:t>
      </w:r>
      <w:r w:rsidR="007C3F1A" w:rsidRPr="00770477">
        <w:rPr>
          <w:rFonts w:cs="Times New Roman"/>
        </w:rPr>
        <w:t>showed</w:t>
      </w:r>
      <w:r w:rsidRPr="00770477">
        <w:rPr>
          <w:rFonts w:cs="Times New Roman"/>
        </w:rPr>
        <w:t xml:space="preserve"> water draining potato fields was found to contain imidacloprid concentrations up to 11.9 </w:t>
      </w:r>
      <w:r w:rsidR="00EE3F3E">
        <w:rPr>
          <w:rFonts w:cs="Times New Roman"/>
        </w:rPr>
        <w:t>µg L</w:t>
      </w:r>
      <w:r w:rsidR="00EE3F3E" w:rsidRPr="001F3003">
        <w:rPr>
          <w:rFonts w:cs="Times New Roman"/>
          <w:vertAlign w:val="superscript"/>
        </w:rPr>
        <w:t>-1</w:t>
      </w:r>
      <w:r w:rsidR="007C3F1A" w:rsidRPr="00770477">
        <w:rPr>
          <w:rFonts w:cs="Times New Roman"/>
        </w:rPr>
        <w:t xml:space="preserve"> </w:t>
      </w:r>
      <w:r w:rsidR="007C3F1A" w:rsidRPr="00770477">
        <w:rPr>
          <w:rFonts w:cs="Times New Roman"/>
        </w:rPr>
        <w:fldChar w:fldCharType="begin"/>
      </w:r>
      <w:r w:rsidR="002074AD">
        <w:rPr>
          <w:rFonts w:cs="Times New Roman"/>
        </w:rPr>
        <w:instrText xml:space="preserve"> ADDIN ZOTERO_ITEM CSL_CITATION {"citationID":"og5yA7d7","properties":{"formattedCitation":"(Canadian Council of Ministers of the Environment, 2007)","plainCitation":"(Canadian Council of Ministers of the Environment, 2007)","noteIndex":0},"citationItems":[{"id":403,"uris":["http://zotero.org/users/8423188/items/FZSTL3JM"],"itemData":{"id":403,"type":"book","event-place":"Winnipeg, Man.","language":"en","note":"OCLC: 1059221569","publisher":"Canadian Council of Ministers of the Environment","publisher-place":"Winnipeg, Man.","source":"Open WorldCat","title":"Canadian water quality guidelines: imidacloprid scientific supporting document","title-short":"Canadian water quality guidelines","URL":"https://www.deslibris.ca/ID/251252","author":[{"literal":"Canadian Council of Ministers of the Environment"}],"accessed":{"date-parts":[["2022",7,13]]},"issued":{"date-parts":[["2007"]]}}}],"schema":"https://github.com/citation-style-language/schema/raw/master/csl-citation.json"} </w:instrText>
      </w:r>
      <w:r w:rsidR="007C3F1A" w:rsidRPr="00770477">
        <w:rPr>
          <w:rFonts w:cs="Times New Roman"/>
        </w:rPr>
        <w:fldChar w:fldCharType="separate"/>
      </w:r>
      <w:r w:rsidR="007C3F1A" w:rsidRPr="00770477">
        <w:rPr>
          <w:rFonts w:cs="Times New Roman"/>
        </w:rPr>
        <w:t>(Canadian Council of Ministers of the Environment, 2007)</w:t>
      </w:r>
      <w:r w:rsidR="007C3F1A" w:rsidRPr="00770477">
        <w:rPr>
          <w:rFonts w:cs="Times New Roman"/>
        </w:rPr>
        <w:fldChar w:fldCharType="end"/>
      </w:r>
      <w:r w:rsidRPr="00770477">
        <w:rPr>
          <w:rFonts w:cs="Times New Roman"/>
        </w:rPr>
        <w:t>. A study</w:t>
      </w:r>
      <w:r w:rsidR="0055036A" w:rsidRPr="00770477">
        <w:rPr>
          <w:rStyle w:val="CommentReference"/>
          <w:rFonts w:cs="Times New Roman"/>
        </w:rPr>
        <w:t xml:space="preserve"> </w:t>
      </w:r>
      <w:r w:rsidRPr="00770477">
        <w:rPr>
          <w:rFonts w:cs="Times New Roman"/>
        </w:rPr>
        <w:t xml:space="preserve">from Sydney, Australia looked at rivers draining </w:t>
      </w:r>
      <w:r w:rsidR="008F42E0" w:rsidRPr="00770477">
        <w:rPr>
          <w:rFonts w:cs="Times New Roman"/>
        </w:rPr>
        <w:t xml:space="preserve">horticultural </w:t>
      </w:r>
      <w:r w:rsidRPr="00770477">
        <w:rPr>
          <w:rFonts w:cs="Times New Roman"/>
        </w:rPr>
        <w:t xml:space="preserve">areas. </w:t>
      </w:r>
      <w:r w:rsidR="007747F4" w:rsidRPr="00770477">
        <w:rPr>
          <w:rFonts w:cs="Times New Roman"/>
        </w:rPr>
        <w:t xml:space="preserve">Upwards of </w:t>
      </w:r>
      <w:r w:rsidRPr="00770477">
        <w:rPr>
          <w:rFonts w:cs="Times New Roman"/>
        </w:rPr>
        <w:t xml:space="preserve">93% of samples had detectable </w:t>
      </w:r>
      <w:r w:rsidR="008366A8" w:rsidRPr="00770477">
        <w:rPr>
          <w:rFonts w:cs="Times New Roman"/>
        </w:rPr>
        <w:t>concentrations</w:t>
      </w:r>
      <w:r w:rsidRPr="00770477">
        <w:rPr>
          <w:rFonts w:cs="Times New Roman"/>
        </w:rPr>
        <w:t xml:space="preserve"> of neonicotinoids with concentrations reaching levels of 4.6 </w:t>
      </w:r>
      <w:r w:rsidR="00EE3F3E">
        <w:rPr>
          <w:rFonts w:cs="Times New Roman"/>
        </w:rPr>
        <w:t>µg L</w:t>
      </w:r>
      <w:r w:rsidR="00EE3F3E" w:rsidRPr="001F3003">
        <w:rPr>
          <w:rFonts w:cs="Times New Roman"/>
          <w:vertAlign w:val="superscript"/>
        </w:rPr>
        <w:t>-1</w:t>
      </w:r>
      <w:r w:rsidRPr="00770477">
        <w:rPr>
          <w:rFonts w:cs="Times New Roman"/>
        </w:rPr>
        <w:t xml:space="preserve"> (imidacloprid) and 1.3 </w:t>
      </w:r>
      <w:r w:rsidR="00EE3F3E">
        <w:rPr>
          <w:rFonts w:cs="Times New Roman"/>
        </w:rPr>
        <w:t>µg L</w:t>
      </w:r>
      <w:r w:rsidR="00EE3F3E" w:rsidRPr="001F3003">
        <w:rPr>
          <w:rFonts w:cs="Times New Roman"/>
          <w:vertAlign w:val="superscript"/>
        </w:rPr>
        <w:t>-1</w:t>
      </w:r>
      <w:r w:rsidRPr="00770477">
        <w:rPr>
          <w:rFonts w:cs="Times New Roman"/>
        </w:rPr>
        <w:t xml:space="preserve"> (thiacloprid) after rainfall events</w:t>
      </w:r>
      <w:r w:rsidR="0055036A" w:rsidRPr="00770477">
        <w:rPr>
          <w:rFonts w:cs="Times New Roman"/>
        </w:rPr>
        <w:t xml:space="preserve"> </w:t>
      </w:r>
      <w:r w:rsidR="009C165F" w:rsidRPr="00770477">
        <w:rPr>
          <w:rFonts w:cs="Times New Roman"/>
        </w:rPr>
        <w:fldChar w:fldCharType="begin"/>
      </w:r>
      <w:r w:rsidR="002074AD">
        <w:rPr>
          <w:rFonts w:cs="Times New Roman"/>
        </w:rPr>
        <w:instrText xml:space="preserve"> ADDIN ZOTERO_ITEM CSL_CITATION {"citationID":"VWSDzTav","properties":{"formattedCitation":"(S\\uc0\\u225{}nchez-Bayo &amp; Hyne, 2014)","plainCitation":"(Sánchez-Bayo &amp; Hyne, 2014)","noteIndex":0},"citationItems":[{"id":1076,"uris":["http://zotero.org/users/8423188/items/AP9X9BU7"],"itemData":{"id":1076,"type":"article-journal","container-title":"Chemosphere","DOI":"10.1016/j.chemosphere.2013.10.051","ISSN":"00456535","journalAbbreviation":"Chemosphere","language":"en","page":"143-151","source":"DOI.org (Crossref)","title":"Detection and analysis of neonicotinoids in river waters – Development of a passive sampler for three commonly used insecticides","volume":"99","author":[{"family":"Sánchez-Bayo","given":"Francisco"},{"family":"Hyne","given":"Ross V."}],"issued":{"date-parts":[["2014",3]]}}}],"schema":"https://github.com/citation-style-language/schema/raw/master/csl-citation.json"} </w:instrText>
      </w:r>
      <w:r w:rsidR="009C165F" w:rsidRPr="00770477">
        <w:rPr>
          <w:rFonts w:cs="Times New Roman"/>
        </w:rPr>
        <w:fldChar w:fldCharType="separate"/>
      </w:r>
      <w:r w:rsidR="009C165F" w:rsidRPr="00770477">
        <w:rPr>
          <w:rFonts w:cs="Times New Roman"/>
        </w:rPr>
        <w:t>(Sánchez-Bayo &amp; Hyne, 2014)</w:t>
      </w:r>
      <w:r w:rsidR="009C165F" w:rsidRPr="00770477">
        <w:rPr>
          <w:rFonts w:cs="Times New Roman"/>
        </w:rPr>
        <w:fldChar w:fldCharType="end"/>
      </w:r>
      <w:r w:rsidRPr="00770477">
        <w:rPr>
          <w:rFonts w:cs="Times New Roman"/>
        </w:rPr>
        <w:t xml:space="preserve">. A </w:t>
      </w:r>
      <w:r w:rsidR="00874F71" w:rsidRPr="00770477">
        <w:rPr>
          <w:rFonts w:cs="Times New Roman"/>
        </w:rPr>
        <w:t>study</w:t>
      </w:r>
      <w:r w:rsidRPr="00770477">
        <w:rPr>
          <w:rFonts w:cs="Times New Roman"/>
        </w:rPr>
        <w:t xml:space="preserve"> from California (U.S.) showed 89% of surface water samples in agricultural regions with detectable </w:t>
      </w:r>
      <w:r w:rsidR="008366A8" w:rsidRPr="00770477">
        <w:rPr>
          <w:rFonts w:cs="Times New Roman"/>
        </w:rPr>
        <w:t>concentrations</w:t>
      </w:r>
      <w:r w:rsidRPr="00770477">
        <w:rPr>
          <w:rFonts w:cs="Times New Roman"/>
        </w:rPr>
        <w:t xml:space="preserve"> of neonicotinoids with imidacloprid concentrations upwards of 3.29 </w:t>
      </w:r>
      <w:r w:rsidR="00EE3F3E">
        <w:rPr>
          <w:rFonts w:cs="Times New Roman"/>
        </w:rPr>
        <w:t>µg L</w:t>
      </w:r>
      <w:r w:rsidR="00EE3F3E" w:rsidRPr="001F3003">
        <w:rPr>
          <w:rFonts w:cs="Times New Roman"/>
          <w:vertAlign w:val="superscript"/>
        </w:rPr>
        <w:t>-1</w:t>
      </w:r>
      <w:r w:rsidR="00CD736D" w:rsidRPr="00770477">
        <w:rPr>
          <w:rFonts w:cs="Times New Roman"/>
        </w:rPr>
        <w:t xml:space="preserve"> </w:t>
      </w:r>
      <w:r w:rsidR="00CD736D" w:rsidRPr="00770477">
        <w:rPr>
          <w:rFonts w:cs="Times New Roman"/>
        </w:rPr>
        <w:fldChar w:fldCharType="begin"/>
      </w:r>
      <w:r w:rsidR="002074AD">
        <w:rPr>
          <w:rFonts w:cs="Times New Roman"/>
        </w:rPr>
        <w:instrText xml:space="preserve"> ADDIN ZOTERO_ITEM CSL_CITATION {"citationID":"U6X6sUwO","properties":{"formattedCitation":"(Starner &amp; Goh, 2012)","plainCitation":"(Starner &amp; Goh, 2012)","noteIndex":0},"citationItems":[{"id":1075,"uris":["http://zotero.org/users/8423188/items/9K4BCFP9"],"itemData":{"id":1075,"type":"article-journal","container-title":"Bulletin of Environmental Contamination and Toxicology","DOI":"10.1007/s00128-011-0515-5","ISSN":"0007-4861, 1432-0800","issue":"3","journalAbbreviation":"Bull Environ Contam Toxicol","language":"en","page":"316-321","source":"DOI.org (Crossref)","title":"Detections of the Neonicotinoid Insecticide Imidacloprid in Surface Waters of Three Agricultural Regions of California, USA, 2010–2011","volume":"88","author":[{"family":"Starner","given":"Keith"},{"family":"Goh","given":"Kean S."}],"issued":{"date-parts":[["2012",3]]}}}],"schema":"https://github.com/citation-style-language/schema/raw/master/csl-citation.json"} </w:instrText>
      </w:r>
      <w:r w:rsidR="00CD736D" w:rsidRPr="00770477">
        <w:rPr>
          <w:rFonts w:cs="Times New Roman"/>
        </w:rPr>
        <w:fldChar w:fldCharType="separate"/>
      </w:r>
      <w:r w:rsidR="00CD736D" w:rsidRPr="00770477">
        <w:rPr>
          <w:rFonts w:cs="Times New Roman"/>
        </w:rPr>
        <w:t>(Starner &amp; Goh, 2012)</w:t>
      </w:r>
      <w:r w:rsidR="00CD736D" w:rsidRPr="00770477">
        <w:rPr>
          <w:rFonts w:cs="Times New Roman"/>
        </w:rPr>
        <w:fldChar w:fldCharType="end"/>
      </w:r>
      <w:r w:rsidRPr="00770477">
        <w:rPr>
          <w:rFonts w:cs="Times New Roman"/>
        </w:rPr>
        <w:t xml:space="preserve">. </w:t>
      </w:r>
      <w:r w:rsidR="0086755E" w:rsidRPr="00770477">
        <w:rPr>
          <w:rFonts w:cs="Times New Roman"/>
        </w:rPr>
        <w:fldChar w:fldCharType="begin"/>
      </w:r>
      <w:r w:rsidR="002074AD">
        <w:rPr>
          <w:rFonts w:cs="Times New Roman"/>
        </w:rPr>
        <w:instrText xml:space="preserve"> ADDIN ZOTERO_ITEM CSL_CITATION {"citationID":"WiMBxX30","properties":{"formattedCitation":"(Main et al., 2014)","plainCitation":"(Main et al., 2014)","dontUpdate":true,"noteIndex":0},"citationItems":[{"id":1074,"uris":["http://zotero.org/users/8423188/items/2K44ENC2"],"itemData":{"id":1074,"type":"article-journal","container-title":"PLoS ONE","DOI":"10.1371/journal.pone.0092821","ISSN":"1932-6203","issue":"3","journalAbbreviation":"PLoS ONE","language":"en","page":"e92821","source":"DOI.org (Crossref)","title":"Widespread Use and Frequent Detection of Neonicotinoid Insecticides in Wetlands of Canada's Prairie Pothole Region","volume":"9","author":[{"family":"Main","given":"Anson R."},{"family":"Headley","given":"John V."},{"family":"Peru","given":"Kerry M."},{"family":"Michel","given":"Nicole L."},{"family":"Cessna","given":"Allan J."},{"family":"Morrissey","given":"Christy A."}],"editor":[{"family":"Salice","given":"Christopher Joseph"}],"issued":{"date-parts":[["2014",3,26]]}}}],"schema":"https://github.com/citation-style-language/schema/raw/master/csl-citation.json"} </w:instrText>
      </w:r>
      <w:r w:rsidR="0086755E" w:rsidRPr="00770477">
        <w:rPr>
          <w:rFonts w:cs="Times New Roman"/>
        </w:rPr>
        <w:fldChar w:fldCharType="separate"/>
      </w:r>
      <w:r w:rsidR="0086755E" w:rsidRPr="00770477">
        <w:rPr>
          <w:rFonts w:cs="Times New Roman"/>
        </w:rPr>
        <w:t>Main et al. (2014)</w:t>
      </w:r>
      <w:r w:rsidR="0086755E" w:rsidRPr="00770477">
        <w:rPr>
          <w:rFonts w:cs="Times New Roman"/>
        </w:rPr>
        <w:fldChar w:fldCharType="end"/>
      </w:r>
      <w:r w:rsidR="00875A94" w:rsidRPr="00770477">
        <w:rPr>
          <w:rFonts w:cs="Times New Roman"/>
        </w:rPr>
        <w:t xml:space="preserve"> </w:t>
      </w:r>
      <w:r w:rsidR="00730C01" w:rsidRPr="00770477">
        <w:rPr>
          <w:rFonts w:cs="Times New Roman"/>
        </w:rPr>
        <w:t>showed C</w:t>
      </w:r>
      <w:r w:rsidRPr="00770477">
        <w:rPr>
          <w:rFonts w:cs="Times New Roman"/>
        </w:rPr>
        <w:t xml:space="preserve">anadian prairies sampled quarterly for one year had a maximum 3.1 </w:t>
      </w:r>
      <w:r w:rsidR="00EE3F3E">
        <w:rPr>
          <w:rFonts w:cs="Times New Roman"/>
        </w:rPr>
        <w:t>µg L</w:t>
      </w:r>
      <w:r w:rsidR="00EE3F3E" w:rsidRPr="001F3003">
        <w:rPr>
          <w:rFonts w:cs="Times New Roman"/>
          <w:vertAlign w:val="superscript"/>
        </w:rPr>
        <w:t>-1</w:t>
      </w:r>
      <w:r w:rsidRPr="00770477">
        <w:rPr>
          <w:rFonts w:cs="Times New Roman"/>
        </w:rPr>
        <w:t xml:space="preserve"> clothianidin and 1.5 </w:t>
      </w:r>
      <w:r w:rsidR="00EE3F3E">
        <w:rPr>
          <w:rFonts w:cs="Times New Roman"/>
        </w:rPr>
        <w:t>µg L</w:t>
      </w:r>
      <w:r w:rsidR="00EE3F3E" w:rsidRPr="001F3003">
        <w:rPr>
          <w:rFonts w:cs="Times New Roman"/>
          <w:vertAlign w:val="superscript"/>
        </w:rPr>
        <w:t>-1</w:t>
      </w:r>
      <w:r w:rsidRPr="00770477">
        <w:rPr>
          <w:rFonts w:cs="Times New Roman"/>
        </w:rPr>
        <w:t xml:space="preserve"> thiamethoxam with detection frequencies of 36.91%. Although not formally recognized waterbodies, </w:t>
      </w:r>
      <w:r w:rsidR="00DF6788" w:rsidRPr="00770477">
        <w:rPr>
          <w:rFonts w:cs="Times New Roman"/>
        </w:rPr>
        <w:t>scientists</w:t>
      </w:r>
      <w:r w:rsidRPr="00770477">
        <w:rPr>
          <w:rFonts w:cs="Times New Roman"/>
        </w:rPr>
        <w:t xml:space="preserve"> from Quebec (Canada) sampled puddles in corn fields to find maximum concentrations of 55.7 </w:t>
      </w:r>
      <w:r w:rsidR="00EE3F3E">
        <w:rPr>
          <w:rFonts w:cs="Times New Roman"/>
        </w:rPr>
        <w:t>µg L</w:t>
      </w:r>
      <w:r w:rsidR="00EE3F3E" w:rsidRPr="001F3003">
        <w:rPr>
          <w:rFonts w:cs="Times New Roman"/>
          <w:vertAlign w:val="superscript"/>
        </w:rPr>
        <w:t>-1</w:t>
      </w:r>
      <w:r w:rsidRPr="00770477">
        <w:rPr>
          <w:rFonts w:cs="Times New Roman"/>
        </w:rPr>
        <w:t xml:space="preserve"> clothianidin and 63.4 </w:t>
      </w:r>
      <w:r w:rsidR="00EE3F3E">
        <w:rPr>
          <w:rFonts w:cs="Times New Roman"/>
        </w:rPr>
        <w:t>µg L</w:t>
      </w:r>
      <w:r w:rsidR="00EE3F3E" w:rsidRPr="001F3003">
        <w:rPr>
          <w:rFonts w:cs="Times New Roman"/>
          <w:vertAlign w:val="superscript"/>
        </w:rPr>
        <w:t>-1</w:t>
      </w:r>
      <w:r w:rsidRPr="00770477">
        <w:rPr>
          <w:rFonts w:cs="Times New Roman"/>
        </w:rPr>
        <w:t xml:space="preserve"> thiamethoxam</w:t>
      </w:r>
      <w:r w:rsidR="004502D3" w:rsidRPr="00770477">
        <w:rPr>
          <w:rFonts w:cs="Times New Roman"/>
        </w:rPr>
        <w:t xml:space="preserve"> </w:t>
      </w:r>
      <w:r w:rsidR="00A65046" w:rsidRPr="00770477">
        <w:rPr>
          <w:rFonts w:cs="Times New Roman"/>
        </w:rPr>
        <w:fldChar w:fldCharType="begin"/>
      </w:r>
      <w:r w:rsidR="002074AD">
        <w:rPr>
          <w:rFonts w:cs="Times New Roman"/>
        </w:rPr>
        <w:instrText xml:space="preserve"> ADDIN ZOTERO_ITEM CSL_CITATION {"citationID":"g0wSBMgh","properties":{"formattedCitation":"(Samson-Robert et al., 2014)","plainCitation":"(Samson-Robert et al., 2014)","noteIndex":0},"citationItems":[{"id":1073,"uris":["http://zotero.org/users/8423188/items/G69E4X2F"],"itemData":{"id":1073,"type":"article-journal","container-title":"PLoS ONE","DOI":"10.1371/journal.pone.0108443","ISSN":"1932-6203","issue":"12","journalAbbreviation":"PLoS ONE","language":"en","page":"e108443","source":"DOI.org (Crossref)","title":"Neonicotinoid-Contaminated Puddles of Water Represent a Risk of Intoxication for Honey Bees","volume":"9","author":[{"family":"Samson-Robert","given":"Olivier"},{"family":"Labrie","given":"Geneviève"},{"family":"Chagnon","given":"Madeleine"},{"family":"Fournier","given":"Valérie"}],"editor":[{"family":"Meador","given":"James P."}],"issued":{"date-parts":[["2014",12,1]]}}}],"schema":"https://github.com/citation-style-language/schema/raw/master/csl-citation.json"} </w:instrText>
      </w:r>
      <w:r w:rsidR="00A65046" w:rsidRPr="00770477">
        <w:rPr>
          <w:rFonts w:cs="Times New Roman"/>
        </w:rPr>
        <w:fldChar w:fldCharType="separate"/>
      </w:r>
      <w:r w:rsidR="00A65046" w:rsidRPr="00770477">
        <w:rPr>
          <w:rFonts w:cs="Times New Roman"/>
        </w:rPr>
        <w:t>(Samson-Robert et al., 2014)</w:t>
      </w:r>
      <w:r w:rsidR="00A65046" w:rsidRPr="00770477">
        <w:rPr>
          <w:rFonts w:cs="Times New Roman"/>
        </w:rPr>
        <w:fldChar w:fldCharType="end"/>
      </w:r>
      <w:r w:rsidRPr="00770477">
        <w:rPr>
          <w:rFonts w:cs="Times New Roman"/>
        </w:rPr>
        <w:t xml:space="preserve">. </w:t>
      </w:r>
      <w:r w:rsidRPr="00770477">
        <w:rPr>
          <w:rFonts w:cs="Times New Roman"/>
        </w:rPr>
        <w:fldChar w:fldCharType="begin"/>
      </w:r>
      <w:r w:rsidR="002074AD">
        <w:rPr>
          <w:rFonts w:cs="Times New Roman"/>
        </w:rPr>
        <w:instrText xml:space="preserve"> ADDIN ZOTERO_ITEM CSL_CITATION {"citationID":"iqfQQSRG","properties":{"formattedCitation":"(Morrissey et al., 2015)","plainCitation":"(Morrissey et al., 2015)","dontUpdate":true,"noteIndex":0},"citationItems":[{"id":221,"uris":["http://zotero.org/users/8423188/items/VC3HAM8N"],"itemData":{"id":221,"type":"article-journal","abstract":"Neonicotinoids, broad-spectrum systemic insecticides, are the fastest growing class of insecticides worldwide and are now registered for use on hundreds of ﬁeld crops in over 120 different countries. The environmental proﬁle of this class of pesticides indicate that they are persistent, have high leaching and runoff potential, and are highly toxic to a wide range of invertebrates. Therefore, neonicotinoids represent a significant risk to surface waters and the diverse aquatic and terrestrial fauna that these ecosystems support. This review synthesizes the current state of knowledge on the reported concentrations of neonicotinoids in surface waters from 29 studies in 9 countries world-wide in tandem with published data on their acute and chronic toxicity to 49 species of aquatic insects and crustaceans spanning 12 invertebrate orders. Strong evidence exists that water-borne neonicotinoid exposures are frequent, long-term and at levels (geometric means = 0.13 μg/L (averages) and 0.63 μg/L (maxima)) which commonly exceed several existing water quality guidelines. Imidacloprid is by far the most widely studied neonicotinoid (66% of the 214 toxicity tests reviewed) with differences in sensitivity among aquatic invertebrate species ranging several orders of magnitude; other neonicotinoids display analogous modes of action and similar toxicities, although comparative data are limited. Of the species evaluated, insects belonging to the orders Ephemeroptera, Trichoptera and Diptera appear to be the most sensitive, while those of Crustacea (although not universally so) are less sensitive. In particular, the standard test species Daphnia magna appears to be very tolerant, with 24–96 hour LC50 values exceeding 100,000 μg/L (geometric mean N 44,000 μg/L), which is at least 2–3 orders of magnitude higher than the geometric mean of all other invertebrate species tested. Overall, neonicotinoids can exert adverse effects on survival, growth, emergence, mobility, and behavior of many sensitive aquatic invertebrate taxa at concentrations at or below 1 μg/L under acute exposure and 0.1 μg/L for chronic exposure. Using probabilistic approaches (species sensitivity distributions), we recommend here that ecological thresholds for neonicotinoid water concentrations need to be below 0.2 μg/L (shortterm acute) or 0.035 μg/L (long-term chronic) to avoid lasting effects on aquatic invertebrate communities. The application of safety factors may still be warranted considering potential issues of slow recovery, additive or synergistic effects and multiple stressors that can occur in the ﬁeld. Our analysis revealed that 81% (22/27) and 74% (14/19) of global surface water studies reporting maximum and average individual neonicotinoid concentrations respectively, exceeded these thresholds of 0.2 and 0.035 μg/L. Therefore, it appears that environmentally relevant concentrations of neonicotinoids in surface waters worldwide are well within the range where both short- and long-term impacts on aquatic invertebrate species are possible over broad spatial scales.","container-title":"Environment International","DOI":"10.1016/j.envint.2014.10.024","ISSN":"01604120","journalAbbreviation":"Environment International","language":"en","page":"291-303","source":"DOI.org (Crossref)","title":"Neonicotinoid contamination of global surface waters and associated risk to aquatic invertebrates: A review","title-short":"Neonicotinoid contamination of global surface waters and associated risk to aquatic invertebrates","volume":"74","author":[{"family":"Morrissey","given":"Christy A."},{"family":"Mineau","given":"Pierre"},{"family":"Devries","given":"James H."},{"family":"Sanchez-Bayo","given":"Francisco"},{"family":"Liess","given":"Matthias"},{"family":"Cavallaro","given":"Michael C."},{"family":"Liber","given":"Karsten"}],"issued":{"date-parts":[["2015",1]]}}}],"schema":"https://github.com/citation-style-language/schema/raw/master/csl-citation.json"} </w:instrText>
      </w:r>
      <w:r w:rsidRPr="00770477">
        <w:rPr>
          <w:rFonts w:cs="Times New Roman"/>
        </w:rPr>
        <w:fldChar w:fldCharType="separate"/>
      </w:r>
      <w:r w:rsidRPr="00770477">
        <w:rPr>
          <w:rFonts w:cs="Times New Roman"/>
          <w:noProof/>
        </w:rPr>
        <w:t>Morrissey et al. (2015)</w:t>
      </w:r>
      <w:r w:rsidRPr="00770477">
        <w:rPr>
          <w:rFonts w:cs="Times New Roman"/>
        </w:rPr>
        <w:fldChar w:fldCharType="end"/>
      </w:r>
      <w:r w:rsidRPr="00770477">
        <w:rPr>
          <w:rFonts w:cs="Times New Roman"/>
        </w:rPr>
        <w:t xml:space="preserve"> found no regional patterns to neonicotinoid detection in surface waterbodies, but wetlands and rivers that drain agricultural areas are considered most at risk. However, </w:t>
      </w:r>
      <w:r w:rsidR="00F672A3" w:rsidRPr="00770477">
        <w:rPr>
          <w:rFonts w:cs="Times New Roman"/>
        </w:rPr>
        <w:t xml:space="preserve">the authors demonstrate that </w:t>
      </w:r>
      <w:r w:rsidRPr="00770477">
        <w:rPr>
          <w:rFonts w:cs="Times New Roman"/>
        </w:rPr>
        <w:t xml:space="preserve">neonicotinoids have also been frequently detected in waterbodies draining urban areas at similar concentrations to those that drain agricultural areas. Furthermore, </w:t>
      </w:r>
      <w:r w:rsidR="00342CCB" w:rsidRPr="00770477">
        <w:rPr>
          <w:rFonts w:cs="Times New Roman"/>
        </w:rPr>
        <w:t xml:space="preserve">results showed </w:t>
      </w:r>
      <w:r w:rsidRPr="00770477">
        <w:rPr>
          <w:rFonts w:cs="Times New Roman"/>
        </w:rPr>
        <w:t>multiple neonicotinoids can be found in single water samples outside of growing season(s)</w:t>
      </w:r>
      <w:r w:rsidR="00622480" w:rsidRPr="00770477">
        <w:rPr>
          <w:rFonts w:cs="Times New Roman"/>
        </w:rPr>
        <w:t>,</w:t>
      </w:r>
      <w:r w:rsidRPr="00770477">
        <w:rPr>
          <w:rFonts w:cs="Times New Roman"/>
        </w:rPr>
        <w:t xml:space="preserve"> proving their persistence in the environment even after their initial application. In a second review, </w:t>
      </w:r>
      <w:r w:rsidRPr="00770477">
        <w:rPr>
          <w:rFonts w:cs="Times New Roman"/>
        </w:rPr>
        <w:fldChar w:fldCharType="begin"/>
      </w:r>
      <w:r w:rsidR="002074AD">
        <w:rPr>
          <w:rFonts w:cs="Times New Roman"/>
        </w:rPr>
        <w:instrText xml:space="preserve"> ADDIN ZOTERO_ITEM CSL_CITATION {"citationID":"hXTWRVjF","properties":{"formattedCitation":"(Borsuah et al., 2020)","plainCitation":"(Borsuah et al., 2020)","dontUpdate":true,"noteIndex":0},"citationItems":[{"id":219,"uris":["http://zotero.org/users/8423188/items/7H8NAD43"],"itemData":{"id":219,"type":"article-journal","abstract":"Neonicotinoids have been the most commonly used insecticides since the early 1990s. Despite their eﬃcacy in improving crop protection and management, these agrochemicals have gained recent attention for their negative impacts on non-target species such as honeybees and aquatic invertebrates. In recent years, neonicotinoids have been detected in rivers and streams across the world. Determining and predicting the exposure potential of neonicotinoids in surface water requires a thorough understanding of their fate and transport mechanisms. Therefore, our objective was to provide a comprehensive review of neonicotinoids with a focus on their fate and transport mechanisms to and within surface waters and their occurrence in waterways throughout the world. A better understanding of fate and transport mechanisms will enable researchers to accurately predict occurrence and persistence of insecticides entering surface waters and potential exposure to non-target organisms in agricultural intensive regions. This review has direct implications on how neonicotinoids are monitored and degraded in aquatic ecosystems. Further, an improved understanding of the fate and transport of neonicotinoids aide natural resource practitioners in the development and implementation of eﬀective best management practices to reduce the potential impact and exposure of neonicotinoids in waterways and aquatic ecosystems.","container-title":"Water","DOI":"10.3390/w12123388","ISSN":"2073-4441","issue":"12","journalAbbreviation":"Water","language":"en","page":"3388","source":"DOI.org (Crossref)","title":"Literature Review: Global Neonicotinoid Insecticide Occurrence in Aquatic Environments","title-short":"Literature Review","volume":"12","author":[{"family":"Borsuah","given":"Josephus F."},{"family":"Messer","given":"Tiffany L."},{"family":"Snow","given":"Daniel D."},{"family":"Comfort","given":"Steve D."},{"family":"Mittelstet","given":"Aaron R."}],"issued":{"date-parts":[["2020",12,2]]}}}],"schema":"https://github.com/citation-style-language/schema/raw/master/csl-citation.json"} </w:instrText>
      </w:r>
      <w:r w:rsidRPr="00770477">
        <w:rPr>
          <w:rFonts w:cs="Times New Roman"/>
        </w:rPr>
        <w:fldChar w:fldCharType="separate"/>
      </w:r>
      <w:r w:rsidRPr="00770477">
        <w:rPr>
          <w:rFonts w:cs="Times New Roman"/>
          <w:noProof/>
        </w:rPr>
        <w:t>Borsuah et al. (2020)</w:t>
      </w:r>
      <w:r w:rsidRPr="00770477">
        <w:rPr>
          <w:rFonts w:cs="Times New Roman"/>
        </w:rPr>
        <w:fldChar w:fldCharType="end"/>
      </w:r>
      <w:r w:rsidRPr="00770477">
        <w:rPr>
          <w:rFonts w:cs="Times New Roman"/>
        </w:rPr>
        <w:t xml:space="preserve"> cites a review of 55 studies in rivers across 8 countries in which “most” samples taken detected the presence of neonicotinoid pesticides. </w:t>
      </w:r>
      <w:r w:rsidR="00A65046" w:rsidRPr="00770477">
        <w:rPr>
          <w:rFonts w:cs="Times New Roman"/>
        </w:rPr>
        <w:t>In a</w:t>
      </w:r>
      <w:r w:rsidRPr="00770477">
        <w:rPr>
          <w:rFonts w:cs="Times New Roman"/>
        </w:rPr>
        <w:t xml:space="preserve"> study between 2012 and 2014, neonicotinoids were detected in half of the 15 sites sampled with the highest imidacloprid concentration reaching 11.9 </w:t>
      </w:r>
      <w:r w:rsidR="00EE3F3E">
        <w:rPr>
          <w:rFonts w:cs="Times New Roman"/>
        </w:rPr>
        <w:t>µg L</w:t>
      </w:r>
      <w:r w:rsidR="00EE3F3E" w:rsidRPr="001F3003">
        <w:rPr>
          <w:rFonts w:cs="Times New Roman"/>
          <w:vertAlign w:val="superscript"/>
        </w:rPr>
        <w:t>-1</w:t>
      </w:r>
      <w:r w:rsidR="00A65046" w:rsidRPr="00770477">
        <w:rPr>
          <w:rFonts w:cs="Times New Roman"/>
        </w:rPr>
        <w:t xml:space="preserve"> </w:t>
      </w:r>
      <w:r w:rsidR="00605352" w:rsidRPr="00770477">
        <w:rPr>
          <w:rFonts w:cs="Times New Roman"/>
        </w:rPr>
        <w:fldChar w:fldCharType="begin"/>
      </w:r>
      <w:r w:rsidR="002074AD">
        <w:rPr>
          <w:rFonts w:cs="Times New Roman"/>
        </w:rPr>
        <w:instrText xml:space="preserve"> ADDIN ZOTERO_ITEM CSL_CITATION {"citationID":"TAE8a4Az","properties":{"formattedCitation":"(Struger et al., 2017)","plainCitation":"(Struger et al., 2017)","noteIndex":0},"citationItems":[{"id":1072,"uris":["http://zotero.org/users/8423188/items/MZ25JGPW"],"itemData":{"id":1072,"type":"article-journal","container-title":"Chemosphere","DOI":"10.1016/j.chemosphere.2016.11.036","ISSN":"00456535","journalAbbreviation":"Chemosphere","language":"en","page":"516-523","source":"DOI.org (Crossref)","title":"Factors influencing the occurrence and distribution of neonicotinoid insecticides in surface waters of southern Ontario, Canada","volume":"169","author":[{"family":"Struger","given":"John"},{"family":"Grabuski","given":"Josey"},{"family":"Cagampan","given":"Steve"},{"family":"Sverko","given":"Ed"},{"family":"McGoldrick","given":"Daryl"},{"family":"Marvin","given":"Christopher H."}],"issued":{"date-parts":[["2017",2]]}}}],"schema":"https://github.com/citation-style-language/schema/raw/master/csl-citation.json"} </w:instrText>
      </w:r>
      <w:r w:rsidR="00605352" w:rsidRPr="00770477">
        <w:rPr>
          <w:rFonts w:cs="Times New Roman"/>
        </w:rPr>
        <w:fldChar w:fldCharType="separate"/>
      </w:r>
      <w:r w:rsidR="00605352" w:rsidRPr="00770477">
        <w:rPr>
          <w:rFonts w:cs="Times New Roman"/>
        </w:rPr>
        <w:t>(Struger et al., 2017)</w:t>
      </w:r>
      <w:r w:rsidR="00605352" w:rsidRPr="00770477">
        <w:rPr>
          <w:rFonts w:cs="Times New Roman"/>
        </w:rPr>
        <w:fldChar w:fldCharType="end"/>
      </w:r>
      <w:r w:rsidRPr="00770477">
        <w:rPr>
          <w:rFonts w:cs="Times New Roman"/>
        </w:rPr>
        <w:t xml:space="preserve">. Studies  from the U.S., Netherlands, and </w:t>
      </w:r>
      <w:r w:rsidRPr="00770477">
        <w:rPr>
          <w:rFonts w:cs="Times New Roman"/>
        </w:rPr>
        <w:lastRenderedPageBreak/>
        <w:t xml:space="preserve">Sweden showed the presence of imidacloprid, thiamethoxam, and acetamiprid in surface water with detection rates of 89-100% for imidacloprid, 31% for thiamethoxam, and 17% for acetamiprid at concentrations ranging between 0.22 to 200 </w:t>
      </w:r>
      <w:r w:rsidR="00EE3F3E">
        <w:rPr>
          <w:rFonts w:cs="Times New Roman"/>
        </w:rPr>
        <w:t>µg L</w:t>
      </w:r>
      <w:r w:rsidR="00EE3F3E" w:rsidRPr="001F3003">
        <w:rPr>
          <w:rFonts w:cs="Times New Roman"/>
          <w:vertAlign w:val="superscript"/>
        </w:rPr>
        <w:t>-1</w:t>
      </w:r>
      <w:r w:rsidR="002D168F" w:rsidRPr="00770477">
        <w:rPr>
          <w:rFonts w:cs="Times New Roman"/>
        </w:rPr>
        <w:t xml:space="preserve"> </w:t>
      </w:r>
      <w:r w:rsidR="002D168F" w:rsidRPr="00770477">
        <w:rPr>
          <w:rFonts w:cs="Times New Roman"/>
        </w:rPr>
        <w:fldChar w:fldCharType="begin"/>
      </w:r>
      <w:r w:rsidR="002074AD">
        <w:rPr>
          <w:rFonts w:cs="Times New Roman"/>
        </w:rPr>
        <w:instrText xml:space="preserve"> ADDIN ZOTERO_ITEM CSL_CITATION {"citationID":"8pPy82Gj","properties":{"formattedCitation":"(Starner &amp; Goh, 2012; Van Dijk et al., 2013)","plainCitation":"(Starner &amp; Goh, 2012; Van Dijk et al., 2013)","noteIndex":0},"citationItems":[{"id":1075,"uris":["http://zotero.org/users/8423188/items/9K4BCFP9"],"itemData":{"id":1075,"type":"article-journal","container-title":"Bulletin of Environmental Contamination and Toxicology","DOI":"10.1007/s00128-011-0515-5","ISSN":"0007-4861, 1432-0800","issue":"3","journalAbbreviation":"Bull Environ Contam Toxicol","language":"en","page":"316-321","source":"DOI.org (Crossref)","title":"Detections of the Neonicotinoid Insecticide Imidacloprid in Surface Waters of Three Agricultural Regions of California, USA, 2010–2011","volume":"88","author":[{"family":"Starner","given":"Keith"},{"family":"Goh","given":"Kean S."}],"issued":{"date-parts":[["2012",3]]}}},{"id":1070,"uris":["http://zotero.org/users/8423188/items/GV7R4NES"],"itemData":{"id":1070,"type":"article-journal","container-title":"PLoS ONE","DOI":"10.1371/journal.pone.0062374","ISSN":"1932-6203","issue":"5","journalAbbreviation":"PLoS ONE","language":"en","page":"e62374","source":"DOI.org (Crossref)","title":"Macro-Invertebrate Decline in Surface Water Polluted with Imidacloprid","volume":"8","author":[{"family":"Van Dijk","given":"Tessa C."},{"family":"Van Staalduinen","given":"Marja A."},{"family":"Van der Sluijs","given":"Jeroen P."}],"editor":[{"family":"Desneux","given":"Nicolas"}],"issued":{"date-parts":[["2013",5,1]]}}}],"schema":"https://github.com/citation-style-language/schema/raw/master/csl-citation.json"} </w:instrText>
      </w:r>
      <w:r w:rsidR="002D168F" w:rsidRPr="00770477">
        <w:rPr>
          <w:rFonts w:cs="Times New Roman"/>
        </w:rPr>
        <w:fldChar w:fldCharType="separate"/>
      </w:r>
      <w:r w:rsidR="002D168F" w:rsidRPr="00770477">
        <w:rPr>
          <w:rFonts w:cs="Times New Roman"/>
        </w:rPr>
        <w:t>(Starner &amp; Goh, 2012; Van Dijk et al., 2013)</w:t>
      </w:r>
      <w:r w:rsidR="002D168F" w:rsidRPr="00770477">
        <w:rPr>
          <w:rFonts w:cs="Times New Roman"/>
        </w:rPr>
        <w:fldChar w:fldCharType="end"/>
      </w:r>
      <w:r w:rsidRPr="00770477">
        <w:rPr>
          <w:rFonts w:cs="Times New Roman"/>
        </w:rPr>
        <w:t xml:space="preserve">. A study conducted by the United States Geological Survey (USGS) showed concentrations as high as 142.8 </w:t>
      </w:r>
      <w:r w:rsidR="00EE3F3E">
        <w:rPr>
          <w:rFonts w:cs="Times New Roman"/>
        </w:rPr>
        <w:t>µg L</w:t>
      </w:r>
      <w:r w:rsidR="00EE3F3E" w:rsidRPr="001F3003">
        <w:rPr>
          <w:rFonts w:cs="Times New Roman"/>
          <w:vertAlign w:val="superscript"/>
        </w:rPr>
        <w:t>-1</w:t>
      </w:r>
      <w:r w:rsidRPr="00770477">
        <w:rPr>
          <w:rFonts w:cs="Times New Roman"/>
        </w:rPr>
        <w:t xml:space="preserve"> (imidacloprid), 190.3 </w:t>
      </w:r>
      <w:r w:rsidR="00EE3F3E">
        <w:rPr>
          <w:rFonts w:cs="Times New Roman"/>
        </w:rPr>
        <w:t>µg L</w:t>
      </w:r>
      <w:r w:rsidR="00EE3F3E" w:rsidRPr="001F3003">
        <w:rPr>
          <w:rFonts w:cs="Times New Roman"/>
          <w:vertAlign w:val="superscript"/>
        </w:rPr>
        <w:t>-1</w:t>
      </w:r>
      <w:r w:rsidRPr="00770477">
        <w:rPr>
          <w:rFonts w:cs="Times New Roman"/>
        </w:rPr>
        <w:t xml:space="preserve"> (thiamethoxam), and 38.2 </w:t>
      </w:r>
      <w:r w:rsidR="00EE3F3E">
        <w:rPr>
          <w:rFonts w:cs="Times New Roman"/>
        </w:rPr>
        <w:t>µg L</w:t>
      </w:r>
      <w:r w:rsidR="00EE3F3E" w:rsidRPr="001F3003">
        <w:rPr>
          <w:rFonts w:cs="Times New Roman"/>
          <w:vertAlign w:val="superscript"/>
        </w:rPr>
        <w:t>-1</w:t>
      </w:r>
      <w:r w:rsidRPr="00770477">
        <w:rPr>
          <w:rFonts w:cs="Times New Roman"/>
        </w:rPr>
        <w:t xml:space="preserve"> (clothianidin) in streams across the U.S., including not only agricultural-draining, but also urban streams</w:t>
      </w:r>
      <w:r w:rsidR="002E6425" w:rsidRPr="00770477">
        <w:rPr>
          <w:rFonts w:cs="Times New Roman"/>
        </w:rPr>
        <w:t xml:space="preserve"> </w:t>
      </w:r>
      <w:r w:rsidR="00720980" w:rsidRPr="00770477">
        <w:rPr>
          <w:rFonts w:cs="Times New Roman"/>
        </w:rPr>
        <w:fldChar w:fldCharType="begin"/>
      </w:r>
      <w:r w:rsidR="002074AD">
        <w:rPr>
          <w:rFonts w:cs="Times New Roman"/>
        </w:rPr>
        <w:instrText xml:space="preserve"> ADDIN ZOTERO_ITEM CSL_CITATION {"citationID":"i5pxaoWF","properties":{"formattedCitation":"(Hladik &amp; Kolpin, 2016)","plainCitation":"(Hladik &amp; Kolpin, 2016)","noteIndex":0},"citationItems":[{"id":1069,"uris":["http://zotero.org/users/8423188/items/PR4BM3ZX"],"itemData":{"id":1069,"type":"article-journal","abstract":"Environmental context\nNeonicotinoids are under increased scrutiny because they have been implicated in pollinator declines and, more recently, as potential aquatic toxicants. Nevertheless, there is currently little information on concentrations of multiple neonicotinoids in surface water. This paper presents a summary of concentrations of six neonicotinoids in streams from across the United States in both urban and agricultural areas. These environmental data are important in determining the potential risk of neonicotinoids to non-target aquatic and terrestrial organisms.\n\nAbstract\nTo better understand the fate and transport of neonicotinoid insecticides, water samples were collected from streams across the United States. In a nationwide study, at least one neonicotinoid was detected in 53% of the samples collected, with imidacloprid detected most frequently (37%), followed by clothianidin (24%), thiamethoxam (21%), dinotefuran (13%), acetamiprid (3%) and thiacloprid (0%). Clothianidin and thiamethoxam concentrations were positively related to the percentage of the land use in cultivated crop production and imidacloprid concentrations were positively related to the percentage of urban area within the basin. Additional sampling was also conducted in targeted research areas to complement these national-scale results, including determining: (1) neonicotinoid concentrations during elevated flow conditions in an intensely agricultural region; (2) temporal patterns of neonicotinoids in heavily urbanised basins; (3) neonicotinoid concentrations in agricultural basins in a nationally important ecosystem; and (4) in-stream transport of neonicotinoids near a wastewater treatment plant. Across all study areas, at least one neonicotinoid was detected in 63% of the 48 streams sampled.","container-title":"Environmental Chemistry","DOI":"10.1071/EN15061","ISSN":"1448-2517","issue":"1","journalAbbreviation":"Environ. Chem.","language":"en","page":"12","source":"DOI.org (Crossref)","title":"First national-scale reconnaissance of neonicotinoid insecticides in streams across the USA","volume":"13","author":[{"family":"Hladik","given":"Michelle L."},{"family":"Kolpin","given":"Dana W."}],"issued":{"date-parts":[["2016"]]}}}],"schema":"https://github.com/citation-style-language/schema/raw/master/csl-citation.json"} </w:instrText>
      </w:r>
      <w:r w:rsidR="00720980" w:rsidRPr="00770477">
        <w:rPr>
          <w:rFonts w:cs="Times New Roman"/>
        </w:rPr>
        <w:fldChar w:fldCharType="separate"/>
      </w:r>
      <w:r w:rsidR="00720980" w:rsidRPr="00770477">
        <w:rPr>
          <w:rFonts w:cs="Times New Roman"/>
        </w:rPr>
        <w:t>(Hladik &amp; Kolpin, 2016)</w:t>
      </w:r>
      <w:r w:rsidR="00720980" w:rsidRPr="00770477">
        <w:rPr>
          <w:rFonts w:cs="Times New Roman"/>
        </w:rPr>
        <w:fldChar w:fldCharType="end"/>
      </w:r>
      <w:r w:rsidRPr="00770477">
        <w:rPr>
          <w:rFonts w:cs="Times New Roman"/>
        </w:rPr>
        <w:t>. In a study of 79 samples across 7 streams in a heavily cultivated region of Iowa (U.S.), neonicotinoids were detected in upwards of 75% of stream samples</w:t>
      </w:r>
      <w:r w:rsidR="00565116" w:rsidRPr="00770477">
        <w:rPr>
          <w:rFonts w:cs="Times New Roman"/>
        </w:rPr>
        <w:t xml:space="preserve"> </w:t>
      </w:r>
      <w:r w:rsidR="00BC7489" w:rsidRPr="00770477">
        <w:rPr>
          <w:rFonts w:cs="Times New Roman"/>
        </w:rPr>
        <w:fldChar w:fldCharType="begin"/>
      </w:r>
      <w:r w:rsidR="002074AD">
        <w:rPr>
          <w:rFonts w:cs="Times New Roman"/>
        </w:rPr>
        <w:instrText xml:space="preserve"> ADDIN ZOTERO_ITEM CSL_CITATION {"citationID":"UUA855YX","properties":{"formattedCitation":"(Hladik et al., 2014)","plainCitation":"(Hladik et al., 2014)","noteIndex":0},"citationItems":[{"id":1068,"uris":["http://zotero.org/users/8423188/items/8942K7C6"],"itemData":{"id":1068,"type":"article-journal","container-title":"Environmental Pollution","DOI":"10.1016/j.envpol.2014.06.033","ISSN":"02697491","journalAbbreviation":"Environmental Pollution","language":"en","page":"189-196","source":"DOI.org (Crossref)","title":"Widespread occurrence of neonicotinoid insecticides in streams in a high corn and soybean producing region, USA","volume":"193","author":[{"family":"Hladik","given":"Michelle L."},{"family":"Kolpin","given":"Dana W."},{"family":"Kuivila","given":"Kathryn M."}],"issued":{"date-parts":[["2014",10]]}}}],"schema":"https://github.com/citation-style-language/schema/raw/master/csl-citation.json"} </w:instrText>
      </w:r>
      <w:r w:rsidR="00BC7489" w:rsidRPr="00770477">
        <w:rPr>
          <w:rFonts w:cs="Times New Roman"/>
        </w:rPr>
        <w:fldChar w:fldCharType="separate"/>
      </w:r>
      <w:r w:rsidR="00BC7489" w:rsidRPr="00770477">
        <w:rPr>
          <w:rFonts w:cs="Times New Roman"/>
        </w:rPr>
        <w:t>(Hladik et al., 2014)</w:t>
      </w:r>
      <w:r w:rsidR="00BC7489" w:rsidRPr="00770477">
        <w:rPr>
          <w:rFonts w:cs="Times New Roman"/>
        </w:rPr>
        <w:fldChar w:fldCharType="end"/>
      </w:r>
      <w:r w:rsidRPr="00770477">
        <w:rPr>
          <w:rFonts w:cs="Times New Roman"/>
        </w:rPr>
        <w:t xml:space="preserve">. </w:t>
      </w:r>
    </w:p>
    <w:p w14:paraId="2DE77B68" w14:textId="43A03A06" w:rsidR="00C700A7" w:rsidRPr="00770477" w:rsidRDefault="00C700A7" w:rsidP="005A7A96">
      <w:pPr>
        <w:ind w:firstLine="720"/>
        <w:rPr>
          <w:rFonts w:cs="Times New Roman"/>
        </w:rPr>
      </w:pPr>
      <w:r w:rsidRPr="00770477">
        <w:rPr>
          <w:rFonts w:cs="Times New Roman"/>
        </w:rPr>
        <w:t xml:space="preserve">Further studies </w:t>
      </w:r>
      <w:r w:rsidR="000A0591" w:rsidRPr="00770477">
        <w:rPr>
          <w:rFonts w:cs="Times New Roman"/>
        </w:rPr>
        <w:t>show</w:t>
      </w:r>
      <w:r w:rsidR="00906EB9" w:rsidRPr="00770477">
        <w:rPr>
          <w:rFonts w:cs="Times New Roman"/>
        </w:rPr>
        <w:t xml:space="preserve"> </w:t>
      </w:r>
      <w:r w:rsidRPr="00770477">
        <w:rPr>
          <w:rFonts w:cs="Times New Roman"/>
        </w:rPr>
        <w:t xml:space="preserve">that even after removal from the market, neonicotinoids are still detected for years in ecosystems downstream from where they are applied. </w:t>
      </w:r>
      <w:r w:rsidR="00906EB9" w:rsidRPr="00770477">
        <w:rPr>
          <w:rFonts w:cs="Times New Roman"/>
        </w:rPr>
        <w:t xml:space="preserve">Furthermore, </w:t>
      </w:r>
      <w:r w:rsidR="00E5626E" w:rsidRPr="00770477">
        <w:rPr>
          <w:rFonts w:cs="Times New Roman"/>
        </w:rPr>
        <w:t>neonicotinoids pose a threat to aquatic life despite</w:t>
      </w:r>
      <w:r w:rsidRPr="00770477">
        <w:rPr>
          <w:rFonts w:cs="Times New Roman"/>
        </w:rPr>
        <w:t xml:space="preserve"> the</w:t>
      </w:r>
      <w:r w:rsidR="00E5626E" w:rsidRPr="00770477">
        <w:rPr>
          <w:rFonts w:cs="Times New Roman"/>
        </w:rPr>
        <w:t>ir</w:t>
      </w:r>
      <w:r w:rsidRPr="00770477">
        <w:rPr>
          <w:rFonts w:cs="Times New Roman"/>
        </w:rPr>
        <w:t xml:space="preserve"> relatively short half-life for water photolysis. Neonicotinoids bind to the post-synaptic </w:t>
      </w:r>
      <w:proofErr w:type="spellStart"/>
      <w:r w:rsidRPr="00770477">
        <w:rPr>
          <w:rFonts w:cs="Times New Roman"/>
        </w:rPr>
        <w:t>nicotinerginic</w:t>
      </w:r>
      <w:proofErr w:type="spellEnd"/>
      <w:r w:rsidRPr="00770477">
        <w:rPr>
          <w:rFonts w:cs="Times New Roman"/>
        </w:rPr>
        <w:t xml:space="preserve"> acetylcholine receptors (</w:t>
      </w:r>
      <w:proofErr w:type="spellStart"/>
      <w:r w:rsidRPr="00770477">
        <w:rPr>
          <w:rFonts w:cs="Times New Roman"/>
        </w:rPr>
        <w:t>nAChR</w:t>
      </w:r>
      <w:proofErr w:type="spellEnd"/>
      <w:r w:rsidRPr="00770477">
        <w:rPr>
          <w:rFonts w:cs="Times New Roman"/>
        </w:rPr>
        <w:t xml:space="preserve">) in insect nervous systems leaving the channel open and effectively overwhelming the nervous system to the point of death </w:t>
      </w:r>
      <w:r w:rsidRPr="00770477">
        <w:rPr>
          <w:rFonts w:cs="Times New Roman"/>
        </w:rPr>
        <w:fldChar w:fldCharType="begin"/>
      </w:r>
      <w:r w:rsidR="002074AD">
        <w:rPr>
          <w:rFonts w:cs="Times New Roman"/>
        </w:rPr>
        <w:instrText xml:space="preserve"> ADDIN ZOTERO_ITEM CSL_CITATION {"citationID":"xuuVBjo5","properties":{"formattedCitation":"(Morrissey et al., 2015; S\\uc0\\u225{}nchez-Bayo et al., 2016)","plainCitation":"(Morrissey et al., 2015; Sánchez-Bayo et al., 2016)","noteIndex":0},"citationItems":[{"id":221,"uris":["http://zotero.org/users/8423188/items/VC3HAM8N"],"itemData":{"id":221,"type":"article-journal","abstract":"Neonicotinoids, broad-spectrum systemic insecticides, are the fastest growing class of insecticides worldwide and are now registered for use on hundreds of ﬁeld crops in over 120 different countries. The environmental proﬁle of this class of pesticides indicate that they are persistent, have high leaching and runoff potential, and are highly toxic to a wide range of invertebrates. Therefore, neonicotinoids represent a significant risk to surface waters and the diverse aquatic and terrestrial fauna that these ecosystems support. This review synthesizes the current state of knowledge on the reported concentrations of neonicotinoids in surface waters from 29 studies in 9 countries world-wide in tandem with published data on their acute and chronic toxicity to 49 species of aquatic insects and crustaceans spanning 12 invertebrate orders. Strong evidence exists that water-borne neonicotinoid exposures are frequent, long-term and at levels (geometric means = 0.13 μg/L (averages) and 0.63 μg/L (maxima)) which commonly exceed several existing water quality guidelines. Imidacloprid is by far the most widely studied neonicotinoid (66% of the 214 toxicity tests reviewed) with differences in sensitivity among aquatic invertebrate species ranging several orders of magnitude; other neonicotinoids display analogous modes of action and similar toxicities, although comparative data are limited. Of the species evaluated, insects belonging to the orders Ephemeroptera, Trichoptera and Diptera appear to be the most sensitive, while those of Crustacea (although not universally so) are less sensitive. In particular, the standard test species Daphnia magna appears to be very tolerant, with 24–96 hour LC50 values exceeding 100,000 μg/L (geometric mean N 44,000 μg/L), which is at least 2–3 orders of magnitude higher than the geometric mean of all other invertebrate species tested. Overall, neonicotinoids can exert adverse effects on survival, growth, emergence, mobility, and behavior of many sensitive aquatic invertebrate taxa at concentrations at or below 1 μg/L under acute exposure and 0.1 μg/L for chronic exposure. Using probabilistic approaches (species sensitivity distributions), we recommend here that ecological thresholds for neonicotinoid water concentrations need to be below 0.2 μg/L (shortterm acute) or 0.035 μg/L (long-term chronic) to avoid lasting effects on aquatic invertebrate communities. The application of safety factors may still be warranted considering potential issues of slow recovery, additive or synergistic effects and multiple stressors that can occur in the ﬁeld. Our analysis revealed that 81% (22/27) and 74% (14/19) of global surface water studies reporting maximum and average individual neonicotinoid concentrations respectively, exceeded these thresholds of 0.2 and 0.035 μg/L. Therefore, it appears that environmentally relevant concentrations of neonicotinoids in surface waters worldwide are well within the range where both short- and long-term impacts on aquatic invertebrate species are possible over broad spatial scales.","container-title":"Environment International","DOI":"10.1016/j.envint.2014.10.024","ISSN":"01604120","journalAbbreviation":"Environment International","language":"en","page":"291-303","source":"DOI.org (Crossref)","title":"Neonicotinoid contamination of global surface waters and associated risk to aquatic invertebrates: A review","title-short":"Neonicotinoid contamination of global surface waters and associated risk to aquatic invertebrates","volume":"74","author":[{"family":"Morrissey","given":"Christy A."},{"family":"Mineau","given":"Pierre"},{"family":"Devries","given":"James H."},{"family":"Sanchez-Bayo","given":"Francisco"},{"family":"Liess","given":"Matthias"},{"family":"Cavallaro","given":"Michael C."},{"family":"Liber","given":"Karsten"}],"issued":{"date-parts":[["2015",1]]}}},{"id":72,"uris":["http://zotero.org/users/8423188/items/GXHSPCMX"],"itemData":{"id":72,"type":"article-journal","abstract":"The widespread use of systemic neonicotinoid insecticides in agriculture results ﬁrst in contamination of the soil of the treated crops, and secondly in the transfer of residues to the aquatic environment. The high toxicity of these insecticides to aquatic insects and other arthropods has been recognized, but there is little awareness of the impacts these chemicals have on aquatic environments and the ecosystem at large. Recent monitoring studies in several countries, however, have revealed a world-wide contamination of creeks, rivers and lakes with these insecticides, with residue levels in the low µg/L (ppb) range. The current extent of aquatic contamination by neonicotinoids is reviewed ﬁrst, and the ﬁndings contrasted with the known acute and chronic toxicity of neonicotinoids to various aquatic organisms. Impacts on populations and aquatic communities, mostly using mesocosms, are reviewed next to identify the communities most at risk from those that undergo little or no impact. Finally, the ecological links between aquatic and terrestrial organisms are considered. The consequences for terrestrial vertebrate species that depend mainly on this food source are discussed together with impacts on ecosystem function. Gaps in knowledge stem from difﬁculties in obtaining long-term experimental data that relates the effects on individual organisms to impacts on populations and ecosystems. The paper concludes with a summary of ﬁndings and the implications they have for the larger ecosystem.","container-title":"Frontiers in Environmental Science","DOI":"10.3389/fenvs.2016.00071","ISSN":"2296-665X","journalAbbreviation":"Front. Environ. Sci.","language":"en","page":"71","source":"DOI.org (Crossref)","title":"Contamination of the Aquatic Environment with Neonicotinoids and its Implication for Ecosystems","volume":"4","author":[{"family":"Sánchez-Bayo","given":"Francisco"},{"family":"Goka","given":"Koichi"},{"family":"Hayasaka","given":"Daisuke"}],"issued":{"date-parts":[["2016",11,2]]}}}],"schema":"https://github.com/citation-style-language/schema/raw/master/csl-citation.json"} </w:instrText>
      </w:r>
      <w:r w:rsidRPr="00770477">
        <w:rPr>
          <w:rFonts w:cs="Times New Roman"/>
        </w:rPr>
        <w:fldChar w:fldCharType="separate"/>
      </w:r>
      <w:r w:rsidR="00E11E17" w:rsidRPr="00770477">
        <w:rPr>
          <w:rFonts w:cs="Times New Roman"/>
        </w:rPr>
        <w:t>(Morrissey et al., 2015; Sánchez-Bayo et al., 2016)</w:t>
      </w:r>
      <w:r w:rsidRPr="00770477">
        <w:rPr>
          <w:rFonts w:cs="Times New Roman"/>
        </w:rPr>
        <w:fldChar w:fldCharType="end"/>
      </w:r>
      <w:r w:rsidRPr="00770477">
        <w:rPr>
          <w:rFonts w:cs="Times New Roman"/>
        </w:rPr>
        <w:t xml:space="preserve">. It was previously understood that mammal and other vertebrate nervous systems express less affinity to bond to neonicotinoids based on differing </w:t>
      </w:r>
      <w:proofErr w:type="spellStart"/>
      <w:r w:rsidRPr="00770477">
        <w:rPr>
          <w:rFonts w:cs="Times New Roman"/>
        </w:rPr>
        <w:t>nAChR</w:t>
      </w:r>
      <w:proofErr w:type="spellEnd"/>
      <w:r w:rsidRPr="00770477">
        <w:rPr>
          <w:rFonts w:cs="Times New Roman"/>
        </w:rPr>
        <w:t xml:space="preserve"> configurations </w:t>
      </w:r>
      <w:r w:rsidRPr="00770477">
        <w:rPr>
          <w:rFonts w:cs="Times New Roman"/>
        </w:rPr>
        <w:fldChar w:fldCharType="begin"/>
      </w:r>
      <w:r w:rsidR="002074AD">
        <w:rPr>
          <w:rFonts w:cs="Times New Roman"/>
        </w:rPr>
        <w:instrText xml:space="preserve"> ADDIN ZOTERO_ITEM CSL_CITATION {"citationID":"tvbAqSNG","properties":{"formattedCitation":"(Yamamoto et al., 1995)","plainCitation":"(Yamamoto et al., 1995)","noteIndex":0},"citationItems":[{"id":399,"uris":["http://zotero.org/users/8423188/items/RGMIGZLP"],"itemData":{"id":399,"type":"article-journal","container-title":"Journal of Pesticide Science","DOI":"10.1584/jpestics.20.33","ISSN":"1348-589X, 1349-0923","issue":"1","journalAbbreviation":"J. Pestic. Sci.","language":"en","page":"33-40","source":"DOI.org (Crossref)","title":"Molecular Mechanism for Selective Toxicity of Nicotinoids and Neonicotinoids","volume":"20","author":[{"family":"Yamamoto","given":"Izuru"},{"family":"Yabuta","given":"Goro"},{"family":"Tomizawa","given":"Motohiro"},{"family":"Saito","given":"Takayuki"},{"family":"Miyamoto","given":"Toru"},{"family":"Kagabu","given":"Shinzo"}],"issued":{"date-parts":[["1995"]]}}}],"schema":"https://github.com/citation-style-language/schema/raw/master/csl-citation.json"} </w:instrText>
      </w:r>
      <w:r w:rsidRPr="00770477">
        <w:rPr>
          <w:rFonts w:cs="Times New Roman"/>
        </w:rPr>
        <w:fldChar w:fldCharType="separate"/>
      </w:r>
      <w:r w:rsidR="00E11E17" w:rsidRPr="00770477">
        <w:rPr>
          <w:rFonts w:cs="Times New Roman"/>
        </w:rPr>
        <w:t>(Yamamoto et al., 1995)</w:t>
      </w:r>
      <w:r w:rsidRPr="00770477">
        <w:rPr>
          <w:rFonts w:cs="Times New Roman"/>
        </w:rPr>
        <w:fldChar w:fldCharType="end"/>
      </w:r>
      <w:r w:rsidRPr="00770477">
        <w:rPr>
          <w:rFonts w:cs="Times New Roman"/>
        </w:rPr>
        <w:t xml:space="preserve">. However, more recent studies by </w:t>
      </w:r>
      <w:r w:rsidRPr="00770477">
        <w:rPr>
          <w:rFonts w:cs="Times New Roman"/>
        </w:rPr>
        <w:fldChar w:fldCharType="begin"/>
      </w:r>
      <w:r w:rsidR="002074AD">
        <w:rPr>
          <w:rFonts w:cs="Times New Roman"/>
        </w:rPr>
        <w:instrText xml:space="preserve"> ADDIN ZOTERO_ITEM CSL_CITATION {"citationID":"fpZ1AbkX","properties":{"formattedCitation":"(Bal et al., 2012; Han et al., 2018; Kimura-Kuroda et al., 2012)","plainCitation":"(Bal et al., 2012; Han et al., 2018; Kimura-Kuroda et al., 2012)","dontUpdate":true,"noteIndex":0},"citationItems":[{"id":460,"uris":["http://zotero.org/users/8423188/items/T9QSQCT9"],"itemData":{"id":460,"type":"article-journal","container-title":"Journal of Environmental Science and Health, Part B","DOI":"10.1080/03601234.2012.663311","ISSN":"0360-1234, 1532-4109","issue":"5","journalAbbreviation":"Journal of Environmental Science and Health, Part B","language":"en","page":"434-444","source":"DOI.org (Crossref)","title":"Assessment of imidacloprid toxicity on reproductive organ system of adult male rats","volume":"47","author":[{"family":"Bal","given":"Ramazan"},{"family":"Türk","given":"Gaffari"},{"family":"Tuzcu","given":"Mehmet"},{"family":"Yilmaz","given":"Okkes"},{"family":"Kuloglu","given":"Tuncay"},{"family":"Gundogdu","given":"Ramazan"},{"family":"Gür","given":"Seyfettin"},{"family":"Agca","given":"Ali"},{"family":"Ulas","given":"Mustafa"},{"family":"Çambay","given":"Zafer"},{"family":"Tuzcu","given":"Zeynep"},{"family":"Gencoglu","given":"Hasan"},{"family":"Guvenc","given":"Mehmet"},{"family":"Ozsahin","given":"Ayse Dilek"},{"family":"Kocaman","given":"Nevin"},{"family":"Aslan","given":"Abdullah"},{"family":"Etem","given":"Ebru"}],"issued":{"date-parts":[["2012",5]]}}},{"id":458,"uris":["http://zotero.org/users/8423188/items/K5Q9CY3J"],"itemData":{"id":458,"type":"article-journal","abstract":"Neonicotinoid insecticides have become the fastest growing class of insecticides over the past few decades. The insecticidal activity of neonicotinoids is attributed to their agonist action on nicotinic acetylcholine receptors (nAChRs). Because of the special selective action on nAChRs in central nervous system of insects, and versatility in application methods, neonicotinoids are used to protect crops and pets from insect attacks globally. Although neonicotinoids are considered low toxicity to mammals and humans in comparison with traditional insecticides, more and more studies show exposure to neonicotinoids pose potential risk to mammals and even humans. In recent years, neonicotinoids and their metabolites have been successfully detected in various human biological samples. Meanwhile, many studies have focused on the health effects of neonicotinoids on humans. Our aims here are to review studies on human neonicotinoid exposure levels, health effect, evaluation of potential toxicity and to suggest possible directions for future research.","container-title":"Chemosphere","DOI":"10.1016/j.chemosphere.2017.10.149","ISSN":"00456535","journalAbbreviation":"Chemosphere","language":"en","page":"59-65","source":"DOI.org (Crossref)","title":"Human exposure to neonicotinoid insecticides and the evaluation of their potential toxicity: An overview","title-short":"Human exposure to neonicotinoid insecticides and the evaluation of their potential toxicity","volume":"192","author":[{"family":"Han","given":"Wenchao"},{"family":"Tian","given":"Ying"},{"family":"Shen","given":"Xiaoming"}],"issued":{"date-parts":[["2018",2]]}}},{"id":462,"uris":["http://zotero.org/users/8423188/items/IU9JCYA9"],"itemData":{"id":462,"type":"article-journal","container-title":"PLoS ONE","DOI":"10.1371/journal.pone.0032432","ISSN":"1932-6203","issue":"2","journalAbbreviation":"PLoS ONE","language":"en","page":"e32432","source":"DOI.org (Crossref)","title":"Nicotine-Like Effects of the Neonicotinoid Insecticides Acetamiprid and Imidacloprid on Cerebellar Neurons from Neonatal Rats","volume":"7","author":[{"family":"Kimura-Kuroda","given":"Junko"},{"family":"Komuta","given":"Yukari"},{"family":"Kuroda","given":"Yoichiro"},{"family":"Hayashi","given":"Masaharu"},{"family":"Kawano","given":"Hitoshi"}],"editor":[{"family":"Okamoto","given":"Shu-ichi"}],"issued":{"date-parts":[["2012",2,29]]}}}],"schema":"https://github.com/citation-style-language/schema/raw/master/csl-citation.json"} </w:instrText>
      </w:r>
      <w:r w:rsidRPr="00770477">
        <w:rPr>
          <w:rFonts w:cs="Times New Roman"/>
        </w:rPr>
        <w:fldChar w:fldCharType="separate"/>
      </w:r>
      <w:r w:rsidRPr="00770477">
        <w:rPr>
          <w:rFonts w:cs="Times New Roman"/>
          <w:noProof/>
        </w:rPr>
        <w:t>Bal et al., (2012), Han et al. (2018), and Kimura-Kuroda et al. (2012)</w:t>
      </w:r>
      <w:r w:rsidRPr="00770477">
        <w:rPr>
          <w:rFonts w:cs="Times New Roman"/>
        </w:rPr>
        <w:fldChar w:fldCharType="end"/>
      </w:r>
      <w:r w:rsidRPr="00770477">
        <w:rPr>
          <w:rFonts w:cs="Times New Roman"/>
        </w:rPr>
        <w:t xml:space="preserve"> suggest that neonicotinoids can have adverse effects on vertebrates (including humans) which include reproductive toxicology, neurotoxicity, hepatotoxicity/</w:t>
      </w:r>
      <w:proofErr w:type="spellStart"/>
      <w:r w:rsidRPr="00770477">
        <w:rPr>
          <w:rFonts w:cs="Times New Roman"/>
        </w:rPr>
        <w:t>hepatocarcinogenicity</w:t>
      </w:r>
      <w:proofErr w:type="spellEnd"/>
      <w:r w:rsidRPr="00770477">
        <w:rPr>
          <w:rFonts w:cs="Times New Roman"/>
        </w:rPr>
        <w:t xml:space="preserve">, immunotoxicity, genetic toxicity </w:t>
      </w:r>
      <w:r w:rsidRPr="00770477">
        <w:rPr>
          <w:rFonts w:cs="Times New Roman"/>
        </w:rPr>
        <w:fldChar w:fldCharType="begin"/>
      </w:r>
      <w:r w:rsidR="002074AD">
        <w:rPr>
          <w:rFonts w:cs="Times New Roman"/>
        </w:rPr>
        <w:instrText xml:space="preserve"> ADDIN ZOTERO_ITEM CSL_CITATION {"citationID":"R8B17wje","properties":{"formattedCitation":"(Han et al., 2018)","plainCitation":"(Han et al., 2018)","noteIndex":0},"citationItems":[{"id":458,"uris":["http://zotero.org/users/8423188/items/K5Q9CY3J"],"itemData":{"id":458,"type":"article-journal","abstract":"Neonicotinoid insecticides have become the fastest growing class of insecticides over the past few decades. The insecticidal activity of neonicotinoids is attributed to their agonist action on nicotinic acetylcholine receptors (nAChRs). Because of the special selective action on nAChRs in central nervous system of insects, and versatility in application methods, neonicotinoids are used to protect crops and pets from insect attacks globally. Although neonicotinoids are considered low toxicity to mammals and humans in comparison with traditional insecticides, more and more studies show exposure to neonicotinoids pose potential risk to mammals and even humans. In recent years, neonicotinoids and their metabolites have been successfully detected in various human biological samples. Meanwhile, many studies have focused on the health effects of neonicotinoids on humans. Our aims here are to review studies on human neonicotinoid exposure levels, health effect, evaluation of potential toxicity and to suggest possible directions for future research.","container-title":"Chemosphere","DOI":"10.1016/j.chemosphere.2017.10.149","ISSN":"00456535","journalAbbreviation":"Chemosphere","language":"en","page":"59-65","source":"DOI.org (Crossref)","title":"Human exposure to neonicotinoid insecticides and the evaluation of their potential toxicity: An overview","title-short":"Human exposure to neonicotinoid insecticides and the evaluation of their potential toxicity","volume":"192","author":[{"family":"Han","given":"Wenchao"},{"family":"Tian","given":"Ying"},{"family":"Shen","given":"Xiaoming"}],"issued":{"date-parts":[["2018",2]]}}}],"schema":"https://github.com/citation-style-language/schema/raw/master/csl-citation.json"} </w:instrText>
      </w:r>
      <w:r w:rsidRPr="00770477">
        <w:rPr>
          <w:rFonts w:cs="Times New Roman"/>
        </w:rPr>
        <w:fldChar w:fldCharType="separate"/>
      </w:r>
      <w:r w:rsidR="00E11E17" w:rsidRPr="00770477">
        <w:rPr>
          <w:rFonts w:cs="Times New Roman"/>
        </w:rPr>
        <w:t>(Han et al., 2018)</w:t>
      </w:r>
      <w:r w:rsidRPr="00770477">
        <w:rPr>
          <w:rFonts w:cs="Times New Roman"/>
        </w:rPr>
        <w:fldChar w:fldCharType="end"/>
      </w:r>
      <w:r w:rsidRPr="00770477">
        <w:rPr>
          <w:rFonts w:cs="Times New Roman"/>
        </w:rPr>
        <w:t xml:space="preserve"> as well as adverse effects on human reproductive health and brain development </w:t>
      </w:r>
      <w:r w:rsidRPr="00770477">
        <w:rPr>
          <w:rFonts w:cs="Times New Roman"/>
        </w:rPr>
        <w:fldChar w:fldCharType="begin"/>
      </w:r>
      <w:r w:rsidR="002074AD">
        <w:rPr>
          <w:rFonts w:cs="Times New Roman"/>
        </w:rPr>
        <w:instrText xml:space="preserve"> ADDIN ZOTERO_ITEM CSL_CITATION {"citationID":"0yWvMrnk","properties":{"formattedCitation":"(Bal et al., 2012; Han et al., 2018; Kimura-Kuroda et al., 2012)","plainCitation":"(Bal et al., 2012; Han et al., 2018; Kimura-Kuroda et al., 2012)","noteIndex":0},"citationItems":[{"id":460,"uris":["http://zotero.org/users/8423188/items/T9QSQCT9"],"itemData":{"id":460,"type":"article-journal","container-title":"Journal of Environmental Science and Health, Part B","DOI":"10.1080/03601234.2012.663311","ISSN":"0360-1234, 1532-4109","issue":"5","journalAbbreviation":"Journal of Environmental Science and Health, Part B","language":"en","page":"434-444","source":"DOI.org (Crossref)","title":"Assessment of imidacloprid toxicity on reproductive organ system of adult male rats","volume":"47","author":[{"family":"Bal","given":"Ramazan"},{"family":"Türk","given":"Gaffari"},{"family":"Tuzcu","given":"Mehmet"},{"family":"Yilmaz","given":"Okkes"},{"family":"Kuloglu","given":"Tuncay"},{"family":"Gundogdu","given":"Ramazan"},{"family":"Gür","given":"Seyfettin"},{"family":"Agca","given":"Ali"},{"family":"Ulas","given":"Mustafa"},{"family":"Çambay","given":"Zafer"},{"family":"Tuzcu","given":"Zeynep"},{"family":"Gencoglu","given":"Hasan"},{"family":"Guvenc","given":"Mehmet"},{"family":"Ozsahin","given":"Ayse Dilek"},{"family":"Kocaman","given":"Nevin"},{"family":"Aslan","given":"Abdullah"},{"family":"Etem","given":"Ebru"}],"issued":{"date-parts":[["2012",5]]}}},{"id":458,"uris":["http://zotero.org/users/8423188/items/K5Q9CY3J"],"itemData":{"id":458,"type":"article-journal","abstract":"Neonicotinoid insecticides have become the fastest growing class of insecticides over the past few decades. The insecticidal activity of neonicotinoids is attributed to their agonist action on nicotinic acetylcholine receptors (nAChRs). Because of the special selective action on nAChRs in central nervous system of insects, and versatility in application methods, neonicotinoids are used to protect crops and pets from insect attacks globally. Although neonicotinoids are considered low toxicity to mammals and humans in comparison with traditional insecticides, more and more studies show exposure to neonicotinoids pose potential risk to mammals and even humans. In recent years, neonicotinoids and their metabolites have been successfully detected in various human biological samples. Meanwhile, many studies have focused on the health effects of neonicotinoids on humans. Our aims here are to review studies on human neonicotinoid exposure levels, health effect, evaluation of potential toxicity and to suggest possible directions for future research.","container-title":"Chemosphere","DOI":"10.1016/j.chemosphere.2017.10.149","ISSN":"00456535","journalAbbreviation":"Chemosphere","language":"en","page":"59-65","source":"DOI.org (Crossref)","title":"Human exposure to neonicotinoid insecticides and the evaluation of their potential toxicity: An overview","title-short":"Human exposure to neonicotinoid insecticides and the evaluation of their potential toxicity","volume":"192","author":[{"family":"Han","given":"Wenchao"},{"family":"Tian","given":"Ying"},{"family":"Shen","given":"Xiaoming"}],"issued":{"date-parts":[["2018",2]]}}},{"id":462,"uris":["http://zotero.org/users/8423188/items/IU9JCYA9"],"itemData":{"id":462,"type":"article-journal","container-title":"PLoS ONE","DOI":"10.1371/journal.pone.0032432","ISSN":"1932-6203","issue":"2","journalAbbreviation":"PLoS ONE","language":"en","page":"e32432","source":"DOI.org (Crossref)","title":"Nicotine-Like Effects of the Neonicotinoid Insecticides Acetamiprid and Imidacloprid on Cerebellar Neurons from Neonatal Rats","volume":"7","author":[{"family":"Kimura-Kuroda","given":"Junko"},{"family":"Komuta","given":"Yukari"},{"family":"Kuroda","given":"Yoichiro"},{"family":"Hayashi","given":"Masaharu"},{"family":"Kawano","given":"Hitoshi"}],"editor":[{"family":"Okamoto","given":"Shu-ichi"}],"issued":{"date-parts":[["2012",2,29]]}}}],"schema":"https://github.com/citation-style-language/schema/raw/master/csl-citation.json"} </w:instrText>
      </w:r>
      <w:r w:rsidRPr="00770477">
        <w:rPr>
          <w:rFonts w:cs="Times New Roman"/>
        </w:rPr>
        <w:fldChar w:fldCharType="separate"/>
      </w:r>
      <w:r w:rsidR="00E11E17" w:rsidRPr="00770477">
        <w:rPr>
          <w:rFonts w:cs="Times New Roman"/>
        </w:rPr>
        <w:t>(Bal et al., 2012; Han et al., 2018; Kimura-Kuroda et al., 2012)</w:t>
      </w:r>
      <w:r w:rsidRPr="00770477">
        <w:rPr>
          <w:rFonts w:cs="Times New Roman"/>
        </w:rPr>
        <w:fldChar w:fldCharType="end"/>
      </w:r>
      <w:r w:rsidRPr="00770477">
        <w:rPr>
          <w:rFonts w:cs="Times New Roman"/>
        </w:rPr>
        <w:t xml:space="preserve">. In invertebrates specifically, it is documented that once neonicotinoids are bonded to the </w:t>
      </w:r>
      <w:proofErr w:type="spellStart"/>
      <w:r w:rsidRPr="00770477">
        <w:rPr>
          <w:rFonts w:cs="Times New Roman"/>
        </w:rPr>
        <w:t>nACh</w:t>
      </w:r>
      <w:proofErr w:type="spellEnd"/>
      <w:r w:rsidRPr="00770477">
        <w:rPr>
          <w:rFonts w:cs="Times New Roman"/>
        </w:rPr>
        <w:t xml:space="preserve"> receptors, it is irreversible, which leads to bioaccumulation of these compounds </w:t>
      </w:r>
      <w:r w:rsidRPr="00770477">
        <w:rPr>
          <w:rFonts w:cs="Times New Roman"/>
        </w:rPr>
        <w:lastRenderedPageBreak/>
        <w:t>therefore posing not only acute but also chronic threats</w:t>
      </w:r>
      <w:r w:rsidR="00BD18CA">
        <w:rPr>
          <w:rFonts w:cs="Times New Roman"/>
        </w:rPr>
        <w:t xml:space="preserve"> </w:t>
      </w:r>
      <w:r w:rsidRPr="00770477">
        <w:rPr>
          <w:rFonts w:cs="Times New Roman"/>
        </w:rPr>
        <w:fldChar w:fldCharType="begin"/>
      </w:r>
      <w:r w:rsidR="002074AD">
        <w:rPr>
          <w:rFonts w:cs="Times New Roman"/>
        </w:rPr>
        <w:instrText xml:space="preserve"> ADDIN ZOTERO_ITEM CSL_CITATION {"citationID":"lMAJ7lX0","properties":{"formattedCitation":"(S\\uc0\\u225{}nchez-Bayo et al., 2016; Yamamoto et al., 1995)","plainCitation":"(Sánchez-Bayo et al., 2016; Yamamoto et al., 1995)","noteIndex":0},"citationItems":[{"id":72,"uris":["http://zotero.org/users/8423188/items/GXHSPCMX"],"itemData":{"id":72,"type":"article-journal","abstract":"The widespread use of systemic neonicotinoid insecticides in agriculture results ﬁrst in contamination of the soil of the treated crops, and secondly in the transfer of residues to the aquatic environment. The high toxicity of these insecticides to aquatic insects and other arthropods has been recognized, but there is little awareness of the impacts these chemicals have on aquatic environments and the ecosystem at large. Recent monitoring studies in several countries, however, have revealed a world-wide contamination of creeks, rivers and lakes with these insecticides, with residue levels in the low µg/L (ppb) range. The current extent of aquatic contamination by neonicotinoids is reviewed ﬁrst, and the ﬁndings contrasted with the known acute and chronic toxicity of neonicotinoids to various aquatic organisms. Impacts on populations and aquatic communities, mostly using mesocosms, are reviewed next to identify the communities most at risk from those that undergo little or no impact. Finally, the ecological links between aquatic and terrestrial organisms are considered. The consequences for terrestrial vertebrate species that depend mainly on this food source are discussed together with impacts on ecosystem function. Gaps in knowledge stem from difﬁculties in obtaining long-term experimental data that relates the effects on individual organisms to impacts on populations and ecosystems. The paper concludes with a summary of ﬁndings and the implications they have for the larger ecosystem.","container-title":"Frontiers in Environmental Science","DOI":"10.3389/fenvs.2016.00071","ISSN":"2296-665X","journalAbbreviation":"Front. Environ. Sci.","language":"en","page":"71","source":"DOI.org (Crossref)","title":"Contamination of the Aquatic Environment with Neonicotinoids and its Implication for Ecosystems","volume":"4","author":[{"family":"Sánchez-Bayo","given":"Francisco"},{"family":"Goka","given":"Koichi"},{"family":"Hayasaka","given":"Daisuke"}],"issued":{"date-parts":[["2016",11,2]]}}},{"id":399,"uris":["http://zotero.org/users/8423188/items/RGMIGZLP"],"itemData":{"id":399,"type":"article-journal","container-title":"Journal of Pesticide Science","DOI":"10.1584/jpestics.20.33","ISSN":"1348-589X, 1349-0923","issue":"1","journalAbbreviation":"J. Pestic. Sci.","language":"en","page":"33-40","source":"DOI.org (Crossref)","title":"Molecular Mechanism for Selective Toxicity of Nicotinoids and Neonicotinoids","volume":"20","author":[{"family":"Yamamoto","given":"Izuru"},{"family":"Yabuta","given":"Goro"},{"family":"Tomizawa","given":"Motohiro"},{"family":"Saito","given":"Takayuki"},{"family":"Miyamoto","given":"Toru"},{"family":"Kagabu","given":"Shinzo"}],"issued":{"date-parts":[["1995"]]}}}],"schema":"https://github.com/citation-style-language/schema/raw/master/csl-citation.json"} </w:instrText>
      </w:r>
      <w:r w:rsidRPr="00770477">
        <w:rPr>
          <w:rFonts w:cs="Times New Roman"/>
        </w:rPr>
        <w:fldChar w:fldCharType="separate"/>
      </w:r>
      <w:r w:rsidR="00E11E17" w:rsidRPr="00770477">
        <w:rPr>
          <w:rFonts w:cs="Times New Roman"/>
        </w:rPr>
        <w:t>(Sánchez-Bayo et al., 2016; Yamamoto et al., 1995)</w:t>
      </w:r>
      <w:r w:rsidRPr="00770477">
        <w:rPr>
          <w:rFonts w:cs="Times New Roman"/>
        </w:rPr>
        <w:fldChar w:fldCharType="end"/>
      </w:r>
      <w:r w:rsidRPr="00770477">
        <w:rPr>
          <w:rFonts w:cs="Times New Roman"/>
        </w:rPr>
        <w:t xml:space="preserve">. </w:t>
      </w:r>
      <w:r w:rsidRPr="00770477">
        <w:rPr>
          <w:rFonts w:cs="Times New Roman"/>
        </w:rPr>
        <w:fldChar w:fldCharType="begin"/>
      </w:r>
      <w:r w:rsidR="002074AD">
        <w:rPr>
          <w:rFonts w:cs="Times New Roman"/>
        </w:rPr>
        <w:instrText xml:space="preserve"> ADDIN ZOTERO_ITEM CSL_CITATION {"citationID":"g3MvbfYl","properties":{"formattedCitation":"(S\\uc0\\u225{}nchez-Bayo et al., 2016)","plainCitation":"(Sánchez-Bayo et al., 2016)","dontUpdate":true,"noteIndex":0},"citationItems":[{"id":72,"uris":["http://zotero.org/users/8423188/items/GXHSPCMX"],"itemData":{"id":72,"type":"article-journal","abstract":"The widespread use of systemic neonicotinoid insecticides in agriculture results ﬁrst in contamination of the soil of the treated crops, and secondly in the transfer of residues to the aquatic environment. The high toxicity of these insecticides to aquatic insects and other arthropods has been recognized, but there is little awareness of the impacts these chemicals have on aquatic environments and the ecosystem at large. Recent monitoring studies in several countries, however, have revealed a world-wide contamination of creeks, rivers and lakes with these insecticides, with residue levels in the low µg/L (ppb) range. The current extent of aquatic contamination by neonicotinoids is reviewed ﬁrst, and the ﬁndings contrasted with the known acute and chronic toxicity of neonicotinoids to various aquatic organisms. Impacts on populations and aquatic communities, mostly using mesocosms, are reviewed next to identify the communities most at risk from those that undergo little or no impact. Finally, the ecological links between aquatic and terrestrial organisms are considered. The consequences for terrestrial vertebrate species that depend mainly on this food source are discussed together with impacts on ecosystem function. Gaps in knowledge stem from difﬁculties in obtaining long-term experimental data that relates the effects on individual organisms to impacts on populations and ecosystems. The paper concludes with a summary of ﬁndings and the implications they have for the larger ecosystem.","container-title":"Frontiers in Environmental Science","DOI":"10.3389/fenvs.2016.00071","ISSN":"2296-665X","journalAbbreviation":"Front. Environ. Sci.","language":"en","page":"71","source":"DOI.org (Crossref)","title":"Contamination of the Aquatic Environment with Neonicotinoids and its Implication for Ecosystems","volume":"4","author":[{"family":"Sánchez-Bayo","given":"Francisco"},{"family":"Goka","given":"Koichi"},{"family":"Hayasaka","given":"Daisuke"}],"issued":{"date-parts":[["2016",11,2]]}}}],"schema":"https://github.com/citation-style-language/schema/raw/master/csl-citation.json"} </w:instrText>
      </w:r>
      <w:r w:rsidRPr="00770477">
        <w:rPr>
          <w:rFonts w:cs="Times New Roman"/>
        </w:rPr>
        <w:fldChar w:fldCharType="separate"/>
      </w:r>
      <w:r w:rsidRPr="00770477">
        <w:rPr>
          <w:rFonts w:cs="Times New Roman"/>
        </w:rPr>
        <w:t>Sánchez-Bayo et al. (2016)</w:t>
      </w:r>
      <w:r w:rsidRPr="00770477">
        <w:rPr>
          <w:rFonts w:cs="Times New Roman"/>
        </w:rPr>
        <w:fldChar w:fldCharType="end"/>
      </w:r>
      <w:r w:rsidRPr="00770477">
        <w:rPr>
          <w:rFonts w:cs="Times New Roman"/>
        </w:rPr>
        <w:t xml:space="preserve"> cites several studies which indicate well document</w:t>
      </w:r>
      <w:r w:rsidR="00BC7DEB" w:rsidRPr="00770477">
        <w:rPr>
          <w:rFonts w:cs="Times New Roman"/>
        </w:rPr>
        <w:t>ed</w:t>
      </w:r>
      <w:r w:rsidRPr="00770477">
        <w:rPr>
          <w:rFonts w:cs="Times New Roman"/>
        </w:rPr>
        <w:t xml:space="preserve"> cases of lethal and sublethal affects to aquatic organisms, including feeding inhibition, impaired movement, reduced fecundity, and reduced body size (in mayflies and fish). </w:t>
      </w:r>
      <w:r w:rsidR="003A64B8" w:rsidRPr="00770477">
        <w:rPr>
          <w:rFonts w:cs="Times New Roman"/>
        </w:rPr>
        <w:t>The authors</w:t>
      </w:r>
      <w:r w:rsidRPr="00770477">
        <w:rPr>
          <w:rFonts w:cs="Times New Roman"/>
        </w:rPr>
        <w:t xml:space="preserve"> go into detail of the negative impacts that neonicotinoids have on the broader aquatic ecosystem including loss of biodiversity and lethal and sublethal impacts on the species that rely on these waterbodies as a source of food and water </w:t>
      </w:r>
      <w:r w:rsidRPr="00770477">
        <w:rPr>
          <w:rFonts w:cs="Times New Roman"/>
        </w:rPr>
        <w:fldChar w:fldCharType="begin"/>
      </w:r>
      <w:r w:rsidR="002074AD">
        <w:rPr>
          <w:rFonts w:cs="Times New Roman"/>
        </w:rPr>
        <w:instrText xml:space="preserve"> ADDIN ZOTERO_ITEM CSL_CITATION {"citationID":"NjHBI8yk","properties":{"formattedCitation":"(S\\uc0\\u225{}nchez-Bayo et al., 2016)","plainCitation":"(Sánchez-Bayo et al., 2016)","noteIndex":0},"citationItems":[{"id":72,"uris":["http://zotero.org/users/8423188/items/GXHSPCMX"],"itemData":{"id":72,"type":"article-journal","abstract":"The widespread use of systemic neonicotinoid insecticides in agriculture results ﬁrst in contamination of the soil of the treated crops, and secondly in the transfer of residues to the aquatic environment. The high toxicity of these insecticides to aquatic insects and other arthropods has been recognized, but there is little awareness of the impacts these chemicals have on aquatic environments and the ecosystem at large. Recent monitoring studies in several countries, however, have revealed a world-wide contamination of creeks, rivers and lakes with these insecticides, with residue levels in the low µg/L (ppb) range. The current extent of aquatic contamination by neonicotinoids is reviewed ﬁrst, and the ﬁndings contrasted with the known acute and chronic toxicity of neonicotinoids to various aquatic organisms. Impacts on populations and aquatic communities, mostly using mesocosms, are reviewed next to identify the communities most at risk from those that undergo little or no impact. Finally, the ecological links between aquatic and terrestrial organisms are considered. The consequences for terrestrial vertebrate species that depend mainly on this food source are discussed together with impacts on ecosystem function. Gaps in knowledge stem from difﬁculties in obtaining long-term experimental data that relates the effects on individual organisms to impacts on populations and ecosystems. The paper concludes with a summary of ﬁndings and the implications they have for the larger ecosystem.","container-title":"Frontiers in Environmental Science","DOI":"10.3389/fenvs.2016.00071","ISSN":"2296-665X","journalAbbreviation":"Front. Environ. Sci.","language":"en","page":"71","source":"DOI.org (Crossref)","title":"Contamination of the Aquatic Environment with Neonicotinoids and its Implication for Ecosystems","volume":"4","author":[{"family":"Sánchez-Bayo","given":"Francisco"},{"family":"Goka","given":"Koichi"},{"family":"Hayasaka","given":"Daisuke"}],"issued":{"date-parts":[["2016",11,2]]}}}],"schema":"https://github.com/citation-style-language/schema/raw/master/csl-citation.json"} </w:instrText>
      </w:r>
      <w:r w:rsidRPr="00770477">
        <w:rPr>
          <w:rFonts w:cs="Times New Roman"/>
        </w:rPr>
        <w:fldChar w:fldCharType="separate"/>
      </w:r>
      <w:r w:rsidR="00E11E17" w:rsidRPr="00770477">
        <w:rPr>
          <w:rFonts w:cs="Times New Roman"/>
        </w:rPr>
        <w:t>(Sánchez-Bayo et al., 2016)</w:t>
      </w:r>
      <w:r w:rsidRPr="00770477">
        <w:rPr>
          <w:rFonts w:cs="Times New Roman"/>
        </w:rPr>
        <w:fldChar w:fldCharType="end"/>
      </w:r>
      <w:r w:rsidRPr="00770477">
        <w:rPr>
          <w:rFonts w:cs="Times New Roman"/>
        </w:rPr>
        <w:t xml:space="preserve">. A variety of chronic and acute neonicotinoid concentration aquatic standards have been suggested and are summarized in </w:t>
      </w:r>
      <w:r w:rsidR="00F15598">
        <w:rPr>
          <w:rFonts w:cs="Times New Roman"/>
        </w:rPr>
        <w:fldChar w:fldCharType="begin"/>
      </w:r>
      <w:r w:rsidR="00F15598">
        <w:rPr>
          <w:rFonts w:cs="Times New Roman"/>
        </w:rPr>
        <w:instrText xml:space="preserve"> REF _Ref121495233 \h </w:instrText>
      </w:r>
      <w:r w:rsidR="00F15598">
        <w:rPr>
          <w:rFonts w:cs="Times New Roman"/>
        </w:rPr>
      </w:r>
      <w:r w:rsidR="00F15598">
        <w:rPr>
          <w:rFonts w:cs="Times New Roman"/>
        </w:rPr>
        <w:fldChar w:fldCharType="separate"/>
      </w:r>
      <w:r w:rsidR="00061096" w:rsidRPr="00770477">
        <w:rPr>
          <w:rFonts w:cs="Times New Roman"/>
        </w:rPr>
        <w:t xml:space="preserve">Table </w:t>
      </w:r>
      <w:r w:rsidR="00061096">
        <w:rPr>
          <w:rFonts w:cs="Times New Roman"/>
          <w:noProof/>
        </w:rPr>
        <w:t>1</w:t>
      </w:r>
      <w:r w:rsidR="00061096">
        <w:rPr>
          <w:rFonts w:cs="Times New Roman"/>
        </w:rPr>
        <w:noBreakHyphen/>
      </w:r>
      <w:r w:rsidR="00061096">
        <w:rPr>
          <w:rFonts w:cs="Times New Roman"/>
          <w:noProof/>
        </w:rPr>
        <w:t>2</w:t>
      </w:r>
      <w:r w:rsidR="00F15598">
        <w:rPr>
          <w:rFonts w:cs="Times New Roman"/>
        </w:rPr>
        <w:fldChar w:fldCharType="end"/>
      </w:r>
      <w:r w:rsidR="00F15598">
        <w:rPr>
          <w:rFonts w:cs="Times New Roman"/>
        </w:rPr>
        <w:t xml:space="preserve"> </w:t>
      </w:r>
      <w:r w:rsidRPr="00770477">
        <w:rPr>
          <w:rFonts w:cs="Times New Roman"/>
        </w:rPr>
        <w:t xml:space="preserve">(amended from </w:t>
      </w:r>
      <w:r w:rsidRPr="00770477">
        <w:rPr>
          <w:rFonts w:cs="Times New Roman"/>
        </w:rPr>
        <w:fldChar w:fldCharType="begin"/>
      </w:r>
      <w:r w:rsidR="003B6E2D">
        <w:rPr>
          <w:rFonts w:cs="Times New Roman"/>
        </w:rPr>
        <w:instrText xml:space="preserve"> ADDIN ZOTERO_ITEM CSL_CITATION {"citationID":"aej108kf0d","properties":{"formattedCitation":"(Morrissey et al., 2015; US EPA, 2015b)","plainCitation":"(Morrissey et al., 2015; US EPA, 2015b)","noteIndex":0},"citationItems":[{"id":221,"uris":["http://zotero.org/users/8423188/items/VC3HAM8N"],"itemData":{"id":221,"type":"article-journal","abstract":"Neonicotinoids, broad-spectrum systemic insecticides, are the fastest growing class of insecticides worldwide and are now registered for use on hundreds of ﬁeld crops in over 120 different countries. The environmental proﬁle of this class of pesticides indicate that they are persistent, have high leaching and runoff potential, and are highly toxic to a wide range of invertebrates. Therefore, neonicotinoids represent a significant risk to surface waters and the diverse aquatic and terrestrial fauna that these ecosystems support. This review synthesizes the current state of knowledge on the reported concentrations of neonicotinoids in surface waters from 29 studies in 9 countries world-wide in tandem with published data on their acute and chronic toxicity to 49 species of aquatic insects and crustaceans spanning 12 invertebrate orders. Strong evidence exists that water-borne neonicotinoid exposures are frequent, long-term and at levels (geometric means = 0.13 μg/L (averages) and 0.63 μg/L (maxima)) which commonly exceed several existing water quality guidelines. Imidacloprid is by far the most widely studied neonicotinoid (66% of the 214 toxicity tests reviewed) with differences in sensitivity among aquatic invertebrate species ranging several orders of magnitude; other neonicotinoids display analogous modes of action and similar toxicities, although comparative data are limited. Of the species evaluated, insects belonging to the orders Ephemeroptera, Trichoptera and Diptera appear to be the most sensitive, while those of Crustacea (although not universally so) are less sensitive. In particular, the standard test species Daphnia magna appears to be very tolerant, with 24–96 hour LC50 values exceeding 100,000 μg/L (geometric mean N 44,000 μg/L), which is at least 2–3 orders of magnitude higher than the geometric mean of all other invertebrate species tested. Overall, neonicotinoids can exert adverse effects on survival, growth, emergence, mobility, and behavior of many sensitive aquatic invertebrate taxa at concentrations at or below 1 μg/L under acute exposure and 0.1 μg/L for chronic exposure. Using probabilistic approaches (species sensitivity distributions), we recommend here that ecological thresholds for neonicotinoid water concentrations need to be below 0.2 μg/L (shortterm acute) or 0.035 μg/L (long-term chronic) to avoid lasting effects on aquatic invertebrate communities. The application of safety factors may still be warranted considering potential issues of slow recovery, additive or synergistic effects and multiple stressors that can occur in the ﬁeld. Our analysis revealed that 81% (22/27) and 74% (14/19) of global surface water studies reporting maximum and average individual neonicotinoid concentrations respectively, exceeded these thresholds of 0.2 and 0.035 μg/L. Therefore, it appears that environmentally relevant concentrations of neonicotinoids in surface waters worldwide are well within the range where both short- and long-term impacts on aquatic invertebrate species are possible over broad spatial scales.","container-title":"Environment International","DOI":"10.1016/j.envint.2014.10.024","ISSN":"01604120","journalAbbreviation":"Environment International","language":"en","page":"291-303","source":"DOI.org (Crossref)","title":"Neonicotinoid contamination of global surface waters and associated risk to aquatic invertebrates: A review","title-short":"Neonicotinoid contamination of global surface waters and associated risk to aquatic invertebrates","volume":"74","author":[{"family":"Morrissey","given":"Christy A."},{"family":"Mineau","given":"Pierre"},{"family":"Devries","given":"James H."},{"family":"Sanchez-Bayo","given":"Francisco"},{"family":"Liess","given":"Matthias"},{"family":"Cavallaro","given":"Michael C."},{"family":"Liber","given":"Karsten"}],"issued":{"date-parts":[["2015",1]]}}},{"id":617,"uris":["http://zotero.org/users/8423188/items/TIDFMLLD"],"itemData":{"id":617,"type":"webpage","abstract":"Table listing criteria for chemical concentration goals to protect surface water for aquatic life use.","genre":"Data and Tools","language":"en","title":"National Recommended Water Quality Criteria - Aquatic Life Criteria Table","URL":"https://www.epa.gov/wqc/national-recommended-water-quality-criteria-aquatic-life-criteria-table","author":[{"family":"US EPA","given":"OW"}],"accessed":{"date-parts":[["2022",8,24]]},"issued":{"date-parts":[["2015",9,3]]}}}],"schema":"https://github.com/citation-style-language/schema/raw/master/csl-citation.json"} </w:instrText>
      </w:r>
      <w:r w:rsidRPr="00770477">
        <w:rPr>
          <w:rFonts w:cs="Times New Roman"/>
        </w:rPr>
        <w:fldChar w:fldCharType="separate"/>
      </w:r>
      <w:r w:rsidR="003B6E2D" w:rsidRPr="003B6E2D">
        <w:rPr>
          <w:rFonts w:cs="Times New Roman"/>
        </w:rPr>
        <w:t>(Morrissey et al., 2015; US EPA, 2015b)</w:t>
      </w:r>
      <w:r w:rsidRPr="00770477">
        <w:rPr>
          <w:rFonts w:cs="Times New Roman"/>
        </w:rPr>
        <w:fldChar w:fldCharType="end"/>
      </w:r>
      <w:r w:rsidRPr="00770477">
        <w:rPr>
          <w:rFonts w:cs="Times New Roman"/>
        </w:rPr>
        <w:t>.</w:t>
      </w:r>
    </w:p>
    <w:p w14:paraId="309813A5" w14:textId="77777777" w:rsidR="00C700A7" w:rsidRPr="00770477" w:rsidRDefault="00C700A7" w:rsidP="00A80CF0">
      <w:pPr>
        <w:rPr>
          <w:rFonts w:cs="Times New Roman"/>
        </w:rPr>
      </w:pPr>
    </w:p>
    <w:p w14:paraId="24762345" w14:textId="40322623" w:rsidR="00C700A7" w:rsidRPr="00770477" w:rsidRDefault="00A00E5A" w:rsidP="00DB768D">
      <w:pPr>
        <w:pStyle w:val="Caption"/>
        <w:spacing w:line="240" w:lineRule="auto"/>
        <w:rPr>
          <w:rFonts w:cs="Times New Roman"/>
        </w:rPr>
      </w:pPr>
      <w:bookmarkStart w:id="6" w:name="_Ref121495233"/>
      <w:bookmarkStart w:id="7" w:name="_Toc121495925"/>
      <w:r w:rsidRPr="00770477">
        <w:rPr>
          <w:rFonts w:cs="Times New Roman"/>
        </w:rPr>
        <w:t xml:space="preserve">Table </w:t>
      </w:r>
      <w:r w:rsidR="00B26DDF">
        <w:rPr>
          <w:rFonts w:cs="Times New Roman"/>
        </w:rPr>
        <w:fldChar w:fldCharType="begin"/>
      </w:r>
      <w:r w:rsidR="00B26DDF">
        <w:rPr>
          <w:rFonts w:cs="Times New Roman"/>
        </w:rPr>
        <w:instrText xml:space="preserve"> STYLEREF 1 \s </w:instrText>
      </w:r>
      <w:r w:rsidR="00B26DDF">
        <w:rPr>
          <w:rFonts w:cs="Times New Roman"/>
        </w:rPr>
        <w:fldChar w:fldCharType="separate"/>
      </w:r>
      <w:r w:rsidR="00061096">
        <w:rPr>
          <w:rFonts w:cs="Times New Roman"/>
          <w:noProof/>
        </w:rPr>
        <w:t>1</w:t>
      </w:r>
      <w:r w:rsidR="00B26DDF">
        <w:rPr>
          <w:rFonts w:cs="Times New Roman"/>
        </w:rPr>
        <w:fldChar w:fldCharType="end"/>
      </w:r>
      <w:r w:rsidR="00B26DDF">
        <w:rPr>
          <w:rFonts w:cs="Times New Roman"/>
        </w:rPr>
        <w:noBreakHyphen/>
      </w:r>
      <w:r w:rsidR="00B26DDF">
        <w:rPr>
          <w:rFonts w:cs="Times New Roman"/>
        </w:rPr>
        <w:fldChar w:fldCharType="begin"/>
      </w:r>
      <w:r w:rsidR="00B26DDF">
        <w:rPr>
          <w:rFonts w:cs="Times New Roman"/>
        </w:rPr>
        <w:instrText xml:space="preserve"> SEQ Table \* ARABIC \s 1 </w:instrText>
      </w:r>
      <w:r w:rsidR="00B26DDF">
        <w:rPr>
          <w:rFonts w:cs="Times New Roman"/>
        </w:rPr>
        <w:fldChar w:fldCharType="separate"/>
      </w:r>
      <w:r w:rsidR="00061096">
        <w:rPr>
          <w:rFonts w:cs="Times New Roman"/>
          <w:noProof/>
        </w:rPr>
        <w:t>2</w:t>
      </w:r>
      <w:r w:rsidR="00B26DDF">
        <w:rPr>
          <w:rFonts w:cs="Times New Roman"/>
        </w:rPr>
        <w:fldChar w:fldCharType="end"/>
      </w:r>
      <w:bookmarkEnd w:id="6"/>
      <w:r w:rsidRPr="00770477">
        <w:rPr>
          <w:rFonts w:cs="Times New Roman"/>
        </w:rPr>
        <w:t xml:space="preserve"> Summary of acute and/or chronic values suggested for aquatic neonicotinoids (amended from Morrissey et al., 2015</w:t>
      </w:r>
      <w:r w:rsidR="00E30034" w:rsidRPr="00770477">
        <w:rPr>
          <w:rFonts w:cs="Times New Roman"/>
        </w:rPr>
        <w:t xml:space="preserve"> and </w:t>
      </w:r>
      <w:r w:rsidR="00E30034" w:rsidRPr="00770477">
        <w:rPr>
          <w:rFonts w:cs="Times New Roman"/>
        </w:rPr>
        <w:fldChar w:fldCharType="begin"/>
      </w:r>
      <w:r w:rsidR="002074AD">
        <w:rPr>
          <w:rFonts w:cs="Times New Roman"/>
        </w:rPr>
        <w:instrText xml:space="preserve"> ADDIN ZOTERO_ITEM CSL_CITATION {"citationID":"puZp1ZAj","properties":{"formattedCitation":"(US EPA, 2015a)","plainCitation":"(US EPA, 2015a)","dontUpdate":true,"noteIndex":0},"citationItems":[{"id":400,"uris":["http://zotero.org/users/8423188/items/DSBQIGFV"],"itemData":{"id":400,"type":"webpage","abstract":"Each Aquatic Life Benchmark is based on the most sensitive, scientifically acceptable toxicity endpoint available to EPA for a given taxon (for example, freshwater fish) of all scientifically acceptable toxicity data available to EPA.","genre":"Data and Tools","language":"en","title":"Aquatic Life Benchmarks and Ecological Risk Assessments for Registered Pesticides","URL":"https://www.epa.gov/pesticide-science-and-assessing-pesticide-risks/aquatic-life-benchmarks-and-ecological-risk","author":[{"family":"US EPA","given":"OCSPP"}],"accessed":{"date-parts":[["2022",7,13]]},"issued":{"date-parts":[["2015",4,13]]}}}],"schema":"https://github.com/citation-style-language/schema/raw/master/csl-citation.json"} </w:instrText>
      </w:r>
      <w:r w:rsidR="00E30034" w:rsidRPr="00770477">
        <w:rPr>
          <w:rFonts w:cs="Times New Roman"/>
        </w:rPr>
        <w:fldChar w:fldCharType="separate"/>
      </w:r>
      <w:r w:rsidR="00E30034" w:rsidRPr="00770477">
        <w:rPr>
          <w:rFonts w:cs="Times New Roman"/>
        </w:rPr>
        <w:t xml:space="preserve">US EPA </w:t>
      </w:r>
      <w:r w:rsidR="00DB2098" w:rsidRPr="00770477">
        <w:rPr>
          <w:rFonts w:cs="Times New Roman"/>
        </w:rPr>
        <w:t>(</w:t>
      </w:r>
      <w:r w:rsidR="00E30034" w:rsidRPr="00770477">
        <w:rPr>
          <w:rFonts w:cs="Times New Roman"/>
        </w:rPr>
        <w:t>2015a)</w:t>
      </w:r>
      <w:r w:rsidR="00E30034" w:rsidRPr="00770477">
        <w:rPr>
          <w:rFonts w:cs="Times New Roman"/>
        </w:rPr>
        <w:fldChar w:fldCharType="end"/>
      </w:r>
      <w:r w:rsidRPr="00770477">
        <w:rPr>
          <w:rFonts w:cs="Times New Roman"/>
        </w:rPr>
        <w:t>).</w:t>
      </w:r>
      <w:bookmarkEnd w:id="7"/>
    </w:p>
    <w:tbl>
      <w:tblPr>
        <w:tblStyle w:val="PlainTable5"/>
        <w:tblW w:w="9450" w:type="dxa"/>
        <w:tblLook w:val="04A0" w:firstRow="1" w:lastRow="0" w:firstColumn="1" w:lastColumn="0" w:noHBand="0" w:noVBand="1"/>
      </w:tblPr>
      <w:tblGrid>
        <w:gridCol w:w="4860"/>
        <w:gridCol w:w="4590"/>
      </w:tblGrid>
      <w:tr w:rsidR="00C700A7" w:rsidRPr="00770477" w14:paraId="51F07947" w14:textId="77777777" w:rsidTr="000B532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860" w:type="dxa"/>
          </w:tcPr>
          <w:p w14:paraId="6333C36A" w14:textId="77777777" w:rsidR="00C700A7" w:rsidRPr="00770477" w:rsidRDefault="00C700A7" w:rsidP="007F66AC">
            <w:pPr>
              <w:spacing w:line="240" w:lineRule="auto"/>
              <w:rPr>
                <w:rFonts w:cs="Times New Roman"/>
              </w:rPr>
            </w:pPr>
            <w:r w:rsidRPr="00770477">
              <w:rPr>
                <w:rFonts w:cs="Times New Roman"/>
              </w:rPr>
              <w:t>Source</w:t>
            </w:r>
          </w:p>
        </w:tc>
        <w:tc>
          <w:tcPr>
            <w:tcW w:w="4590" w:type="dxa"/>
          </w:tcPr>
          <w:p w14:paraId="53DC9FEF" w14:textId="03A6551E" w:rsidR="00C700A7" w:rsidRPr="00770477" w:rsidRDefault="00C700A7" w:rsidP="007F66AC">
            <w:pPr>
              <w:spacing w:line="240" w:lineRule="auto"/>
              <w:cnfStyle w:val="100000000000" w:firstRow="1" w:lastRow="0" w:firstColumn="0" w:lastColumn="0" w:oddVBand="0" w:evenVBand="0" w:oddHBand="0" w:evenHBand="0" w:firstRowFirstColumn="0" w:firstRowLastColumn="0" w:lastRowFirstColumn="0" w:lastRowLastColumn="0"/>
              <w:rPr>
                <w:rFonts w:cs="Times New Roman"/>
              </w:rPr>
            </w:pPr>
            <w:r w:rsidRPr="00770477">
              <w:rPr>
                <w:rFonts w:cs="Times New Roman"/>
              </w:rPr>
              <w:t>Reference Value (</w:t>
            </w:r>
            <w:r w:rsidR="00EE3F3E">
              <w:rPr>
                <w:rFonts w:cs="Times New Roman"/>
              </w:rPr>
              <w:t>µg L</w:t>
            </w:r>
            <w:r w:rsidR="00EE3F3E" w:rsidRPr="001F3003">
              <w:rPr>
                <w:rFonts w:cs="Times New Roman"/>
                <w:vertAlign w:val="superscript"/>
              </w:rPr>
              <w:t>-1</w:t>
            </w:r>
            <w:r w:rsidRPr="00770477">
              <w:rPr>
                <w:rFonts w:cs="Times New Roman"/>
              </w:rPr>
              <w:t>)</w:t>
            </w:r>
          </w:p>
        </w:tc>
      </w:tr>
      <w:tr w:rsidR="00C700A7" w:rsidRPr="00770477" w14:paraId="1FDEBF5A" w14:textId="77777777" w:rsidTr="000B53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0" w:type="dxa"/>
          </w:tcPr>
          <w:p w14:paraId="11697063" w14:textId="6C459C89" w:rsidR="00C700A7" w:rsidRPr="00770477" w:rsidRDefault="00C700A7" w:rsidP="007F66AC">
            <w:pPr>
              <w:spacing w:line="240" w:lineRule="auto"/>
              <w:rPr>
                <w:rFonts w:cs="Times New Roman"/>
              </w:rPr>
            </w:pPr>
            <w:r w:rsidRPr="00770477">
              <w:rPr>
                <w:rFonts w:cs="Times New Roman"/>
              </w:rPr>
              <w:fldChar w:fldCharType="begin"/>
            </w:r>
            <w:r w:rsidR="002074AD">
              <w:rPr>
                <w:rFonts w:cs="Times New Roman"/>
              </w:rPr>
              <w:instrText xml:space="preserve"> ADDIN ZOTERO_ITEM CSL_CITATION {"citationID":"K1Gjtfh3","properties":{"formattedCitation":"(US EPA, 2015a)","plainCitation":"(US EPA, 2015a)","noteIndex":0},"citationItems":[{"id":400,"uris":["http://zotero.org/users/8423188/items/DSBQIGFV"],"itemData":{"id":400,"type":"webpage","abstract":"Each Aquatic Life Benchmark is based on the most sensitive, scientifically acceptable toxicity endpoint available to EPA for a given taxon (for example, freshwater fish) of all scientifically acceptable toxicity data available to EPA.","genre":"Data and Tools","language":"en","title":"Aquatic Life Benchmarks and Ecological Risk Assessments for Registered Pesticides","URL":"https://www.epa.gov/pesticide-science-and-assessing-pesticide-risks/aquatic-life-benchmarks-and-ecological-risk","author":[{"family":"US EPA","given":"OCSPP"}],"accessed":{"date-parts":[["2022",7,13]]},"issued":{"date-parts":[["2015",4,13]]}}}],"schema":"https://github.com/citation-style-language/schema/raw/master/csl-citation.json"} </w:instrText>
            </w:r>
            <w:r w:rsidRPr="00770477">
              <w:rPr>
                <w:rFonts w:cs="Times New Roman"/>
              </w:rPr>
              <w:fldChar w:fldCharType="separate"/>
            </w:r>
            <w:r w:rsidR="00E11E17" w:rsidRPr="00770477">
              <w:rPr>
                <w:rFonts w:cs="Times New Roman"/>
              </w:rPr>
              <w:t>(US EPA, 2015a)</w:t>
            </w:r>
            <w:r w:rsidRPr="00770477">
              <w:rPr>
                <w:rFonts w:cs="Times New Roman"/>
              </w:rPr>
              <w:fldChar w:fldCharType="end"/>
            </w:r>
          </w:p>
        </w:tc>
        <w:tc>
          <w:tcPr>
            <w:tcW w:w="4590" w:type="dxa"/>
          </w:tcPr>
          <w:p w14:paraId="29E6732F" w14:textId="5DA7140A" w:rsidR="00C700A7" w:rsidRPr="00770477" w:rsidRDefault="009D192D" w:rsidP="007F66AC">
            <w:pPr>
              <w:spacing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vertAlign w:val="superscript"/>
              </w:rPr>
              <w:t>1</w:t>
            </w:r>
            <w:r w:rsidR="00722189" w:rsidRPr="00770477">
              <w:rPr>
                <w:rFonts w:cs="Times New Roman"/>
              </w:rPr>
              <w:t xml:space="preserve">Acetamiprid </w:t>
            </w:r>
            <w:r w:rsidR="00795B5C" w:rsidRPr="00770477">
              <w:rPr>
                <w:rFonts w:cs="Times New Roman"/>
              </w:rPr>
              <w:t>2.1</w:t>
            </w:r>
            <w:r w:rsidR="00C700A7" w:rsidRPr="00770477">
              <w:rPr>
                <w:rFonts w:cs="Times New Roman"/>
              </w:rPr>
              <w:t xml:space="preserve"> (chronic), </w:t>
            </w:r>
            <w:r w:rsidR="00722189" w:rsidRPr="00770477">
              <w:rPr>
                <w:rFonts w:cs="Times New Roman"/>
              </w:rPr>
              <w:t>10.5</w:t>
            </w:r>
            <w:r w:rsidR="00C700A7" w:rsidRPr="00770477">
              <w:rPr>
                <w:rFonts w:cs="Times New Roman"/>
              </w:rPr>
              <w:t xml:space="preserve"> (acute)</w:t>
            </w:r>
          </w:p>
          <w:p w14:paraId="6B67D6CA" w14:textId="6DB8A76F" w:rsidR="00722189" w:rsidRPr="00770477" w:rsidRDefault="009D192D" w:rsidP="007F66AC">
            <w:pPr>
              <w:spacing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vertAlign w:val="superscript"/>
              </w:rPr>
              <w:t>1</w:t>
            </w:r>
            <w:r w:rsidR="00722189" w:rsidRPr="00770477">
              <w:rPr>
                <w:rFonts w:cs="Times New Roman"/>
              </w:rPr>
              <w:t xml:space="preserve">Dinotefuran </w:t>
            </w:r>
            <w:r w:rsidR="0050065C" w:rsidRPr="00770477">
              <w:rPr>
                <w:rFonts w:cs="Times New Roman"/>
              </w:rPr>
              <w:t>6360 (chronic), &gt;49550 (acute)</w:t>
            </w:r>
          </w:p>
          <w:p w14:paraId="15094668" w14:textId="5FFC4B6D" w:rsidR="0050065C" w:rsidRPr="00770477" w:rsidRDefault="009D192D" w:rsidP="007F66AC">
            <w:pPr>
              <w:spacing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vertAlign w:val="superscript"/>
              </w:rPr>
              <w:t>1</w:t>
            </w:r>
            <w:r w:rsidR="0050065C" w:rsidRPr="00770477">
              <w:rPr>
                <w:rFonts w:cs="Times New Roman"/>
              </w:rPr>
              <w:t xml:space="preserve">Imidacloprid </w:t>
            </w:r>
            <w:r w:rsidRPr="00770477">
              <w:rPr>
                <w:rFonts w:cs="Times New Roman"/>
              </w:rPr>
              <w:t>0.01 (chronic), 0.385 (acute)</w:t>
            </w:r>
          </w:p>
        </w:tc>
      </w:tr>
      <w:tr w:rsidR="00C700A7" w:rsidRPr="00770477" w14:paraId="7C4A35C9" w14:textId="77777777" w:rsidTr="000B5324">
        <w:tc>
          <w:tcPr>
            <w:cnfStyle w:val="001000000000" w:firstRow="0" w:lastRow="0" w:firstColumn="1" w:lastColumn="0" w:oddVBand="0" w:evenVBand="0" w:oddHBand="0" w:evenHBand="0" w:firstRowFirstColumn="0" w:firstRowLastColumn="0" w:lastRowFirstColumn="0" w:lastRowLastColumn="0"/>
            <w:tcW w:w="4860" w:type="dxa"/>
          </w:tcPr>
          <w:p w14:paraId="3F5FA2AE" w14:textId="4B94AE32" w:rsidR="00C700A7" w:rsidRPr="00770477" w:rsidRDefault="00C700A7" w:rsidP="007F66AC">
            <w:pPr>
              <w:spacing w:line="240" w:lineRule="auto"/>
              <w:rPr>
                <w:rFonts w:cs="Times New Roman"/>
              </w:rPr>
            </w:pPr>
            <w:r w:rsidRPr="00770477">
              <w:rPr>
                <w:rFonts w:cs="Times New Roman"/>
              </w:rPr>
              <w:fldChar w:fldCharType="begin"/>
            </w:r>
            <w:r w:rsidR="002074AD">
              <w:rPr>
                <w:rFonts w:cs="Times New Roman"/>
              </w:rPr>
              <w:instrText xml:space="preserve"> ADDIN ZOTERO_ITEM CSL_CITATION {"citationID":"PiAH3iGE","properties":{"formattedCitation":"(Canadian Council of Ministers of the Environment, 2007)","plainCitation":"(Canadian Council of Ministers of the Environment, 2007)","noteIndex":0},"citationItems":[{"id":403,"uris":["http://zotero.org/users/8423188/items/FZSTL3JM"],"itemData":{"id":403,"type":"book","event-place":"Winnipeg, Man.","language":"en","note":"OCLC: 1059221569","publisher":"Canadian Council of Ministers of the Environment","publisher-place":"Winnipeg, Man.","source":"Open WorldCat","title":"Canadian water quality guidelines: imidacloprid scientific supporting document","title-short":"Canadian water quality guidelines","URL":"https://www.deslibris.ca/ID/251252","author":[{"literal":"Canadian Council of Ministers of the Environment"}],"accessed":{"date-parts":[["2022",7,13]]},"issued":{"date-parts":[["2007"]]}}}],"schema":"https://github.com/citation-style-language/schema/raw/master/csl-citation.json"} </w:instrText>
            </w:r>
            <w:r w:rsidRPr="00770477">
              <w:rPr>
                <w:rFonts w:cs="Times New Roman"/>
              </w:rPr>
              <w:fldChar w:fldCharType="separate"/>
            </w:r>
            <w:r w:rsidR="00E11E17" w:rsidRPr="00770477">
              <w:rPr>
                <w:rFonts w:cs="Times New Roman"/>
              </w:rPr>
              <w:t>(Canadian Council of Ministers of the Environment, 2007)</w:t>
            </w:r>
            <w:r w:rsidRPr="00770477">
              <w:rPr>
                <w:rFonts w:cs="Times New Roman"/>
              </w:rPr>
              <w:fldChar w:fldCharType="end"/>
            </w:r>
          </w:p>
        </w:tc>
        <w:tc>
          <w:tcPr>
            <w:tcW w:w="4590" w:type="dxa"/>
          </w:tcPr>
          <w:p w14:paraId="52F0D5E3" w14:textId="77777777" w:rsidR="00C700A7" w:rsidRPr="00770477" w:rsidRDefault="00C700A7" w:rsidP="007F66AC">
            <w:pPr>
              <w:spacing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0.23</w:t>
            </w:r>
          </w:p>
        </w:tc>
      </w:tr>
      <w:tr w:rsidR="00C700A7" w:rsidRPr="00770477" w14:paraId="77867E3D" w14:textId="77777777" w:rsidTr="000B53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0" w:type="dxa"/>
          </w:tcPr>
          <w:p w14:paraId="45FE556F" w14:textId="0BC95CBD" w:rsidR="00C700A7" w:rsidRPr="00770477" w:rsidRDefault="00C700A7" w:rsidP="007F66AC">
            <w:pPr>
              <w:spacing w:line="240" w:lineRule="auto"/>
              <w:rPr>
                <w:rFonts w:cs="Times New Roman"/>
              </w:rPr>
            </w:pPr>
            <w:r w:rsidRPr="00770477">
              <w:rPr>
                <w:rFonts w:cs="Times New Roman"/>
              </w:rPr>
              <w:fldChar w:fldCharType="begin"/>
            </w:r>
            <w:r w:rsidR="002074AD">
              <w:rPr>
                <w:rFonts w:cs="Times New Roman"/>
              </w:rPr>
              <w:instrText xml:space="preserve"> ADDIN ZOTERO_ITEM CSL_CITATION {"citationID":"Ji2fpKsV","properties":{"formattedCitation":"(European Food Safety Authority (EFSA), 2008)","plainCitation":"(European Food Safety Authority (EFSA), 2008)","noteIndex":0},"citationItems":[{"id":405,"uris":["http://zotero.org/users/8423188/items/AGH9BCPF"],"itemData":{"id":405,"type":"article-journal","abstract":"Imidacloprid is one of the 79 substances of the third stage Part A of the review programme covered by Commission Regulation (EC) No 1490/20021. This Regulation requires the European Food Safety Authority (EFSA) to organise upon request of the EU-Commission a peer review of the initial evaluation, i.e. the draft assessment report (DAR), provided by the designated rapporteur Member State and to provide within six months a conclusion on the risk assessment to the EU-Commission.","container-title":"EFSA Journal","DOI":"10.2903/j.efsa.2008.148r","ISSN":"18314732, 18314732","issue":"7","journalAbbreviation":"EFS2","language":"en","source":"DOI.org (CSL JSON)","title":"Conclusion regarding the peer review of the pesticide risk assessment of the active substance imidacloprid","URL":"https://data.europa.eu/doi/10.2903/j.efsa.2008.148r","volume":"6","author":[{"literal":"European Food Safety Authority (EFSA)"}],"accessed":{"date-parts":[["2022",7,13]]},"issued":{"date-parts":[["2008",7]]}}}],"schema":"https://github.com/citation-style-language/schema/raw/master/csl-citation.json"} </w:instrText>
            </w:r>
            <w:r w:rsidRPr="00770477">
              <w:rPr>
                <w:rFonts w:cs="Times New Roman"/>
              </w:rPr>
              <w:fldChar w:fldCharType="separate"/>
            </w:r>
            <w:r w:rsidR="00E11E17" w:rsidRPr="00770477">
              <w:rPr>
                <w:rFonts w:cs="Times New Roman"/>
              </w:rPr>
              <w:t>(European Food Safety Authority (EFSA), 2008)</w:t>
            </w:r>
            <w:r w:rsidRPr="00770477">
              <w:rPr>
                <w:rFonts w:cs="Times New Roman"/>
              </w:rPr>
              <w:fldChar w:fldCharType="end"/>
            </w:r>
          </w:p>
        </w:tc>
        <w:tc>
          <w:tcPr>
            <w:tcW w:w="4590" w:type="dxa"/>
          </w:tcPr>
          <w:p w14:paraId="49204F14" w14:textId="77777777" w:rsidR="00C700A7" w:rsidRPr="00770477" w:rsidRDefault="00C700A7" w:rsidP="007F66AC">
            <w:pPr>
              <w:spacing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0.2 (acute)</w:t>
            </w:r>
          </w:p>
        </w:tc>
      </w:tr>
      <w:tr w:rsidR="00C700A7" w:rsidRPr="00770477" w14:paraId="2560FA90" w14:textId="77777777" w:rsidTr="000B5324">
        <w:tc>
          <w:tcPr>
            <w:cnfStyle w:val="001000000000" w:firstRow="0" w:lastRow="0" w:firstColumn="1" w:lastColumn="0" w:oddVBand="0" w:evenVBand="0" w:oddHBand="0" w:evenHBand="0" w:firstRowFirstColumn="0" w:firstRowLastColumn="0" w:lastRowFirstColumn="0" w:lastRowLastColumn="0"/>
            <w:tcW w:w="4860" w:type="dxa"/>
          </w:tcPr>
          <w:p w14:paraId="7DA5F167" w14:textId="7A99E721" w:rsidR="00C700A7" w:rsidRPr="00770477" w:rsidRDefault="00C700A7" w:rsidP="007F66AC">
            <w:pPr>
              <w:spacing w:line="240" w:lineRule="auto"/>
              <w:rPr>
                <w:rFonts w:cs="Times New Roman"/>
              </w:rPr>
            </w:pPr>
            <w:r w:rsidRPr="00770477">
              <w:rPr>
                <w:rFonts w:cs="Times New Roman"/>
              </w:rPr>
              <w:fldChar w:fldCharType="begin"/>
            </w:r>
            <w:r w:rsidR="002074AD">
              <w:rPr>
                <w:rFonts w:cs="Times New Roman"/>
              </w:rPr>
              <w:instrText xml:space="preserve"> ADDIN ZOTERO_ITEM CSL_CITATION {"citationID":"FGwK63mu","properties":{"formattedCitation":"(Posthuma-Doodeman, 2008)","plainCitation":"(Posthuma-Doodeman, 2008)","noteIndex":0},"citationItems":[{"id":407,"uris":["http://zotero.org/users/8423188/items/46B2HSF6"],"itemData":{"id":407,"type":"report","event-place":"Bilthoven, Netherlands","number":"601716018/2008","publisher":"National Institute for Public Health and the Environment (RIVM)","publisher-place":"Bilthoven, Netherlands","title":"Environmental risk limits for imidacloprid","author":[{"family":"Posthuma-Doodeman","given":"C.J.A.M."}],"issued":{"date-parts":[["2008"]]}}}],"schema":"https://github.com/citation-style-language/schema/raw/master/csl-citation.json"} </w:instrText>
            </w:r>
            <w:r w:rsidRPr="00770477">
              <w:rPr>
                <w:rFonts w:cs="Times New Roman"/>
              </w:rPr>
              <w:fldChar w:fldCharType="separate"/>
            </w:r>
            <w:r w:rsidR="00E11E17" w:rsidRPr="00770477">
              <w:rPr>
                <w:rFonts w:cs="Times New Roman"/>
              </w:rPr>
              <w:t>(Posthuma-Doodeman, 2008)</w:t>
            </w:r>
            <w:r w:rsidRPr="00770477">
              <w:rPr>
                <w:rFonts w:cs="Times New Roman"/>
              </w:rPr>
              <w:fldChar w:fldCharType="end"/>
            </w:r>
          </w:p>
        </w:tc>
        <w:tc>
          <w:tcPr>
            <w:tcW w:w="4590" w:type="dxa"/>
          </w:tcPr>
          <w:p w14:paraId="622AF760" w14:textId="77777777" w:rsidR="00C700A7" w:rsidRPr="00770477" w:rsidRDefault="00C700A7" w:rsidP="007F66AC">
            <w:pPr>
              <w:spacing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0.067 (chronic)</w:t>
            </w:r>
          </w:p>
        </w:tc>
      </w:tr>
      <w:tr w:rsidR="00C700A7" w:rsidRPr="00770477" w14:paraId="0FC1F1E2" w14:textId="77777777" w:rsidTr="000B53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0" w:type="dxa"/>
          </w:tcPr>
          <w:p w14:paraId="1479343E" w14:textId="631C003D" w:rsidR="00C700A7" w:rsidRPr="00770477" w:rsidRDefault="00C700A7" w:rsidP="007F66AC">
            <w:pPr>
              <w:spacing w:line="240" w:lineRule="auto"/>
              <w:rPr>
                <w:rFonts w:cs="Times New Roman"/>
              </w:rPr>
            </w:pPr>
            <w:r w:rsidRPr="00770477">
              <w:rPr>
                <w:rFonts w:cs="Times New Roman"/>
              </w:rPr>
              <w:fldChar w:fldCharType="begin"/>
            </w:r>
            <w:r w:rsidR="002074AD">
              <w:rPr>
                <w:rFonts w:cs="Times New Roman"/>
              </w:rPr>
              <w:instrText xml:space="preserve"> ADDIN ZOTERO_ITEM CSL_CITATION {"citationID":"Oz6hOxOm","properties":{"formattedCitation":"(Smit, 2014)","plainCitation":"(Smit, 2014)","noteIndex":0},"citationItems":[{"id":409,"uris":["http://zotero.org/users/8423188/items/MPR83K85"],"itemData":{"id":409,"type":"article-journal","abstract":"Revision of water quality standards for imidacloprid RIVM proposes to lower the water quality standard for the pesticide imidacloprid from 67 to 8.3 nanogram per liter. Recent research shows that effects of imidacloprid on water organisms become apparent at lower concentrations than expected.","language":"en","page":"94","source":"Zotero","title":"Water quality standards for imidacloprid","author":[{"family":"Smit","given":"C E"}],"issued":{"date-parts":[["2014"]]}}}],"schema":"https://github.com/citation-style-language/schema/raw/master/csl-citation.json"} </w:instrText>
            </w:r>
            <w:r w:rsidRPr="00770477">
              <w:rPr>
                <w:rFonts w:cs="Times New Roman"/>
              </w:rPr>
              <w:fldChar w:fldCharType="separate"/>
            </w:r>
            <w:r w:rsidR="00E11E17" w:rsidRPr="00770477">
              <w:rPr>
                <w:rFonts w:cs="Times New Roman"/>
              </w:rPr>
              <w:t>(Smit, 2014)</w:t>
            </w:r>
            <w:r w:rsidRPr="00770477">
              <w:rPr>
                <w:rFonts w:cs="Times New Roman"/>
              </w:rPr>
              <w:fldChar w:fldCharType="end"/>
            </w:r>
          </w:p>
        </w:tc>
        <w:tc>
          <w:tcPr>
            <w:tcW w:w="4590" w:type="dxa"/>
          </w:tcPr>
          <w:p w14:paraId="08D5DE68" w14:textId="77777777" w:rsidR="00C700A7" w:rsidRPr="00770477" w:rsidRDefault="00C700A7" w:rsidP="007F66AC">
            <w:pPr>
              <w:spacing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0.0083 (chronic)</w:t>
            </w:r>
          </w:p>
        </w:tc>
      </w:tr>
      <w:tr w:rsidR="00C700A7" w:rsidRPr="00770477" w14:paraId="66B76EFC" w14:textId="77777777" w:rsidTr="000B5324">
        <w:tc>
          <w:tcPr>
            <w:cnfStyle w:val="001000000000" w:firstRow="0" w:lastRow="0" w:firstColumn="1" w:lastColumn="0" w:oddVBand="0" w:evenVBand="0" w:oddHBand="0" w:evenHBand="0" w:firstRowFirstColumn="0" w:firstRowLastColumn="0" w:lastRowFirstColumn="0" w:lastRowLastColumn="0"/>
            <w:tcW w:w="4860" w:type="dxa"/>
          </w:tcPr>
          <w:p w14:paraId="1E692420" w14:textId="5B7645F7" w:rsidR="00C700A7" w:rsidRPr="00770477" w:rsidRDefault="00C700A7" w:rsidP="007F66AC">
            <w:pPr>
              <w:spacing w:line="240" w:lineRule="auto"/>
              <w:rPr>
                <w:rFonts w:cs="Times New Roman"/>
              </w:rPr>
            </w:pPr>
            <w:r w:rsidRPr="00770477">
              <w:rPr>
                <w:rFonts w:cs="Times New Roman"/>
              </w:rPr>
              <w:fldChar w:fldCharType="begin"/>
            </w:r>
            <w:r w:rsidR="002074AD">
              <w:rPr>
                <w:rFonts w:cs="Times New Roman"/>
              </w:rPr>
              <w:instrText xml:space="preserve"> ADDIN ZOTERO_ITEM CSL_CITATION {"citationID":"lmuQDziI","properties":{"formattedCitation":"(Mineau &amp; Palmer, 2013)","plainCitation":"(Mineau &amp; Palmer, 2013)","noteIndex":0},"citationItems":[{"id":411,"uris":["http://zotero.org/users/8423188/items/YAAAEF4J"],"itemData":{"id":411,"type":"document","publisher":"American Bird Conservancy","title":"The Impact of the Nation's Most Windly used Insecticides on Birds","author":[{"family":"Mineau","given":"Pierre"},{"family":"Palmer","given":"Cynthia"}],"issued":{"date-parts":[["2013",3]]}}}],"schema":"https://github.com/citation-style-language/schema/raw/master/csl-citation.json"} </w:instrText>
            </w:r>
            <w:r w:rsidRPr="00770477">
              <w:rPr>
                <w:rFonts w:cs="Times New Roman"/>
              </w:rPr>
              <w:fldChar w:fldCharType="separate"/>
            </w:r>
            <w:r w:rsidR="00E11E17" w:rsidRPr="00770477">
              <w:rPr>
                <w:rFonts w:cs="Times New Roman"/>
              </w:rPr>
              <w:t>(Mineau &amp; Palmer, 2013)</w:t>
            </w:r>
            <w:r w:rsidRPr="00770477">
              <w:rPr>
                <w:rFonts w:cs="Times New Roman"/>
              </w:rPr>
              <w:fldChar w:fldCharType="end"/>
            </w:r>
          </w:p>
        </w:tc>
        <w:tc>
          <w:tcPr>
            <w:tcW w:w="4590" w:type="dxa"/>
          </w:tcPr>
          <w:p w14:paraId="429B9BDE" w14:textId="77777777" w:rsidR="00C700A7" w:rsidRPr="00770477" w:rsidRDefault="00C700A7" w:rsidP="007F66AC">
            <w:pPr>
              <w:spacing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0.0086 or 0.029 (chronic)</w:t>
            </w:r>
          </w:p>
        </w:tc>
      </w:tr>
      <w:tr w:rsidR="00C700A7" w:rsidRPr="00770477" w14:paraId="01494B1A" w14:textId="77777777" w:rsidTr="000B53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0" w:type="dxa"/>
          </w:tcPr>
          <w:p w14:paraId="2629A37F" w14:textId="6F91D42D" w:rsidR="00C700A7" w:rsidRPr="00770477" w:rsidRDefault="00C700A7" w:rsidP="00E30034">
            <w:pPr>
              <w:spacing w:line="240" w:lineRule="auto"/>
              <w:rPr>
                <w:rFonts w:cs="Times New Roman"/>
              </w:rPr>
            </w:pPr>
            <w:r w:rsidRPr="00770477">
              <w:rPr>
                <w:rFonts w:cs="Times New Roman"/>
              </w:rPr>
              <w:fldChar w:fldCharType="begin"/>
            </w:r>
            <w:r w:rsidR="002074AD">
              <w:rPr>
                <w:rFonts w:cs="Times New Roman"/>
              </w:rPr>
              <w:instrText xml:space="preserve"> ADDIN ZOTERO_ITEM CSL_CITATION {"citationID":"tStlukdU","properties":{"formattedCitation":"(Morrissey et al., 2015)","plainCitation":"(Morrissey et al., 2015)","noteIndex":0},"citationItems":[{"id":221,"uris":["http://zotero.org/users/8423188/items/VC3HAM8N"],"itemData":{"id":221,"type":"article-journal","abstract":"Neonicotinoids, broad-spectrum systemic insecticides, are the fastest growing class of insecticides worldwide and are now registered for use on hundreds of ﬁeld crops in over 120 different countries. The environmental proﬁle of this class of pesticides indicate that they are persistent, have high leaching and runoff potential, and are highly toxic to a wide range of invertebrates. Therefore, neonicotinoids represent a significant risk to surface waters and the diverse aquatic and terrestrial fauna that these ecosystems support. This review synthesizes the current state of knowledge on the reported concentrations of neonicotinoids in surface waters from 29 studies in 9 countries world-wide in tandem with published data on their acute and chronic toxicity to 49 species of aquatic insects and crustaceans spanning 12 invertebrate orders. Strong evidence exists that water-borne neonicotinoid exposures are frequent, long-term and at levels (geometric means = 0.13 μg/L (averages) and 0.63 μg/L (maxima)) which commonly exceed several existing water quality guidelines. Imidacloprid is by far the most widely studied neonicotinoid (66% of the 214 toxicity tests reviewed) with differences in sensitivity among aquatic invertebrate species ranging several orders of magnitude; other neonicotinoids display analogous modes of action and similar toxicities, although comparative data are limited. Of the species evaluated, insects belonging to the orders Ephemeroptera, Trichoptera and Diptera appear to be the most sensitive, while those of Crustacea (although not universally so) are less sensitive. In particular, the standard test species Daphnia magna appears to be very tolerant, with 24–96 hour LC50 values exceeding 100,000 μg/L (geometric mean N 44,000 μg/L), which is at least 2–3 orders of magnitude higher than the geometric mean of all other invertebrate species tested. Overall, neonicotinoids can exert adverse effects on survival, growth, emergence, mobility, and behavior of many sensitive aquatic invertebrate taxa at concentrations at or below 1 μg/L under acute exposure and 0.1 μg/L for chronic exposure. Using probabilistic approaches (species sensitivity distributions), we recommend here that ecological thresholds for neonicotinoid water concentrations need to be below 0.2 μg/L (shortterm acute) or 0.035 μg/L (long-term chronic) to avoid lasting effects on aquatic invertebrate communities. The application of safety factors may still be warranted considering potential issues of slow recovery, additive or synergistic effects and multiple stressors that can occur in the ﬁeld. Our analysis revealed that 81% (22/27) and 74% (14/19) of global surface water studies reporting maximum and average individual neonicotinoid concentrations respectively, exceeded these thresholds of 0.2 and 0.035 μg/L. Therefore, it appears that environmentally relevant concentrations of neonicotinoids in surface waters worldwide are well within the range where both short- and long-term impacts on aquatic invertebrate species are possible over broad spatial scales.","container-title":"Environment International","DOI":"10.1016/j.envint.2014.10.024","ISSN":"01604120","journalAbbreviation":"Environment International","language":"en","page":"291-303","source":"DOI.org (Crossref)","title":"Neonicotinoid contamination of global surface waters and associated risk to aquatic invertebrates: A review","title-short":"Neonicotinoid contamination of global surface waters and associated risk to aquatic invertebrates","volume":"74","author":[{"family":"Morrissey","given":"Christy A."},{"family":"Mineau","given":"Pierre"},{"family":"Devries","given":"James H."},{"family":"Sanchez-Bayo","given":"Francisco"},{"family":"Liess","given":"Matthias"},{"family":"Cavallaro","given":"Michael C."},{"family":"Liber","given":"Karsten"}],"issued":{"date-parts":[["2015",1]]}}}],"schema":"https://github.com/citation-style-language/schema/raw/master/csl-citation.json"} </w:instrText>
            </w:r>
            <w:r w:rsidRPr="00770477">
              <w:rPr>
                <w:rFonts w:cs="Times New Roman"/>
              </w:rPr>
              <w:fldChar w:fldCharType="separate"/>
            </w:r>
            <w:r w:rsidR="00E11E17" w:rsidRPr="00770477">
              <w:rPr>
                <w:rFonts w:cs="Times New Roman"/>
              </w:rPr>
              <w:t>(Morrissey et al., 2015)</w:t>
            </w:r>
            <w:r w:rsidRPr="00770477">
              <w:rPr>
                <w:rFonts w:cs="Times New Roman"/>
              </w:rPr>
              <w:fldChar w:fldCharType="end"/>
            </w:r>
          </w:p>
        </w:tc>
        <w:tc>
          <w:tcPr>
            <w:tcW w:w="4590" w:type="dxa"/>
          </w:tcPr>
          <w:p w14:paraId="267212D5" w14:textId="77777777" w:rsidR="00C700A7" w:rsidRPr="00770477" w:rsidRDefault="00C700A7" w:rsidP="00E30034">
            <w:pPr>
              <w:spacing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0.035 (chronic), 0.2 (acute)</w:t>
            </w:r>
          </w:p>
        </w:tc>
      </w:tr>
    </w:tbl>
    <w:p w14:paraId="73D2D020" w14:textId="2FC75939" w:rsidR="00C700A7" w:rsidRPr="00770477" w:rsidRDefault="009D192D" w:rsidP="00203833">
      <w:pPr>
        <w:ind w:firstLine="720"/>
        <w:rPr>
          <w:rFonts w:cs="Times New Roman"/>
          <w:i/>
          <w:iCs/>
          <w:sz w:val="20"/>
          <w:szCs w:val="20"/>
        </w:rPr>
      </w:pPr>
      <w:r w:rsidRPr="00770477">
        <w:rPr>
          <w:rFonts w:cs="Times New Roman"/>
          <w:i/>
          <w:iCs/>
          <w:sz w:val="20"/>
          <w:szCs w:val="20"/>
          <w:vertAlign w:val="superscript"/>
        </w:rPr>
        <w:t>1</w:t>
      </w:r>
      <w:r w:rsidRPr="00770477">
        <w:rPr>
          <w:rFonts w:cs="Times New Roman"/>
          <w:i/>
          <w:iCs/>
          <w:sz w:val="20"/>
          <w:szCs w:val="20"/>
        </w:rPr>
        <w:t xml:space="preserve"> </w:t>
      </w:r>
      <w:r w:rsidR="004A7DE5" w:rsidRPr="00770477">
        <w:rPr>
          <w:rFonts w:cs="Times New Roman"/>
          <w:i/>
          <w:iCs/>
          <w:sz w:val="20"/>
          <w:szCs w:val="20"/>
        </w:rPr>
        <w:t xml:space="preserve">Values represent the most stringent criteria </w:t>
      </w:r>
      <w:r w:rsidR="001A550B" w:rsidRPr="00770477">
        <w:rPr>
          <w:rFonts w:cs="Times New Roman"/>
          <w:i/>
          <w:iCs/>
          <w:sz w:val="20"/>
          <w:szCs w:val="20"/>
        </w:rPr>
        <w:t>for either fish or invertebrates</w:t>
      </w:r>
    </w:p>
    <w:p w14:paraId="353E29F0" w14:textId="77777777" w:rsidR="00203833" w:rsidRPr="00770477" w:rsidRDefault="00203833" w:rsidP="00A80CF0">
      <w:pPr>
        <w:rPr>
          <w:rFonts w:cs="Times New Roman"/>
        </w:rPr>
      </w:pPr>
    </w:p>
    <w:p w14:paraId="171882DF" w14:textId="55E18464" w:rsidR="00F55E5A" w:rsidRPr="00770477" w:rsidRDefault="00C700A7" w:rsidP="00BD18CA">
      <w:pPr>
        <w:ind w:firstLine="720"/>
        <w:rPr>
          <w:rFonts w:cs="Times New Roman"/>
        </w:rPr>
      </w:pPr>
      <w:r w:rsidRPr="00770477">
        <w:rPr>
          <w:rFonts w:cs="Times New Roman"/>
        </w:rPr>
        <w:t xml:space="preserve">In a study conducted by </w:t>
      </w:r>
      <w:r w:rsidRPr="00770477">
        <w:rPr>
          <w:rFonts w:cs="Times New Roman"/>
        </w:rPr>
        <w:fldChar w:fldCharType="begin"/>
      </w:r>
      <w:r w:rsidR="002074AD">
        <w:rPr>
          <w:rFonts w:cs="Times New Roman"/>
        </w:rPr>
        <w:instrText xml:space="preserve"> ADDIN ZOTERO_ITEM CSL_CITATION {"citationID":"9KezAEhP","properties":{"formattedCitation":"(Klarich et al., 2017)","plainCitation":"(Klarich et al., 2017)","dontUpdate":true,"noteIndex":0},"citationItems":[{"id":413,"uris":["http://zotero.org/users/8423188/items/C5MWL6CP"],"itemData":{"id":413,"type":"article-journal","abstract":"Neonicotinoid insecticides are widespread in surface waters across the agriculturally intensive Midwestern United States. We report for the ﬁrst time the presence of three neonicotinoids in ﬁnished drinking water and demonstrate their general persistence during conventional water treatment. Periodic tap water grab samples were collected at the University of Iowa over 7 weeks in 2016 (May−July) after maize/soy planting. Clothianidin, imidacloprid, and thiamethoxam were ubiquitously detected in ﬁnished water samples at concentrations ranging from 0.24 to 57.3 ng/L. Samples collected along the University of Iowa treatment train indicate no apparent removal of clothianidin or imidacloprid, with modest thiamethoxam removal (</w:instrText>
      </w:r>
      <w:r w:rsidR="002074AD">
        <w:rPr>
          <w:rFonts w:ascii="Cambria Math" w:hAnsi="Cambria Math" w:cs="Cambria Math"/>
        </w:rPr>
        <w:instrText>∼</w:instrText>
      </w:r>
      <w:r w:rsidR="002074AD">
        <w:rPr>
          <w:rFonts w:cs="Times New Roman"/>
        </w:rPr>
        <w:instrText xml:space="preserve">50%). In contrast, the concentrations of all neonicotinoids were substantially lower in the Iowa City treatment facility ﬁnished water using granular activated carbon (GAC) ﬁltration. Batch experiments investigated potential losses. Thiamethoxam losses are due to base-catalyzed hydrolysis under high-pH conditions during lime softening. GAC rapidly and nearly completely removed all three neonicotinoids. Clothianidin is susceptible to reaction with free chlorine and may undergo at least partial transformation during chlorination. Our work provides new insights into the persistence of neonicotinoids and their potential for transformation during water treatment and distribution, while also identifying GAC as a potentially eﬀective management tool for decreasing neonicotinoid concentrations in ﬁnished drinking water.","container-title":"Environmental Science &amp; Technology Letters","DOI":"10.1021/acs.estlett.7b00081","ISSN":"2328-8930, 2328-8930","issue":"5","journalAbbreviation":"Environ. Sci. Technol. Lett.","language":"en","page":"168-173","source":"DOI.org (Crossref)","title":"Occurrence of Neonicotinoid Insecticides in Finished Drinking Water and Fate during Drinking Water Treatment","volume":"4","author":[{"family":"Klarich","given":"Kathryn L."},{"family":"Pflug","given":"Nicholas C."},{"family":"DeWald","given":"Eden M."},{"family":"Hladik","given":"Michelle L."},{"family":"Kolpin","given":"Dana W."},{"family":"Cwiertny","given":"David M."},{"family":"LeFevre","given":"Gregory H."}],"issued":{"date-parts":[["2017",5,9]]}}}],"schema":"https://github.com/citation-style-language/schema/raw/master/csl-citation.json"} </w:instrText>
      </w:r>
      <w:r w:rsidRPr="00770477">
        <w:rPr>
          <w:rFonts w:cs="Times New Roman"/>
        </w:rPr>
        <w:fldChar w:fldCharType="separate"/>
      </w:r>
      <w:r w:rsidRPr="00770477">
        <w:rPr>
          <w:rFonts w:cs="Times New Roman"/>
          <w:noProof/>
        </w:rPr>
        <w:t>Klarich et al. (2017)</w:t>
      </w:r>
      <w:r w:rsidRPr="00770477">
        <w:rPr>
          <w:rFonts w:cs="Times New Roman"/>
        </w:rPr>
        <w:fldChar w:fldCharType="end"/>
      </w:r>
      <w:r w:rsidRPr="00770477">
        <w:rPr>
          <w:rFonts w:cs="Times New Roman"/>
        </w:rPr>
        <w:t>, batch studies were completed to test the effectiveness of granular activated carbon (GAC) and chlorination on the removal of neonicotinoids from drinking water. Kinetic GAC tests showed initial sorption of 75%-80</w:t>
      </w:r>
      <w:r w:rsidR="1B21DFA8" w:rsidRPr="00770477">
        <w:rPr>
          <w:rFonts w:cs="Times New Roman"/>
        </w:rPr>
        <w:t>%.</w:t>
      </w:r>
      <w:r w:rsidRPr="00770477">
        <w:rPr>
          <w:rFonts w:cs="Times New Roman"/>
        </w:rPr>
        <w:t xml:space="preserve"> Authors suggest this is likely due to the binding interactions between the GAC and specific moiety </w:t>
      </w:r>
      <w:r w:rsidRPr="00770477">
        <w:rPr>
          <w:rFonts w:cs="Times New Roman"/>
        </w:rPr>
        <w:lastRenderedPageBreak/>
        <w:t xml:space="preserve">structures found in neonicotinoids. Chlorination had mixed results in the removal of neonicotinoids, however, </w:t>
      </w:r>
      <w:proofErr w:type="gramStart"/>
      <w:r w:rsidRPr="00770477">
        <w:rPr>
          <w:rFonts w:cs="Times New Roman"/>
        </w:rPr>
        <w:t>where</w:t>
      </w:r>
      <w:proofErr w:type="gramEnd"/>
      <w:r w:rsidRPr="00770477">
        <w:rPr>
          <w:rFonts w:cs="Times New Roman"/>
        </w:rPr>
        <w:t xml:space="preserve"> </w:t>
      </w:r>
      <w:r w:rsidR="00522EE7" w:rsidRPr="00770477">
        <w:rPr>
          <w:rFonts w:cs="Times New Roman"/>
        </w:rPr>
        <w:t>successful</w:t>
      </w:r>
      <w:r w:rsidR="007B77D2" w:rsidRPr="00770477">
        <w:rPr>
          <w:rFonts w:cs="Times New Roman"/>
        </w:rPr>
        <w:t>. Chlorination reduced</w:t>
      </w:r>
      <w:r w:rsidRPr="00770477">
        <w:rPr>
          <w:rFonts w:cs="Times New Roman"/>
        </w:rPr>
        <w:t xml:space="preserve"> the half-life of clothianidin and imidacloprid from stable to ~2.5 days and ~70 days, respectively. In a study by </w:t>
      </w:r>
      <w:r w:rsidRPr="00770477">
        <w:rPr>
          <w:rFonts w:cs="Times New Roman"/>
        </w:rPr>
        <w:fldChar w:fldCharType="begin"/>
      </w:r>
      <w:r w:rsidR="002074AD">
        <w:rPr>
          <w:rFonts w:cs="Times New Roman"/>
        </w:rPr>
        <w:instrText xml:space="preserve"> ADDIN ZOTERO_ITEM CSL_CITATION {"citationID":"EZngTRhy","properties":{"formattedCitation":"(Voorhees et al., 2017)","plainCitation":"(Voorhees et al., 2017)","dontUpdate":true,"noteIndex":0},"citationItems":[{"id":466,"uris":["http://zotero.org/users/8423188/items/IEF4338D"],"itemData":{"id":466,"type":"article-journal","abstract":"Use of neonicotinoid pesticides is increasing worldwide and there is growing evidence of surface water contamination from this class of insecticide. Due to their high solubility, traditional mitigation practices may be less effective at reducing neonicotinoid concentrations in agricultural runoff. In the current study, laboratory experiments were conducted to determine if granulated activated carbon (GAC) reduces concentrations of the neonicotinoid imidacloprid in water under simulated flow conditions. Imidacloprid was pumped through columns packed with GAC using flow rates scaled to mimic previously reported field studies. Treatments were tested at two different flow rates and samples were collected after 200 and 2500 mL of treated water were pumped through the column. Chemical analysis of the post-column effluent showed the GAC removed all detectable imidacloprid from solution at both flow rates and at both sample times. These results demonstrate the efficacy of GAC for treating neonicotinoids and the results are discussed in the context of incorporating this treatment into integrated vegetated treatment systems for mitigating pesticides in agricultural runoff. Future studies are being designed to evaluate this technology in full scale field trials.","container-title":"Bulletin of Environmental Contamination and Toxicology","DOI":"10.1007/s00128-017-2074-x","ISSN":"0007-4861, 1432-0800","issue":"2","journalAbbreviation":"Bull Environ Contam Toxicol","language":"en","page":"200-202","source":"DOI.org (Crossref)","title":"Carbon Treatment as a Method to Remove Imidacloprid from Agriculture Runoff","volume":"99","author":[{"family":"Voorhees","given":"Jennifer P."},{"family":"Anderson","given":"Brian S."},{"family":"Phillips","given":"Bryn M."},{"family":"Tjeerdema","given":"Ron S."}],"issued":{"date-parts":[["2017",8]]}}}],"schema":"https://github.com/citation-style-language/schema/raw/master/csl-citation.json"} </w:instrText>
      </w:r>
      <w:r w:rsidRPr="00770477">
        <w:rPr>
          <w:rFonts w:cs="Times New Roman"/>
        </w:rPr>
        <w:fldChar w:fldCharType="separate"/>
      </w:r>
      <w:r w:rsidRPr="00770477">
        <w:rPr>
          <w:rFonts w:cs="Times New Roman"/>
          <w:noProof/>
        </w:rPr>
        <w:t>Voorhees et al. (2017)</w:t>
      </w:r>
      <w:r w:rsidRPr="00770477">
        <w:rPr>
          <w:rFonts w:cs="Times New Roman"/>
        </w:rPr>
        <w:fldChar w:fldCharType="end"/>
      </w:r>
      <w:r w:rsidRPr="00770477">
        <w:rPr>
          <w:rFonts w:cs="Times New Roman"/>
        </w:rPr>
        <w:t xml:space="preserve">, columns of GAC were used to treat </w:t>
      </w:r>
      <w:proofErr w:type="spellStart"/>
      <w:r w:rsidRPr="00770477">
        <w:rPr>
          <w:rFonts w:cs="Times New Roman"/>
        </w:rPr>
        <w:t>Nanopure</w:t>
      </w:r>
      <w:proofErr w:type="spellEnd"/>
      <w:r w:rsidRPr="00770477">
        <w:rPr>
          <w:rFonts w:cs="Times New Roman"/>
        </w:rPr>
        <w:t>™</w:t>
      </w:r>
      <w:r w:rsidR="00AE58DA" w:rsidRPr="00770477">
        <w:rPr>
          <w:rFonts w:cs="Times New Roman"/>
        </w:rPr>
        <w:t xml:space="preserve"> water</w:t>
      </w:r>
      <w:r w:rsidRPr="00770477">
        <w:rPr>
          <w:rFonts w:cs="Times New Roman"/>
        </w:rPr>
        <w:t xml:space="preserve"> spiked with varying levels of imidacloprid flowing at rates of 25 mL</w:t>
      </w:r>
      <w:r w:rsidR="00B84517">
        <w:rPr>
          <w:rFonts w:cs="Times New Roman"/>
        </w:rPr>
        <w:t xml:space="preserve"> </w:t>
      </w:r>
      <w:r w:rsidRPr="00770477">
        <w:rPr>
          <w:rFonts w:cs="Times New Roman"/>
        </w:rPr>
        <w:t>min</w:t>
      </w:r>
      <w:r w:rsidR="00B84517">
        <w:rPr>
          <w:rFonts w:cs="Times New Roman"/>
          <w:vertAlign w:val="superscript"/>
        </w:rPr>
        <w:t>-1</w:t>
      </w:r>
      <w:r w:rsidRPr="00770477">
        <w:rPr>
          <w:rFonts w:cs="Times New Roman"/>
        </w:rPr>
        <w:t xml:space="preserve"> and 50 mL</w:t>
      </w:r>
      <w:r w:rsidR="00B84517">
        <w:rPr>
          <w:rFonts w:cs="Times New Roman"/>
        </w:rPr>
        <w:t xml:space="preserve"> </w:t>
      </w:r>
      <w:r w:rsidRPr="00770477">
        <w:rPr>
          <w:rFonts w:cs="Times New Roman"/>
        </w:rPr>
        <w:t>min</w:t>
      </w:r>
      <w:r w:rsidR="00B84517">
        <w:rPr>
          <w:rFonts w:cs="Times New Roman"/>
          <w:vertAlign w:val="superscript"/>
        </w:rPr>
        <w:t>-1</w:t>
      </w:r>
      <w:r w:rsidRPr="00770477">
        <w:rPr>
          <w:rFonts w:cs="Times New Roman"/>
        </w:rPr>
        <w:t xml:space="preserve">. The experiments were run for either 4, 8, 50, or 100 minutes with only one experiment showing effluent above the detection limit (detection limit 0.007 </w:t>
      </w:r>
      <w:r w:rsidR="00EE3F3E">
        <w:rPr>
          <w:rFonts w:cs="Times New Roman"/>
        </w:rPr>
        <w:t>µg L</w:t>
      </w:r>
      <w:r w:rsidR="00EE3F3E" w:rsidRPr="001F3003">
        <w:rPr>
          <w:rFonts w:cs="Times New Roman"/>
          <w:vertAlign w:val="superscript"/>
        </w:rPr>
        <w:t>-1</w:t>
      </w:r>
      <w:r w:rsidRPr="00770477">
        <w:rPr>
          <w:rFonts w:cs="Times New Roman"/>
        </w:rPr>
        <w:t xml:space="preserve">, </w:t>
      </w:r>
      <w:r w:rsidR="00C444F6" w:rsidRPr="00770477">
        <w:rPr>
          <w:rFonts w:cs="Times New Roman"/>
        </w:rPr>
        <w:t xml:space="preserve">single </w:t>
      </w:r>
      <w:r w:rsidRPr="00770477">
        <w:rPr>
          <w:rFonts w:cs="Times New Roman"/>
        </w:rPr>
        <w:t xml:space="preserve">effluent of 0.757 </w:t>
      </w:r>
      <w:r w:rsidR="00EE3F3E">
        <w:rPr>
          <w:rFonts w:cs="Times New Roman"/>
        </w:rPr>
        <w:t>µg L</w:t>
      </w:r>
      <w:r w:rsidR="00EE3F3E" w:rsidRPr="001F3003">
        <w:rPr>
          <w:rFonts w:cs="Times New Roman"/>
          <w:vertAlign w:val="superscript"/>
        </w:rPr>
        <w:t>-1</w:t>
      </w:r>
      <w:r w:rsidRPr="00770477">
        <w:rPr>
          <w:rFonts w:cs="Times New Roman"/>
        </w:rPr>
        <w:t xml:space="preserve">). Other studies summarized by </w:t>
      </w:r>
      <w:r w:rsidRPr="00770477">
        <w:rPr>
          <w:rFonts w:cs="Times New Roman"/>
        </w:rPr>
        <w:fldChar w:fldCharType="begin"/>
      </w:r>
      <w:r w:rsidR="002074AD">
        <w:rPr>
          <w:rFonts w:cs="Times New Roman"/>
        </w:rPr>
        <w:instrText xml:space="preserve"> ADDIN ZOTERO_ITEM CSL_CITATION {"citationID":"VV0qKGy8","properties":{"formattedCitation":"(Negro et al., 2021)","plainCitation":"(Negro et al., 2021)","dontUpdate":true,"noteIndex":0},"citationItems":[{"id":417,"uris":["http://zotero.org/users/8423188/items/FSMR3HDD"],"itemData":{"id":417,"type":"article-journal","abstract":"Circumventing the impact of agrochemicals on aquatic environments has become a necessity for health and ecological reasons. Herein, we report the use of a family of ﬁve eco-friendly water-stable isoreticular metal−organic frameworks (MOFs), prepared from amino acids, as adsorbents for the removal of neonicotinoid insecticides (thiamethoxam, clothianidin, imidacloprid, acetamiprid, and thiacloprid) from water. Among them, the three MOFs containing thioether-based residues show remarkable removal eﬃciency. In particular, the novel multivariate MOF {SrIICuII6[(S,S)-methox]1.5[(S,S)-Mecysmox]1.50(OH)2(H2O)}·36H2O (5), featuring narrow functional channels decorated with both −CH2SCH3 and −CH2CH2SCH3 thioalkyl chains</w:instrText>
      </w:r>
      <w:r w:rsidR="002074AD">
        <w:rPr>
          <w:rFonts w:cs="Times New Roman" w:hint="eastAsia"/>
        </w:rPr>
        <w:instrText></w:instrText>
      </w:r>
      <w:r w:rsidR="002074AD">
        <w:rPr>
          <w:rFonts w:cs="Times New Roman"/>
        </w:rPr>
        <w:instrText>from Lmethionine and L-methylcysteine amino acid-derived ligands, respectively</w:instrText>
      </w:r>
      <w:r w:rsidR="002074AD">
        <w:rPr>
          <w:rFonts w:cs="Times New Roman" w:hint="eastAsia"/>
        </w:rPr>
        <w:instrText></w:instrText>
      </w:r>
      <w:r w:rsidR="002074AD">
        <w:rPr>
          <w:rFonts w:cs="Times New Roman"/>
        </w:rPr>
        <w:instrText>stands out and exhibits the higher removal eﬃciency, being capable to capture 100% of acetamiprid and thiacloprid in a single capture step under dynamic solid-phase extraction conditions</w:instrText>
      </w:r>
      <w:r w:rsidR="002074AD">
        <w:rPr>
          <w:rFonts w:cs="Times New Roman" w:hint="eastAsia"/>
        </w:rPr>
        <w:instrText></w:instrText>
      </w:r>
      <w:r w:rsidR="002074AD">
        <w:rPr>
          <w:rFonts w:cs="Times New Roman"/>
        </w:rPr>
        <w:instrText xml:space="preserve">less than 30 s. Such unusual combination of outstanding eﬃciency, high stability in environmental conditions, and low-cost straightforward synthesis in 5 places this material among the most attractive adsorbents reported for the removal of this type of contaminants.","container-title":"ACS Applied Materials &amp; Interfaces","DOI":"10.1021/acsami.1c08833","ISSN":"1944-8244, 1944-8252","issue":"24","journalAbbreviation":"ACS Appl. Mater. Interfaces","language":"en","page":"28424-28432","source":"DOI.org (Crossref)","title":"Highly Efficient Removal of Neonicotinoid Insecticides by Thioether-Based (Multivariate) Metal–Organic Frameworks","volume":"13","author":[{"family":"Negro","given":"Cristina"},{"family":"Martínez Pérez-Cejuela","given":"Héctor"},{"family":"Simó-Alfonso","given":"Ernesto F."},{"family":"Herrero-Martínez","given":"José Manuel"},{"family":"Bruno","given":"Rosaria"},{"family":"Armentano","given":"Donatella"},{"family":"Ferrando-Soria","given":"Jesús"},{"family":"Pardo","given":"Emilio"}],"issued":{"date-parts":[["2021",6,23]]}}}],"schema":"https://github.com/citation-style-language/schema/raw/master/csl-citation.json"} </w:instrText>
      </w:r>
      <w:r w:rsidRPr="00770477">
        <w:rPr>
          <w:rFonts w:cs="Times New Roman"/>
        </w:rPr>
        <w:fldChar w:fldCharType="separate"/>
      </w:r>
      <w:r w:rsidRPr="00770477">
        <w:rPr>
          <w:rFonts w:cs="Times New Roman"/>
          <w:noProof/>
        </w:rPr>
        <w:t>Negro et al. (2021)</w:t>
      </w:r>
      <w:r w:rsidRPr="00770477">
        <w:rPr>
          <w:rFonts w:cs="Times New Roman"/>
        </w:rPr>
        <w:fldChar w:fldCharType="end"/>
      </w:r>
      <w:r w:rsidRPr="00770477">
        <w:rPr>
          <w:rFonts w:cs="Times New Roman"/>
        </w:rPr>
        <w:t xml:space="preserve"> demonstrated the efficient removal (71%-100%) potential of ﬁve </w:t>
      </w:r>
      <w:proofErr w:type="spellStart"/>
      <w:r w:rsidRPr="00770477">
        <w:rPr>
          <w:rFonts w:cs="Times New Roman"/>
        </w:rPr>
        <w:t>isoreticular</w:t>
      </w:r>
      <w:proofErr w:type="spellEnd"/>
      <w:r w:rsidRPr="00770477">
        <w:rPr>
          <w:rFonts w:cs="Times New Roman"/>
        </w:rPr>
        <w:t xml:space="preserve"> metal−organic frameworks (MOFs). These are engineered synthetic materials that are both e</w:t>
      </w:r>
      <w:r w:rsidR="00D747B9" w:rsidRPr="00770477">
        <w:rPr>
          <w:rFonts w:cs="Times New Roman"/>
        </w:rPr>
        <w:t>nvironmentally non-toxic</w:t>
      </w:r>
      <w:r w:rsidRPr="00770477">
        <w:rPr>
          <w:rFonts w:cs="Times New Roman"/>
        </w:rPr>
        <w:t xml:space="preserve"> and water-stable and boast very effective removal rates (for a variety of contaminants) based on their high microporosity and stability. Although GAC is the most widely studied material for neonicotinoid removal via sorption, many other materials have been studied </w:t>
      </w:r>
      <w:r w:rsidR="00216967" w:rsidRPr="00770477">
        <w:rPr>
          <w:rFonts w:cs="Times New Roman"/>
        </w:rPr>
        <w:t>to a lesser extent</w:t>
      </w:r>
      <w:r w:rsidRPr="00770477">
        <w:rPr>
          <w:rFonts w:cs="Times New Roman"/>
        </w:rPr>
        <w:t xml:space="preserve">. These studies have been predominately promising with some studies showing more promise than others. Materials studied for sorption have included </w:t>
      </w:r>
      <w:proofErr w:type="spellStart"/>
      <w:r w:rsidRPr="00770477">
        <w:rPr>
          <w:rFonts w:cs="Times New Roman"/>
        </w:rPr>
        <w:t>kerolites</w:t>
      </w:r>
      <w:proofErr w:type="spellEnd"/>
      <w:r w:rsidRPr="00770477">
        <w:rPr>
          <w:rFonts w:cs="Times New Roman"/>
        </w:rPr>
        <w:t xml:space="preserve"> (magnesium silicate) </w:t>
      </w:r>
      <w:r w:rsidRPr="00770477">
        <w:rPr>
          <w:rFonts w:cs="Times New Roman"/>
        </w:rPr>
        <w:fldChar w:fldCharType="begin"/>
      </w:r>
      <w:r w:rsidR="002074AD">
        <w:rPr>
          <w:rFonts w:cs="Times New Roman"/>
        </w:rPr>
        <w:instrText xml:space="preserve"> ADDIN ZOTERO_ITEM CSL_CITATION {"citationID":"CCSQtojE","properties":{"formattedCitation":"(Soc\\uc0\\u237{}as-Viciana et al., 2003)","plainCitation":"(Socías-Viciana et al., 2003)","noteIndex":0},"citationItems":[{"id":470,"uris":["http://zotero.org/users/8423188/items/8YK7UWVN"],"itemData":{"id":470,"type":"article-journal","abstract":"The adsorption of imidacloprid [1-(6-chloro-3-pyridinylmethyl)-N-nitroimidazolidin-2ylideneamine] on heat-treated kerolite samples at 110 ◦C (K-110), 200 ◦C (K-200), 400 ◦C (K-400) and 600 ◦C (K-600) from pure water solution at 25 ◦C has been studied. The evolution of the surface properties of the kerolite samples, such as speciﬁc surface area and porosity, after heat treatment were analysed. The clays were characterised by using FTIR spectroscopy, X-ray diffraction, thermogravimetric and differential thermogravimetric analysis, surface analysis and Hg porosimetry. The experimental adsorption data points were ﬁtted to the Freundlich equation in order to calculate the adsorption capacities (Kf ) of the samples; Kf values ranged from 242 mg kg−1 for the K-110 sample to 1005 mg kg−1 for the K-600 sample. The values obtained for the removal efﬁciency (R) ranged from 62.8% for K-110 to 87.2% for K-600. The adsorption experiments showed that the stronger the heat treatment, the more effective was the adsorption of imidacloprid from pure water. This work shows the potential use of heat-activated kerolite for the removal of imidacloprid from environmental waters and drinking water resources.","container-title":"Pest Management Science","DOI":"10.1002/ps.745","ISSN":"1526498X","issue":"10","journalAbbreviation":"Pest. Manag. Sci.","language":"en","page":"1162-1168","source":"DOI.org (Crossref)","title":"The potential removal of imidacloprid from water by heat-treated kerolites: Removal of imidacloprid from water using kerolites","title-short":"The potential removal of imidacloprid from water by heat-treated kerolites","volume":"59","author":[{"family":"Socías-Viciana","given":"M"},{"family":"González-Pradas","given":"E"},{"family":"Saifi","given":"M"},{"family":"Ureña-Amate","given":"Md"},{"family":"Flores-Céspedes","given":"F"},{"family":"Fernández-Pérez","given":"M"}],"issued":{"date-parts":[["2003",10]]}}}],"schema":"https://github.com/citation-style-language/schema/raw/master/csl-citation.json"} </w:instrText>
      </w:r>
      <w:r w:rsidRPr="00770477">
        <w:rPr>
          <w:rFonts w:cs="Times New Roman"/>
        </w:rPr>
        <w:fldChar w:fldCharType="separate"/>
      </w:r>
      <w:r w:rsidR="00E11E17" w:rsidRPr="00770477">
        <w:rPr>
          <w:rFonts w:cs="Times New Roman"/>
        </w:rPr>
        <w:t>(Socías-Viciana et al., 2003)</w:t>
      </w:r>
      <w:r w:rsidRPr="00770477">
        <w:rPr>
          <w:rFonts w:cs="Times New Roman"/>
        </w:rPr>
        <w:fldChar w:fldCharType="end"/>
      </w:r>
      <w:r w:rsidRPr="00770477">
        <w:rPr>
          <w:rFonts w:cs="Times New Roman"/>
        </w:rPr>
        <w:t xml:space="preserve">, sepiolite (hydrated magnesium silicate clay) </w:t>
      </w:r>
      <w:r w:rsidRPr="00770477">
        <w:rPr>
          <w:rFonts w:cs="Times New Roman"/>
        </w:rPr>
        <w:fldChar w:fldCharType="begin"/>
      </w:r>
      <w:r w:rsidR="002074AD">
        <w:rPr>
          <w:rFonts w:cs="Times New Roman"/>
        </w:rPr>
        <w:instrText xml:space="preserve"> ADDIN ZOTERO_ITEM CSL_CITATION {"citationID":"ewepKCsA","properties":{"formattedCitation":"(Gonz\\uc0\\u225{}lez-Pradas et al., 1999)","plainCitation":"(González-Pradas et al., 1999)","noteIndex":0},"citationItems":[{"id":468,"uris":["http://zotero.org/users/8423188/items/6CYPPQUW"],"itemData":{"id":468,"type":"article-journal","abstract":"Sepiolite is a hydrated magnesium silicate clay with a ®brous structure and binder properties. To calculate the potential use of sepiolite in removing atrazine [2-chloro-4-ethylamino-6isopropilamino-1,3,5,-triazine], isoproturon [3-(4-isopropylphenyl)-1,1-dimethylurea] and imidacloprid [1-(6-chloro-3-pyridinylmethyl)-N-nitroimidazolin-2-ylideneamine] from water, the adsorption of atrazine, isoproturon and imidacloprid on sepiolite desiccated at 110 °C from aqueous solution at 25 °C has been studied by using batch experiments. In addition, column experiments were carried out with the sepiolite sample using aqueous solutions of atrazine, isoproturon and imidacloprid at a concentration of 20.0 Â 10À4 cmol dmÀ3. The experimental data points have been ®tted to the Langmuir equation to calculate the adsorption capacities (Xm). Values for Xm ranged from 2.70 Â 10À1 cmol kgÀ1 for isoproturon up to 3.97 Â 10À1 cmol kgÀ1 for atrazine. The removal ef®ciency (R) ranged from 36.7% for isoproturon up to 74.3% for atrazine. The batch experiments show that the sepiolite is more effective in adsorbing atrazine than imidacloprid and isoproturon. The column experiments show that sepiolite might be reasonably used in removing atrazine, the column ef®ciency being 46%. The data indicate that a readily available and inexpensive Spanish sepiolite can be employed as a ®lter for contaminated waters with these pesticides, controlling their release to the environment.","container-title":"Journal of Chemical Technology &amp; Biotechnology","DOI":"10.1002/(SICI)1097-4660(199905)74:5&lt;417::AID-JCTB58&gt;3.0.CO;2-Q","ISSN":"0268-2575, 1097-4660","issue":"5","journalAbbreviation":"J. Chem. Technol. Biotechnol.","language":"en","page":"417-422","source":"DOI.org (Crossref)","title":"Preliminary studies in removing atrazine, isoproturon and imidacloprid from water by natural sepiolite","volume":"74","author":[{"family":"González-Pradas","given":"E"},{"family":"Villafranca-Sánchez","given":"M"},{"family":"Socías-Viciana","given":"M"},{"family":"Fernández-Pérez","given":"M"},{"family":"Ureña-Amate","given":"M D"}],"issued":{"date-parts":[["1999",5]]}}}],"schema":"https://github.com/citation-style-language/schema/raw/master/csl-citation.json"} </w:instrText>
      </w:r>
      <w:r w:rsidRPr="00770477">
        <w:rPr>
          <w:rFonts w:cs="Times New Roman"/>
        </w:rPr>
        <w:fldChar w:fldCharType="separate"/>
      </w:r>
      <w:r w:rsidR="00E11E17" w:rsidRPr="00770477">
        <w:rPr>
          <w:rFonts w:cs="Times New Roman"/>
        </w:rPr>
        <w:t>(González-Pradas et al., 1999)</w:t>
      </w:r>
      <w:r w:rsidRPr="00770477">
        <w:rPr>
          <w:rFonts w:cs="Times New Roman"/>
        </w:rPr>
        <w:fldChar w:fldCharType="end"/>
      </w:r>
      <w:r w:rsidRPr="00770477">
        <w:rPr>
          <w:rFonts w:cs="Times New Roman"/>
        </w:rPr>
        <w:t xml:space="preserve">, zerovalent iron </w:t>
      </w:r>
      <w:r w:rsidRPr="00770477">
        <w:rPr>
          <w:rFonts w:cs="Times New Roman"/>
        </w:rPr>
        <w:fldChar w:fldCharType="begin"/>
      </w:r>
      <w:r w:rsidR="002074AD">
        <w:rPr>
          <w:rFonts w:cs="Times New Roman"/>
        </w:rPr>
        <w:instrText xml:space="preserve"> ADDIN ZOTERO_ITEM CSL_CITATION {"citationID":"CeUApNeP","properties":{"formattedCitation":"(Roccamante et al., 2022)","plainCitation":"(Roccamante et al., 2022)","noteIndex":0},"citationItems":[{"id":472,"uris":["http://zotero.org/users/8423188/items/H2EDMDBM"],"itemData":{"id":472,"type":"article-journal","abstract":"Solar zerovalent iron (ZVI) was studied at circumneutral pH in combination with hydrogen peroxide and per­ sulfate for removal of imidacloprid as a model contaminant in natural water. Three commercial ZVI sources, steel wool (ZVI-SW) and two iron micro-powders (ZVI-MS and ZVI-S) were independently evaluated. First, different ZVI corrosion conditions were tested in contact with air, exposed to natural solar radiation and with addition of oxidants, such as H2O2 and S2O82− , demonstrating the importance of released iron. Then, the technical feasi­ bilities of solar/H2O2/ZVI and solar/S2O82− /ZVI were assessed for the elimination of 1 mg/L of imidacloprid. In general, H2O2 concentrations and treatment times were high. Only ZVI-MS (1 mM) reached 80% imidacloprid degradation after 157 min and 3 mM (102 mg/L) of H2O2. Solar/S2O82− /ZVI performance was better, reaching &gt;80% imidacloprid degradation in &lt;60 min with 1 mM (192 mg/L) S2O82− for all ZVI sources. Efficiency was highest with ZVI-MS, which was therefore selected for feasibility testing of a microcontaminant (MC) mixture containing 100 μg/L each of atrazine, carbendazim, imidacloprid and thiamethoxam with both solar/oxidizing agents/ZVI. H2O2 took 180 min to achieve 76% degradation of the sum of MCs, while 80% total degradation was reached after 69 min by adding S2O82− , confirming its higher efficiency. Finally, this study showed that ZVI in combination with solar radiation does not enhance significantly the photocatalytic cycle.","container-title":"Chemosphere","DOI":"10.1016/j.chemosphere.2021.131557","ISSN":"00456535","journalAbbreviation":"Chemosphere","language":"en","page":"131557","source":"DOI.org (Crossref)","title":"Evaluation of commercial zerovalent iron sources in combination with solar energy to remove microcontaminants from natural water at circumneutral pH","volume":"286","author":[{"family":"Roccamante","given":"M."},{"family":"Miralles-Cuevas","given":"S."},{"family":"Cabrera-Reina","given":"A."},{"family":"Oller","given":"I."},{"family":"Malato","given":"S."}],"issued":{"date-parts":[["2022",1]]}}}],"schema":"https://github.com/citation-style-language/schema/raw/master/csl-citation.json"} </w:instrText>
      </w:r>
      <w:r w:rsidRPr="00770477">
        <w:rPr>
          <w:rFonts w:cs="Times New Roman"/>
        </w:rPr>
        <w:fldChar w:fldCharType="separate"/>
      </w:r>
      <w:r w:rsidR="00E11E17" w:rsidRPr="00770477">
        <w:rPr>
          <w:rFonts w:cs="Times New Roman"/>
        </w:rPr>
        <w:t>(Roccamante et al., 2022)</w:t>
      </w:r>
      <w:r w:rsidRPr="00770477">
        <w:rPr>
          <w:rFonts w:cs="Times New Roman"/>
        </w:rPr>
        <w:fldChar w:fldCharType="end"/>
      </w:r>
      <w:r w:rsidRPr="00770477">
        <w:rPr>
          <w:rFonts w:cs="Times New Roman"/>
        </w:rPr>
        <w:t xml:space="preserve">, bentonite </w:t>
      </w:r>
      <w:r w:rsidRPr="00770477">
        <w:rPr>
          <w:rFonts w:cs="Times New Roman"/>
        </w:rPr>
        <w:fldChar w:fldCharType="begin"/>
      </w:r>
      <w:r w:rsidR="002074AD">
        <w:rPr>
          <w:rFonts w:cs="Times New Roman"/>
        </w:rPr>
        <w:instrText xml:space="preserve"> ADDIN ZOTERO_ITEM CSL_CITATION {"citationID":"sScH2f0y","properties":{"formattedCitation":"(Jain et al., 2017)","plainCitation":"(Jain et al., 2017)","noteIndex":0},"citationItems":[{"id":476,"uris":["http://zotero.org/users/8423188/items/EMX4LVJH"],"itemData":{"id":476,"type":"article-journal","abstract":"Bentonite was modiﬁed by quaternary ammonium cations viz. cetytrimethylammonium (CTA), cetylpyridinium (CP), rioctylmethylammonium (TOM) and pcholine (PTC) at 100% cation exchange capacity of bentonite and was characterized by X-ray diffraction, CHNS elemental analyser and Fourier transform infrared spectroscopy. The sorption of imidacloprid on organobentonites/bentonite was studied by batch method. Normal bentonite could adsorb imidacloprid only upto 19.31–22.18% while all organobentonites except PTC bentonite (PTCB), enhanced its adsorption by three to four times. Highest adsorption was observed in case of TOM bentonite (TOMB) (76.94–83.16%). Adsorption kinetic data were ﬁtted to pseudo-ﬁrst-order, pseudo-second-order and intraparticle diffusion models. For normal bentonite data were best ﬁtted to pseudo-ﬁrst-order kinetic, while for organobentonites ﬁtted to pseudo-secondorder kinetics. Sorption data were analysed using Freundlich, Langmuir, Temkin and Dubinin–Radushkevich isotherm models. Data were well ﬁtted to Freundlich adsorption isotherm. Product of Freundlich adsorption constant and heterogeneity parameter (Kf.1/n) was in following order: TOMB (301.87) &gt; CTA bentonite (CTAB) (152.12) &gt; CP bentonite (CPB) (92.58) &gt; bentonite (27.25). Desorption study conﬁrmed hysteresis and concentration dependence. The present study showed that the organobentonite could be a good sorbent for removal of imidacloprid from natural water sample also. Percentage adsorption and Distribution coefﬁcient (mL g¡1) value of different adsorbent was in following order: TOMB (74.85% and 297.54) &gt; CTAB (55.78% and 126.15) &gt; CPB (45.81% and 84.55) &gt; bentonite (10.65% and 11.92).","container-title":"Journal of Environmental Science and Health, Part B","DOI":"10.1080/03601234.2017.1281653","ISSN":"0360-1234, 1532-4109","issue":"5","journalAbbreviation":"Journal of Environmental Science and Health, Part B","language":"en","page":"326-337","source":"DOI.org (Crossref)","title":"Sorption kinetics and isotherm modelling of imidacloprid on bentonite and organobentonites","volume":"52","author":[{"family":"Jain","given":"Shailesh K."},{"family":"Shakil","given":"Najam A."},{"family":"Dutta","given":"Anirban"},{"family":"Kumar","given":"Jitendra"},{"family":"Saini","given":"Mukesh K."}],"issued":{"date-parts":[["2017",5,4]]}}}],"schema":"https://github.com/citation-style-language/schema/raw/master/csl-citation.json"} </w:instrText>
      </w:r>
      <w:r w:rsidRPr="00770477">
        <w:rPr>
          <w:rFonts w:cs="Times New Roman"/>
        </w:rPr>
        <w:fldChar w:fldCharType="separate"/>
      </w:r>
      <w:r w:rsidR="00E11E17" w:rsidRPr="00770477">
        <w:rPr>
          <w:rFonts w:cs="Times New Roman"/>
        </w:rPr>
        <w:t>(Jain et al., 2017)</w:t>
      </w:r>
      <w:r w:rsidRPr="00770477">
        <w:rPr>
          <w:rFonts w:cs="Times New Roman"/>
        </w:rPr>
        <w:fldChar w:fldCharType="end"/>
      </w:r>
      <w:r w:rsidRPr="00770477">
        <w:rPr>
          <w:rFonts w:cs="Times New Roman"/>
        </w:rPr>
        <w:t xml:space="preserve">, and smectite </w:t>
      </w:r>
      <w:r w:rsidRPr="00770477">
        <w:rPr>
          <w:rFonts w:cs="Times New Roman"/>
        </w:rPr>
        <w:fldChar w:fldCharType="begin"/>
      </w:r>
      <w:r w:rsidR="002074AD">
        <w:rPr>
          <w:rFonts w:cs="Times New Roman"/>
        </w:rPr>
        <w:instrText xml:space="preserve"> ADDIN ZOTERO_ITEM CSL_CITATION {"citationID":"zs58CwFl","properties":{"formattedCitation":"(Cox et al., 2000)","plainCitation":"(Cox et al., 2000)","noteIndex":0},"citationItems":[{"id":478,"uris":["http://zotero.org/users/8423188/items/BQ563C44"],"itemData":{"id":478,"type":"article-journal","abstract":"Sorption of the polar insecticide imidacloprid on organic-saturated octadecylammonium (C18) and dioctadecyldimethylammonium (DOD) and inorganic- (Fe-) saturated Wyoming (W) and Arizona (A) montmorillonites has been investigated. Sorption isotherms were fitted to the Freundlich equation. Imidacloprid-montmorillonite complexes were studied by X-ray diffraction and WFTF-eIR&gt; WtecDhOniDqu5es.AIDmOidDa.clTophreidlosworlpatyioenr cchoaerfgfieciaenndts,saKtuf,radtieocnrebaysedpriimnatrhyeaolkrdyelarmWmCo1n8iu&gt;mAcCat1i8o&gt;n facilitates sorption of imidacloprid in the interlayer of the smectite, corroborated by the increase in basal spacing observed in X-ray diffraction patterns and by the presence of absorption band shifts in FT-IR spectra. Imidacloprid sorbs in the interlayer space of smectite mainly by hydrophobic interactions with the alkyl chains in organic smectites and with the uncharged siloxane surface in Fprei(mIIaI)r-ysmalekcytlitec.atFiounrtshearndpoplraortobnoantdiosnboetfwiemeindatchleopNriOd2ingrFoue-psmofecitmiteidsaecnlohparnidcedansdortphteioNnHinotfhethsee cases.","language":"en","page":"8","source":"Zotero","title":"Interactions of imidacloprid with organicand inorganic-exchanged smectites","author":[{"family":"Cox","given":"L"},{"family":"Hermosin","given":"M C"},{"family":"Koskinen","given":"W C"},{"family":"Cornejo","given":"J"}],"issued":{"date-parts":[["2000"]]}}}],"schema":"https://github.com/citation-style-language/schema/raw/master/csl-citation.json"} </w:instrText>
      </w:r>
      <w:r w:rsidRPr="00770477">
        <w:rPr>
          <w:rFonts w:cs="Times New Roman"/>
        </w:rPr>
        <w:fldChar w:fldCharType="separate"/>
      </w:r>
      <w:r w:rsidR="00E11E17" w:rsidRPr="00770477">
        <w:rPr>
          <w:rFonts w:cs="Times New Roman"/>
        </w:rPr>
        <w:t>(Cox et al., 2000)</w:t>
      </w:r>
      <w:r w:rsidRPr="00770477">
        <w:rPr>
          <w:rFonts w:cs="Times New Roman"/>
        </w:rPr>
        <w:fldChar w:fldCharType="end"/>
      </w:r>
      <w:r w:rsidRPr="00770477">
        <w:rPr>
          <w:rFonts w:cs="Times New Roman"/>
        </w:rPr>
        <w:t xml:space="preserve">. </w:t>
      </w:r>
    </w:p>
    <w:p w14:paraId="798757DB" w14:textId="4465AA70" w:rsidR="00C700A7" w:rsidRPr="00770477" w:rsidRDefault="00C700A7" w:rsidP="00BD18CA">
      <w:pPr>
        <w:ind w:firstLine="720"/>
        <w:rPr>
          <w:rFonts w:cs="Times New Roman"/>
        </w:rPr>
      </w:pPr>
      <w:r w:rsidRPr="00770477">
        <w:rPr>
          <w:rFonts w:cs="Times New Roman"/>
        </w:rPr>
        <w:t xml:space="preserve">Only one study investigated the removal of neonicotinoids from an aqueous solution using bioretention </w:t>
      </w:r>
      <w:r w:rsidRPr="00770477">
        <w:rPr>
          <w:rFonts w:cs="Times New Roman"/>
        </w:rPr>
        <w:fldChar w:fldCharType="begin"/>
      </w:r>
      <w:r w:rsidR="002074AD">
        <w:rPr>
          <w:rFonts w:cs="Times New Roman"/>
        </w:rPr>
        <w:instrText xml:space="preserve"> ADDIN ZOTERO_ITEM CSL_CITATION {"citationID":"OqB94ckV","properties":{"formattedCitation":"(Ahmad Zubairi et al., 2022)","plainCitation":"(Ahmad Zubairi et al., 2022)","noteIndex":0},"citationItems":[{"id":480,"uris":["http://zotero.org/users/8423188/items/IQESBDBH"],"itemData":{"id":480,"type":"article-journal","abstract":"Imidacloprid pesticide is commonly used in the agricultural sector to protect from pest attacks and avoid crop losses. However, the leak of Imidacloprid to the environmental system could result in dire consequences to the aquatic life and humans as the toxic contaminant produced by this pesticide may disturb the ecosystem through the pesticide cycle, which could penetrate the soil and pollute the water body especially runoff. Therefore, this paper explains the new implementation in managing pesticide pollution that occurred in the agricultural runoff, specifically Imidacloprid pesticide. The assessment was conducted by introducing a treatment train system that focuses on a few removal mechanisms. The system included a series of bioretention columns that are expected to remove Imidacloprid through infiltration, plant uptake, and pesticide degradation. The system was also designed to have different configurations in order to analyze whether various additives and plants may affect the ability of treatment train in removing Imidacloprid. Hibiscus and Ti plants were used in the bioretention columns, while coconut husk and rice husk ash were used as additives. In addition, Imidacloprid that was present in all samples was analyzed using High-Performance Liquid Chromatography-Ultraviolet (HPLC-UV). The removal efficiency for every configuration was recorded based on Imidacloprid concentration in influent and effluent at every column in the treatment train system. The results indicated that the vegetation set achieved 90% of Imidacloprid removal efficiency while the control set (only soil media) removed Imidacloprid at a range between 64.9 to 65.9%. Furthermore, the vegetation set with additives also resulted in the increment of Dissolved Oxygen (DO) with about 16% and pH increment between 2 to 11% for all treatment train sets with a better water quality improvement.","container-title":"Environmental Advances","DOI":"10.1016/j.envadv.2021.100156","ISSN":"26667657","journalAbbreviation":"Environmental Advances","language":"en","page":"100156","source":"DOI.org (Crossref)","title":"Assessment of imidacloprid removal from agricultural runoff by the bioretention treatment train system","volume":"7","author":[{"family":"Ahmad Zubairi","given":"Nor Amirah"},{"family":"Takaijudin","given":"Husna"},{"family":"Ab Ghani","given":"Aminuddin"},{"family":"Goh","given":"Hui Weng"},{"family":"Day","given":"Wa Aung"}],"issued":{"date-parts":[["2022",4]]}}}],"schema":"https://github.com/citation-style-language/schema/raw/master/csl-citation.json"} </w:instrText>
      </w:r>
      <w:r w:rsidRPr="00770477">
        <w:rPr>
          <w:rFonts w:cs="Times New Roman"/>
        </w:rPr>
        <w:fldChar w:fldCharType="separate"/>
      </w:r>
      <w:r w:rsidR="00E11E17" w:rsidRPr="00770477">
        <w:rPr>
          <w:rFonts w:cs="Times New Roman"/>
        </w:rPr>
        <w:t>(Ahmad Zubairi et al., 2022)</w:t>
      </w:r>
      <w:r w:rsidRPr="00770477">
        <w:rPr>
          <w:rFonts w:cs="Times New Roman"/>
        </w:rPr>
        <w:fldChar w:fldCharType="end"/>
      </w:r>
      <w:r w:rsidRPr="00770477">
        <w:rPr>
          <w:rFonts w:cs="Times New Roman"/>
        </w:rPr>
        <w:t xml:space="preserve">. Results showed that in treatment train setups without plants, only 65% of imidacloprid was retained within the bioretention system regardless of any soil amendment. However, adding plants to the system greatly improves the outcome with only 4 out of 12 planted treatment train setups resulting in any imidacloprid leaving the system. Of </w:t>
      </w:r>
      <w:r w:rsidR="000F3AF8" w:rsidRPr="00770477">
        <w:rPr>
          <w:rFonts w:cs="Times New Roman"/>
        </w:rPr>
        <w:t>w</w:t>
      </w:r>
      <w:r w:rsidRPr="00770477">
        <w:rPr>
          <w:rFonts w:cs="Times New Roman"/>
        </w:rPr>
        <w:t xml:space="preserve">hich, the imidacloprid reported leaving the system ranged from 0.53% to 2.58% of the original influent </w:t>
      </w:r>
      <w:r w:rsidRPr="00770477">
        <w:rPr>
          <w:rFonts w:cs="Times New Roman"/>
        </w:rPr>
        <w:lastRenderedPageBreak/>
        <w:t>concentration. This study showed that bioretention can be an effective tool in removing neonicotinoids, especially with the addition of carefully selected plants.</w:t>
      </w:r>
    </w:p>
    <w:p w14:paraId="43CC9323" w14:textId="55367888" w:rsidR="00BF6912" w:rsidRPr="00770477" w:rsidRDefault="00BF6912" w:rsidP="00A80CF0">
      <w:pPr>
        <w:rPr>
          <w:rFonts w:cs="Times New Roman"/>
        </w:rPr>
      </w:pPr>
    </w:p>
    <w:p w14:paraId="25BAE036" w14:textId="098BE55A" w:rsidR="00C700A7" w:rsidRPr="00770477" w:rsidRDefault="00C700A7" w:rsidP="00A80CF0">
      <w:pPr>
        <w:pStyle w:val="Heading3"/>
        <w:rPr>
          <w:rFonts w:cs="Times New Roman"/>
        </w:rPr>
      </w:pPr>
      <w:bookmarkStart w:id="8" w:name="_Toc121495970"/>
      <w:r w:rsidRPr="00770477">
        <w:rPr>
          <w:rFonts w:cs="Times New Roman"/>
        </w:rPr>
        <w:t>Metals</w:t>
      </w:r>
      <w:bookmarkEnd w:id="8"/>
    </w:p>
    <w:p w14:paraId="7C0E1F4B" w14:textId="105D4002" w:rsidR="003652D3" w:rsidRPr="00770477" w:rsidRDefault="00006051" w:rsidP="008254DB">
      <w:pPr>
        <w:ind w:firstLine="720"/>
        <w:rPr>
          <w:rFonts w:cs="Times New Roman"/>
        </w:rPr>
      </w:pPr>
      <w:r w:rsidRPr="00770477">
        <w:rPr>
          <w:rFonts w:cs="Times New Roman"/>
        </w:rPr>
        <w:t xml:space="preserve">Metals and metalloids are a common water quality contaminant and are of concern due to their toxicity to both humans and aquatic life. Some metals are essential </w:t>
      </w:r>
      <w:r w:rsidR="00F9596C" w:rsidRPr="00770477">
        <w:rPr>
          <w:rFonts w:cs="Times New Roman"/>
        </w:rPr>
        <w:t>micronutrients</w:t>
      </w:r>
      <w:r w:rsidR="010066F9" w:rsidRPr="00770477">
        <w:rPr>
          <w:rFonts w:cs="Times New Roman"/>
        </w:rPr>
        <w:t xml:space="preserve"> for</w:t>
      </w:r>
      <w:r w:rsidR="006978E3" w:rsidRPr="00770477">
        <w:rPr>
          <w:rFonts w:cs="Times New Roman"/>
        </w:rPr>
        <w:t xml:space="preserve"> supporting</w:t>
      </w:r>
      <w:r w:rsidR="010066F9" w:rsidRPr="00770477">
        <w:rPr>
          <w:rFonts w:cs="Times New Roman"/>
        </w:rPr>
        <w:t xml:space="preserve"> </w:t>
      </w:r>
      <w:r w:rsidRPr="00770477">
        <w:rPr>
          <w:rFonts w:cs="Times New Roman"/>
        </w:rPr>
        <w:t xml:space="preserve">life, however all metals are toxic at some level. The USEPA lists metals of concern </w:t>
      </w:r>
      <w:r w:rsidR="00F9596C" w:rsidRPr="00770477">
        <w:rPr>
          <w:rFonts w:cs="Times New Roman"/>
        </w:rPr>
        <w:t xml:space="preserve">for human health and consumption </w:t>
      </w:r>
      <w:r w:rsidRPr="00770477">
        <w:rPr>
          <w:rFonts w:cs="Times New Roman"/>
        </w:rPr>
        <w:t xml:space="preserve">to include aluminum (Al), arsenic (As), antimony (Sb), barium (Ba), beryllium (Be), cadmium (Cd), chromium (Cr), cobalt (Co), copper (Cu), lead (Pb), manganese (Mn), mercury (Hg), molybdenum (Mo), nickel (Ni), selenium (Se), silver (Ag), strontium (Sr), thallium (Tl), vanadium (V), and zinc (Zn) </w:t>
      </w:r>
      <w:r w:rsidRPr="00770477">
        <w:rPr>
          <w:rFonts w:cs="Times New Roman"/>
        </w:rPr>
        <w:fldChar w:fldCharType="begin"/>
      </w:r>
      <w:r w:rsidR="002074AD">
        <w:rPr>
          <w:rFonts w:cs="Times New Roman"/>
        </w:rPr>
        <w:instrText xml:space="preserve"> ADDIN ZOTERO_ITEM CSL_CITATION {"citationID":"wf8UMWkH","properties":{"formattedCitation":"(Langmuir et al., 2004)","plainCitation":"(Langmuir et al., 2004)","noteIndex":0},"citationItems":[{"id":487,"uris":["http://zotero.org/users/8423188/items/DI5K47YZ"],"itemData":{"id":487,"type":"article-journal","language":"en","page":"113","source":"Zotero","title":"ISSUE PAPER ON THE ENVIRONMENTAL CHEMISTRY OF METALS","author":[{"family":"Langmuir","given":"Donald"},{"family":"Chrostowski","given":"Paul"},{"family":"Vigneault","given":"Bernard"},{"family":"Chaney","given":"Rufus"}],"issued":{"date-parts":[["2004"]]}}}],"schema":"https://github.com/citation-style-language/schema/raw/master/csl-citation.json"} </w:instrText>
      </w:r>
      <w:r w:rsidRPr="00770477">
        <w:rPr>
          <w:rFonts w:cs="Times New Roman"/>
        </w:rPr>
        <w:fldChar w:fldCharType="separate"/>
      </w:r>
      <w:r w:rsidR="00E11E17" w:rsidRPr="00770477">
        <w:rPr>
          <w:rFonts w:cs="Times New Roman"/>
        </w:rPr>
        <w:t>(Langmuir et al., 2004)</w:t>
      </w:r>
      <w:r w:rsidRPr="00770477">
        <w:rPr>
          <w:rFonts w:cs="Times New Roman"/>
        </w:rPr>
        <w:fldChar w:fldCharType="end"/>
      </w:r>
      <w:r w:rsidRPr="00770477">
        <w:rPr>
          <w:rFonts w:cs="Times New Roman"/>
        </w:rPr>
        <w:t xml:space="preserve">. Amongst these, Sb, As, Mo, Se, and V are commonly considered metalloids, however henceforth both metals and metalloids will be referred to under the umbrella term “metals”. Metals can exist in many different forms in aquatic environments however they become an impairment when they </w:t>
      </w:r>
      <w:r w:rsidR="004E4A52" w:rsidRPr="00770477">
        <w:rPr>
          <w:rFonts w:cs="Times New Roman"/>
        </w:rPr>
        <w:t>are</w:t>
      </w:r>
      <w:r w:rsidRPr="00770477">
        <w:rPr>
          <w:rFonts w:cs="Times New Roman"/>
        </w:rPr>
        <w:t xml:space="preserve"> biologically available</w:t>
      </w:r>
      <w:r w:rsidR="004E4A52" w:rsidRPr="00770477">
        <w:rPr>
          <w:rFonts w:cs="Times New Roman"/>
        </w:rPr>
        <w:t xml:space="preserve"> or exist at high concentrations.</w:t>
      </w:r>
      <w:r w:rsidRPr="00770477">
        <w:rPr>
          <w:rFonts w:cs="Times New Roman"/>
        </w:rPr>
        <w:t xml:space="preserve"> </w:t>
      </w:r>
      <w:r w:rsidR="004E4A52" w:rsidRPr="00770477">
        <w:rPr>
          <w:rFonts w:cs="Times New Roman"/>
        </w:rPr>
        <w:t>This impairment can</w:t>
      </w:r>
      <w:r w:rsidRPr="00770477">
        <w:rPr>
          <w:rFonts w:cs="Times New Roman"/>
        </w:rPr>
        <w:t xml:space="preserve"> affect the ability of aquatic life to reproduce and behave naturally and survive </w:t>
      </w:r>
      <w:r w:rsidRPr="00770477">
        <w:rPr>
          <w:rFonts w:cs="Times New Roman"/>
        </w:rPr>
        <w:fldChar w:fldCharType="begin"/>
      </w:r>
      <w:r w:rsidR="002074AD">
        <w:rPr>
          <w:rFonts w:cs="Times New Roman"/>
        </w:rPr>
        <w:instrText xml:space="preserve"> ADDIN ZOTERO_ITEM CSL_CITATION {"citationID":"fVfhWx24","properties":{"formattedCitation":"(Baby et al., 2011; US EPA, 2015c)","plainCitation":"(Baby et al., 2011; US EPA, 2015c)","noteIndex":0},"citationItems":[{"id":73,"uris":["http://zotero.org/users/8423188/items/TG6XME3U"],"itemData":{"id":73,"type":"article-journal","abstract":"The indiscriminate discharge of industrial effluents, raw sewage wastes and other waste pollute most of the environments and affect survival and physiological activities of target organisms. Metals in particular have a tendency to accumulate and undergo food chain magnification. Heavy metals affect all groups of organisms and ecosystem processes, including microbial activities. The bioaccumulation of trace elements in living organisms and biomagnification in them describes the processes and pathways of these pollutants from one trophic level to another, exhibiting the higher bioaccumulation ability in the organisms concerned. Some of these organisms, like fishes, are consumed by human beings. They could also cause catastrophic diseases like Minamata and Itai-Itai. Remediation approaches such as excavation and land fill, thermal treatment, electroreclamation and soil capping have been proposed depending on the extension, depth and kind of contamination, but all are expensive and environmentally destructive. Hence, reduction of toxic elements in aquatic environment can be progressively monitored by currently accepted and updated methods.","container-title":"International Journal of Biological and Chemical Sciences","DOI":"10.4314/ijbcs.v4i4.62976","ISSN":"1991-8631","issue":"4","language":"en","source":"DOI.org (Crossref)","title":"Toxic effect of heavy metals on aquatic environment","URL":"http://www.ajol.info/index.php/ijbcs/article/view/62976","volume":"4","author":[{"family":"Baby","given":"J"},{"family":"Raj","given":"Js"},{"family":"Biby","given":"Et"},{"family":"Sankarganesh","given":"P"},{"family":"Jeevitha","given":"Mv"},{"family":"Ajisha","given":"Su"},{"family":"Rajan","given":"Ss"}],"accessed":{"date-parts":[["2021",11,3]]},"issued":{"date-parts":[["2011",1,7]]}}},{"id":64,"uris":["http://zotero.org/users/8423188/items/JCANZVIF"],"itemData":{"id":64,"type":"webpage","abstract":"Introduction to the metals module, when to list metals as a candidate cause, ways to measure metals, simple and detailed conceptual diagrams for metals, metals module references and literature reviews.","genre":"Data and Tools","language":"en","title":"Metals","URL":"https://www.epa.gov/caddis-vol2/metals","author":[{"family":"US EPA","given":"ORD"}],"accessed":{"date-parts":[["2021",11,18]]},"issued":{"date-parts":[["2015",11,4]]}}}],"schema":"https://github.com/citation-style-language/schema/raw/master/csl-citation.json"} </w:instrText>
      </w:r>
      <w:r w:rsidRPr="00770477">
        <w:rPr>
          <w:rFonts w:cs="Times New Roman"/>
        </w:rPr>
        <w:fldChar w:fldCharType="separate"/>
      </w:r>
      <w:r w:rsidR="00E11E17" w:rsidRPr="00770477">
        <w:rPr>
          <w:rFonts w:cs="Times New Roman"/>
        </w:rPr>
        <w:t>(Baby et al., 2011; US EPA, 2015c)</w:t>
      </w:r>
      <w:r w:rsidRPr="00770477">
        <w:rPr>
          <w:rFonts w:cs="Times New Roman"/>
        </w:rPr>
        <w:fldChar w:fldCharType="end"/>
      </w:r>
      <w:r w:rsidRPr="00770477">
        <w:rPr>
          <w:rFonts w:cs="Times New Roman"/>
        </w:rPr>
        <w:t xml:space="preserve">. Furthermore, metals have also been shown to negatively affect human health either through direct exposure or through bioaccumulation in food sources </w:t>
      </w:r>
      <w:r w:rsidRPr="00770477">
        <w:rPr>
          <w:rFonts w:cs="Times New Roman"/>
        </w:rPr>
        <w:fldChar w:fldCharType="begin"/>
      </w:r>
      <w:r w:rsidR="002074AD">
        <w:rPr>
          <w:rFonts w:cs="Times New Roman"/>
        </w:rPr>
        <w:instrText xml:space="preserve"> ADDIN ZOTERO_ITEM CSL_CITATION {"citationID":"1sh8eUN0","properties":{"formattedCitation":"(Baby et al., 2011; OSHA, 2004)","plainCitation":"(Baby et al., 2011; OSHA, 2004)","noteIndex":0},"citationItems":[{"id":73,"uris":["http://zotero.org/users/8423188/items/TG6XME3U"],"itemData":{"id":73,"type":"article-journal","abstract":"The indiscriminate discharge of industrial effluents, raw sewage wastes and other waste pollute most of the environments and affect survival and physiological activities of target organisms. Metals in particular have a tendency to accumulate and undergo food chain magnification. Heavy metals affect all groups of organisms and ecosystem processes, including microbial activities. The bioaccumulation of trace elements in living organisms and biomagnification in them describes the processes and pathways of these pollutants from one trophic level to another, exhibiting the higher bioaccumulation ability in the organisms concerned. Some of these organisms, like fishes, are consumed by human beings. They could also cause catastrophic diseases like Minamata and Itai-Itai. Remediation approaches such as excavation and land fill, thermal treatment, electroreclamation and soil capping have been proposed depending on the extension, depth and kind of contamination, but all are expensive and environmentally destructive. Hence, reduction of toxic elements in aquatic environment can be progressively monitored by currently accepted and updated methods.","container-title":"International Journal of Biological and Chemical Sciences","DOI":"10.4314/ijbcs.v4i4.62976","ISSN":"1991-8631","issue":"4","language":"en","source":"DOI.org (Crossref)","title":"Toxic effect of heavy metals on aquatic environment","URL":"http://www.ajol.info/index.php/ijbcs/article/view/62976","volume":"4","author":[{"family":"Baby","given":"J"},{"family":"Raj","given":"Js"},{"family":"Biby","given":"Et"},{"family":"Sankarganesh","given":"P"},{"family":"Jeevitha","given":"Mv"},{"family":"Ajisha","given":"Su"},{"family":"Rajan","given":"Ss"}],"accessed":{"date-parts":[["2021",11,3]]},"issued":{"date-parts":[["2011",1,7]]}}},{"id":554,"uris":["http://zotero.org/users/8423188/items/UJ3Z6U3B"],"itemData":{"id":554,"type":"webpage","title":"Toxic Metals - Overview | Occupational Safety and Health Administration","URL":"https://www.osha.gov/toxic-metals","author":[{"family":"OSHA","given":""}],"accessed":{"date-parts":[["2022",8,19]]},"issued":{"date-parts":[["2004"]]}}}],"schema":"https://github.com/citation-style-language/schema/raw/master/csl-citation.json"} </w:instrText>
      </w:r>
      <w:r w:rsidRPr="00770477">
        <w:rPr>
          <w:rFonts w:cs="Times New Roman"/>
        </w:rPr>
        <w:fldChar w:fldCharType="separate"/>
      </w:r>
      <w:r w:rsidR="00E11E17" w:rsidRPr="00770477">
        <w:rPr>
          <w:rFonts w:cs="Times New Roman"/>
        </w:rPr>
        <w:t>(Baby et al., 2011; OSHA, 2004)</w:t>
      </w:r>
      <w:r w:rsidRPr="00770477">
        <w:rPr>
          <w:rFonts w:cs="Times New Roman"/>
        </w:rPr>
        <w:fldChar w:fldCharType="end"/>
      </w:r>
      <w:r w:rsidRPr="00770477">
        <w:rPr>
          <w:rFonts w:cs="Times New Roman"/>
        </w:rPr>
        <w:t xml:space="preserve">. </w:t>
      </w:r>
    </w:p>
    <w:p w14:paraId="2F63B4F8" w14:textId="5D830DE8" w:rsidR="00006051" w:rsidRPr="00770477" w:rsidRDefault="00006051" w:rsidP="008254DB">
      <w:pPr>
        <w:ind w:firstLine="720"/>
        <w:rPr>
          <w:rFonts w:cs="Times New Roman"/>
        </w:rPr>
      </w:pPr>
      <w:r w:rsidRPr="00770477">
        <w:rPr>
          <w:rFonts w:cs="Times New Roman"/>
        </w:rPr>
        <w:t xml:space="preserve">Evidence of metals contamination in stormwater is widely documented </w:t>
      </w:r>
      <w:r w:rsidRPr="00770477">
        <w:rPr>
          <w:rFonts w:cs="Times New Roman"/>
        </w:rPr>
        <w:fldChar w:fldCharType="begin"/>
      </w:r>
      <w:r w:rsidR="002074AD">
        <w:rPr>
          <w:rFonts w:cs="Times New Roman"/>
        </w:rPr>
        <w:instrText xml:space="preserve"> ADDIN ZOTERO_ITEM CSL_CITATION {"citationID":"ZcxLubqm","properties":{"formattedCitation":"(Gunawardana et al., 2015; Huber et al., 2016; Kayhanian et al., 2012; Rommel et al., 2021; US EPA, 2015c)","plainCitation":"(Gunawardana et al., 2015; Huber et al., 2016; Kayhanian et al., 2012; Rommel et al., 2021; US EPA, 2015c)","noteIndex":0},"citationItems":[{"id":527,"uris":["http://zotero.org/users/8423188/items/RHBLFRM4"],"itemData":{"id":527,"type":"article-journal","abstract":"The study investigated the adsorption and bioavailability characteristics of trafﬁc generated metals common to urban land uses, in road deposited solids particles. To validate the outcomes derived from the analysis of ﬁeld samples, adsorption and desorption experiments were undertaken. The analysis of ﬁeld samples revealed that metals are selectively adsorbed to different charge sites on solids. Zinc, copper, lead and nickel are adsorbed preferentially to oxides of manganese, iron and aluminium. Lead is adsorbed to organic matter through chemisorption. Cadmium and chromium form weak bonding through cation exchange with most of the particle sizes. Adsorption and desorption experiments revealed that at high metal concentrations, chromium, copper and lead form relatively strong bonds with solids particles while zinc is adsorbed through cation exchange with high likelihood of being released back into solution. Outcomes from this study provide speciﬁc guidance for the removal of metals from stormwater based on solids removal.","container-title":"Chemosphere","DOI":"10.1016/j.chemosphere.2014.02.048","ISSN":"00456535","journalAbbreviation":"Chemosphere","language":"en","page":"1391-1398","source":"DOI.org (Crossref)","title":"Adsorption and mobility of metals in build-up on road surfaces","volume":"119","author":[{"family":"Gunawardana","given":"Chandima"},{"family":"Egodawatta","given":"Prasanna"},{"family":"Goonetilleke","given":"Ashantha"}],"issued":{"date-parts":[["2015",1]]}}},{"id":354,"uris":["http://zotero.org/users/8423188/items/Y3KQTXXK"],"itemData":{"id":354,"type":"article-journal","container-title":"Science of The Total Environment","DOI":"10.1016/j.scitotenv.2015.09.033","ISSN":"00489697","journalAbbreviation":"Science of The Total Environment","language":"en","page":"895-919","source":"DOI.org (Crossref)","title":"Critical review of heavy metal pollution of traffic area runoff: Occurrence, influencing factors, and partitioning","title-short":"Critical review of heavy metal pollution of traffic area runoff","volume":"541","author":[{"family":"Huber","given":"Maximilian"},{"family":"Welker","given":"Antje"},{"family":"Helmreich","given":"Brigitte"}],"issued":{"date-parts":[["2016",1]]}}},{"id":525,"uris":["http://zotero.org/users/8423188/items/USSRH4WP"],"itemData":{"id":525,"type":"article-journal","abstract":"This review interprets highway runoff characterization studies performed on different continents. The results are synthesized to discuss the historical trends, ﬁrst ﬂush effects of pollutants, pollutant form as dissolved vs. particulate, and to identify surrogate water quality parameters. The information presented in this review showed that: (1) variability has been observed in all quality parameters from each continent and among continents; (2) with a few exceptions the variability seems to be within the expected range; (3) inconsistent monitoring data as well as inconsistent quality assurance and quality control measures were reported among studies, which may be partially responsible for variability of water quality results; (4) compared with historic data, the concentration of total Pb decreased exponentially, which can mostly be credited to leaded gasoline phase-out regulation; (5) ﬁrst ﬂush effects of pollutants based on concentration have been reported consistently (however, mass ﬁrst ﬂush effects for pollutants have been reported inconsistently compared with concentration ﬁrst ﬂush effect); (6) most metal pollutants and phosphorus are present in both the particulate and dissolved forms; and (7) strong correlations were observed between TSS, TDS, TOC and iron (Fe) and 13 other constituents and water quality parameters (turbidity, O&amp;G, TPH, DOC, TKN, EC, Cl, Cd, Cr, Cu, Ni, Pb, Zn).","container-title":"Water Research","DOI":"10.1016/j.watres.2012.07.026","ISSN":"00431354","issue":"20","journalAbbreviation":"Water Research","language":"en","page":"6609-6624","source":"DOI.org (Crossref)","title":"Review of highway runoff characteristics: Comparative analysis and universal implications","title-short":"Review of highway runoff characteristics","volume":"46","author":[{"family":"Kayhanian","given":"Masoud"},{"family":"Fruchtman","given":"Boaz D."},{"family":"Gulliver","given":"John S."},{"family":"Montanaro","given":"Comasia"},{"family":"Ranieri","given":"Ezio"},{"family":"Wuertz","given":"Stefan"}],"issued":{"date-parts":[["2012",12]]}}},{"id":530,"uris":["http://zotero.org/users/8423188/items/HS8UD34I"],"itemData":{"id":530,"type":"article-journal","abstract":"The performance of stormwater quality improvement devices (SQIDs), commonly based on sedimentation and media ﬁltration, is generally examined either at lab scale or in ﬁeld tests. However, there has so far been only little investigation into the remobilization of heavy metals retained in sediments and sorptive ﬁlter media. It is, moreover, unknown whether current lab-scale experiments are able to replicate the conditions of full-scale operation. To assess the potential impact of differences in conditions between lab-scale and ﬁeld tests on the strength of association of heavy metals, ﬁlter media taken from three SQIDs were subjected to analysis by sequential extraction after prestressing both on a lab scale and in ﬁeld tests. Sediments and ﬁlter cake trapped in the SQIDs were additionally analyzed. These displayed signiﬁcantly higher heavy metal content than ﬁlter media that had been prestressed in the ﬁeld. The zinc in the sediments and ﬁlter media displayed particularly high mobility. This study reveals a discrepancy between ﬁeld and lab-scale conditions that creates differences in the content and strength of association of heavy metals. It is hence possible to show that previous lab-scale experiments potentially overestimated the risk of heavy-metal leaching, due to their predominant occurrence in more mobile fractions.","container-title":"Science of The Total Environment","DOI":"10.1016/j.scitotenv.2021.146875","ISSN":"00489697","journalAbbreviation":"Science of The Total Environment","language":"en","page":"146875","source":"DOI.org (Crossref)","title":"Sequential extraction of heavy metals from sorptive filter media and sediments trapped in stormwater quality improvement devices for road runoff","volume":"782","author":[{"family":"Rommel","given":"Steffen H."},{"family":"Stinshoff","given":"Philipp"},{"family":"Helmreich","given":"Brigitte"}],"issued":{"date-parts":[["2021",8]]}}},{"id":64,"uris":["http://zotero.org/users/8423188/items/JCANZVIF"],"itemData":{"id":64,"type":"webpage","abstract":"Introduction to the metals module, when to list metals as a candidate cause, ways to measure metals, simple and detailed conceptual diagrams for metals, metals module references and literature reviews.","genre":"Data and Tools","language":"en","title":"Metals","URL":"https://www.epa.gov/caddis-vol2/metals","author":[{"family":"US EPA","given":"ORD"}],"accessed":{"date-parts":[["2021",11,18]]},"issued":{"date-parts":[["2015",11,4]]}}}],"schema":"https://github.com/citation-style-language/schema/raw/master/csl-citation.json"} </w:instrText>
      </w:r>
      <w:r w:rsidRPr="00770477">
        <w:rPr>
          <w:rFonts w:cs="Times New Roman"/>
        </w:rPr>
        <w:fldChar w:fldCharType="separate"/>
      </w:r>
      <w:r w:rsidR="00E11E17" w:rsidRPr="00770477">
        <w:rPr>
          <w:rFonts w:cs="Times New Roman"/>
        </w:rPr>
        <w:t>(Gunawardana et al., 2015; Huber et al., 2016; Kayhanian et al., 2012; Rommel et al., 2021; US EPA, 2015c)</w:t>
      </w:r>
      <w:r w:rsidRPr="00770477">
        <w:rPr>
          <w:rFonts w:cs="Times New Roman"/>
        </w:rPr>
        <w:fldChar w:fldCharType="end"/>
      </w:r>
      <w:r w:rsidRPr="00770477">
        <w:rPr>
          <w:rFonts w:cs="Times New Roman"/>
        </w:rPr>
        <w:t xml:space="preserve">. In a comprehensive review, </w:t>
      </w:r>
      <w:r w:rsidRPr="00770477">
        <w:rPr>
          <w:rFonts w:cs="Times New Roman"/>
        </w:rPr>
        <w:fldChar w:fldCharType="begin"/>
      </w:r>
      <w:r w:rsidR="002074AD">
        <w:rPr>
          <w:rFonts w:cs="Times New Roman"/>
        </w:rPr>
        <w:instrText xml:space="preserve"> ADDIN ZOTERO_ITEM CSL_CITATION {"citationID":"UURMAPME","properties":{"formattedCitation":"(Huber et al., 2016)","plainCitation":"(Huber et al., 2016)","dontUpdate":true,"noteIndex":0},"citationItems":[{"id":354,"uris":["http://zotero.org/users/8423188/items/Y3KQTXXK"],"itemData":{"id":354,"type":"article-journal","container-title":"Science of The Total Environment","DOI":"10.1016/j.scitotenv.2015.09.033","ISSN":"00489697","journalAbbreviation":"Science of The Total Environment","language":"en","page":"895-919","source":"DOI.org (Crossref)","title":"Critical review of heavy metal pollution of traffic area runoff: Occurrence, influencing factors, and partitioning","title-short":"Critical review of heavy metal pollution of traffic area runoff","volume":"541","author":[{"family":"Huber","given":"Maximilian"},{"family":"Welker","given":"Antje"},{"family":"Helmreich","given":"Brigitte"}],"issued":{"date-parts":[["2016",1]]}}}],"schema":"https://github.com/citation-style-language/schema/raw/master/csl-citation.json"} </w:instrText>
      </w:r>
      <w:r w:rsidRPr="00770477">
        <w:rPr>
          <w:rFonts w:cs="Times New Roman"/>
        </w:rPr>
        <w:fldChar w:fldCharType="separate"/>
      </w:r>
      <w:r w:rsidRPr="00770477">
        <w:rPr>
          <w:rFonts w:cs="Times New Roman"/>
          <w:noProof/>
        </w:rPr>
        <w:t>Huber et al. (2016)</w:t>
      </w:r>
      <w:r w:rsidRPr="00770477">
        <w:rPr>
          <w:rFonts w:cs="Times New Roman"/>
        </w:rPr>
        <w:fldChar w:fldCharType="end"/>
      </w:r>
      <w:r w:rsidRPr="00770477">
        <w:rPr>
          <w:rFonts w:cs="Times New Roman"/>
        </w:rPr>
        <w:t xml:space="preserve"> compiled 294 studies across all continents (excluding Antarctica) investigating traffic related metals pollution in stormwater. Measurable levels of Co, Mn, palladium (Pd), platinum (Pt), rhodium (Rh), titanium (</w:t>
      </w:r>
      <w:proofErr w:type="spellStart"/>
      <w:r w:rsidRPr="00770477">
        <w:rPr>
          <w:rFonts w:cs="Times New Roman"/>
        </w:rPr>
        <w:t>Ti</w:t>
      </w:r>
      <w:proofErr w:type="spellEnd"/>
      <w:r w:rsidRPr="00770477">
        <w:rPr>
          <w:rFonts w:cs="Times New Roman"/>
        </w:rPr>
        <w:t xml:space="preserve">), and tungsten (W) were found in </w:t>
      </w:r>
      <w:r w:rsidRPr="00770477">
        <w:rPr>
          <w:rFonts w:cs="Times New Roman"/>
        </w:rPr>
        <w:lastRenderedPageBreak/>
        <w:t xml:space="preserve">stormwaters worldwide and are reported to be associated with anthropogenic sources. Of higher frequency, Cu, Pb, and Zn were also found worldwide and were identified to be the more prolific and concerning </w:t>
      </w:r>
      <w:r w:rsidR="004B158C" w:rsidRPr="00770477">
        <w:rPr>
          <w:rFonts w:cs="Times New Roman"/>
        </w:rPr>
        <w:t>due to</w:t>
      </w:r>
      <w:r w:rsidRPr="00770477">
        <w:rPr>
          <w:rFonts w:cs="Times New Roman"/>
        </w:rPr>
        <w:t xml:space="preserve"> anthropogenic</w:t>
      </w:r>
      <w:r w:rsidR="00EB5536" w:rsidRPr="00770477">
        <w:rPr>
          <w:rFonts w:cs="Times New Roman"/>
        </w:rPr>
        <w:t xml:space="preserve"> </w:t>
      </w:r>
      <w:r w:rsidRPr="00770477">
        <w:rPr>
          <w:rFonts w:cs="Times New Roman"/>
        </w:rPr>
        <w:t xml:space="preserve">contamination. </w:t>
      </w:r>
      <w:r w:rsidR="00284EB1" w:rsidRPr="00770477">
        <w:rPr>
          <w:rFonts w:cs="Times New Roman"/>
        </w:rPr>
        <w:t xml:space="preserve">Rocks and soils </w:t>
      </w:r>
      <w:r w:rsidRPr="00770477">
        <w:rPr>
          <w:rFonts w:cs="Times New Roman"/>
        </w:rPr>
        <w:t xml:space="preserve">are a natural source </w:t>
      </w:r>
      <w:r w:rsidR="00284EB1" w:rsidRPr="00770477">
        <w:rPr>
          <w:rFonts w:cs="Times New Roman"/>
        </w:rPr>
        <w:t xml:space="preserve">of metals </w:t>
      </w:r>
      <w:r w:rsidRPr="00770477">
        <w:rPr>
          <w:rFonts w:cs="Times New Roman"/>
        </w:rPr>
        <w:t>to aquatic environments however human activities can either introduce or magnify the flux of metals into, within, and out of aquatic environments</w:t>
      </w:r>
      <w:r w:rsidR="00790F75" w:rsidRPr="00770477">
        <w:rPr>
          <w:rFonts w:cs="Times New Roman"/>
        </w:rPr>
        <w:t xml:space="preserve"> </w:t>
      </w:r>
      <w:r w:rsidR="00790F75" w:rsidRPr="00770477">
        <w:rPr>
          <w:rFonts w:cs="Times New Roman"/>
        </w:rPr>
        <w:fldChar w:fldCharType="begin"/>
      </w:r>
      <w:r w:rsidR="002074AD">
        <w:rPr>
          <w:rFonts w:cs="Times New Roman"/>
        </w:rPr>
        <w:instrText xml:space="preserve"> ADDIN ZOTERO_ITEM CSL_CITATION {"citationID":"wENsgScj","properties":{"formattedCitation":"(Schlesinger &amp; Bernhardt, 2013)","plainCitation":"(Schlesinger &amp; Bernhardt, 2013)","noteIndex":0},"citationItems":[{"id":66,"uris":["http://zotero.org/users/8423188/items/E4W4NVLQ"],"itemData":{"id":66,"type":"chapter","container-title":"Biogeochemistry","edition":"3rd","ISBN":"978-0-12-385874-0","language":"en","note":"DOI: 10.1016/B978-0-12-385874-0.09985-4","publisher":"Elsevier","source":"DOI.org (Crossref)","title":"Biogeochemistry: An Analysis of Global Change","URL":"https://linkinghub.elsevier.com/retrieve/pii/B9780123858740099854","author":[{"family":"Schlesinger","given":"William H."},{"family":"Bernhardt","given":"Emily S."}],"accessed":{"date-parts":[["2021",11,18]]},"issued":{"date-parts":[["2013"]]}}}],"schema":"https://github.com/citation-style-language/schema/raw/master/csl-citation.json"} </w:instrText>
      </w:r>
      <w:r w:rsidR="00790F75" w:rsidRPr="00770477">
        <w:rPr>
          <w:rFonts w:cs="Times New Roman"/>
        </w:rPr>
        <w:fldChar w:fldCharType="separate"/>
      </w:r>
      <w:r w:rsidR="00790F75" w:rsidRPr="00770477">
        <w:rPr>
          <w:rFonts w:cs="Times New Roman"/>
        </w:rPr>
        <w:t>(Schlesinger &amp; Bernhardt, 2013)</w:t>
      </w:r>
      <w:r w:rsidR="00790F75" w:rsidRPr="00770477">
        <w:rPr>
          <w:rFonts w:cs="Times New Roman"/>
        </w:rPr>
        <w:fldChar w:fldCharType="end"/>
      </w:r>
      <w:r w:rsidRPr="00770477">
        <w:rPr>
          <w:rFonts w:cs="Times New Roman"/>
        </w:rPr>
        <w:t xml:space="preserve">. </w:t>
      </w:r>
      <w:r w:rsidR="00BF4A85" w:rsidRPr="00770477">
        <w:rPr>
          <w:rFonts w:cs="Times New Roman"/>
        </w:rPr>
        <w:t>Atmospheric deposition is also a common source</w:t>
      </w:r>
      <w:r w:rsidR="009558A6" w:rsidRPr="00770477">
        <w:rPr>
          <w:rFonts w:cs="Times New Roman"/>
        </w:rPr>
        <w:t xml:space="preserve"> of metals </w:t>
      </w:r>
      <w:r w:rsidR="00BE65FC" w:rsidRPr="00770477">
        <w:rPr>
          <w:rFonts w:cs="Times New Roman"/>
        </w:rPr>
        <w:t xml:space="preserve">in aqueous environments, however it constitutes a smaller percentage of </w:t>
      </w:r>
      <w:r w:rsidR="000C024A">
        <w:rPr>
          <w:rFonts w:cs="Times New Roman"/>
        </w:rPr>
        <w:t>overall</w:t>
      </w:r>
      <w:r w:rsidR="00933F76" w:rsidRPr="00770477">
        <w:rPr>
          <w:rFonts w:cs="Times New Roman"/>
        </w:rPr>
        <w:t xml:space="preserve"> metals flux </w:t>
      </w:r>
      <w:r w:rsidR="00F2357A" w:rsidRPr="00770477">
        <w:rPr>
          <w:rFonts w:cs="Times New Roman"/>
        </w:rPr>
        <w:t xml:space="preserve">into </w:t>
      </w:r>
      <w:r w:rsidR="007A6392" w:rsidRPr="00770477">
        <w:rPr>
          <w:rFonts w:cs="Times New Roman"/>
        </w:rPr>
        <w:t xml:space="preserve">fresh </w:t>
      </w:r>
      <w:r w:rsidR="00F2357A" w:rsidRPr="00770477">
        <w:rPr>
          <w:rFonts w:cs="Times New Roman"/>
        </w:rPr>
        <w:t xml:space="preserve">waterbodies than soils, rocks, and </w:t>
      </w:r>
      <w:r w:rsidR="007A6392" w:rsidRPr="00770477">
        <w:rPr>
          <w:rFonts w:cs="Times New Roman"/>
        </w:rPr>
        <w:t>anthropogenic</w:t>
      </w:r>
      <w:r w:rsidR="00F2357A" w:rsidRPr="00770477">
        <w:rPr>
          <w:rFonts w:cs="Times New Roman"/>
        </w:rPr>
        <w:t xml:space="preserve"> activities</w:t>
      </w:r>
      <w:r w:rsidR="007A6392" w:rsidRPr="00770477">
        <w:rPr>
          <w:rFonts w:cs="Times New Roman"/>
        </w:rPr>
        <w:t xml:space="preserve"> </w:t>
      </w:r>
      <w:r w:rsidR="007A6392" w:rsidRPr="00770477">
        <w:rPr>
          <w:rFonts w:cs="Times New Roman"/>
        </w:rPr>
        <w:fldChar w:fldCharType="begin"/>
      </w:r>
      <w:r w:rsidR="002074AD">
        <w:rPr>
          <w:rFonts w:cs="Times New Roman"/>
        </w:rPr>
        <w:instrText xml:space="preserve"> ADDIN ZOTERO_ITEM CSL_CITATION {"citationID":"509WwMgS","properties":{"formattedCitation":"(Schlesinger &amp; Bernhardt, 2013)","plainCitation":"(Schlesinger &amp; Bernhardt, 2013)","noteIndex":0},"citationItems":[{"id":66,"uris":["http://zotero.org/users/8423188/items/E4W4NVLQ"],"itemData":{"id":66,"type":"chapter","container-title":"Biogeochemistry","edition":"3rd","ISBN":"978-0-12-385874-0","language":"en","note":"DOI: 10.1016/B978-0-12-385874-0.09985-4","publisher":"Elsevier","source":"DOI.org (Crossref)","title":"Biogeochemistry: An Analysis of Global Change","URL":"https://linkinghub.elsevier.com/retrieve/pii/B9780123858740099854","author":[{"family":"Schlesinger","given":"William H."},{"family":"Bernhardt","given":"Emily S."}],"accessed":{"date-parts":[["2021",11,18]]},"issued":{"date-parts":[["2013"]]}}}],"schema":"https://github.com/citation-style-language/schema/raw/master/csl-citation.json"} </w:instrText>
      </w:r>
      <w:r w:rsidR="007A6392" w:rsidRPr="00770477">
        <w:rPr>
          <w:rFonts w:cs="Times New Roman"/>
        </w:rPr>
        <w:fldChar w:fldCharType="separate"/>
      </w:r>
      <w:r w:rsidR="007A6392" w:rsidRPr="00770477">
        <w:rPr>
          <w:rFonts w:cs="Times New Roman"/>
        </w:rPr>
        <w:t>(Schlesinger &amp; Bernhardt, 2013)</w:t>
      </w:r>
      <w:r w:rsidR="007A6392" w:rsidRPr="00770477">
        <w:rPr>
          <w:rFonts w:cs="Times New Roman"/>
        </w:rPr>
        <w:fldChar w:fldCharType="end"/>
      </w:r>
      <w:r w:rsidR="00F2357A" w:rsidRPr="00770477">
        <w:rPr>
          <w:rFonts w:cs="Times New Roman"/>
        </w:rPr>
        <w:t xml:space="preserve">. </w:t>
      </w:r>
      <w:r w:rsidRPr="00770477">
        <w:rPr>
          <w:rFonts w:cs="Times New Roman"/>
        </w:rPr>
        <w:t xml:space="preserve">Common anthropogenic sources of metals are mines, smelters, firing ranges, municipal waste treatment outfalls, industrial point sources, junkyards, landfills, and non-point sources such as parking lots, roads, fertilizers, pesticides, legacy contamination, and land/land cover disturbances </w:t>
      </w:r>
      <w:r w:rsidRPr="00770477">
        <w:rPr>
          <w:rFonts w:cs="Times New Roman"/>
        </w:rPr>
        <w:fldChar w:fldCharType="begin"/>
      </w:r>
      <w:r w:rsidR="002074AD">
        <w:rPr>
          <w:rFonts w:cs="Times New Roman"/>
        </w:rPr>
        <w:instrText xml:space="preserve"> ADDIN ZOTERO_ITEM CSL_CITATION {"citationID":"r5eH4hdP","properties":{"formattedCitation":"(US EPA, 2015c)","plainCitation":"(US EPA, 2015c)","noteIndex":0},"citationItems":[{"id":64,"uris":["http://zotero.org/users/8423188/items/JCANZVIF"],"itemData":{"id":64,"type":"webpage","abstract":"Introduction to the metals module, when to list metals as a candidate cause, ways to measure metals, simple and detailed conceptual diagrams for metals, metals module references and literature reviews.","genre":"Data and Tools","language":"en","title":"Metals","URL":"https://www.epa.gov/caddis-vol2/metals","author":[{"family":"US EPA","given":"ORD"}],"accessed":{"date-parts":[["2021",11,18]]},"issued":{"date-parts":[["2015",11,4]]}}}],"schema":"https://github.com/citation-style-language/schema/raw/master/csl-citation.json"} </w:instrText>
      </w:r>
      <w:r w:rsidRPr="00770477">
        <w:rPr>
          <w:rFonts w:cs="Times New Roman"/>
        </w:rPr>
        <w:fldChar w:fldCharType="separate"/>
      </w:r>
      <w:r w:rsidR="00E11E17" w:rsidRPr="00770477">
        <w:rPr>
          <w:rFonts w:cs="Times New Roman"/>
        </w:rPr>
        <w:t>(US EPA, 2015c)</w:t>
      </w:r>
      <w:r w:rsidRPr="00770477">
        <w:rPr>
          <w:rFonts w:cs="Times New Roman"/>
        </w:rPr>
        <w:fldChar w:fldCharType="end"/>
      </w:r>
      <w:r w:rsidRPr="00770477">
        <w:rPr>
          <w:rFonts w:cs="Times New Roman"/>
        </w:rPr>
        <w:t xml:space="preserve">. Once introduced in an aquatic environment, metals are indefinitely persistent and conservative </w:t>
      </w:r>
      <w:r w:rsidRPr="00770477">
        <w:rPr>
          <w:rFonts w:cs="Times New Roman"/>
        </w:rPr>
        <w:fldChar w:fldCharType="begin"/>
      </w:r>
      <w:r w:rsidR="002074AD">
        <w:rPr>
          <w:rFonts w:cs="Times New Roman"/>
        </w:rPr>
        <w:instrText xml:space="preserve"> ADDIN ZOTERO_ITEM CSL_CITATION {"citationID":"viIlZ3ca","properties":{"formattedCitation":"(Langmuir et al., 2004)","plainCitation":"(Langmuir et al., 2004)","noteIndex":0},"citationItems":[{"id":487,"uris":["http://zotero.org/users/8423188/items/DI5K47YZ"],"itemData":{"id":487,"type":"article-journal","language":"en","page":"113","source":"Zotero","title":"ISSUE PAPER ON THE ENVIRONMENTAL CHEMISTRY OF METALS","author":[{"family":"Langmuir","given":"Donald"},{"family":"Chrostowski","given":"Paul"},{"family":"Vigneault","given":"Bernard"},{"family":"Chaney","given":"Rufus"}],"issued":{"date-parts":[["2004"]]}}}],"schema":"https://github.com/citation-style-language/schema/raw/master/csl-citation.json"} </w:instrText>
      </w:r>
      <w:r w:rsidRPr="00770477">
        <w:rPr>
          <w:rFonts w:cs="Times New Roman"/>
        </w:rPr>
        <w:fldChar w:fldCharType="separate"/>
      </w:r>
      <w:r w:rsidR="00E11E17" w:rsidRPr="00770477">
        <w:rPr>
          <w:rFonts w:cs="Times New Roman"/>
        </w:rPr>
        <w:t>(Langmuir et al., 2004)</w:t>
      </w:r>
      <w:r w:rsidRPr="00770477">
        <w:rPr>
          <w:rFonts w:cs="Times New Roman"/>
        </w:rPr>
        <w:fldChar w:fldCharType="end"/>
      </w:r>
      <w:r w:rsidRPr="00770477">
        <w:rPr>
          <w:rFonts w:cs="Times New Roman"/>
        </w:rPr>
        <w:t xml:space="preserve"> and contamination is difficult to detect beyond conducting water quality analyses </w:t>
      </w:r>
      <w:r w:rsidRPr="00770477">
        <w:rPr>
          <w:rFonts w:cs="Times New Roman"/>
        </w:rPr>
        <w:fldChar w:fldCharType="begin"/>
      </w:r>
      <w:r w:rsidR="002074AD">
        <w:rPr>
          <w:rFonts w:cs="Times New Roman"/>
        </w:rPr>
        <w:instrText xml:space="preserve"> ADDIN ZOTERO_ITEM CSL_CITATION {"citationID":"lKlK4gCE","properties":{"formattedCitation":"(US EPA, 2015c)","plainCitation":"(US EPA, 2015c)","noteIndex":0},"citationItems":[{"id":64,"uris":["http://zotero.org/users/8423188/items/JCANZVIF"],"itemData":{"id":64,"type":"webpage","abstract":"Introduction to the metals module, when to list metals as a candidate cause, ways to measure metals, simple and detailed conceptual diagrams for metals, metals module references and literature reviews.","genre":"Data and Tools","language":"en","title":"Metals","URL":"https://www.epa.gov/caddis-vol2/metals","author":[{"family":"US EPA","given":"ORD"}],"accessed":{"date-parts":[["2021",11,18]]},"issued":{"date-parts":[["2015",11,4]]}}}],"schema":"https://github.com/citation-style-language/schema/raw/master/csl-citation.json"} </w:instrText>
      </w:r>
      <w:r w:rsidRPr="00770477">
        <w:rPr>
          <w:rFonts w:cs="Times New Roman"/>
        </w:rPr>
        <w:fldChar w:fldCharType="separate"/>
      </w:r>
      <w:r w:rsidR="00E11E17" w:rsidRPr="00770477">
        <w:rPr>
          <w:rFonts w:cs="Times New Roman"/>
        </w:rPr>
        <w:t>(US EPA, 2015c)</w:t>
      </w:r>
      <w:r w:rsidRPr="00770477">
        <w:rPr>
          <w:rFonts w:cs="Times New Roman"/>
        </w:rPr>
        <w:fldChar w:fldCharType="end"/>
      </w:r>
      <w:r w:rsidRPr="00770477">
        <w:rPr>
          <w:rFonts w:cs="Times New Roman"/>
        </w:rPr>
        <w:t>. Metals can exist within an aquatic environment as</w:t>
      </w:r>
      <w:r w:rsidR="296EC8EB" w:rsidRPr="00770477">
        <w:rPr>
          <w:rFonts w:cs="Times New Roman"/>
        </w:rPr>
        <w:t xml:space="preserve"> </w:t>
      </w:r>
      <w:r w:rsidR="55B0A2BE" w:rsidRPr="00770477">
        <w:rPr>
          <w:rFonts w:cs="Times New Roman"/>
        </w:rPr>
        <w:t>aqueous complexes,</w:t>
      </w:r>
      <w:r w:rsidRPr="00770477">
        <w:rPr>
          <w:rFonts w:cs="Times New Roman"/>
        </w:rPr>
        <w:t xml:space="preserve"> flocculates, , organometallic compounds, sorbed onto solid particles, and/or as free metal ions </w:t>
      </w:r>
      <w:r w:rsidRPr="00770477">
        <w:rPr>
          <w:rFonts w:cs="Times New Roman"/>
        </w:rPr>
        <w:fldChar w:fldCharType="begin"/>
      </w:r>
      <w:r w:rsidR="002074AD">
        <w:rPr>
          <w:rFonts w:cs="Times New Roman"/>
        </w:rPr>
        <w:instrText xml:space="preserve"> ADDIN ZOTERO_ITEM CSL_CITATION {"citationID":"jmBkYVdj","properties":{"formattedCitation":"(Langmuir et al., 2004; Rommel et al., 2021; US EPA, 2015c)","plainCitation":"(Langmuir et al., 2004; Rommel et al., 2021; US EPA, 2015c)","noteIndex":0},"citationItems":[{"id":487,"uris":["http://zotero.org/users/8423188/items/DI5K47YZ"],"itemData":{"id":487,"type":"article-journal","language":"en","page":"113","source":"Zotero","title":"ISSUE PAPER ON THE ENVIRONMENTAL CHEMISTRY OF METALS","author":[{"family":"Langmuir","given":"Donald"},{"family":"Chrostowski","given":"Paul"},{"family":"Vigneault","given":"Bernard"},{"family":"Chaney","given":"Rufus"}],"issued":{"date-parts":[["2004"]]}}},{"id":530,"uris":["http://zotero.org/users/8423188/items/HS8UD34I"],"itemData":{"id":530,"type":"article-journal","abstract":"The performance of stormwater quality improvement devices (SQIDs), commonly based on sedimentation and media ﬁltration, is generally examined either at lab scale or in ﬁeld tests. However, there has so far been only little investigation into the remobilization of heavy metals retained in sediments and sorptive ﬁlter media. It is, moreover, unknown whether current lab-scale experiments are able to replicate the conditions of full-scale operation. To assess the potential impact of differences in conditions between lab-scale and ﬁeld tests on the strength of association of heavy metals, ﬁlter media taken from three SQIDs were subjected to analysis by sequential extraction after prestressing both on a lab scale and in ﬁeld tests. Sediments and ﬁlter cake trapped in the SQIDs were additionally analyzed. These displayed signiﬁcantly higher heavy metal content than ﬁlter media that had been prestressed in the ﬁeld. The zinc in the sediments and ﬁlter media displayed particularly high mobility. This study reveals a discrepancy between ﬁeld and lab-scale conditions that creates differences in the content and strength of association of heavy metals. It is hence possible to show that previous lab-scale experiments potentially overestimated the risk of heavy-metal leaching, due to their predominant occurrence in more mobile fractions.","container-title":"Science of The Total Environment","DOI":"10.1016/j.scitotenv.2021.146875","ISSN":"00489697","journalAbbreviation":"Science of The Total Environment","language":"en","page":"146875","source":"DOI.org (Crossref)","title":"Sequential extraction of heavy metals from sorptive filter media and sediments trapped in stormwater quality improvement devices for road runoff","volume":"782","author":[{"family":"Rommel","given":"Steffen H."},{"family":"Stinshoff","given":"Philipp"},{"family":"Helmreich","given":"Brigitte"}],"issued":{"date-parts":[["2021",8]]}}},{"id":64,"uris":["http://zotero.org/users/8423188/items/JCANZVIF"],"itemData":{"id":64,"type":"webpage","abstract":"Introduction to the metals module, when to list metals as a candidate cause, ways to measure metals, simple and detailed conceptual diagrams for metals, metals module references and literature reviews.","genre":"Data and Tools","language":"en","title":"Metals","URL":"https://www.epa.gov/caddis-vol2/metals","author":[{"family":"US EPA","given":"ORD"}],"accessed":{"date-parts":[["2021",11,18]]},"issued":{"date-parts":[["2015",11,4]]}}}],"schema":"https://github.com/citation-style-language/schema/raw/master/csl-citation.json"} </w:instrText>
      </w:r>
      <w:r w:rsidRPr="00770477">
        <w:rPr>
          <w:rFonts w:cs="Times New Roman"/>
        </w:rPr>
        <w:fldChar w:fldCharType="separate"/>
      </w:r>
      <w:r w:rsidR="00E11E17" w:rsidRPr="00770477">
        <w:rPr>
          <w:rFonts w:cs="Times New Roman"/>
        </w:rPr>
        <w:t>(Langmuir et al., 2004; Rommel et al., 2021; US EPA, 2015c)</w:t>
      </w:r>
      <w:r w:rsidRPr="00770477">
        <w:rPr>
          <w:rFonts w:cs="Times New Roman"/>
        </w:rPr>
        <w:fldChar w:fldCharType="end"/>
      </w:r>
      <w:r w:rsidRPr="00770477">
        <w:rPr>
          <w:rFonts w:cs="Times New Roman"/>
        </w:rPr>
        <w:t xml:space="preserve">. Factors that affect the form of metals in aquatic environments include pH, temperature, redox potential, ionic strength of the water, the presence of methylating microbes, and the availability of binding sites </w:t>
      </w:r>
      <w:r w:rsidRPr="00770477">
        <w:rPr>
          <w:rFonts w:cs="Times New Roman"/>
        </w:rPr>
        <w:fldChar w:fldCharType="begin"/>
      </w:r>
      <w:r w:rsidR="002074AD">
        <w:rPr>
          <w:rFonts w:cs="Times New Roman"/>
        </w:rPr>
        <w:instrText xml:space="preserve"> ADDIN ZOTERO_ITEM CSL_CITATION {"citationID":"2QbGHJOI","properties":{"formattedCitation":"(Langmuir et al., 2004; US EPA, 2015c)","plainCitation":"(Langmuir et al., 2004; US EPA, 2015c)","noteIndex":0},"citationItems":[{"id":487,"uris":["http://zotero.org/users/8423188/items/DI5K47YZ"],"itemData":{"id":487,"type":"article-journal","language":"en","page":"113","source":"Zotero","title":"ISSUE PAPER ON THE ENVIRONMENTAL CHEMISTRY OF METALS","author":[{"family":"Langmuir","given":"Donald"},{"family":"Chrostowski","given":"Paul"},{"family":"Vigneault","given":"Bernard"},{"family":"Chaney","given":"Rufus"}],"issued":{"date-parts":[["2004"]]}}},{"id":64,"uris":["http://zotero.org/users/8423188/items/JCANZVIF"],"itemData":{"id":64,"type":"webpage","abstract":"Introduction to the metals module, when to list metals as a candidate cause, ways to measure metals, simple and detailed conceptual diagrams for metals, metals module references and literature reviews.","genre":"Data and Tools","language":"en","title":"Metals","URL":"https://www.epa.gov/caddis-vol2/metals","author":[{"family":"US EPA","given":"ORD"}],"accessed":{"date-parts":[["2021",11,18]]},"issued":{"date-parts":[["2015",11,4]]}}}],"schema":"https://github.com/citation-style-language/schema/raw/master/csl-citation.json"} </w:instrText>
      </w:r>
      <w:r w:rsidRPr="00770477">
        <w:rPr>
          <w:rFonts w:cs="Times New Roman"/>
        </w:rPr>
        <w:fldChar w:fldCharType="separate"/>
      </w:r>
      <w:r w:rsidR="00E11E17" w:rsidRPr="00770477">
        <w:rPr>
          <w:rFonts w:cs="Times New Roman"/>
        </w:rPr>
        <w:t>(Langmuir et al., 2004; US EPA, 2015c)</w:t>
      </w:r>
      <w:r w:rsidRPr="00770477">
        <w:rPr>
          <w:rFonts w:cs="Times New Roman"/>
        </w:rPr>
        <w:fldChar w:fldCharType="end"/>
      </w:r>
      <w:r w:rsidRPr="00770477">
        <w:rPr>
          <w:rFonts w:cs="Times New Roman"/>
        </w:rPr>
        <w:t xml:space="preserve">. </w:t>
      </w:r>
      <w:r w:rsidR="00BF77B5" w:rsidRPr="00770477">
        <w:rPr>
          <w:rFonts w:cs="Times New Roman"/>
        </w:rPr>
        <w:t>D</w:t>
      </w:r>
      <w:r w:rsidRPr="00770477">
        <w:rPr>
          <w:rFonts w:cs="Times New Roman"/>
        </w:rPr>
        <w:t xml:space="preserve">issolved metals </w:t>
      </w:r>
      <w:r w:rsidR="00BF77B5" w:rsidRPr="00770477">
        <w:rPr>
          <w:rFonts w:cs="Times New Roman"/>
        </w:rPr>
        <w:t>are</w:t>
      </w:r>
      <w:r w:rsidRPr="00770477">
        <w:rPr>
          <w:rFonts w:cs="Times New Roman"/>
        </w:rPr>
        <w:t xml:space="preserve"> more bioavailable and therefore more toxic</w:t>
      </w:r>
      <w:r w:rsidR="00BF77B5" w:rsidRPr="00770477">
        <w:rPr>
          <w:rFonts w:cs="Times New Roman"/>
        </w:rPr>
        <w:t xml:space="preserve"> as opposed to their </w:t>
      </w:r>
      <w:r w:rsidR="00116F23" w:rsidRPr="00770477">
        <w:rPr>
          <w:rFonts w:cs="Times New Roman"/>
        </w:rPr>
        <w:t>complexed or particulate-bound form</w:t>
      </w:r>
      <w:r w:rsidRPr="00770477">
        <w:rPr>
          <w:rFonts w:cs="Times New Roman"/>
        </w:rPr>
        <w:t xml:space="preserve"> </w:t>
      </w:r>
      <w:r w:rsidRPr="00770477">
        <w:rPr>
          <w:rFonts w:cs="Times New Roman"/>
        </w:rPr>
        <w:fldChar w:fldCharType="begin"/>
      </w:r>
      <w:r w:rsidR="002074AD">
        <w:rPr>
          <w:rFonts w:cs="Times New Roman"/>
        </w:rPr>
        <w:instrText xml:space="preserve"> ADDIN ZOTERO_ITEM CSL_CITATION {"citationID":"dHG9jdFs","properties":{"formattedCitation":"(Rommel et al., 2021; US EPA, 2015c)","plainCitation":"(Rommel et al., 2021; US EPA, 2015c)","noteIndex":0},"citationItems":[{"id":530,"uris":["http://zotero.org/users/8423188/items/HS8UD34I"],"itemData":{"id":530,"type":"article-journal","abstract":"The performance of stormwater quality improvement devices (SQIDs), commonly based on sedimentation and media ﬁltration, is generally examined either at lab scale or in ﬁeld tests. However, there has so far been only little investigation into the remobilization of heavy metals retained in sediments and sorptive ﬁlter media. It is, moreover, unknown whether current lab-scale experiments are able to replicate the conditions of full-scale operation. To assess the potential impact of differences in conditions between lab-scale and ﬁeld tests on the strength of association of heavy metals, ﬁlter media taken from three SQIDs were subjected to analysis by sequential extraction after prestressing both on a lab scale and in ﬁeld tests. Sediments and ﬁlter cake trapped in the SQIDs were additionally analyzed. These displayed signiﬁcantly higher heavy metal content than ﬁlter media that had been prestressed in the ﬁeld. The zinc in the sediments and ﬁlter media displayed particularly high mobility. This study reveals a discrepancy between ﬁeld and lab-scale conditions that creates differences in the content and strength of association of heavy metals. It is hence possible to show that previous lab-scale experiments potentially overestimated the risk of heavy-metal leaching, due to their predominant occurrence in more mobile fractions.","container-title":"Science of The Total Environment","DOI":"10.1016/j.scitotenv.2021.146875","ISSN":"00489697","journalAbbreviation":"Science of The Total Environment","language":"en","page":"146875","source":"DOI.org (Crossref)","title":"Sequential extraction of heavy metals from sorptive filter media and sediments trapped in stormwater quality improvement devices for road runoff","volume":"782","author":[{"family":"Rommel","given":"Steffen H."},{"family":"Stinshoff","given":"Philipp"},{"family":"Helmreich","given":"Brigitte"}],"issued":{"date-parts":[["2021",8]]}}},{"id":64,"uris":["http://zotero.org/users/8423188/items/JCANZVIF"],"itemData":{"id":64,"type":"webpage","abstract":"Introduction to the metals module, when to list metals as a candidate cause, ways to measure metals, simple and detailed conceptual diagrams for metals, metals module references and literature reviews.","genre":"Data and Tools","language":"en","title":"Metals","URL":"https://www.epa.gov/caddis-vol2/metals","author":[{"family":"US EPA","given":"ORD"}],"accessed":{"date-parts":[["2021",11,18]]},"issued":{"date-parts":[["2015",11,4]]}}}],"schema":"https://github.com/citation-style-language/schema/raw/master/csl-citation.json"} </w:instrText>
      </w:r>
      <w:r w:rsidRPr="00770477">
        <w:rPr>
          <w:rFonts w:cs="Times New Roman"/>
        </w:rPr>
        <w:fldChar w:fldCharType="separate"/>
      </w:r>
      <w:r w:rsidR="00E11E17" w:rsidRPr="00770477">
        <w:rPr>
          <w:rFonts w:cs="Times New Roman"/>
        </w:rPr>
        <w:t>(Rommel et al., 2021; US EPA, 2015c)</w:t>
      </w:r>
      <w:r w:rsidRPr="00770477">
        <w:rPr>
          <w:rFonts w:cs="Times New Roman"/>
        </w:rPr>
        <w:fldChar w:fldCharType="end"/>
      </w:r>
      <w:r w:rsidRPr="00770477">
        <w:rPr>
          <w:rFonts w:cs="Times New Roman"/>
        </w:rPr>
        <w:t xml:space="preserve">. </w:t>
      </w:r>
      <w:r w:rsidR="3DB66BBF" w:rsidRPr="00770477">
        <w:rPr>
          <w:rFonts w:cs="Times New Roman"/>
        </w:rPr>
        <w:t xml:space="preserve">Operationally, </w:t>
      </w:r>
      <w:r w:rsidRPr="00770477">
        <w:rPr>
          <w:rFonts w:cs="Times New Roman"/>
        </w:rPr>
        <w:t xml:space="preserve"> the fraction </w:t>
      </w:r>
      <w:r w:rsidR="332A495B" w:rsidRPr="00770477">
        <w:rPr>
          <w:rFonts w:cs="Times New Roman"/>
        </w:rPr>
        <w:t>that</w:t>
      </w:r>
      <w:r w:rsidR="296EC8EB" w:rsidRPr="00770477">
        <w:rPr>
          <w:rFonts w:cs="Times New Roman"/>
        </w:rPr>
        <w:t xml:space="preserve"> passe</w:t>
      </w:r>
      <w:r w:rsidR="385AAE90" w:rsidRPr="00770477">
        <w:rPr>
          <w:rFonts w:cs="Times New Roman"/>
        </w:rPr>
        <w:t>s</w:t>
      </w:r>
      <w:r w:rsidRPr="00770477">
        <w:rPr>
          <w:rFonts w:cs="Times New Roman"/>
        </w:rPr>
        <w:t xml:space="preserve"> through a 0.45 µm filter </w:t>
      </w:r>
      <w:r w:rsidR="1B722950" w:rsidRPr="00770477">
        <w:rPr>
          <w:rFonts w:cs="Times New Roman"/>
        </w:rPr>
        <w:t>is</w:t>
      </w:r>
      <w:r w:rsidRPr="00770477">
        <w:rPr>
          <w:rFonts w:cs="Times New Roman"/>
        </w:rPr>
        <w:t xml:space="preserve"> generally considered as metal ions in solution</w:t>
      </w:r>
      <w:r w:rsidR="62985C23" w:rsidRPr="00770477">
        <w:rPr>
          <w:rFonts w:cs="Times New Roman"/>
        </w:rPr>
        <w:t xml:space="preserve"> (</w:t>
      </w:r>
      <w:r w:rsidR="007334D5">
        <w:rPr>
          <w:rFonts w:cs="Times New Roman"/>
        </w:rPr>
        <w:t>i</w:t>
      </w:r>
      <w:r w:rsidR="62985C23" w:rsidRPr="00770477">
        <w:rPr>
          <w:rFonts w:cs="Times New Roman"/>
        </w:rPr>
        <w:t>.e., dissolved metals)</w:t>
      </w:r>
      <w:r w:rsidRPr="00770477">
        <w:rPr>
          <w:rFonts w:cs="Times New Roman"/>
        </w:rPr>
        <w:t xml:space="preserve"> </w:t>
      </w:r>
      <w:r w:rsidRPr="00770477">
        <w:rPr>
          <w:rFonts w:cs="Times New Roman"/>
        </w:rPr>
        <w:fldChar w:fldCharType="begin"/>
      </w:r>
      <w:r w:rsidR="002074AD">
        <w:rPr>
          <w:rFonts w:cs="Times New Roman"/>
        </w:rPr>
        <w:instrText xml:space="preserve"> ADDIN ZOTERO_ITEM CSL_CITATION {"citationID":"e4VuOLrN","properties":{"formattedCitation":"(US EPA, 2015c)","plainCitation":"(US EPA, 2015c)","noteIndex":0},"citationItems":[{"id":64,"uris":["http://zotero.org/users/8423188/items/JCANZVIF"],"itemData":{"id":64,"type":"webpage","abstract":"Introduction to the metals module, when to list metals as a candidate cause, ways to measure metals, simple and detailed conceptual diagrams for metals, metals module references and literature reviews.","genre":"Data and Tools","language":"en","title":"Metals","URL":"https://www.epa.gov/caddis-vol2/metals","author":[{"family":"US EPA","given":"ORD"}],"accessed":{"date-parts":[["2021",11,18]]},"issued":{"date-parts":[["2015",11,4]]}}}],"schema":"https://github.com/citation-style-language/schema/raw/master/csl-citation.json"} </w:instrText>
      </w:r>
      <w:r w:rsidRPr="00770477">
        <w:rPr>
          <w:rFonts w:cs="Times New Roman"/>
        </w:rPr>
        <w:fldChar w:fldCharType="separate"/>
      </w:r>
      <w:r w:rsidR="00E11E17" w:rsidRPr="00770477">
        <w:rPr>
          <w:rFonts w:cs="Times New Roman"/>
        </w:rPr>
        <w:t>(US EPA, 2015c)</w:t>
      </w:r>
      <w:r w:rsidRPr="00770477">
        <w:rPr>
          <w:rFonts w:cs="Times New Roman"/>
        </w:rPr>
        <w:fldChar w:fldCharType="end"/>
      </w:r>
      <w:r w:rsidRPr="00770477">
        <w:rPr>
          <w:rFonts w:cs="Times New Roman"/>
        </w:rPr>
        <w:t xml:space="preserve">. </w:t>
      </w:r>
      <w:r w:rsidR="151D0170" w:rsidRPr="00770477">
        <w:rPr>
          <w:rFonts w:cs="Times New Roman"/>
        </w:rPr>
        <w:t xml:space="preserve">Under </w:t>
      </w:r>
      <w:r w:rsidR="50023EF2" w:rsidRPr="00770477">
        <w:rPr>
          <w:rFonts w:cs="Times New Roman"/>
        </w:rPr>
        <w:t>l</w:t>
      </w:r>
      <w:r w:rsidR="296EC8EB" w:rsidRPr="00770477">
        <w:rPr>
          <w:rFonts w:cs="Times New Roman"/>
        </w:rPr>
        <w:t>ow</w:t>
      </w:r>
      <w:r w:rsidRPr="00770477">
        <w:rPr>
          <w:rFonts w:cs="Times New Roman"/>
        </w:rPr>
        <w:t xml:space="preserve"> pH conditions</w:t>
      </w:r>
      <w:r w:rsidR="44FB4CD9" w:rsidRPr="00770477">
        <w:rPr>
          <w:rFonts w:cs="Times New Roman"/>
        </w:rPr>
        <w:t xml:space="preserve">, metals are </w:t>
      </w:r>
      <w:r w:rsidRPr="00770477">
        <w:rPr>
          <w:rFonts w:cs="Times New Roman"/>
        </w:rPr>
        <w:t xml:space="preserve"> typically </w:t>
      </w:r>
      <w:r w:rsidR="2A66B677" w:rsidRPr="00770477">
        <w:rPr>
          <w:rFonts w:cs="Times New Roman"/>
        </w:rPr>
        <w:t>found as</w:t>
      </w:r>
      <w:r w:rsidRPr="00770477">
        <w:rPr>
          <w:rFonts w:cs="Times New Roman"/>
        </w:rPr>
        <w:t xml:space="preserve"> free metal ions into solution </w:t>
      </w:r>
      <w:r w:rsidRPr="00770477">
        <w:rPr>
          <w:rFonts w:cs="Times New Roman"/>
        </w:rPr>
        <w:fldChar w:fldCharType="begin"/>
      </w:r>
      <w:r w:rsidR="002074AD">
        <w:rPr>
          <w:rFonts w:cs="Times New Roman"/>
        </w:rPr>
        <w:instrText xml:space="preserve"> ADDIN ZOTERO_ITEM CSL_CITATION {"citationID":"GregAx4s","properties":{"formattedCitation":"(US EPA, 2015c)","plainCitation":"(US EPA, 2015c)","noteIndex":0},"citationItems":[{"id":64,"uris":["http://zotero.org/users/8423188/items/JCANZVIF"],"itemData":{"id":64,"type":"webpage","abstract":"Introduction to the metals module, when to list metals as a candidate cause, ways to measure metals, simple and detailed conceptual diagrams for metals, metals module references and literature reviews.","genre":"Data and Tools","language":"en","title":"Metals","URL":"https://www.epa.gov/caddis-vol2/metals","author":[{"family":"US EPA","given":"ORD"}],"accessed":{"date-parts":[["2021",11,18]]},"issued":{"date-parts":[["2015",11,4]]}}}],"schema":"https://github.com/citation-style-language/schema/raw/master/csl-citation.json"} </w:instrText>
      </w:r>
      <w:r w:rsidRPr="00770477">
        <w:rPr>
          <w:rFonts w:cs="Times New Roman"/>
        </w:rPr>
        <w:fldChar w:fldCharType="separate"/>
      </w:r>
      <w:r w:rsidR="00E11E17" w:rsidRPr="00770477">
        <w:rPr>
          <w:rFonts w:cs="Times New Roman"/>
        </w:rPr>
        <w:t>(US EPA, 2015c)</w:t>
      </w:r>
      <w:r w:rsidRPr="00770477">
        <w:rPr>
          <w:rFonts w:cs="Times New Roman"/>
        </w:rPr>
        <w:fldChar w:fldCharType="end"/>
      </w:r>
      <w:r w:rsidRPr="00770477">
        <w:rPr>
          <w:rFonts w:cs="Times New Roman"/>
        </w:rPr>
        <w:t>. Free metal ions</w:t>
      </w:r>
      <w:r w:rsidR="296EC8EB" w:rsidRPr="00770477">
        <w:rPr>
          <w:rFonts w:cs="Times New Roman"/>
        </w:rPr>
        <w:t xml:space="preserve"> </w:t>
      </w:r>
      <w:r w:rsidR="5F08DB22" w:rsidRPr="00770477">
        <w:rPr>
          <w:rFonts w:cs="Times New Roman"/>
        </w:rPr>
        <w:t xml:space="preserve">have the greater </w:t>
      </w:r>
      <w:r w:rsidR="5F08DB22" w:rsidRPr="00770477">
        <w:rPr>
          <w:rFonts w:cs="Times New Roman"/>
        </w:rPr>
        <w:lastRenderedPageBreak/>
        <w:t>bioavailability</w:t>
      </w:r>
      <w:r w:rsidRPr="00770477">
        <w:rPr>
          <w:rFonts w:cs="Times New Roman"/>
        </w:rPr>
        <w:t xml:space="preserve"> </w:t>
      </w:r>
      <w:r w:rsidR="040583CF" w:rsidRPr="00770477">
        <w:rPr>
          <w:rFonts w:cs="Times New Roman"/>
        </w:rPr>
        <w:t>for</w:t>
      </w:r>
      <w:r w:rsidRPr="00770477">
        <w:rPr>
          <w:rFonts w:cs="Times New Roman"/>
        </w:rPr>
        <w:t xml:space="preserve"> fish due to </w:t>
      </w:r>
      <w:r w:rsidR="008135E6" w:rsidRPr="00770477">
        <w:rPr>
          <w:rFonts w:cs="Times New Roman"/>
        </w:rPr>
        <w:t>metal ions competing</w:t>
      </w:r>
      <w:r w:rsidRPr="00770477">
        <w:rPr>
          <w:rFonts w:cs="Times New Roman"/>
        </w:rPr>
        <w:t xml:space="preserve"> with nutrient binding sites on the gill epithelia </w:t>
      </w:r>
      <w:r w:rsidRPr="00770477">
        <w:rPr>
          <w:rFonts w:cs="Times New Roman"/>
        </w:rPr>
        <w:fldChar w:fldCharType="begin"/>
      </w:r>
      <w:r w:rsidR="002074AD">
        <w:rPr>
          <w:rFonts w:cs="Times New Roman"/>
        </w:rPr>
        <w:instrText xml:space="preserve"> ADDIN ZOTERO_ITEM CSL_CITATION {"citationID":"eW60vW0Q","properties":{"formattedCitation":"(US EPA, 2015c)","plainCitation":"(US EPA, 2015c)","noteIndex":0},"citationItems":[{"id":64,"uris":["http://zotero.org/users/8423188/items/JCANZVIF"],"itemData":{"id":64,"type":"webpage","abstract":"Introduction to the metals module, when to list metals as a candidate cause, ways to measure metals, simple and detailed conceptual diagrams for metals, metals module references and literature reviews.","genre":"Data and Tools","language":"en","title":"Metals","URL":"https://www.epa.gov/caddis-vol2/metals","author":[{"family":"US EPA","given":"ORD"}],"accessed":{"date-parts":[["2021",11,18]]},"issued":{"date-parts":[["2015",11,4]]}}}],"schema":"https://github.com/citation-style-language/schema/raw/master/csl-citation.json"} </w:instrText>
      </w:r>
      <w:r w:rsidRPr="00770477">
        <w:rPr>
          <w:rFonts w:cs="Times New Roman"/>
        </w:rPr>
        <w:fldChar w:fldCharType="separate"/>
      </w:r>
      <w:r w:rsidR="00E11E17" w:rsidRPr="00770477">
        <w:rPr>
          <w:rFonts w:cs="Times New Roman"/>
        </w:rPr>
        <w:t>(US EPA, 2015c)</w:t>
      </w:r>
      <w:r w:rsidRPr="00770477">
        <w:rPr>
          <w:rFonts w:cs="Times New Roman"/>
        </w:rPr>
        <w:fldChar w:fldCharType="end"/>
      </w:r>
      <w:r w:rsidRPr="00770477">
        <w:rPr>
          <w:rFonts w:cs="Times New Roman"/>
        </w:rPr>
        <w:t>. This impairs the fish</w:t>
      </w:r>
      <w:r w:rsidR="008D4FC2" w:rsidRPr="00770477">
        <w:rPr>
          <w:rFonts w:cs="Times New Roman"/>
        </w:rPr>
        <w:t>’</w:t>
      </w:r>
      <w:r w:rsidR="001818DA" w:rsidRPr="00770477">
        <w:rPr>
          <w:rFonts w:cs="Times New Roman"/>
        </w:rPr>
        <w:t>s</w:t>
      </w:r>
      <w:r w:rsidRPr="00770477">
        <w:rPr>
          <w:rFonts w:cs="Times New Roman"/>
        </w:rPr>
        <w:t xml:space="preserve"> respiratory function and ability to regulate blood pH and ionic concentrations ultimately leading to negatively impacted health and reproduction, and/or ultimately death </w:t>
      </w:r>
      <w:r w:rsidRPr="00770477">
        <w:rPr>
          <w:rFonts w:cs="Times New Roman"/>
        </w:rPr>
        <w:fldChar w:fldCharType="begin"/>
      </w:r>
      <w:r w:rsidR="002074AD">
        <w:rPr>
          <w:rFonts w:cs="Times New Roman"/>
        </w:rPr>
        <w:instrText xml:space="preserve"> ADDIN ZOTERO_ITEM CSL_CITATION {"citationID":"a7DhIMq9","properties":{"formattedCitation":"(US EPA, 2015c)","plainCitation":"(US EPA, 2015c)","noteIndex":0},"citationItems":[{"id":64,"uris":["http://zotero.org/users/8423188/items/JCANZVIF"],"itemData":{"id":64,"type":"webpage","abstract":"Introduction to the metals module, when to list metals as a candidate cause, ways to measure metals, simple and detailed conceptual diagrams for metals, metals module references and literature reviews.","genre":"Data and Tools","language":"en","title":"Metals","URL":"https://www.epa.gov/caddis-vol2/metals","author":[{"family":"US EPA","given":"ORD"}],"accessed":{"date-parts":[["2021",11,18]]},"issued":{"date-parts":[["2015",11,4]]}}}],"schema":"https://github.com/citation-style-language/schema/raw/master/csl-citation.json"} </w:instrText>
      </w:r>
      <w:r w:rsidRPr="00770477">
        <w:rPr>
          <w:rFonts w:cs="Times New Roman"/>
        </w:rPr>
        <w:fldChar w:fldCharType="separate"/>
      </w:r>
      <w:r w:rsidR="00E11E17" w:rsidRPr="00770477">
        <w:rPr>
          <w:rFonts w:cs="Times New Roman"/>
        </w:rPr>
        <w:t>(US EPA, 2015c)</w:t>
      </w:r>
      <w:r w:rsidRPr="00770477">
        <w:rPr>
          <w:rFonts w:cs="Times New Roman"/>
        </w:rPr>
        <w:fldChar w:fldCharType="end"/>
      </w:r>
      <w:r w:rsidRPr="00770477">
        <w:rPr>
          <w:rFonts w:cs="Times New Roman"/>
        </w:rPr>
        <w:t xml:space="preserve">. The toxicity and impairment ability of metals in aquatic environments are dynamic and are dependent on a range of factors such as metal to nutrient ratios, metal species (free ions, </w:t>
      </w:r>
      <w:r w:rsidR="00105C57" w:rsidRPr="00770477">
        <w:rPr>
          <w:rFonts w:cs="Times New Roman"/>
        </w:rPr>
        <w:t>complexes</w:t>
      </w:r>
      <w:r w:rsidRPr="00770477">
        <w:rPr>
          <w:rFonts w:cs="Times New Roman"/>
        </w:rPr>
        <w:t xml:space="preserve">, </w:t>
      </w:r>
      <w:r w:rsidR="00CC1068" w:rsidRPr="00770477">
        <w:rPr>
          <w:rFonts w:cs="Times New Roman"/>
        </w:rPr>
        <w:t>particulate bound</w:t>
      </w:r>
      <w:r w:rsidRPr="00770477">
        <w:rPr>
          <w:rFonts w:cs="Times New Roman"/>
        </w:rPr>
        <w:t xml:space="preserve">, </w:t>
      </w:r>
      <w:r w:rsidR="00CC1068" w:rsidRPr="00770477">
        <w:rPr>
          <w:rFonts w:cs="Times New Roman"/>
        </w:rPr>
        <w:t>precipitants</w:t>
      </w:r>
      <w:r w:rsidRPr="00770477">
        <w:rPr>
          <w:rFonts w:cs="Times New Roman"/>
        </w:rPr>
        <w:t xml:space="preserve">, </w:t>
      </w:r>
      <w:r w:rsidR="00CC1068" w:rsidRPr="00770477">
        <w:rPr>
          <w:rFonts w:cs="Times New Roman"/>
        </w:rPr>
        <w:t xml:space="preserve">or </w:t>
      </w:r>
      <w:r w:rsidRPr="00770477">
        <w:rPr>
          <w:rFonts w:cs="Times New Roman"/>
        </w:rPr>
        <w:t xml:space="preserve">organometallic compounds), metal-specific concentrations, organism-level sensitivities as well as a broad range of other chemical and kinetic variables </w:t>
      </w:r>
      <w:r w:rsidRPr="00770477">
        <w:rPr>
          <w:rFonts w:cs="Times New Roman"/>
        </w:rPr>
        <w:fldChar w:fldCharType="begin"/>
      </w:r>
      <w:r w:rsidR="002074AD">
        <w:rPr>
          <w:rFonts w:cs="Times New Roman"/>
        </w:rPr>
        <w:instrText xml:space="preserve"> ADDIN ZOTERO_ITEM CSL_CITATION {"citationID":"kE8IuQGv","properties":{"formattedCitation":"(US EPA, 2015c)","plainCitation":"(US EPA, 2015c)","noteIndex":0},"citationItems":[{"id":64,"uris":["http://zotero.org/users/8423188/items/JCANZVIF"],"itemData":{"id":64,"type":"webpage","abstract":"Introduction to the metals module, when to list metals as a candidate cause, ways to measure metals, simple and detailed conceptual diagrams for metals, metals module references and literature reviews.","genre":"Data and Tools","language":"en","title":"Metals","URL":"https://www.epa.gov/caddis-vol2/metals","author":[{"family":"US EPA","given":"ORD"}],"accessed":{"date-parts":[["2021",11,18]]},"issued":{"date-parts":[["2015",11,4]]}}}],"schema":"https://github.com/citation-style-language/schema/raw/master/csl-citation.json"} </w:instrText>
      </w:r>
      <w:r w:rsidRPr="00770477">
        <w:rPr>
          <w:rFonts w:cs="Times New Roman"/>
        </w:rPr>
        <w:fldChar w:fldCharType="separate"/>
      </w:r>
      <w:r w:rsidR="00E11E17" w:rsidRPr="00770477">
        <w:rPr>
          <w:rFonts w:cs="Times New Roman"/>
        </w:rPr>
        <w:t>(US EPA, 2015c)</w:t>
      </w:r>
      <w:r w:rsidRPr="00770477">
        <w:rPr>
          <w:rFonts w:cs="Times New Roman"/>
        </w:rPr>
        <w:fldChar w:fldCharType="end"/>
      </w:r>
      <w:r w:rsidRPr="00770477">
        <w:rPr>
          <w:rFonts w:cs="Times New Roman"/>
        </w:rPr>
        <w:t xml:space="preserve">. Much like a metal’s speciation in solution, a metal’s ability to come out of solution is driven solution chemistry as well as the chemistry and properties of potential adsorptive materials </w:t>
      </w:r>
      <w:r w:rsidRPr="00770477">
        <w:rPr>
          <w:rFonts w:cs="Times New Roman"/>
        </w:rPr>
        <w:fldChar w:fldCharType="begin"/>
      </w:r>
      <w:r w:rsidR="002074AD">
        <w:rPr>
          <w:rFonts w:cs="Times New Roman"/>
        </w:rPr>
        <w:instrText xml:space="preserve"> ADDIN ZOTERO_ITEM CSL_CITATION {"citationID":"74l0QwTn","properties":{"formattedCitation":"(Langmuir et al., 2004)","plainCitation":"(Langmuir et al., 2004)","noteIndex":0},"citationItems":[{"id":487,"uris":["http://zotero.org/users/8423188/items/DI5K47YZ"],"itemData":{"id":487,"type":"article-journal","language":"en","page":"113","source":"Zotero","title":"ISSUE PAPER ON THE ENVIRONMENTAL CHEMISTRY OF METALS","author":[{"family":"Langmuir","given":"Donald"},{"family":"Chrostowski","given":"Paul"},{"family":"Vigneault","given":"Bernard"},{"family":"Chaney","given":"Rufus"}],"issued":{"date-parts":[["2004"]]}}}],"schema":"https://github.com/citation-style-language/schema/raw/master/csl-citation.json"} </w:instrText>
      </w:r>
      <w:r w:rsidRPr="00770477">
        <w:rPr>
          <w:rFonts w:cs="Times New Roman"/>
        </w:rPr>
        <w:fldChar w:fldCharType="separate"/>
      </w:r>
      <w:r w:rsidR="00E11E17" w:rsidRPr="00770477">
        <w:rPr>
          <w:rFonts w:cs="Times New Roman"/>
        </w:rPr>
        <w:t>(Langmuir et al., 2004)</w:t>
      </w:r>
      <w:r w:rsidRPr="00770477">
        <w:rPr>
          <w:rFonts w:cs="Times New Roman"/>
        </w:rPr>
        <w:fldChar w:fldCharType="end"/>
      </w:r>
      <w:r w:rsidRPr="00770477">
        <w:rPr>
          <w:rFonts w:cs="Times New Roman"/>
        </w:rPr>
        <w:t xml:space="preserve">. </w:t>
      </w:r>
    </w:p>
    <w:p w14:paraId="1F226709" w14:textId="11226B67" w:rsidR="00006051" w:rsidRPr="00770477" w:rsidRDefault="00DA0274" w:rsidP="008254DB">
      <w:pPr>
        <w:ind w:firstLine="720"/>
        <w:rPr>
          <w:rFonts w:cs="Times New Roman"/>
        </w:rPr>
      </w:pPr>
      <w:r w:rsidRPr="00770477">
        <w:rPr>
          <w:rFonts w:cs="Times New Roman"/>
        </w:rPr>
        <w:t xml:space="preserve">Changes in the concentrations of metals in water is commonly the result of </w:t>
      </w:r>
      <w:r w:rsidR="00C708E4" w:rsidRPr="00770477">
        <w:rPr>
          <w:rFonts w:cs="Times New Roman"/>
        </w:rPr>
        <w:t>two main processes: precipitation and sorption</w:t>
      </w:r>
      <w:r w:rsidR="00EF2080" w:rsidRPr="00770477">
        <w:rPr>
          <w:rFonts w:cs="Times New Roman"/>
        </w:rPr>
        <w:t xml:space="preserve"> </w:t>
      </w:r>
      <w:r w:rsidR="00EF2080" w:rsidRPr="00770477">
        <w:rPr>
          <w:rFonts w:cs="Times New Roman"/>
        </w:rPr>
        <w:fldChar w:fldCharType="begin"/>
      </w:r>
      <w:r w:rsidR="002074AD">
        <w:rPr>
          <w:rFonts w:cs="Times New Roman"/>
        </w:rPr>
        <w:instrText xml:space="preserve"> ADDIN ZOTERO_ITEM CSL_CITATION {"citationID":"anldomqu7l","properties":{"formattedCitation":"(Langmuir et al., 2004)","plainCitation":"(Langmuir et al., 2004)","noteIndex":0},"citationItems":[{"id":487,"uris":["http://zotero.org/users/8423188/items/DI5K47YZ"],"itemData":{"id":487,"type":"article-journal","language":"en","page":"113","source":"Zotero","title":"ISSUE PAPER ON THE ENVIRONMENTAL CHEMISTRY OF METALS","author":[{"family":"Langmuir","given":"Donald"},{"family":"Chrostowski","given":"Paul"},{"family":"Vigneault","given":"Bernard"},{"family":"Chaney","given":"Rufus"}],"issued":{"date-parts":[["2004"]]}}}],"schema":"https://github.com/citation-style-language/schema/raw/master/csl-citation.json"} </w:instrText>
      </w:r>
      <w:r w:rsidR="00EF2080" w:rsidRPr="00770477">
        <w:rPr>
          <w:rFonts w:cs="Times New Roman"/>
        </w:rPr>
        <w:fldChar w:fldCharType="separate"/>
      </w:r>
      <w:r w:rsidR="002074AD" w:rsidRPr="002074AD">
        <w:rPr>
          <w:rFonts w:cs="Times New Roman"/>
        </w:rPr>
        <w:t>(Langmuir et al., 2004)</w:t>
      </w:r>
      <w:r w:rsidR="00EF2080" w:rsidRPr="00770477">
        <w:rPr>
          <w:rFonts w:cs="Times New Roman"/>
        </w:rPr>
        <w:fldChar w:fldCharType="end"/>
      </w:r>
      <w:r w:rsidR="00006051" w:rsidRPr="00770477">
        <w:rPr>
          <w:rFonts w:cs="Times New Roman"/>
        </w:rPr>
        <w:t xml:space="preserve">. Unlike organics </w:t>
      </w:r>
      <w:r w:rsidR="009811A9" w:rsidRPr="00770477">
        <w:rPr>
          <w:rFonts w:cs="Times New Roman"/>
        </w:rPr>
        <w:t>where the</w:t>
      </w:r>
      <w:r w:rsidR="00006051" w:rsidRPr="00770477">
        <w:rPr>
          <w:rFonts w:cs="Times New Roman"/>
        </w:rPr>
        <w:t xml:space="preserve"> adsorption </w:t>
      </w:r>
      <w:r w:rsidR="55E7C272" w:rsidRPr="00770477">
        <w:rPr>
          <w:rFonts w:cs="Times New Roman"/>
        </w:rPr>
        <w:t xml:space="preserve">of metals </w:t>
      </w:r>
      <w:r w:rsidR="58AE51E4" w:rsidRPr="00770477">
        <w:rPr>
          <w:rFonts w:cs="Times New Roman"/>
        </w:rPr>
        <w:t>is often</w:t>
      </w:r>
      <w:r w:rsidR="00006051" w:rsidRPr="00770477">
        <w:rPr>
          <w:rFonts w:cs="Times New Roman"/>
        </w:rPr>
        <w:t xml:space="preserve"> modeled using isotherm approaches, metals </w:t>
      </w:r>
      <w:r w:rsidR="00B10AD9" w:rsidRPr="00770477">
        <w:rPr>
          <w:rFonts w:cs="Times New Roman"/>
        </w:rPr>
        <w:t>are</w:t>
      </w:r>
      <w:r w:rsidR="00006051" w:rsidRPr="00770477">
        <w:rPr>
          <w:rFonts w:cs="Times New Roman"/>
        </w:rPr>
        <w:t xml:space="preserve"> a more complex sorption process </w:t>
      </w:r>
      <w:r w:rsidR="00006051" w:rsidRPr="00770477">
        <w:rPr>
          <w:rFonts w:cs="Times New Roman"/>
        </w:rPr>
        <w:fldChar w:fldCharType="begin"/>
      </w:r>
      <w:r w:rsidR="002074AD">
        <w:rPr>
          <w:rFonts w:cs="Times New Roman"/>
        </w:rPr>
        <w:instrText xml:space="preserve"> ADDIN ZOTERO_ITEM CSL_CITATION {"citationID":"aqlkxpYj","properties":{"formattedCitation":"(Langmuir et al., 2004)","plainCitation":"(Langmuir et al., 2004)","noteIndex":0},"citationItems":[{"id":487,"uris":["http://zotero.org/users/8423188/items/DI5K47YZ"],"itemData":{"id":487,"type":"article-journal","language":"en","page":"113","source":"Zotero","title":"ISSUE PAPER ON THE ENVIRONMENTAL CHEMISTRY OF METALS","author":[{"family":"Langmuir","given":"Donald"},{"family":"Chrostowski","given":"Paul"},{"family":"Vigneault","given":"Bernard"},{"family":"Chaney","given":"Rufus"}],"issued":{"date-parts":[["2004"]]}}}],"schema":"https://github.com/citation-style-language/schema/raw/master/csl-citation.json"} </w:instrText>
      </w:r>
      <w:r w:rsidR="00006051" w:rsidRPr="00770477">
        <w:rPr>
          <w:rFonts w:cs="Times New Roman"/>
        </w:rPr>
        <w:fldChar w:fldCharType="separate"/>
      </w:r>
      <w:r w:rsidR="00E11E17" w:rsidRPr="00770477">
        <w:rPr>
          <w:rFonts w:cs="Times New Roman"/>
        </w:rPr>
        <w:t>(Langmuir et al., 2004)</w:t>
      </w:r>
      <w:r w:rsidR="00006051" w:rsidRPr="00770477">
        <w:rPr>
          <w:rFonts w:cs="Times New Roman"/>
        </w:rPr>
        <w:fldChar w:fldCharType="end"/>
      </w:r>
      <w:r w:rsidR="00006051" w:rsidRPr="00770477">
        <w:rPr>
          <w:rFonts w:cs="Times New Roman"/>
        </w:rPr>
        <w:t>. In the case of metal ions in solution, these ions</w:t>
      </w:r>
      <w:r w:rsidR="00172AFF" w:rsidRPr="00770477">
        <w:rPr>
          <w:rFonts w:cs="Times New Roman"/>
        </w:rPr>
        <w:t xml:space="preserve"> </w:t>
      </w:r>
      <w:r w:rsidR="00F71DC8" w:rsidRPr="00770477">
        <w:rPr>
          <w:rFonts w:cs="Times New Roman"/>
        </w:rPr>
        <w:t>interact</w:t>
      </w:r>
      <w:r w:rsidR="00006051" w:rsidRPr="00770477">
        <w:rPr>
          <w:rFonts w:cs="Times New Roman"/>
        </w:rPr>
        <w:t xml:space="preserve"> with a sorptive medium with a charge opposite of that of the metal ion (electrostatic sorption). However, obfuscating this interaction is the complexity of what speciation each metal ion will take as well as the variability of surface charge</w:t>
      </w:r>
      <w:r w:rsidR="00373B7E" w:rsidRPr="00770477">
        <w:rPr>
          <w:rFonts w:cs="Times New Roman"/>
        </w:rPr>
        <w:t xml:space="preserve"> on a specific solid</w:t>
      </w:r>
      <w:r w:rsidR="00620EB8" w:rsidRPr="00770477">
        <w:rPr>
          <w:rFonts w:cs="Times New Roman"/>
        </w:rPr>
        <w:t xml:space="preserve"> </w:t>
      </w:r>
      <w:r w:rsidR="00282E06" w:rsidRPr="00770477">
        <w:rPr>
          <w:rFonts w:cs="Times New Roman"/>
        </w:rPr>
        <w:fldChar w:fldCharType="begin"/>
      </w:r>
      <w:r w:rsidR="002074AD">
        <w:rPr>
          <w:rFonts w:cs="Times New Roman"/>
        </w:rPr>
        <w:instrText xml:space="preserve"> ADDIN ZOTERO_ITEM CSL_CITATION {"citationID":"33MPnoi9","properties":{"formattedCitation":"(Attard &amp; Barnes, 1998)","plainCitation":"(Attard &amp; Barnes, 1998)","noteIndex":0},"citationItems":[{"id":1001,"uris":["http://zotero.org/users/8423188/items/ATRHW66I"],"itemData":{"id":1001,"type":"book","call-number":"QD506 .A88 1998","collection-number":"59","collection-title":"Oxford science publications","event-place":"Oxford ; New York","ISBN":"978-0-19-855686-2","number-of-pages":"92","publisher":"Oxford University Press","publisher-place":"Oxford ; New York","source":"Library of Congress ISBN","title":"Surfaces","author":[{"family":"Attard","given":"Gary"},{"family":"Barnes","given":"Colin"}],"issued":{"date-parts":[["1998"]]}}}],"schema":"https://github.com/citation-style-language/schema/raw/master/csl-citation.json"} </w:instrText>
      </w:r>
      <w:r w:rsidR="00282E06" w:rsidRPr="00770477">
        <w:rPr>
          <w:rFonts w:cs="Times New Roman"/>
        </w:rPr>
        <w:fldChar w:fldCharType="separate"/>
      </w:r>
      <w:r w:rsidR="00282E06" w:rsidRPr="00770477">
        <w:rPr>
          <w:rFonts w:cs="Times New Roman"/>
        </w:rPr>
        <w:t>(Attard &amp; Barnes, 1998)</w:t>
      </w:r>
      <w:r w:rsidR="00282E06" w:rsidRPr="00770477">
        <w:rPr>
          <w:rFonts w:cs="Times New Roman"/>
        </w:rPr>
        <w:fldChar w:fldCharType="end"/>
      </w:r>
      <w:r w:rsidR="00006051" w:rsidRPr="00770477">
        <w:rPr>
          <w:rFonts w:cs="Times New Roman"/>
        </w:rPr>
        <w:t xml:space="preserve">. </w:t>
      </w:r>
      <w:r w:rsidR="2B52FC93" w:rsidRPr="00770477">
        <w:rPr>
          <w:rFonts w:cs="Times New Roman"/>
        </w:rPr>
        <w:t>Surface complexation reactions involving metals</w:t>
      </w:r>
      <w:r w:rsidR="00006051" w:rsidRPr="00770477">
        <w:rPr>
          <w:rFonts w:cs="Times New Roman"/>
        </w:rPr>
        <w:t xml:space="preserve"> are influenced by environmental conditions such as pH, temperature, redox potential, ionic strength, the presence of organic matter, and the availability of binding sites </w:t>
      </w:r>
      <w:r w:rsidR="00006051" w:rsidRPr="00770477">
        <w:rPr>
          <w:rFonts w:cs="Times New Roman"/>
        </w:rPr>
        <w:fldChar w:fldCharType="begin"/>
      </w:r>
      <w:r w:rsidR="002074AD">
        <w:rPr>
          <w:rFonts w:cs="Times New Roman"/>
        </w:rPr>
        <w:instrText xml:space="preserve"> ADDIN ZOTERO_ITEM CSL_CITATION {"citationID":"26oFPLnG","properties":{"formattedCitation":"(Gen\\uc0\\u231{}-Fuhrman et al., 2007; Gunawardana et al., 2015; Langmuir et al., 2004; Rommel et al., 2021; US EPA, 2015c)","plainCitation":"(Genç-Fuhrman et al., 2007; Gunawardana et al., 2015; Langmuir et al., 2004; Rommel et al., 2021; US EPA, 2015c)","noteIndex":0},"citationItems":[{"id":81,"uris":["http://zotero.org/users/8423188/items/H86PGBUC"],"itemData":{"id":81,"type":"article-journal","abstract":"The potential of using alumina, activated bauxsol-coated sand (ABCS), bark, bauxsolcoated sand (BCS), ﬂy ash (FA), granulated activated carbon (GAC), granulated ferric hydroxide (GFH), iron oxide-coated sand (IOCS), natural zeolite (NZ), sand, and spinel (MgAl2O4) as sorbents for removing heavy metals from stormwater are investigated in the present study. The ability of the sorbents to remove a mixture of As, Cd, Cr, Cu, Ni and Zn from synthetic stormwater samples were evaluated in batch tests at a starting pH of 6.5. The metal speciation and saturation data is obtained using the PHREEQ-C geochemical model and used to elucidate the sorption data. It is found that BCS, FA, and spinel have signiﬁcantly higher afﬁnity towards heavy metals mainly present as cationic or noncharged species (i.e. Cd, Cu, Ni and Zn) compared to those present as anionic species (i.e. As and Cr). However, IOCS, NZ and sand have higher afﬁnity towards As and Cr, while alumina has equally high afﬁnity to all tested heavy metals. The Freundlich isotherm model is found to ﬁt the data in many cases, but ill ﬁtted results are also observed, especially for FA, BCS and GAC, possibly due to leaching of some metals from the sorbents (i.e. for FA) and oversaturated conditions making precipitation the dominant removal mechanism over sorption in batches with high heavy metal concentrations and pH. Calculated sorption constants (i.e. Kd) are used to compare the overall heavy metal removal efﬁciency of the sorbents, which in a decreasing order are found to be: alumina, BCS, GFH, FA, GAC, spinel, ABCS, IOCS, NZ, bark, and sand. These ﬁndings are signiﬁcant for future development of secondary ﬁlters for removal of dissolved heavy metals from stormwater runoff under realistic competitive conditions in terms of initial heavy metal concentrations, pH and ionic strength.","container-title":"Water Research","DOI":"10.1016/j.watres.2006.10.024","ISSN":"00431354","issue":"3","journalAbbreviation":"Water Research","language":"en","page":"591-602","source":"DOI.org (Crossref)","title":"Simultaneous removal of As, Cd, Cr, Cu, Ni and Zn from stormwater: Experimental comparison of 11 different sorbents","title-short":"Simultaneous removal of As, Cd, Cr, Cu, Ni and Zn from stormwater","volume":"41","author":[{"family":"Genç-Fuhrman","given":"Hülya"},{"family":"Mikkelsen","given":"Peter S."},{"family":"Ledin","given":"Anna"}],"issued":{"date-parts":[["2007",2]]}}},{"id":527,"uris":["http://zotero.org/users/8423188/items/RHBLFRM4"],"itemData":{"id":527,"type":"article-journal","abstract":"The study investigated the adsorption and bioavailability characteristics of trafﬁc generated metals common to urban land uses, in road deposited solids particles. To validate the outcomes derived from the analysis of ﬁeld samples, adsorption and desorption experiments were undertaken. The analysis of ﬁeld samples revealed that metals are selectively adsorbed to different charge sites on solids. Zinc, copper, lead and nickel are adsorbed preferentially to oxides of manganese, iron and aluminium. Lead is adsorbed to organic matter through chemisorption. Cadmium and chromium form weak bonding through cation exchange with most of the particle sizes. Adsorption and desorption experiments revealed that at high metal concentrations, chromium, copper and lead form relatively strong bonds with solids particles while zinc is adsorbed through cation exchange with high likelihood of being released back into solution. Outcomes from this study provide speciﬁc guidance for the removal of metals from stormwater based on solids removal.","container-title":"Chemosphere","DOI":"10.1016/j.chemosphere.2014.02.048","ISSN":"00456535","journalAbbreviation":"Chemosphere","language":"en","page":"1391-1398","source":"DOI.org (Crossref)","title":"Adsorption and mobility of metals in build-up on road surfaces","volume":"119","author":[{"family":"Gunawardana","given":"Chandima"},{"family":"Egodawatta","given":"Prasanna"},{"family":"Goonetilleke","given":"Ashantha"}],"issued":{"date-parts":[["2015",1]]}}},{"id":487,"uris":["http://zotero.org/users/8423188/items/DI5K47YZ"],"itemData":{"id":487,"type":"article-journal","language":"en","page":"113","source":"Zotero","title":"ISSUE PAPER ON THE ENVIRONMENTAL CHEMISTRY OF METALS","author":[{"family":"Langmuir","given":"Donald"},{"family":"Chrostowski","given":"Paul"},{"family":"Vigneault","given":"Bernard"},{"family":"Chaney","given":"Rufus"}],"issued":{"date-parts":[["2004"]]}}},{"id":530,"uris":["http://zotero.org/users/8423188/items/HS8UD34I"],"itemData":{"id":530,"type":"article-journal","abstract":"The performance of stormwater quality improvement devices (SQIDs), commonly based on sedimentation and media ﬁltration, is generally examined either at lab scale or in ﬁeld tests. However, there has so far been only little investigation into the remobilization of heavy metals retained in sediments and sorptive ﬁlter media. It is, moreover, unknown whether current lab-scale experiments are able to replicate the conditions of full-scale operation. To assess the potential impact of differences in conditions between lab-scale and ﬁeld tests on the strength of association of heavy metals, ﬁlter media taken from three SQIDs were subjected to analysis by sequential extraction after prestressing both on a lab scale and in ﬁeld tests. Sediments and ﬁlter cake trapped in the SQIDs were additionally analyzed. These displayed signiﬁcantly higher heavy metal content than ﬁlter media that had been prestressed in the ﬁeld. The zinc in the sediments and ﬁlter media displayed particularly high mobility. This study reveals a discrepancy between ﬁeld and lab-scale conditions that creates differences in the content and strength of association of heavy metals. It is hence possible to show that previous lab-scale experiments potentially overestimated the risk of heavy-metal leaching, due to their predominant occurrence in more mobile fractions.","container-title":"Science of The Total Environment","DOI":"10.1016/j.scitotenv.2021.146875","ISSN":"00489697","journalAbbreviation":"Science of The Total Environment","language":"en","page":"146875","source":"DOI.org (Crossref)","title":"Sequential extraction of heavy metals from sorptive filter media and sediments trapped in stormwater quality improvement devices for road runoff","volume":"782","author":[{"family":"Rommel","given":"Steffen H."},{"family":"Stinshoff","given":"Philipp"},{"family":"Helmreich","given":"Brigitte"}],"issued":{"date-parts":[["2021",8]]}}},{"id":64,"uris":["http://zotero.org/users/8423188/items/JCANZVIF"],"itemData":{"id":64,"type":"webpage","abstract":"Introduction to the metals module, when to list metals as a candidate cause, ways to measure metals, simple and detailed conceptual diagrams for metals, metals module references and literature reviews.","genre":"Data and Tools","language":"en","title":"Metals","URL":"https://www.epa.gov/caddis-vol2/metals","author":[{"family":"US EPA","given":"ORD"}],"accessed":{"date-parts":[["2021",11,18]]},"issued":{"date-parts":[["2015",11,4]]}}}],"schema":"https://github.com/citation-style-language/schema/raw/master/csl-citation.json"} </w:instrText>
      </w:r>
      <w:r w:rsidR="00006051" w:rsidRPr="00770477">
        <w:rPr>
          <w:rFonts w:cs="Times New Roman"/>
        </w:rPr>
        <w:fldChar w:fldCharType="separate"/>
      </w:r>
      <w:r w:rsidR="00E11E17" w:rsidRPr="00770477">
        <w:rPr>
          <w:rFonts w:cs="Times New Roman"/>
        </w:rPr>
        <w:t>(Genç-Fuhrman et al., 2007; Gunawardana et al., 2015; Langmuir et al., 2004; Rommel et al., 2021; US EPA, 2015c)</w:t>
      </w:r>
      <w:r w:rsidR="00006051" w:rsidRPr="00770477">
        <w:rPr>
          <w:rFonts w:cs="Times New Roman"/>
        </w:rPr>
        <w:fldChar w:fldCharType="end"/>
      </w:r>
      <w:r w:rsidR="00006051" w:rsidRPr="00770477">
        <w:rPr>
          <w:rFonts w:cs="Times New Roman"/>
        </w:rPr>
        <w:t xml:space="preserve">. </w:t>
      </w:r>
    </w:p>
    <w:p w14:paraId="05D78F0D" w14:textId="2F134EBB" w:rsidR="00006051" w:rsidRPr="00770477" w:rsidRDefault="001726C6" w:rsidP="00B5638F">
      <w:pPr>
        <w:ind w:firstLine="720"/>
        <w:rPr>
          <w:rFonts w:cs="Times New Roman"/>
        </w:rPr>
      </w:pPr>
      <w:r w:rsidRPr="00770477">
        <w:rPr>
          <w:rFonts w:cs="Times New Roman"/>
        </w:rPr>
        <w:t>T</w:t>
      </w:r>
      <w:r w:rsidR="00006051" w:rsidRPr="00770477">
        <w:rPr>
          <w:rFonts w:cs="Times New Roman"/>
        </w:rPr>
        <w:t xml:space="preserve">he point at which the surface charge of a media switches is referred to as the zero point charge </w:t>
      </w:r>
      <w:r w:rsidR="00006051" w:rsidRPr="00770477">
        <w:rPr>
          <w:rFonts w:cs="Times New Roman"/>
        </w:rPr>
        <w:fldChar w:fldCharType="begin"/>
      </w:r>
      <w:r w:rsidR="002074AD">
        <w:rPr>
          <w:rFonts w:cs="Times New Roman"/>
        </w:rPr>
        <w:instrText xml:space="preserve"> ADDIN ZOTERO_ITEM CSL_CITATION {"citationID":"aGIQtyz6","properties":{"formattedCitation":"(Gen\\uc0\\u231{}-Fuhrman et al., 2007; Langmuir et al., 2004)","plainCitation":"(Genç-Fuhrman et al., 2007; Langmuir et al., 2004)","noteIndex":0},"citationItems":[{"id":81,"uris":["http://zotero.org/users/8423188/items/H86PGBUC"],"itemData":{"id":81,"type":"article-journal","abstract":"The potential of using alumina, activated bauxsol-coated sand (ABCS), bark, bauxsolcoated sand (BCS), ﬂy ash (FA), granulated activated carbon (GAC), granulated ferric hydroxide (GFH), iron oxide-coated sand (IOCS), natural zeolite (NZ), sand, and spinel (MgAl2O4) as sorbents for removing heavy metals from stormwater are investigated in the present study. The ability of the sorbents to remove a mixture of As, Cd, Cr, Cu, Ni and Zn from synthetic stormwater samples were evaluated in batch tests at a starting pH of 6.5. The metal speciation and saturation data is obtained using the PHREEQ-C geochemical model and used to elucidate the sorption data. It is found that BCS, FA, and spinel have signiﬁcantly higher afﬁnity towards heavy metals mainly present as cationic or noncharged species (i.e. Cd, Cu, Ni and Zn) compared to those present as anionic species (i.e. As and Cr). However, IOCS, NZ and sand have higher afﬁnity towards As and Cr, while alumina has equally high afﬁnity to all tested heavy metals. The Freundlich isotherm model is found to ﬁt the data in many cases, but ill ﬁtted results are also observed, especially for FA, BCS and GAC, possibly due to leaching of some metals from the sorbents (i.e. for FA) and oversaturated conditions making precipitation the dominant removal mechanism over sorption in batches with high heavy metal concentrations and pH. Calculated sorption constants (i.e. Kd) are used to compare the overall heavy metal removal efﬁciency of the sorbents, which in a decreasing order are found to be: alumina, BCS, GFH, FA, GAC, spinel, ABCS, IOCS, NZ, bark, and sand. These ﬁndings are signiﬁcant for future development of secondary ﬁlters for removal of dissolved heavy metals from stormwater runoff under realistic competitive conditions in terms of initial heavy metal concentrations, pH and ionic strength.","container-title":"Water Research","DOI":"10.1016/j.watres.2006.10.024","ISSN":"00431354","issue":"3","journalAbbreviation":"Water Research","language":"en","page":"591-602","source":"DOI.org (Crossref)","title":"Simultaneous removal of As, Cd, Cr, Cu, Ni and Zn from stormwater: Experimental comparison of 11 different sorbents","title-short":"Simultaneous removal of As, Cd, Cr, Cu, Ni and Zn from stormwater","volume":"41","author":[{"family":"Genç-Fuhrman","given":"Hülya"},{"family":"Mikkelsen","given":"Peter S."},{"family":"Ledin","given":"Anna"}],"issued":{"date-parts":[["2007",2]]}}},{"id":487,"uris":["http://zotero.org/users/8423188/items/DI5K47YZ"],"itemData":{"id":487,"type":"article-journal","language":"en","page":"113","source":"Zotero","title":"ISSUE PAPER ON THE ENVIRONMENTAL CHEMISTRY OF METALS","author":[{"family":"Langmuir","given":"Donald"},{"family":"Chrostowski","given":"Paul"},{"family":"Vigneault","given":"Bernard"},{"family":"Chaney","given":"Rufus"}],"issued":{"date-parts":[["2004"]]}}}],"schema":"https://github.com/citation-style-language/schema/raw/master/csl-citation.json"} </w:instrText>
      </w:r>
      <w:r w:rsidR="00006051" w:rsidRPr="00770477">
        <w:rPr>
          <w:rFonts w:cs="Times New Roman"/>
        </w:rPr>
        <w:fldChar w:fldCharType="separate"/>
      </w:r>
      <w:r w:rsidR="00E11E17" w:rsidRPr="00770477">
        <w:rPr>
          <w:rFonts w:cs="Times New Roman"/>
        </w:rPr>
        <w:t>(Genç-Fuhrman et al., 2007; Langmuir et al., 2004)</w:t>
      </w:r>
      <w:r w:rsidR="00006051" w:rsidRPr="00770477">
        <w:rPr>
          <w:rFonts w:cs="Times New Roman"/>
        </w:rPr>
        <w:fldChar w:fldCharType="end"/>
      </w:r>
      <w:r w:rsidR="00006051" w:rsidRPr="00770477">
        <w:rPr>
          <w:rFonts w:cs="Times New Roman"/>
        </w:rPr>
        <w:t xml:space="preserve">. </w:t>
      </w:r>
      <w:r w:rsidRPr="00770477">
        <w:rPr>
          <w:rFonts w:cs="Times New Roman"/>
        </w:rPr>
        <w:t xml:space="preserve">An example by </w:t>
      </w:r>
      <w:r w:rsidRPr="00770477">
        <w:rPr>
          <w:rFonts w:cs="Times New Roman"/>
        </w:rPr>
        <w:fldChar w:fldCharType="begin"/>
      </w:r>
      <w:r w:rsidR="002074AD">
        <w:rPr>
          <w:rFonts w:cs="Times New Roman"/>
        </w:rPr>
        <w:instrText xml:space="preserve"> ADDIN ZOTERO_ITEM CSL_CITATION {"citationID":"a1ng242ie6p","properties":{"formattedCitation":"(Dzombak &amp; Morel, 1990)","plainCitation":"(Dzombak &amp; Morel, 1990)","noteIndex":0},"citationItems":[{"id":520,"uris":["http://zotero.org/users/8423188/items/GPJ78CJP"],"itemData":{"id":520,"type":"book","call-number":"QD181.F4 D96 1990","event-place":"New York","ISBN":"978-0-471-63731-8","number-of-pages":"393","publisher":"Wiley","publisher-place":"New York","source":"Library of Congress ISBN","title":"Surface complexation modeling: hydrous ferric oxide","title-short":"Surface complexation modeling","author":[{"family":"Dzombak","given":"David A."},{"family":"Morel","given":"François M. M."}],"issued":{"date-parts":[["1990"]]}}}],"schema":"https://github.com/citation-style-language/schema/raw/master/csl-citation.json"} </w:instrText>
      </w:r>
      <w:r w:rsidRPr="00770477">
        <w:rPr>
          <w:rFonts w:cs="Times New Roman"/>
        </w:rPr>
        <w:fldChar w:fldCharType="separate"/>
      </w:r>
      <w:r w:rsidR="002074AD" w:rsidRPr="002074AD">
        <w:rPr>
          <w:rFonts w:cs="Times New Roman"/>
        </w:rPr>
        <w:t xml:space="preserve">(Dzombak &amp; Morel, </w:t>
      </w:r>
      <w:r w:rsidR="002074AD" w:rsidRPr="002074AD">
        <w:rPr>
          <w:rFonts w:cs="Times New Roman"/>
        </w:rPr>
        <w:lastRenderedPageBreak/>
        <w:t>1990)</w:t>
      </w:r>
      <w:r w:rsidRPr="00770477">
        <w:rPr>
          <w:rFonts w:cs="Times New Roman"/>
        </w:rPr>
        <w:fldChar w:fldCharType="end"/>
      </w:r>
      <w:r w:rsidRPr="00770477">
        <w:rPr>
          <w:rFonts w:cs="Times New Roman"/>
        </w:rPr>
        <w:t xml:space="preserve"> demonstrates that u</w:t>
      </w:r>
      <w:r w:rsidR="00006051" w:rsidRPr="00770477">
        <w:rPr>
          <w:rFonts w:cs="Times New Roman"/>
        </w:rPr>
        <w:t>nder low pH conditions the surface charge</w:t>
      </w:r>
      <w:r w:rsidR="00014ADB" w:rsidRPr="00770477">
        <w:rPr>
          <w:rFonts w:cs="Times New Roman"/>
        </w:rPr>
        <w:t xml:space="preserve"> of ferrihydrite</w:t>
      </w:r>
      <w:r w:rsidR="00006051" w:rsidRPr="00770477">
        <w:rPr>
          <w:rFonts w:cs="Times New Roman"/>
        </w:rPr>
        <w:t xml:space="preserve"> was more positive which lent </w:t>
      </w:r>
      <w:r w:rsidR="00014ADB" w:rsidRPr="00770477">
        <w:rPr>
          <w:rFonts w:cs="Times New Roman"/>
        </w:rPr>
        <w:t>surfaces</w:t>
      </w:r>
      <w:r w:rsidR="00006051" w:rsidRPr="00770477">
        <w:rPr>
          <w:rFonts w:cs="Times New Roman"/>
        </w:rPr>
        <w:t xml:space="preserve"> to bind with dissolved anionic metal species where at higher pH conditions the surface charge became more negative which allowed for the binding with metallic cation species in solutio</w:t>
      </w:r>
      <w:r w:rsidR="00014ADB" w:rsidRPr="00770477">
        <w:rPr>
          <w:rFonts w:cs="Times New Roman"/>
        </w:rPr>
        <w:t>n</w:t>
      </w:r>
      <w:r w:rsidR="00006051" w:rsidRPr="00770477">
        <w:rPr>
          <w:rFonts w:cs="Times New Roman"/>
        </w:rPr>
        <w:t xml:space="preserve">. Although this phenomenon can occur, for many absorptive media the zero point charge is outside the environmental conditions one would realistically expect, therefore in many cases an absorptive media can be considered constant as either a positive or negative surface charge </w:t>
      </w:r>
      <w:r w:rsidR="00006051" w:rsidRPr="00770477">
        <w:rPr>
          <w:rFonts w:cs="Times New Roman"/>
        </w:rPr>
        <w:fldChar w:fldCharType="begin"/>
      </w:r>
      <w:r w:rsidR="002074AD">
        <w:rPr>
          <w:rFonts w:cs="Times New Roman"/>
        </w:rPr>
        <w:instrText xml:space="preserve"> ADDIN ZOTERO_ITEM CSL_CITATION {"citationID":"d7O2AALF","properties":{"formattedCitation":"(Langmuir et al., 2004)","plainCitation":"(Langmuir et al., 2004)","noteIndex":0},"citationItems":[{"id":487,"uris":["http://zotero.org/users/8423188/items/DI5K47YZ"],"itemData":{"id":487,"type":"article-journal","language":"en","page":"113","source":"Zotero","title":"ISSUE PAPER ON THE ENVIRONMENTAL CHEMISTRY OF METALS","author":[{"family":"Langmuir","given":"Donald"},{"family":"Chrostowski","given":"Paul"},{"family":"Vigneault","given":"Bernard"},{"family":"Chaney","given":"Rufus"}],"issued":{"date-parts":[["2004"]]}}}],"schema":"https://github.com/citation-style-language/schema/raw/master/csl-citation.json"} </w:instrText>
      </w:r>
      <w:r w:rsidR="00006051" w:rsidRPr="00770477">
        <w:rPr>
          <w:rFonts w:cs="Times New Roman"/>
        </w:rPr>
        <w:fldChar w:fldCharType="separate"/>
      </w:r>
      <w:r w:rsidR="00E11E17" w:rsidRPr="00770477">
        <w:rPr>
          <w:rFonts w:cs="Times New Roman"/>
        </w:rPr>
        <w:t>(Langmuir et al., 2004)</w:t>
      </w:r>
      <w:r w:rsidR="00006051" w:rsidRPr="00770477">
        <w:rPr>
          <w:rFonts w:cs="Times New Roman"/>
        </w:rPr>
        <w:fldChar w:fldCharType="end"/>
      </w:r>
      <w:r w:rsidR="00006051" w:rsidRPr="00770477">
        <w:rPr>
          <w:rFonts w:cs="Times New Roman"/>
        </w:rPr>
        <w:t xml:space="preserve">. </w:t>
      </w:r>
      <w:r w:rsidR="00006051" w:rsidRPr="00770477">
        <w:rPr>
          <w:rFonts w:cs="Times New Roman"/>
        </w:rPr>
        <w:fldChar w:fldCharType="begin"/>
      </w:r>
      <w:r w:rsidR="002074AD">
        <w:rPr>
          <w:rFonts w:cs="Times New Roman"/>
        </w:rPr>
        <w:instrText xml:space="preserve"> ADDIN ZOTERO_ITEM CSL_CITATION {"citationID":"eBRsOmPt","properties":{"formattedCitation":"(Langmuir et al., 2004, 2004)","plainCitation":"(Langmuir et al., 2004, 2004)","dontUpdate":true,"noteIndex":0},"citationItems":[{"id":487,"uris":["http://zotero.org/users/8423188/items/DI5K47YZ"],"itemData":{"id":487,"type":"article-journal","language":"en","page":"113","source":"Zotero","title":"ISSUE PAPER ON THE ENVIRONMENTAL CHEMISTRY OF METALS","author":[{"family":"Langmuir","given":"Donald"},{"family":"Chrostowski","given":"Paul"},{"family":"Vigneault","given":"Bernard"},{"family":"Chaney","given":"Rufus"}],"issued":{"date-parts":[["2004"]]}}},{"id":487,"uris":["http://zotero.org/users/8423188/items/DI5K47YZ"],"itemData":{"id":487,"type":"article-journal","language":"en","page":"113","source":"Zotero","title":"ISSUE PAPER ON THE ENVIRONMENTAL CHEMISTRY OF METALS","author":[{"family":"Langmuir","given":"Donald"},{"family":"Chrostowski","given":"Paul"},{"family":"Vigneault","given":"Bernard"},{"family":"Chaney","given":"Rufus"}],"issued":{"date-parts":[["2004"]]}}}],"schema":"https://github.com/citation-style-language/schema/raw/master/csl-citation.json"} </w:instrText>
      </w:r>
      <w:r w:rsidR="00006051" w:rsidRPr="00770477">
        <w:rPr>
          <w:rFonts w:cs="Times New Roman"/>
        </w:rPr>
        <w:fldChar w:fldCharType="separate"/>
      </w:r>
      <w:r w:rsidR="00006051" w:rsidRPr="00770477">
        <w:rPr>
          <w:rFonts w:cs="Times New Roman"/>
          <w:noProof/>
        </w:rPr>
        <w:t>Langmuir et al. (2004)</w:t>
      </w:r>
      <w:r w:rsidR="00006051" w:rsidRPr="00770477">
        <w:rPr>
          <w:rFonts w:cs="Times New Roman"/>
        </w:rPr>
        <w:fldChar w:fldCharType="end"/>
      </w:r>
      <w:r w:rsidR="00006051" w:rsidRPr="00770477">
        <w:rPr>
          <w:rFonts w:cs="Times New Roman"/>
        </w:rPr>
        <w:t xml:space="preserve"> lists a series of clays as well as organics/humic materials, Mn-oxyhydroxides, and ferrihydrite as excellent metal-adsorbent materials based on their surface area and sorption site densities. There are many ways to model metal adsorption, however </w:t>
      </w:r>
      <w:r w:rsidR="00006051" w:rsidRPr="00770477">
        <w:rPr>
          <w:rFonts w:cs="Times New Roman"/>
        </w:rPr>
        <w:fldChar w:fldCharType="begin"/>
      </w:r>
      <w:r w:rsidR="002074AD">
        <w:rPr>
          <w:rFonts w:cs="Times New Roman"/>
        </w:rPr>
        <w:instrText xml:space="preserve"> ADDIN ZOTERO_ITEM CSL_CITATION {"citationID":"WV9XveWc","properties":{"formattedCitation":"(Langmuir et al., n.d.)","plainCitation":"(Langmuir et al., n.d.)","dontUpdate":true,"noteIndex":0},"citationItems":[{"id":487,"uris":["http://zotero.org/users/8423188/items/DI5K47YZ"],"itemData":{"id":487,"type":"article-journal","language":"en","page":"113","source":"Zotero","title":"ISSUE PAPER ON THE ENVIRONMENTAL CHEMISTRY OF METALS","author":[{"family":"Langmuir","given":"Donald"},{"family":"Chrostowski","given":"Paul"},{"family":"Vigneault","given":"Bernard"},{"family":"Chaney","given":"Rufus"}],"issued":{"date-parts":[["2004"]]}}}],"schema":"https://github.com/citation-style-language/schema/raw/master/csl-citation.json"} </w:instrText>
      </w:r>
      <w:r w:rsidR="00006051" w:rsidRPr="00770477">
        <w:rPr>
          <w:rFonts w:cs="Times New Roman"/>
        </w:rPr>
        <w:fldChar w:fldCharType="separate"/>
      </w:r>
      <w:r w:rsidR="00006051" w:rsidRPr="00770477">
        <w:rPr>
          <w:rFonts w:cs="Times New Roman"/>
          <w:noProof/>
        </w:rPr>
        <w:t>Langmuir et al. (2004)</w:t>
      </w:r>
      <w:r w:rsidR="00006051" w:rsidRPr="00770477">
        <w:rPr>
          <w:rFonts w:cs="Times New Roman"/>
        </w:rPr>
        <w:fldChar w:fldCharType="end"/>
      </w:r>
      <w:r w:rsidR="00006051" w:rsidRPr="00770477">
        <w:rPr>
          <w:rFonts w:cs="Times New Roman"/>
        </w:rPr>
        <w:t xml:space="preserve"> and the USEPA agree that the best methods include surface complexation, electrical double layer theory, and diffuse layer models. In short, these models consider the arrangement of charged particles around individual sorptive grains and how they interact with environmental conditions as well as dissolved metal ions in solution </w:t>
      </w:r>
      <w:r w:rsidR="00006051" w:rsidRPr="00770477">
        <w:rPr>
          <w:rFonts w:cs="Times New Roman"/>
        </w:rPr>
        <w:fldChar w:fldCharType="begin"/>
      </w:r>
      <w:r w:rsidR="002074AD">
        <w:rPr>
          <w:rFonts w:cs="Times New Roman"/>
        </w:rPr>
        <w:instrText xml:space="preserve"> ADDIN ZOTERO_ITEM CSL_CITATION {"citationID":"GtnfQEQg","properties":{"formattedCitation":"(Langmuir et al., 2004)","plainCitation":"(Langmuir et al., 2004)","noteIndex":0},"citationItems":[{"id":487,"uris":["http://zotero.org/users/8423188/items/DI5K47YZ"],"itemData":{"id":487,"type":"article-journal","language":"en","page":"113","source":"Zotero","title":"ISSUE PAPER ON THE ENVIRONMENTAL CHEMISTRY OF METALS","author":[{"family":"Langmuir","given":"Donald"},{"family":"Chrostowski","given":"Paul"},{"family":"Vigneault","given":"Bernard"},{"family":"Chaney","given":"Rufus"}],"issued":{"date-parts":[["2004"]]}}}],"schema":"https://github.com/citation-style-language/schema/raw/master/csl-citation.json"} </w:instrText>
      </w:r>
      <w:r w:rsidR="00006051" w:rsidRPr="00770477">
        <w:rPr>
          <w:rFonts w:cs="Times New Roman"/>
        </w:rPr>
        <w:fldChar w:fldCharType="separate"/>
      </w:r>
      <w:r w:rsidR="00E11E17" w:rsidRPr="00770477">
        <w:rPr>
          <w:rFonts w:cs="Times New Roman"/>
        </w:rPr>
        <w:t>(Langmuir et al., 2004)</w:t>
      </w:r>
      <w:r w:rsidR="00006051" w:rsidRPr="00770477">
        <w:rPr>
          <w:rFonts w:cs="Times New Roman"/>
        </w:rPr>
        <w:fldChar w:fldCharType="end"/>
      </w:r>
      <w:r w:rsidR="00006051" w:rsidRPr="00770477">
        <w:rPr>
          <w:rFonts w:cs="Times New Roman"/>
        </w:rPr>
        <w:t xml:space="preserve">. Many studies have been conducted to investigate the feasibility of using a sorptive media to remove dissolved metals from solution </w:t>
      </w:r>
      <w:r w:rsidR="00006051" w:rsidRPr="00770477">
        <w:rPr>
          <w:rFonts w:cs="Times New Roman"/>
        </w:rPr>
        <w:fldChar w:fldCharType="begin"/>
      </w:r>
      <w:r w:rsidR="002074AD">
        <w:rPr>
          <w:rFonts w:cs="Times New Roman"/>
        </w:rPr>
        <w:instrText xml:space="preserve"> ADDIN ZOTERO_ITEM CSL_CITATION {"citationID":"HgGG3VBj","properties":{"formattedCitation":"(Gen\\uc0\\u231{}-Fuhrman et al., 2007; Gunawardana et al., 2015)","plainCitation":"(Genç-Fuhrman et al., 2007; Gunawardana et al., 2015)","noteIndex":0},"citationItems":[{"id":81,"uris":["http://zotero.org/users/8423188/items/H86PGBUC"],"itemData":{"id":81,"type":"article-journal","abstract":"The potential of using alumina, activated bauxsol-coated sand (ABCS), bark, bauxsolcoated sand (BCS), ﬂy ash (FA), granulated activated carbon (GAC), granulated ferric hydroxide (GFH), iron oxide-coated sand (IOCS), natural zeolite (NZ), sand, and spinel (MgAl2O4) as sorbents for removing heavy metals from stormwater are investigated in the present study. The ability of the sorbents to remove a mixture of As, Cd, Cr, Cu, Ni and Zn from synthetic stormwater samples were evaluated in batch tests at a starting pH of 6.5. The metal speciation and saturation data is obtained using the PHREEQ-C geochemical model and used to elucidate the sorption data. It is found that BCS, FA, and spinel have signiﬁcantly higher afﬁnity towards heavy metals mainly present as cationic or noncharged species (i.e. Cd, Cu, Ni and Zn) compared to those present as anionic species (i.e. As and Cr). However, IOCS, NZ and sand have higher afﬁnity towards As and Cr, while alumina has equally high afﬁnity to all tested heavy metals. The Freundlich isotherm model is found to ﬁt the data in many cases, but ill ﬁtted results are also observed, especially for FA, BCS and GAC, possibly due to leaching of some metals from the sorbents (i.e. for FA) and oversaturated conditions making precipitation the dominant removal mechanism over sorption in batches with high heavy metal concentrations and pH. Calculated sorption constants (i.e. Kd) are used to compare the overall heavy metal removal efﬁciency of the sorbents, which in a decreasing order are found to be: alumina, BCS, GFH, FA, GAC, spinel, ABCS, IOCS, NZ, bark, and sand. These ﬁndings are signiﬁcant for future development of secondary ﬁlters for removal of dissolved heavy metals from stormwater runoff under realistic competitive conditions in terms of initial heavy metal concentrations, pH and ionic strength.","container-title":"Water Research","DOI":"10.1016/j.watres.2006.10.024","ISSN":"00431354","issue":"3","journalAbbreviation":"Water Research","language":"en","page":"591-602","source":"DOI.org (Crossref)","title":"Simultaneous removal of As, Cd, Cr, Cu, Ni and Zn from stormwater: Experimental comparison of 11 different sorbents","title-short":"Simultaneous removal of As, Cd, Cr, Cu, Ni and Zn from stormwater","volume":"41","author":[{"family":"Genç-Fuhrman","given":"Hülya"},{"family":"Mikkelsen","given":"Peter S."},{"family":"Ledin","given":"Anna"}],"issued":{"date-parts":[["2007",2]]}}},{"id":527,"uris":["http://zotero.org/users/8423188/items/RHBLFRM4"],"itemData":{"id":527,"type":"article-journal","abstract":"The study investigated the adsorption and bioavailability characteristics of trafﬁc generated metals common to urban land uses, in road deposited solids particles. To validate the outcomes derived from the analysis of ﬁeld samples, adsorption and desorption experiments were undertaken. The analysis of ﬁeld samples revealed that metals are selectively adsorbed to different charge sites on solids. Zinc, copper, lead and nickel are adsorbed preferentially to oxides of manganese, iron and aluminium. Lead is adsorbed to organic matter through chemisorption. Cadmium and chromium form weak bonding through cation exchange with most of the particle sizes. Adsorption and desorption experiments revealed that at high metal concentrations, chromium, copper and lead form relatively strong bonds with solids particles while zinc is adsorbed through cation exchange with high likelihood of being released back into solution. Outcomes from this study provide speciﬁc guidance for the removal of metals from stormwater based on solids removal.","container-title":"Chemosphere","DOI":"10.1016/j.chemosphere.2014.02.048","ISSN":"00456535","journalAbbreviation":"Chemosphere","language":"en","page":"1391-1398","source":"DOI.org (Crossref)","title":"Adsorption and mobility of metals in build-up on road surfaces","volume":"119","author":[{"family":"Gunawardana","given":"Chandima"},{"family":"Egodawatta","given":"Prasanna"},{"family":"Goonetilleke","given":"Ashantha"}],"issued":{"date-parts":[["2015",1]]}}}],"schema":"https://github.com/citation-style-language/schema/raw/master/csl-citation.json"} </w:instrText>
      </w:r>
      <w:r w:rsidR="00006051" w:rsidRPr="00770477">
        <w:rPr>
          <w:rFonts w:cs="Times New Roman"/>
        </w:rPr>
        <w:fldChar w:fldCharType="separate"/>
      </w:r>
      <w:r w:rsidR="00E11E17" w:rsidRPr="00770477">
        <w:rPr>
          <w:rFonts w:cs="Times New Roman"/>
        </w:rPr>
        <w:t>(Genç-Fuhrman et al., 2007; Gunawardana et al., 2015)</w:t>
      </w:r>
      <w:r w:rsidR="00006051" w:rsidRPr="00770477">
        <w:rPr>
          <w:rFonts w:cs="Times New Roman"/>
        </w:rPr>
        <w:fldChar w:fldCharType="end"/>
      </w:r>
      <w:r w:rsidR="00006051" w:rsidRPr="00770477">
        <w:rPr>
          <w:rFonts w:cs="Times New Roman"/>
        </w:rPr>
        <w:t xml:space="preserve">. Results found that sorptive media that poses a large surface area (or high porosity in the case of low surface area media), a large amount of sorption sites, and surfaces that tend to be highly charged at common natural water pH (6-8) are best suited to remove metals from solution </w:t>
      </w:r>
      <w:r w:rsidR="00006051" w:rsidRPr="00770477">
        <w:rPr>
          <w:rFonts w:cs="Times New Roman"/>
        </w:rPr>
        <w:fldChar w:fldCharType="begin"/>
      </w:r>
      <w:r w:rsidR="002074AD">
        <w:rPr>
          <w:rFonts w:cs="Times New Roman"/>
        </w:rPr>
        <w:instrText xml:space="preserve"> ADDIN ZOTERO_ITEM CSL_CITATION {"citationID":"s4Y4OJfw","properties":{"formattedCitation":"(Gen\\uc0\\u231{}-Fuhrman et al., 2007; Gunawardana et al., 2015; Langmuir et al., 2004)","plainCitation":"(Genç-Fuhrman et al., 2007; Gunawardana et al., 2015; Langmuir et al., 2004)","noteIndex":0},"citationItems":[{"id":81,"uris":["http://zotero.org/users/8423188/items/H86PGBUC"],"itemData":{"id":81,"type":"article-journal","abstract":"The potential of using alumina, activated bauxsol-coated sand (ABCS), bark, bauxsolcoated sand (BCS), ﬂy ash (FA), granulated activated carbon (GAC), granulated ferric hydroxide (GFH), iron oxide-coated sand (IOCS), natural zeolite (NZ), sand, and spinel (MgAl2O4) as sorbents for removing heavy metals from stormwater are investigated in the present study. The ability of the sorbents to remove a mixture of As, Cd, Cr, Cu, Ni and Zn from synthetic stormwater samples were evaluated in batch tests at a starting pH of 6.5. The metal speciation and saturation data is obtained using the PHREEQ-C geochemical model and used to elucidate the sorption data. It is found that BCS, FA, and spinel have signiﬁcantly higher afﬁnity towards heavy metals mainly present as cationic or noncharged species (i.e. Cd, Cu, Ni and Zn) compared to those present as anionic species (i.e. As and Cr). However, IOCS, NZ and sand have higher afﬁnity towards As and Cr, while alumina has equally high afﬁnity to all tested heavy metals. The Freundlich isotherm model is found to ﬁt the data in many cases, but ill ﬁtted results are also observed, especially for FA, BCS and GAC, possibly due to leaching of some metals from the sorbents (i.e. for FA) and oversaturated conditions making precipitation the dominant removal mechanism over sorption in batches with high heavy metal concentrations and pH. Calculated sorption constants (i.e. Kd) are used to compare the overall heavy metal removal efﬁciency of the sorbents, which in a decreasing order are found to be: alumina, BCS, GFH, FA, GAC, spinel, ABCS, IOCS, NZ, bark, and sand. These ﬁndings are signiﬁcant for future development of secondary ﬁlters for removal of dissolved heavy metals from stormwater runoff under realistic competitive conditions in terms of initial heavy metal concentrations, pH and ionic strength.","container-title":"Water Research","DOI":"10.1016/j.watres.2006.10.024","ISSN":"00431354","issue":"3","journalAbbreviation":"Water Research","language":"en","page":"591-602","source":"DOI.org (Crossref)","title":"Simultaneous removal of As, Cd, Cr, Cu, Ni and Zn from stormwater: Experimental comparison of 11 different sorbents","title-short":"Simultaneous removal of As, Cd, Cr, Cu, Ni and Zn from stormwater","volume":"41","author":[{"family":"Genç-Fuhrman","given":"Hülya"},{"family":"Mikkelsen","given":"Peter S."},{"family":"Ledin","given":"Anna"}],"issued":{"date-parts":[["2007",2]]}}},{"id":527,"uris":["http://zotero.org/users/8423188/items/RHBLFRM4"],"itemData":{"id":527,"type":"article-journal","abstract":"The study investigated the adsorption and bioavailability characteristics of trafﬁc generated metals common to urban land uses, in road deposited solids particles. To validate the outcomes derived from the analysis of ﬁeld samples, adsorption and desorption experiments were undertaken. The analysis of ﬁeld samples revealed that metals are selectively adsorbed to different charge sites on solids. Zinc, copper, lead and nickel are adsorbed preferentially to oxides of manganese, iron and aluminium. Lead is adsorbed to organic matter through chemisorption. Cadmium and chromium form weak bonding through cation exchange with most of the particle sizes. Adsorption and desorption experiments revealed that at high metal concentrations, chromium, copper and lead form relatively strong bonds with solids particles while zinc is adsorbed through cation exchange with high likelihood of being released back into solution. Outcomes from this study provide speciﬁc guidance for the removal of metals from stormwater based on solids removal.","container-title":"Chemosphere","DOI":"10.1016/j.chemosphere.2014.02.048","ISSN":"00456535","journalAbbreviation":"Chemosphere","language":"en","page":"1391-1398","source":"DOI.org (Crossref)","title":"Adsorption and mobility of metals in build-up on road surfaces","volume":"119","author":[{"family":"Gunawardana","given":"Chandima"},{"family":"Egodawatta","given":"Prasanna"},{"family":"Goonetilleke","given":"Ashantha"}],"issued":{"date-parts":[["2015",1]]}}},{"id":487,"uris":["http://zotero.org/users/8423188/items/DI5K47YZ"],"itemData":{"id":487,"type":"article-journal","language":"en","page":"113","source":"Zotero","title":"ISSUE PAPER ON THE ENVIRONMENTAL CHEMISTRY OF METALS","author":[{"family":"Langmuir","given":"Donald"},{"family":"Chrostowski","given":"Paul"},{"family":"Vigneault","given":"Bernard"},{"family":"Chaney","given":"Rufus"}],"issued":{"date-parts":[["2004"]]}}}],"schema":"https://github.com/citation-style-language/schema/raw/master/csl-citation.json"} </w:instrText>
      </w:r>
      <w:r w:rsidR="00006051" w:rsidRPr="00770477">
        <w:rPr>
          <w:rFonts w:cs="Times New Roman"/>
        </w:rPr>
        <w:fldChar w:fldCharType="separate"/>
      </w:r>
      <w:r w:rsidR="00E11E17" w:rsidRPr="00770477">
        <w:rPr>
          <w:rFonts w:cs="Times New Roman"/>
        </w:rPr>
        <w:t>(Genç-Fuhrman et al., 2007; Gunawardana et al., 2015; Langmuir et al., 2004)</w:t>
      </w:r>
      <w:r w:rsidR="00006051" w:rsidRPr="00770477">
        <w:rPr>
          <w:rFonts w:cs="Times New Roman"/>
        </w:rPr>
        <w:fldChar w:fldCharType="end"/>
      </w:r>
      <w:r w:rsidR="00006051" w:rsidRPr="00770477">
        <w:rPr>
          <w:rFonts w:cs="Times New Roman"/>
        </w:rPr>
        <w:t xml:space="preserve">. </w:t>
      </w:r>
      <w:r w:rsidR="00995351" w:rsidRPr="00770477">
        <w:rPr>
          <w:rFonts w:cs="Times New Roman"/>
        </w:rPr>
        <w:t>I</w:t>
      </w:r>
      <w:r w:rsidR="00006051" w:rsidRPr="00770477">
        <w:rPr>
          <w:rFonts w:cs="Times New Roman"/>
        </w:rPr>
        <w:t xml:space="preserve">n a dynamic system many factors </w:t>
      </w:r>
      <w:r w:rsidR="004828F3" w:rsidRPr="00770477">
        <w:rPr>
          <w:rFonts w:cs="Times New Roman"/>
        </w:rPr>
        <w:t>(s</w:t>
      </w:r>
      <w:r w:rsidR="00995351" w:rsidRPr="00770477">
        <w:rPr>
          <w:rFonts w:cs="Times New Roman"/>
        </w:rPr>
        <w:t xml:space="preserve">uch as solution pH, ionic strength, </w:t>
      </w:r>
      <w:r w:rsidR="004828F3" w:rsidRPr="00770477">
        <w:rPr>
          <w:rFonts w:cs="Times New Roman"/>
        </w:rPr>
        <w:t xml:space="preserve">organic matter content, etc.) </w:t>
      </w:r>
      <w:r w:rsidR="00006051" w:rsidRPr="00770477">
        <w:rPr>
          <w:rFonts w:cs="Times New Roman"/>
        </w:rPr>
        <w:t xml:space="preserve">can change which will ultimately impact the effectiveness and mode of metals removal. For instance, </w:t>
      </w:r>
      <w:r w:rsidR="00006051" w:rsidRPr="00770477">
        <w:rPr>
          <w:rFonts w:cs="Times New Roman"/>
        </w:rPr>
        <w:fldChar w:fldCharType="begin"/>
      </w:r>
      <w:r w:rsidR="002074AD">
        <w:rPr>
          <w:rFonts w:cs="Times New Roman"/>
        </w:rPr>
        <w:instrText xml:space="preserve"> ADDIN ZOTERO_ITEM CSL_CITATION {"citationID":"Minag8cG","properties":{"formattedCitation":"(Langmuir et al., 2004)","plainCitation":"(Langmuir et al., 2004)","dontUpdate":true,"noteIndex":0},"citationItems":[{"id":487,"uris":["http://zotero.org/users/8423188/items/DI5K47YZ"],"itemData":{"id":487,"type":"article-journal","language":"en","page":"113","source":"Zotero","title":"ISSUE PAPER ON THE ENVIRONMENTAL CHEMISTRY OF METALS","author":[{"family":"Langmuir","given":"Donald"},{"family":"Chrostowski","given":"Paul"},{"family":"Vigneault","given":"Bernard"},{"family":"Chaney","given":"Rufus"}],"issued":{"date-parts":[["2004"]]}}}],"schema":"https://github.com/citation-style-language/schema/raw/master/csl-citation.json"} </w:instrText>
      </w:r>
      <w:r w:rsidR="00006051" w:rsidRPr="00770477">
        <w:rPr>
          <w:rFonts w:cs="Times New Roman"/>
        </w:rPr>
        <w:fldChar w:fldCharType="separate"/>
      </w:r>
      <w:r w:rsidR="00006051" w:rsidRPr="00770477">
        <w:rPr>
          <w:rFonts w:cs="Times New Roman"/>
          <w:noProof/>
        </w:rPr>
        <w:t>Langmuir et al. (2004)</w:t>
      </w:r>
      <w:r w:rsidR="00006051" w:rsidRPr="00770477">
        <w:rPr>
          <w:rFonts w:cs="Times New Roman"/>
        </w:rPr>
        <w:fldChar w:fldCharType="end"/>
      </w:r>
      <w:r w:rsidR="00006051" w:rsidRPr="00770477">
        <w:rPr>
          <w:rFonts w:cs="Times New Roman"/>
        </w:rPr>
        <w:t xml:space="preserve"> state that “[a]s metal concentrations further increase and fill available sorption sites, most metals tend to be incorporated in the structures of major mineral </w:t>
      </w:r>
      <w:r w:rsidR="00006051" w:rsidRPr="00770477">
        <w:rPr>
          <w:rFonts w:cs="Times New Roman"/>
        </w:rPr>
        <w:lastRenderedPageBreak/>
        <w:t xml:space="preserve">precipitates as coprecipitates in which they substitute for major metal cations, forming so-called solid solutions.” </w:t>
      </w:r>
      <w:r w:rsidR="00006051" w:rsidRPr="00770477">
        <w:rPr>
          <w:rFonts w:cs="Times New Roman"/>
        </w:rPr>
        <w:fldChar w:fldCharType="begin"/>
      </w:r>
      <w:r w:rsidR="002074AD">
        <w:rPr>
          <w:rFonts w:cs="Times New Roman"/>
        </w:rPr>
        <w:instrText xml:space="preserve"> ADDIN ZOTERO_ITEM CSL_CITATION {"citationID":"bV4eShsD","properties":{"formattedCitation":"(Gen\\uc0\\u231{}-Fuhrman et al., 2007)","plainCitation":"(Genç-Fuhrman et al., 2007)","dontUpdate":true,"noteIndex":0},"citationItems":[{"id":81,"uris":["http://zotero.org/users/8423188/items/H86PGBUC"],"itemData":{"id":81,"type":"article-journal","abstract":"The potential of using alumina, activated bauxsol-coated sand (ABCS), bark, bauxsolcoated sand (BCS), ﬂy ash (FA), granulated activated carbon (GAC), granulated ferric hydroxide (GFH), iron oxide-coated sand (IOCS), natural zeolite (NZ), sand, and spinel (MgAl2O4) as sorbents for removing heavy metals from stormwater are investigated in the present study. The ability of the sorbents to remove a mixture of As, Cd, Cr, Cu, Ni and Zn from synthetic stormwater samples were evaluated in batch tests at a starting pH of 6.5. The metal speciation and saturation data is obtained using the PHREEQ-C geochemical model and used to elucidate the sorption data. It is found that BCS, FA, and spinel have signiﬁcantly higher afﬁnity towards heavy metals mainly present as cationic or noncharged species (i.e. Cd, Cu, Ni and Zn) compared to those present as anionic species (i.e. As and Cr). However, IOCS, NZ and sand have higher afﬁnity towards As and Cr, while alumina has equally high afﬁnity to all tested heavy metals. The Freundlich isotherm model is found to ﬁt the data in many cases, but ill ﬁtted results are also observed, especially for FA, BCS and GAC, possibly due to leaching of some metals from the sorbents (i.e. for FA) and oversaturated conditions making precipitation the dominant removal mechanism over sorption in batches with high heavy metal concentrations and pH. Calculated sorption constants (i.e. Kd) are used to compare the overall heavy metal removal efﬁciency of the sorbents, which in a decreasing order are found to be: alumina, BCS, GFH, FA, GAC, spinel, ABCS, IOCS, NZ, bark, and sand. These ﬁndings are signiﬁcant for future development of secondary ﬁlters for removal of dissolved heavy metals from stormwater runoff under realistic competitive conditions in terms of initial heavy metal concentrations, pH and ionic strength.","container-title":"Water Research","DOI":"10.1016/j.watres.2006.10.024","ISSN":"00431354","issue":"3","journalAbbreviation":"Water Research","language":"en","page":"591-602","source":"DOI.org (Crossref)","title":"Simultaneous removal of As, Cd, Cr, Cu, Ni and Zn from stormwater: Experimental comparison of 11 different sorbents","title-short":"Simultaneous removal of As, Cd, Cr, Cu, Ni and Zn from stormwater","volume":"41","author":[{"family":"Genç-Fuhrman","given":"Hülya"},{"family":"Mikkelsen","given":"Peter S."},{"family":"Ledin","given":"Anna"}],"issued":{"date-parts":[["2007",2]]}}}],"schema":"https://github.com/citation-style-language/schema/raw/master/csl-citation.json"} </w:instrText>
      </w:r>
      <w:r w:rsidR="00006051" w:rsidRPr="00770477">
        <w:rPr>
          <w:rFonts w:cs="Times New Roman"/>
        </w:rPr>
        <w:fldChar w:fldCharType="separate"/>
      </w:r>
      <w:r w:rsidR="00006051" w:rsidRPr="00770477">
        <w:rPr>
          <w:rFonts w:cs="Times New Roman"/>
        </w:rPr>
        <w:t>Genç-Fuhrman et al. (2007)</w:t>
      </w:r>
      <w:r w:rsidR="00006051" w:rsidRPr="00770477">
        <w:rPr>
          <w:rFonts w:cs="Times New Roman"/>
        </w:rPr>
        <w:fldChar w:fldCharType="end"/>
      </w:r>
      <w:r w:rsidR="00006051" w:rsidRPr="00770477">
        <w:rPr>
          <w:rFonts w:cs="Times New Roman"/>
        </w:rPr>
        <w:t xml:space="preserve"> alluded to this phenomenon when showing that for many, if not most cases the removal of metals from solution eventually was driven by oversaturation and precipitation in the form of the aforementioned “coprecipitates.” As they relate to metals, bioretention swales are effective in retaining particulate bound metals by means of physical filtration and settling out of particulate matter </w:t>
      </w:r>
      <w:r w:rsidR="00006051" w:rsidRPr="00770477">
        <w:rPr>
          <w:rFonts w:cs="Times New Roman"/>
        </w:rPr>
        <w:fldChar w:fldCharType="begin"/>
      </w:r>
      <w:r w:rsidR="002074AD">
        <w:rPr>
          <w:rFonts w:cs="Times New Roman"/>
        </w:rPr>
        <w:instrText xml:space="preserve"> ADDIN ZOTERO_ITEM CSL_CITATION {"citationID":"KW8SocCz","properties":{"formattedCitation":"(Rommel et al., 2021)","plainCitation":"(Rommel et al., 2021)","noteIndex":0},"citationItems":[{"id":530,"uris":["http://zotero.org/users/8423188/items/HS8UD34I"],"itemData":{"id":530,"type":"article-journal","abstract":"The performance of stormwater quality improvement devices (SQIDs), commonly based on sedimentation and media ﬁltration, is generally examined either at lab scale or in ﬁeld tests. However, there has so far been only little investigation into the remobilization of heavy metals retained in sediments and sorptive ﬁlter media. It is, moreover, unknown whether current lab-scale experiments are able to replicate the conditions of full-scale operation. To assess the potential impact of differences in conditions between lab-scale and ﬁeld tests on the strength of association of heavy metals, ﬁlter media taken from three SQIDs were subjected to analysis by sequential extraction after prestressing both on a lab scale and in ﬁeld tests. Sediments and ﬁlter cake trapped in the SQIDs were additionally analyzed. These displayed signiﬁcantly higher heavy metal content than ﬁlter media that had been prestressed in the ﬁeld. The zinc in the sediments and ﬁlter media displayed particularly high mobility. This study reveals a discrepancy between ﬁeld and lab-scale conditions that creates differences in the content and strength of association of heavy metals. It is hence possible to show that previous lab-scale experiments potentially overestimated the risk of heavy-metal leaching, due to their predominant occurrence in more mobile fractions.","container-title":"Science of The Total Environment","DOI":"10.1016/j.scitotenv.2021.146875","ISSN":"00489697","journalAbbreviation":"Science of The Total Environment","language":"en","page":"146875","source":"DOI.org (Crossref)","title":"Sequential extraction of heavy metals from sorptive filter media and sediments trapped in stormwater quality improvement devices for road runoff","volume":"782","author":[{"family":"Rommel","given":"Steffen H."},{"family":"Stinshoff","given":"Philipp"},{"family":"Helmreich","given":"Brigitte"}],"issued":{"date-parts":[["2021",8]]}}}],"schema":"https://github.com/citation-style-language/schema/raw/master/csl-citation.json"} </w:instrText>
      </w:r>
      <w:r w:rsidR="00006051" w:rsidRPr="00770477">
        <w:rPr>
          <w:rFonts w:cs="Times New Roman"/>
        </w:rPr>
        <w:fldChar w:fldCharType="separate"/>
      </w:r>
      <w:r w:rsidR="00E11E17" w:rsidRPr="00770477">
        <w:rPr>
          <w:rFonts w:cs="Times New Roman"/>
        </w:rPr>
        <w:t>(Rommel et al., 2021)</w:t>
      </w:r>
      <w:r w:rsidR="00006051" w:rsidRPr="00770477">
        <w:rPr>
          <w:rFonts w:cs="Times New Roman"/>
        </w:rPr>
        <w:fldChar w:fldCharType="end"/>
      </w:r>
      <w:r w:rsidR="00006051" w:rsidRPr="00770477">
        <w:rPr>
          <w:rFonts w:cs="Times New Roman"/>
        </w:rPr>
        <w:t xml:space="preserve">. However </w:t>
      </w:r>
      <w:r w:rsidR="00006051" w:rsidRPr="00770477">
        <w:rPr>
          <w:rFonts w:cs="Times New Roman"/>
        </w:rPr>
        <w:fldChar w:fldCharType="begin"/>
      </w:r>
      <w:r w:rsidR="002074AD">
        <w:rPr>
          <w:rFonts w:cs="Times New Roman"/>
        </w:rPr>
        <w:instrText xml:space="preserve"> ADDIN ZOTERO_ITEM CSL_CITATION {"citationID":"ip9Gx1qq","properties":{"formattedCitation":"(Rommel et al., 2021)","plainCitation":"(Rommel et al., 2021)","dontUpdate":true,"noteIndex":0},"citationItems":[{"id":530,"uris":["http://zotero.org/users/8423188/items/HS8UD34I"],"itemData":{"id":530,"type":"article-journal","abstract":"The performance of stormwater quality improvement devices (SQIDs), commonly based on sedimentation and media ﬁltration, is generally examined either at lab scale or in ﬁeld tests. However, there has so far been only little investigation into the remobilization of heavy metals retained in sediments and sorptive ﬁlter media. It is, moreover, unknown whether current lab-scale experiments are able to replicate the conditions of full-scale operation. To assess the potential impact of differences in conditions between lab-scale and ﬁeld tests on the strength of association of heavy metals, ﬁlter media taken from three SQIDs were subjected to analysis by sequential extraction after prestressing both on a lab scale and in ﬁeld tests. Sediments and ﬁlter cake trapped in the SQIDs were additionally analyzed. These displayed signiﬁcantly higher heavy metal content than ﬁlter media that had been prestressed in the ﬁeld. The zinc in the sediments and ﬁlter media displayed particularly high mobility. This study reveals a discrepancy between ﬁeld and lab-scale conditions that creates differences in the content and strength of association of heavy metals. It is hence possible to show that previous lab-scale experiments potentially overestimated the risk of heavy-metal leaching, due to their predominant occurrence in more mobile fractions.","container-title":"Science of The Total Environment","DOI":"10.1016/j.scitotenv.2021.146875","ISSN":"00489697","journalAbbreviation":"Science of The Total Environment","language":"en","page":"146875","source":"DOI.org (Crossref)","title":"Sequential extraction of heavy metals from sorptive filter media and sediments trapped in stormwater quality improvement devices for road runoff","volume":"782","author":[{"family":"Rommel","given":"Steffen H."},{"family":"Stinshoff","given":"Philipp"},{"family":"Helmreich","given":"Brigitte"}],"issued":{"date-parts":[["2021",8]]}}}],"schema":"https://github.com/citation-style-language/schema/raw/master/csl-citation.json"} </w:instrText>
      </w:r>
      <w:r w:rsidR="00006051" w:rsidRPr="00770477">
        <w:rPr>
          <w:rFonts w:cs="Times New Roman"/>
        </w:rPr>
        <w:fldChar w:fldCharType="separate"/>
      </w:r>
      <w:r w:rsidR="00006051" w:rsidRPr="00770477">
        <w:rPr>
          <w:rFonts w:cs="Times New Roman"/>
          <w:noProof/>
        </w:rPr>
        <w:t>Rommel et al. (2021)</w:t>
      </w:r>
      <w:r w:rsidR="00006051" w:rsidRPr="00770477">
        <w:rPr>
          <w:rFonts w:cs="Times New Roman"/>
        </w:rPr>
        <w:fldChar w:fldCharType="end"/>
      </w:r>
      <w:r w:rsidR="00006051" w:rsidRPr="00770477">
        <w:rPr>
          <w:rFonts w:cs="Times New Roman"/>
        </w:rPr>
        <w:t xml:space="preserve"> and data from the </w:t>
      </w:r>
      <w:r w:rsidR="00006051" w:rsidRPr="00770477">
        <w:rPr>
          <w:rFonts w:cs="Times New Roman"/>
        </w:rPr>
        <w:fldChar w:fldCharType="begin"/>
      </w:r>
      <w:r w:rsidR="002074AD">
        <w:rPr>
          <w:rFonts w:cs="Times New Roman"/>
        </w:rPr>
        <w:instrText xml:space="preserve"> ADDIN ZOTERO_ITEM CSL_CITATION {"citationID":"xFSNEkxr","properties":{"formattedCitation":"({\\i{}BMP Statistical Analysis Tool}, n.d.)","plainCitation":"(BMP Statistical Analysis Tool, n.d.)","dontUpdate":true,"noteIndex":0},"citationItems":[{"id":61,"uris":["http://zotero.org/users/8423188/items/USTC4DRG"],"itemData":{"id":61,"type":"webpage","container-title":"INT'L STORMWATER BMP DBASE","language":"en-US","title":"BMP Statistical Analysis Tool","URL":"https://bmpdatabase.org/bmp-statistical-analysis-tool","accessed":{"date-parts":[["2021",11,18]]}}}],"schema":"https://github.com/citation-style-language/schema/raw/master/csl-citation.json"} </w:instrText>
      </w:r>
      <w:r w:rsidR="00006051" w:rsidRPr="00770477">
        <w:rPr>
          <w:rFonts w:cs="Times New Roman"/>
        </w:rPr>
        <w:fldChar w:fldCharType="separate"/>
      </w:r>
      <w:r w:rsidR="00006051" w:rsidRPr="00770477">
        <w:rPr>
          <w:rFonts w:cs="Times New Roman"/>
          <w:i/>
          <w:iCs/>
        </w:rPr>
        <w:t>BMP Statistical Analysis Tool</w:t>
      </w:r>
      <w:r w:rsidR="00006051" w:rsidRPr="00770477">
        <w:rPr>
          <w:rFonts w:cs="Times New Roman"/>
        </w:rPr>
        <w:t xml:space="preserve"> (n.d.)</w:t>
      </w:r>
      <w:r w:rsidR="00006051" w:rsidRPr="00770477">
        <w:rPr>
          <w:rFonts w:cs="Times New Roman"/>
        </w:rPr>
        <w:fldChar w:fldCharType="end"/>
      </w:r>
      <w:r w:rsidR="00006051" w:rsidRPr="00770477">
        <w:rPr>
          <w:rFonts w:cs="Times New Roman"/>
        </w:rPr>
        <w:t xml:space="preserve"> summarized in </w:t>
      </w:r>
      <w:r w:rsidR="001A27AF" w:rsidRPr="00770477">
        <w:rPr>
          <w:rFonts w:cs="Times New Roman"/>
        </w:rPr>
        <w:fldChar w:fldCharType="begin"/>
      </w:r>
      <w:r w:rsidR="001A27AF" w:rsidRPr="00770477">
        <w:rPr>
          <w:rFonts w:cs="Times New Roman"/>
        </w:rPr>
        <w:instrText xml:space="preserve"> REF _Ref117259925 \h </w:instrText>
      </w:r>
      <w:r w:rsidR="00770477">
        <w:rPr>
          <w:rFonts w:cs="Times New Roman"/>
        </w:rPr>
        <w:instrText xml:space="preserve"> \* MERGEFORMAT </w:instrText>
      </w:r>
      <w:r w:rsidR="001A27AF" w:rsidRPr="00770477">
        <w:rPr>
          <w:rFonts w:cs="Times New Roman"/>
        </w:rPr>
      </w:r>
      <w:r w:rsidR="001A27AF" w:rsidRPr="00770477">
        <w:rPr>
          <w:rFonts w:cs="Times New Roman"/>
        </w:rPr>
        <w:fldChar w:fldCharType="separate"/>
      </w:r>
      <w:r w:rsidR="00061096" w:rsidRPr="00770477">
        <w:rPr>
          <w:rFonts w:cs="Times New Roman"/>
        </w:rPr>
        <w:t xml:space="preserve">Table </w:t>
      </w:r>
      <w:r w:rsidR="00061096">
        <w:rPr>
          <w:rFonts w:cs="Times New Roman"/>
          <w:noProof/>
        </w:rPr>
        <w:t>1</w:t>
      </w:r>
      <w:r w:rsidR="00061096">
        <w:rPr>
          <w:rFonts w:cs="Times New Roman"/>
          <w:noProof/>
        </w:rPr>
        <w:noBreakHyphen/>
        <w:t>3</w:t>
      </w:r>
      <w:r w:rsidR="001A27AF" w:rsidRPr="00770477">
        <w:rPr>
          <w:rFonts w:cs="Times New Roman"/>
        </w:rPr>
        <w:fldChar w:fldCharType="end"/>
      </w:r>
      <w:r w:rsidR="001A27AF" w:rsidRPr="00770477">
        <w:rPr>
          <w:rFonts w:cs="Times New Roman"/>
        </w:rPr>
        <w:t xml:space="preserve"> </w:t>
      </w:r>
      <w:r w:rsidR="00006051" w:rsidRPr="00770477">
        <w:rPr>
          <w:rFonts w:cs="Times New Roman"/>
        </w:rPr>
        <w:t xml:space="preserve">show that this best management practice (BMP) technique is not </w:t>
      </w:r>
      <w:r w:rsidR="006F397E" w:rsidRPr="00770477">
        <w:rPr>
          <w:rFonts w:cs="Times New Roman"/>
        </w:rPr>
        <w:t>always</w:t>
      </w:r>
      <w:r w:rsidR="00006051" w:rsidRPr="00770477">
        <w:rPr>
          <w:rFonts w:cs="Times New Roman"/>
        </w:rPr>
        <w:t xml:space="preserve"> the most effective</w:t>
      </w:r>
      <w:r w:rsidR="001900FB" w:rsidRPr="00770477">
        <w:rPr>
          <w:rFonts w:cs="Times New Roman"/>
        </w:rPr>
        <w:t xml:space="preserve"> or comprehensive</w:t>
      </w:r>
      <w:r w:rsidR="00006051" w:rsidRPr="00770477">
        <w:rPr>
          <w:rFonts w:cs="Times New Roman"/>
        </w:rPr>
        <w:t xml:space="preserve"> at removing the dissolved fractionation of metals in an aqueous solution. </w:t>
      </w:r>
    </w:p>
    <w:p w14:paraId="0AAF8C14" w14:textId="5CB33E1C" w:rsidR="00D72519" w:rsidRPr="00770477" w:rsidRDefault="00D72519">
      <w:pPr>
        <w:spacing w:line="240" w:lineRule="auto"/>
        <w:rPr>
          <w:rFonts w:cs="Times New Roman"/>
        </w:rPr>
      </w:pPr>
      <w:r w:rsidRPr="00770477">
        <w:rPr>
          <w:rFonts w:cs="Times New Roman"/>
        </w:rPr>
        <w:br w:type="page"/>
      </w:r>
    </w:p>
    <w:p w14:paraId="6362A4AB" w14:textId="5A540E8F" w:rsidR="00006051" w:rsidRPr="00770477" w:rsidRDefault="00006051" w:rsidP="002E7C53">
      <w:pPr>
        <w:spacing w:line="240" w:lineRule="auto"/>
        <w:rPr>
          <w:rFonts w:cs="Times New Roman"/>
        </w:rPr>
      </w:pPr>
    </w:p>
    <w:p w14:paraId="65BF6701" w14:textId="2F58697D" w:rsidR="00D72519" w:rsidRPr="00770477" w:rsidRDefault="00D72519" w:rsidP="002E7C53">
      <w:pPr>
        <w:spacing w:line="240" w:lineRule="auto"/>
        <w:rPr>
          <w:rFonts w:cs="Times New Roman"/>
        </w:rPr>
      </w:pPr>
    </w:p>
    <w:p w14:paraId="6DD3A0FF" w14:textId="101F2A77" w:rsidR="00D72519" w:rsidRPr="00770477" w:rsidRDefault="00D72519" w:rsidP="002E7C53">
      <w:pPr>
        <w:spacing w:line="240" w:lineRule="auto"/>
        <w:rPr>
          <w:rFonts w:cs="Times New Roman"/>
        </w:rPr>
      </w:pPr>
    </w:p>
    <w:p w14:paraId="16ACE36F" w14:textId="1578FC0D" w:rsidR="00D72519" w:rsidRPr="00770477" w:rsidRDefault="00D72519" w:rsidP="002E7C53">
      <w:pPr>
        <w:spacing w:line="240" w:lineRule="auto"/>
        <w:rPr>
          <w:rFonts w:cs="Times New Roman"/>
        </w:rPr>
      </w:pPr>
    </w:p>
    <w:p w14:paraId="5D6A4ABC" w14:textId="5CA03911" w:rsidR="00D72519" w:rsidRPr="00770477" w:rsidRDefault="00D72519" w:rsidP="002E7C53">
      <w:pPr>
        <w:spacing w:line="240" w:lineRule="auto"/>
        <w:rPr>
          <w:rFonts w:cs="Times New Roman"/>
        </w:rPr>
      </w:pPr>
    </w:p>
    <w:p w14:paraId="09BA1FBD" w14:textId="2FFE9F74" w:rsidR="00D72519" w:rsidRPr="00770477" w:rsidRDefault="00D72519" w:rsidP="002E7C53">
      <w:pPr>
        <w:spacing w:line="240" w:lineRule="auto"/>
        <w:rPr>
          <w:rFonts w:cs="Times New Roman"/>
        </w:rPr>
      </w:pPr>
    </w:p>
    <w:p w14:paraId="5637F936" w14:textId="33662EE4" w:rsidR="00D72519" w:rsidRPr="00770477" w:rsidRDefault="00D72519" w:rsidP="002E7C53">
      <w:pPr>
        <w:spacing w:line="240" w:lineRule="auto"/>
        <w:rPr>
          <w:rFonts w:cs="Times New Roman"/>
        </w:rPr>
      </w:pPr>
    </w:p>
    <w:p w14:paraId="7221AF33" w14:textId="77777777" w:rsidR="00D72519" w:rsidRPr="00770477" w:rsidRDefault="00D72519" w:rsidP="002E7C53">
      <w:pPr>
        <w:spacing w:line="240" w:lineRule="auto"/>
        <w:rPr>
          <w:rFonts w:cs="Times New Roman"/>
        </w:rPr>
      </w:pPr>
    </w:p>
    <w:p w14:paraId="72B6F6E2" w14:textId="4594ABEB" w:rsidR="002A6A7E" w:rsidRPr="00770477" w:rsidRDefault="002A6A7E" w:rsidP="002E7C53">
      <w:pPr>
        <w:pStyle w:val="Caption"/>
        <w:keepNext/>
        <w:spacing w:line="240" w:lineRule="auto"/>
        <w:rPr>
          <w:rFonts w:cs="Times New Roman"/>
        </w:rPr>
      </w:pPr>
      <w:bookmarkStart w:id="9" w:name="_Ref117259925"/>
      <w:bookmarkStart w:id="10" w:name="_Toc121495926"/>
      <w:bookmarkStart w:id="11" w:name="_Ref117259917"/>
      <w:r w:rsidRPr="00770477">
        <w:rPr>
          <w:rFonts w:cs="Times New Roman"/>
        </w:rPr>
        <w:t xml:space="preserve">Table </w:t>
      </w:r>
      <w:r w:rsidR="00B26DDF">
        <w:rPr>
          <w:rFonts w:cs="Times New Roman"/>
        </w:rPr>
        <w:fldChar w:fldCharType="begin"/>
      </w:r>
      <w:r w:rsidR="00B26DDF">
        <w:rPr>
          <w:rFonts w:cs="Times New Roman"/>
        </w:rPr>
        <w:instrText xml:space="preserve"> STYLEREF 1 \s </w:instrText>
      </w:r>
      <w:r w:rsidR="00B26DDF">
        <w:rPr>
          <w:rFonts w:cs="Times New Roman"/>
        </w:rPr>
        <w:fldChar w:fldCharType="separate"/>
      </w:r>
      <w:r w:rsidR="00061096">
        <w:rPr>
          <w:rFonts w:cs="Times New Roman"/>
          <w:noProof/>
        </w:rPr>
        <w:t>1</w:t>
      </w:r>
      <w:r w:rsidR="00B26DDF">
        <w:rPr>
          <w:rFonts w:cs="Times New Roman"/>
        </w:rPr>
        <w:fldChar w:fldCharType="end"/>
      </w:r>
      <w:r w:rsidR="00B26DDF">
        <w:rPr>
          <w:rFonts w:cs="Times New Roman"/>
        </w:rPr>
        <w:noBreakHyphen/>
      </w:r>
      <w:r w:rsidR="00B26DDF">
        <w:rPr>
          <w:rFonts w:cs="Times New Roman"/>
        </w:rPr>
        <w:fldChar w:fldCharType="begin"/>
      </w:r>
      <w:r w:rsidR="00B26DDF">
        <w:rPr>
          <w:rFonts w:cs="Times New Roman"/>
        </w:rPr>
        <w:instrText xml:space="preserve"> SEQ Table \* ARABIC \s 1 </w:instrText>
      </w:r>
      <w:r w:rsidR="00B26DDF">
        <w:rPr>
          <w:rFonts w:cs="Times New Roman"/>
        </w:rPr>
        <w:fldChar w:fldCharType="separate"/>
      </w:r>
      <w:r w:rsidR="00061096">
        <w:rPr>
          <w:rFonts w:cs="Times New Roman"/>
          <w:noProof/>
        </w:rPr>
        <w:t>3</w:t>
      </w:r>
      <w:r w:rsidR="00B26DDF">
        <w:rPr>
          <w:rFonts w:cs="Times New Roman"/>
        </w:rPr>
        <w:fldChar w:fldCharType="end"/>
      </w:r>
      <w:bookmarkEnd w:id="9"/>
      <w:r w:rsidRPr="00770477">
        <w:rPr>
          <w:rFonts w:cs="Times New Roman"/>
        </w:rPr>
        <w:t xml:space="preserve"> </w:t>
      </w:r>
      <w:proofErr w:type="spellStart"/>
      <w:r w:rsidRPr="00770477">
        <w:rPr>
          <w:rFonts w:cs="Times New Roman"/>
        </w:rPr>
        <w:t>Median</w:t>
      </w:r>
      <w:proofErr w:type="spellEnd"/>
      <w:r w:rsidRPr="00770477">
        <w:rPr>
          <w:rFonts w:cs="Times New Roman"/>
        </w:rPr>
        <w:t xml:space="preserve"> influent and effluent values for metals in various BMP devices (grass swale, infiltration basin, percolation trench, bioretention, high rate biofiltration, and multi-chambered treatment train) for available studies nationwide. </w:t>
      </w:r>
      <w:r w:rsidRPr="00770477">
        <w:rPr>
          <w:rFonts w:cs="Times New Roman"/>
        </w:rPr>
        <w:fldChar w:fldCharType="begin"/>
      </w:r>
      <w:r w:rsidR="002074AD">
        <w:rPr>
          <w:rFonts w:cs="Times New Roman"/>
        </w:rPr>
        <w:instrText xml:space="preserve"> ADDIN ZOTERO_ITEM CSL_CITATION {"citationID":"idHbSAXA","properties":{"formattedCitation":"({\\i{}BMP Statistical Analysis Tool}, n.d.)","plainCitation":"(BMP Statistical Analysis Tool, n.d.)","noteIndex":0},"citationItems":[{"id":61,"uris":["http://zotero.org/users/8423188/items/USTC4DRG"],"itemData":{"id":61,"type":"webpage","container-title":"INT'L STORMWATER BMP DBASE","language":"en-US","title":"BMP Statistical Analysis Tool","URL":"https://bmpdatabase.org/bmp-statistical-analysis-tool","accessed":{"date-parts":[["2021",11,18]]}}}],"schema":"https://github.com/citation-style-language/schema/raw/master/csl-citation.json"} </w:instrText>
      </w:r>
      <w:r w:rsidRPr="00770477">
        <w:rPr>
          <w:rFonts w:cs="Times New Roman"/>
        </w:rPr>
        <w:fldChar w:fldCharType="separate"/>
      </w:r>
      <w:r w:rsidR="00E11E17" w:rsidRPr="00770477">
        <w:rPr>
          <w:rFonts w:cs="Times New Roman"/>
          <w:szCs w:val="24"/>
        </w:rPr>
        <w:t>(</w:t>
      </w:r>
      <w:r w:rsidR="00E11E17" w:rsidRPr="00770477">
        <w:rPr>
          <w:rFonts w:cs="Times New Roman"/>
          <w:i w:val="0"/>
          <w:iCs w:val="0"/>
          <w:szCs w:val="24"/>
        </w:rPr>
        <w:t>BMP Statistical Analysis Tool</w:t>
      </w:r>
      <w:r w:rsidR="00E11E17" w:rsidRPr="00770477">
        <w:rPr>
          <w:rFonts w:cs="Times New Roman"/>
          <w:szCs w:val="24"/>
        </w:rPr>
        <w:t>, n.d.)</w:t>
      </w:r>
      <w:bookmarkEnd w:id="10"/>
      <w:r w:rsidRPr="00770477">
        <w:rPr>
          <w:rFonts w:cs="Times New Roman"/>
        </w:rPr>
        <w:fldChar w:fldCharType="end"/>
      </w:r>
      <w:bookmarkEnd w:id="11"/>
    </w:p>
    <w:tbl>
      <w:tblPr>
        <w:tblStyle w:val="PlainTable5"/>
        <w:tblW w:w="0" w:type="auto"/>
        <w:tblLook w:val="04A0" w:firstRow="1" w:lastRow="0" w:firstColumn="1" w:lastColumn="0" w:noHBand="0" w:noVBand="1"/>
      </w:tblPr>
      <w:tblGrid>
        <w:gridCol w:w="625"/>
        <w:gridCol w:w="3425"/>
        <w:gridCol w:w="3600"/>
        <w:gridCol w:w="1620"/>
      </w:tblGrid>
      <w:tr w:rsidR="000C024A" w:rsidRPr="00770477" w14:paraId="76A85604" w14:textId="77777777" w:rsidTr="006975D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25" w:type="dxa"/>
          </w:tcPr>
          <w:p w14:paraId="6E297F70" w14:textId="2CDFF1E0" w:rsidR="000C024A" w:rsidRPr="00770477" w:rsidRDefault="000C024A" w:rsidP="002E7C53">
            <w:pPr>
              <w:spacing w:line="240" w:lineRule="auto"/>
              <w:rPr>
                <w:rFonts w:cs="Times New Roman"/>
              </w:rPr>
            </w:pPr>
          </w:p>
        </w:tc>
        <w:tc>
          <w:tcPr>
            <w:tcW w:w="3425" w:type="dxa"/>
          </w:tcPr>
          <w:p w14:paraId="2271CF07" w14:textId="3B852325" w:rsidR="000C024A" w:rsidRPr="00770477" w:rsidRDefault="000C024A" w:rsidP="006975DD">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70477">
              <w:rPr>
                <w:rFonts w:cs="Times New Roman"/>
              </w:rPr>
              <w:t>Dissolved Metals In (</w:t>
            </w:r>
            <w:r>
              <w:rPr>
                <w:rFonts w:cs="Times New Roman"/>
              </w:rPr>
              <w:t xml:space="preserve">µg </w:t>
            </w:r>
            <w:r w:rsidRPr="001F3003">
              <w:rPr>
                <w:rFonts w:cs="Times New Roman"/>
                <w:vertAlign w:val="superscript"/>
              </w:rPr>
              <w:t>L-</w:t>
            </w:r>
            <w:r>
              <w:rPr>
                <w:rFonts w:cs="Times New Roman"/>
              </w:rPr>
              <w:t>1</w:t>
            </w:r>
            <w:r w:rsidRPr="00770477">
              <w:rPr>
                <w:rFonts w:cs="Times New Roman"/>
              </w:rPr>
              <w:t>)</w:t>
            </w:r>
          </w:p>
        </w:tc>
        <w:tc>
          <w:tcPr>
            <w:tcW w:w="3600" w:type="dxa"/>
          </w:tcPr>
          <w:p w14:paraId="03200EF9" w14:textId="4BBFAEE2" w:rsidR="000C024A" w:rsidRPr="00770477" w:rsidRDefault="000C024A" w:rsidP="006975DD">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70477">
              <w:rPr>
                <w:rFonts w:cs="Times New Roman"/>
              </w:rPr>
              <w:t>Dissolved Metals Out (</w:t>
            </w:r>
            <w:r>
              <w:rPr>
                <w:rFonts w:cs="Times New Roman"/>
              </w:rPr>
              <w:t>µg L</w:t>
            </w:r>
            <w:r w:rsidRPr="001F3003">
              <w:rPr>
                <w:rFonts w:cs="Times New Roman"/>
                <w:vertAlign w:val="superscript"/>
              </w:rPr>
              <w:t>-1</w:t>
            </w:r>
            <w:r w:rsidRPr="00770477">
              <w:rPr>
                <w:rFonts w:cs="Times New Roman"/>
              </w:rPr>
              <w:t>)</w:t>
            </w:r>
          </w:p>
        </w:tc>
        <w:tc>
          <w:tcPr>
            <w:tcW w:w="1620" w:type="dxa"/>
          </w:tcPr>
          <w:p w14:paraId="7FEB083F" w14:textId="0A0BA408" w:rsidR="000C024A" w:rsidRPr="00770477" w:rsidRDefault="000C024A" w:rsidP="006975DD">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70477">
              <w:rPr>
                <w:rFonts w:cs="Times New Roman"/>
              </w:rPr>
              <w:t>% Difference</w:t>
            </w:r>
          </w:p>
        </w:tc>
      </w:tr>
      <w:tr w:rsidR="000C024A" w:rsidRPr="00770477" w14:paraId="3E2532A6" w14:textId="77777777" w:rsidTr="006975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Pr>
          <w:p w14:paraId="32F8D569" w14:textId="77777777" w:rsidR="000C024A" w:rsidRPr="00770477" w:rsidRDefault="000C024A" w:rsidP="002E7C53">
            <w:pPr>
              <w:spacing w:line="240" w:lineRule="auto"/>
              <w:rPr>
                <w:rFonts w:cs="Times New Roman"/>
              </w:rPr>
            </w:pPr>
            <w:r w:rsidRPr="00770477">
              <w:rPr>
                <w:rFonts w:cs="Times New Roman"/>
              </w:rPr>
              <w:t>Al</w:t>
            </w:r>
          </w:p>
        </w:tc>
        <w:tc>
          <w:tcPr>
            <w:tcW w:w="3425" w:type="dxa"/>
          </w:tcPr>
          <w:p w14:paraId="21B409FD" w14:textId="77777777"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62.92</w:t>
            </w:r>
          </w:p>
        </w:tc>
        <w:tc>
          <w:tcPr>
            <w:tcW w:w="3600" w:type="dxa"/>
          </w:tcPr>
          <w:p w14:paraId="12EFFBB7" w14:textId="77777777"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50</w:t>
            </w:r>
          </w:p>
        </w:tc>
        <w:tc>
          <w:tcPr>
            <w:tcW w:w="1620" w:type="dxa"/>
          </w:tcPr>
          <w:p w14:paraId="1B9855ED" w14:textId="77777777"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21</w:t>
            </w:r>
          </w:p>
        </w:tc>
      </w:tr>
      <w:tr w:rsidR="000C024A" w:rsidRPr="00770477" w14:paraId="230B764D" w14:textId="77777777" w:rsidTr="006975DD">
        <w:tc>
          <w:tcPr>
            <w:cnfStyle w:val="001000000000" w:firstRow="0" w:lastRow="0" w:firstColumn="1" w:lastColumn="0" w:oddVBand="0" w:evenVBand="0" w:oddHBand="0" w:evenHBand="0" w:firstRowFirstColumn="0" w:firstRowLastColumn="0" w:lastRowFirstColumn="0" w:lastRowLastColumn="0"/>
            <w:tcW w:w="625" w:type="dxa"/>
          </w:tcPr>
          <w:p w14:paraId="3414E412" w14:textId="77777777" w:rsidR="000C024A" w:rsidRPr="00770477" w:rsidRDefault="000C024A" w:rsidP="002E7C53">
            <w:pPr>
              <w:spacing w:line="240" w:lineRule="auto"/>
              <w:rPr>
                <w:rFonts w:cs="Times New Roman"/>
              </w:rPr>
            </w:pPr>
            <w:r w:rsidRPr="00770477">
              <w:rPr>
                <w:rFonts w:cs="Times New Roman"/>
              </w:rPr>
              <w:t>As</w:t>
            </w:r>
          </w:p>
        </w:tc>
        <w:tc>
          <w:tcPr>
            <w:tcW w:w="3425" w:type="dxa"/>
          </w:tcPr>
          <w:p w14:paraId="15AC9C8A" w14:textId="77777777"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3.64</w:t>
            </w:r>
          </w:p>
        </w:tc>
        <w:tc>
          <w:tcPr>
            <w:tcW w:w="3600" w:type="dxa"/>
          </w:tcPr>
          <w:p w14:paraId="19FE1481" w14:textId="77777777"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3.51</w:t>
            </w:r>
          </w:p>
        </w:tc>
        <w:tc>
          <w:tcPr>
            <w:tcW w:w="1620" w:type="dxa"/>
          </w:tcPr>
          <w:p w14:paraId="43655F72" w14:textId="77777777"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4</w:t>
            </w:r>
          </w:p>
        </w:tc>
      </w:tr>
      <w:tr w:rsidR="000C024A" w:rsidRPr="00770477" w14:paraId="5BD5F063" w14:textId="77777777" w:rsidTr="006975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Pr>
          <w:p w14:paraId="09C6324E" w14:textId="77777777" w:rsidR="000C024A" w:rsidRPr="00770477" w:rsidRDefault="000C024A" w:rsidP="002E7C53">
            <w:pPr>
              <w:spacing w:line="240" w:lineRule="auto"/>
              <w:rPr>
                <w:rFonts w:cs="Times New Roman"/>
              </w:rPr>
            </w:pPr>
            <w:r w:rsidRPr="00770477">
              <w:rPr>
                <w:rFonts w:cs="Times New Roman"/>
              </w:rPr>
              <w:t>Be</w:t>
            </w:r>
          </w:p>
        </w:tc>
        <w:tc>
          <w:tcPr>
            <w:tcW w:w="3425" w:type="dxa"/>
          </w:tcPr>
          <w:p w14:paraId="259C9421" w14:textId="77777777"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0.25</w:t>
            </w:r>
          </w:p>
        </w:tc>
        <w:tc>
          <w:tcPr>
            <w:tcW w:w="3600" w:type="dxa"/>
          </w:tcPr>
          <w:p w14:paraId="02EB88F0" w14:textId="77777777"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0.25</w:t>
            </w:r>
          </w:p>
        </w:tc>
        <w:tc>
          <w:tcPr>
            <w:tcW w:w="1620" w:type="dxa"/>
          </w:tcPr>
          <w:p w14:paraId="20F11596" w14:textId="77777777"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w:t>
            </w:r>
          </w:p>
        </w:tc>
      </w:tr>
      <w:tr w:rsidR="000C024A" w:rsidRPr="00770477" w14:paraId="07FFE79F" w14:textId="77777777" w:rsidTr="006975DD">
        <w:tc>
          <w:tcPr>
            <w:cnfStyle w:val="001000000000" w:firstRow="0" w:lastRow="0" w:firstColumn="1" w:lastColumn="0" w:oddVBand="0" w:evenVBand="0" w:oddHBand="0" w:evenHBand="0" w:firstRowFirstColumn="0" w:firstRowLastColumn="0" w:lastRowFirstColumn="0" w:lastRowLastColumn="0"/>
            <w:tcW w:w="625" w:type="dxa"/>
          </w:tcPr>
          <w:p w14:paraId="3973EF17" w14:textId="77777777" w:rsidR="000C024A" w:rsidRPr="00770477" w:rsidRDefault="000C024A" w:rsidP="002E7C53">
            <w:pPr>
              <w:spacing w:line="240" w:lineRule="auto"/>
              <w:rPr>
                <w:rFonts w:cs="Times New Roman"/>
              </w:rPr>
            </w:pPr>
            <w:r w:rsidRPr="00770477">
              <w:rPr>
                <w:rFonts w:cs="Times New Roman"/>
              </w:rPr>
              <w:t>Cd</w:t>
            </w:r>
          </w:p>
        </w:tc>
        <w:tc>
          <w:tcPr>
            <w:tcW w:w="3425" w:type="dxa"/>
          </w:tcPr>
          <w:p w14:paraId="1FE58728" w14:textId="77777777"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1.05</w:t>
            </w:r>
          </w:p>
        </w:tc>
        <w:tc>
          <w:tcPr>
            <w:tcW w:w="3600" w:type="dxa"/>
          </w:tcPr>
          <w:p w14:paraId="437EBFA1" w14:textId="77777777"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0.3</w:t>
            </w:r>
          </w:p>
        </w:tc>
        <w:tc>
          <w:tcPr>
            <w:tcW w:w="1620" w:type="dxa"/>
          </w:tcPr>
          <w:p w14:paraId="708A62DF" w14:textId="77777777"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71</w:t>
            </w:r>
          </w:p>
        </w:tc>
      </w:tr>
      <w:tr w:rsidR="000C024A" w:rsidRPr="00770477" w14:paraId="73AD1EEC" w14:textId="77777777" w:rsidTr="006975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Pr>
          <w:p w14:paraId="7F6573BC" w14:textId="77777777" w:rsidR="000C024A" w:rsidRPr="00770477" w:rsidRDefault="000C024A" w:rsidP="002E7C53">
            <w:pPr>
              <w:spacing w:line="240" w:lineRule="auto"/>
              <w:rPr>
                <w:rFonts w:cs="Times New Roman"/>
              </w:rPr>
            </w:pPr>
            <w:r w:rsidRPr="00770477">
              <w:rPr>
                <w:rFonts w:cs="Times New Roman"/>
              </w:rPr>
              <w:t>Cr</w:t>
            </w:r>
          </w:p>
        </w:tc>
        <w:tc>
          <w:tcPr>
            <w:tcW w:w="3425" w:type="dxa"/>
          </w:tcPr>
          <w:p w14:paraId="725DA487" w14:textId="77777777"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2.15</w:t>
            </w:r>
          </w:p>
        </w:tc>
        <w:tc>
          <w:tcPr>
            <w:tcW w:w="3600" w:type="dxa"/>
          </w:tcPr>
          <w:p w14:paraId="0D7DC7E8" w14:textId="77777777"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1.29</w:t>
            </w:r>
          </w:p>
        </w:tc>
        <w:tc>
          <w:tcPr>
            <w:tcW w:w="1620" w:type="dxa"/>
          </w:tcPr>
          <w:p w14:paraId="2D6AC24F" w14:textId="77777777"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40</w:t>
            </w:r>
          </w:p>
        </w:tc>
      </w:tr>
      <w:tr w:rsidR="000C024A" w:rsidRPr="00770477" w14:paraId="04A692B5" w14:textId="77777777" w:rsidTr="006975DD">
        <w:tc>
          <w:tcPr>
            <w:cnfStyle w:val="001000000000" w:firstRow="0" w:lastRow="0" w:firstColumn="1" w:lastColumn="0" w:oddVBand="0" w:evenVBand="0" w:oddHBand="0" w:evenHBand="0" w:firstRowFirstColumn="0" w:firstRowLastColumn="0" w:lastRowFirstColumn="0" w:lastRowLastColumn="0"/>
            <w:tcW w:w="625" w:type="dxa"/>
          </w:tcPr>
          <w:p w14:paraId="538835D9" w14:textId="77777777" w:rsidR="000C024A" w:rsidRPr="00770477" w:rsidRDefault="000C024A" w:rsidP="002E7C53">
            <w:pPr>
              <w:spacing w:line="240" w:lineRule="auto"/>
              <w:rPr>
                <w:rFonts w:cs="Times New Roman"/>
              </w:rPr>
            </w:pPr>
            <w:r w:rsidRPr="00770477">
              <w:rPr>
                <w:rFonts w:cs="Times New Roman"/>
              </w:rPr>
              <w:t>Co</w:t>
            </w:r>
          </w:p>
        </w:tc>
        <w:tc>
          <w:tcPr>
            <w:tcW w:w="3425" w:type="dxa"/>
          </w:tcPr>
          <w:p w14:paraId="41177C78" w14:textId="7C70FB8E"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NA</w:t>
            </w:r>
          </w:p>
        </w:tc>
        <w:tc>
          <w:tcPr>
            <w:tcW w:w="3600" w:type="dxa"/>
          </w:tcPr>
          <w:p w14:paraId="3D0ECF27" w14:textId="6FE7F83B"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NA</w:t>
            </w:r>
          </w:p>
        </w:tc>
        <w:tc>
          <w:tcPr>
            <w:tcW w:w="1620" w:type="dxa"/>
          </w:tcPr>
          <w:p w14:paraId="7C2DD08C" w14:textId="55C542B8"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NA</w:t>
            </w:r>
          </w:p>
        </w:tc>
      </w:tr>
      <w:tr w:rsidR="000C024A" w:rsidRPr="00770477" w14:paraId="0BF180D0" w14:textId="77777777" w:rsidTr="006975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Pr>
          <w:p w14:paraId="0556E95F" w14:textId="77777777" w:rsidR="000C024A" w:rsidRPr="00770477" w:rsidRDefault="000C024A" w:rsidP="002E7C53">
            <w:pPr>
              <w:spacing w:line="240" w:lineRule="auto"/>
              <w:rPr>
                <w:rFonts w:cs="Times New Roman"/>
              </w:rPr>
            </w:pPr>
            <w:r w:rsidRPr="00770477">
              <w:rPr>
                <w:rFonts w:cs="Times New Roman"/>
              </w:rPr>
              <w:t>Cu</w:t>
            </w:r>
          </w:p>
        </w:tc>
        <w:tc>
          <w:tcPr>
            <w:tcW w:w="3425" w:type="dxa"/>
          </w:tcPr>
          <w:p w14:paraId="6DECD283" w14:textId="77777777"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49.46</w:t>
            </w:r>
          </w:p>
        </w:tc>
        <w:tc>
          <w:tcPr>
            <w:tcW w:w="3600" w:type="dxa"/>
          </w:tcPr>
          <w:p w14:paraId="3154D983" w14:textId="77777777"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9.8</w:t>
            </w:r>
          </w:p>
        </w:tc>
        <w:tc>
          <w:tcPr>
            <w:tcW w:w="1620" w:type="dxa"/>
          </w:tcPr>
          <w:p w14:paraId="1F293C0D" w14:textId="77777777"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80</w:t>
            </w:r>
          </w:p>
        </w:tc>
      </w:tr>
      <w:tr w:rsidR="000C024A" w:rsidRPr="00770477" w14:paraId="18BCA914" w14:textId="77777777" w:rsidTr="006975DD">
        <w:tc>
          <w:tcPr>
            <w:cnfStyle w:val="001000000000" w:firstRow="0" w:lastRow="0" w:firstColumn="1" w:lastColumn="0" w:oddVBand="0" w:evenVBand="0" w:oddHBand="0" w:evenHBand="0" w:firstRowFirstColumn="0" w:firstRowLastColumn="0" w:lastRowFirstColumn="0" w:lastRowLastColumn="0"/>
            <w:tcW w:w="625" w:type="dxa"/>
          </w:tcPr>
          <w:p w14:paraId="4AE766FB" w14:textId="77777777" w:rsidR="000C024A" w:rsidRPr="00770477" w:rsidRDefault="000C024A" w:rsidP="002E7C53">
            <w:pPr>
              <w:spacing w:line="240" w:lineRule="auto"/>
              <w:rPr>
                <w:rFonts w:cs="Times New Roman"/>
              </w:rPr>
            </w:pPr>
            <w:r w:rsidRPr="00770477">
              <w:rPr>
                <w:rFonts w:cs="Times New Roman"/>
              </w:rPr>
              <w:t>Fe</w:t>
            </w:r>
          </w:p>
        </w:tc>
        <w:tc>
          <w:tcPr>
            <w:tcW w:w="3425" w:type="dxa"/>
          </w:tcPr>
          <w:p w14:paraId="734F18F9" w14:textId="77777777"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72.79</w:t>
            </w:r>
          </w:p>
        </w:tc>
        <w:tc>
          <w:tcPr>
            <w:tcW w:w="3600" w:type="dxa"/>
          </w:tcPr>
          <w:p w14:paraId="3C7DFD59" w14:textId="77777777"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122.07</w:t>
            </w:r>
          </w:p>
        </w:tc>
        <w:tc>
          <w:tcPr>
            <w:tcW w:w="1620" w:type="dxa"/>
          </w:tcPr>
          <w:p w14:paraId="486D0098" w14:textId="77777777"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-68</w:t>
            </w:r>
          </w:p>
        </w:tc>
      </w:tr>
      <w:tr w:rsidR="000C024A" w:rsidRPr="00770477" w14:paraId="229BC34D" w14:textId="77777777" w:rsidTr="006975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Pr>
          <w:p w14:paraId="18AF2049" w14:textId="77777777" w:rsidR="000C024A" w:rsidRPr="00770477" w:rsidRDefault="000C024A" w:rsidP="002E7C53">
            <w:pPr>
              <w:spacing w:line="240" w:lineRule="auto"/>
              <w:rPr>
                <w:rFonts w:cs="Times New Roman"/>
              </w:rPr>
            </w:pPr>
            <w:r w:rsidRPr="00770477">
              <w:rPr>
                <w:rFonts w:cs="Times New Roman"/>
              </w:rPr>
              <w:t>Pb</w:t>
            </w:r>
          </w:p>
        </w:tc>
        <w:tc>
          <w:tcPr>
            <w:tcW w:w="3425" w:type="dxa"/>
          </w:tcPr>
          <w:p w14:paraId="54340AE1" w14:textId="77777777"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3.53</w:t>
            </w:r>
          </w:p>
        </w:tc>
        <w:tc>
          <w:tcPr>
            <w:tcW w:w="3600" w:type="dxa"/>
          </w:tcPr>
          <w:p w14:paraId="6B92433C" w14:textId="77777777"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1.97</w:t>
            </w:r>
          </w:p>
        </w:tc>
        <w:tc>
          <w:tcPr>
            <w:tcW w:w="1620" w:type="dxa"/>
          </w:tcPr>
          <w:p w14:paraId="652A4B68" w14:textId="77777777"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44</w:t>
            </w:r>
          </w:p>
        </w:tc>
      </w:tr>
      <w:tr w:rsidR="000C024A" w:rsidRPr="00770477" w14:paraId="47B87E9F" w14:textId="77777777" w:rsidTr="006975DD">
        <w:tc>
          <w:tcPr>
            <w:cnfStyle w:val="001000000000" w:firstRow="0" w:lastRow="0" w:firstColumn="1" w:lastColumn="0" w:oddVBand="0" w:evenVBand="0" w:oddHBand="0" w:evenHBand="0" w:firstRowFirstColumn="0" w:firstRowLastColumn="0" w:lastRowFirstColumn="0" w:lastRowLastColumn="0"/>
            <w:tcW w:w="625" w:type="dxa"/>
          </w:tcPr>
          <w:p w14:paraId="4CA037BD" w14:textId="77777777" w:rsidR="000C024A" w:rsidRPr="00770477" w:rsidRDefault="000C024A" w:rsidP="002E7C53">
            <w:pPr>
              <w:spacing w:line="240" w:lineRule="auto"/>
              <w:rPr>
                <w:rFonts w:cs="Times New Roman"/>
              </w:rPr>
            </w:pPr>
            <w:r w:rsidRPr="00770477">
              <w:rPr>
                <w:rFonts w:cs="Times New Roman"/>
              </w:rPr>
              <w:t>Mn</w:t>
            </w:r>
          </w:p>
        </w:tc>
        <w:tc>
          <w:tcPr>
            <w:tcW w:w="3425" w:type="dxa"/>
          </w:tcPr>
          <w:p w14:paraId="590B8461" w14:textId="77777777"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26.67</w:t>
            </w:r>
          </w:p>
        </w:tc>
        <w:tc>
          <w:tcPr>
            <w:tcW w:w="3600" w:type="dxa"/>
          </w:tcPr>
          <w:p w14:paraId="29E27068" w14:textId="77777777"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68.6</w:t>
            </w:r>
          </w:p>
        </w:tc>
        <w:tc>
          <w:tcPr>
            <w:tcW w:w="1620" w:type="dxa"/>
          </w:tcPr>
          <w:p w14:paraId="6EFF0039" w14:textId="77777777"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-157</w:t>
            </w:r>
          </w:p>
        </w:tc>
      </w:tr>
      <w:tr w:rsidR="000C024A" w:rsidRPr="00770477" w14:paraId="767D1D68" w14:textId="77777777" w:rsidTr="006975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Pr>
          <w:p w14:paraId="0BDE739B" w14:textId="77777777" w:rsidR="000C024A" w:rsidRPr="00770477" w:rsidRDefault="000C024A" w:rsidP="002E7C53">
            <w:pPr>
              <w:spacing w:line="240" w:lineRule="auto"/>
              <w:rPr>
                <w:rFonts w:cs="Times New Roman"/>
              </w:rPr>
            </w:pPr>
            <w:r w:rsidRPr="00770477">
              <w:rPr>
                <w:rFonts w:cs="Times New Roman"/>
              </w:rPr>
              <w:t>Ni</w:t>
            </w:r>
          </w:p>
        </w:tc>
        <w:tc>
          <w:tcPr>
            <w:tcW w:w="3425" w:type="dxa"/>
          </w:tcPr>
          <w:p w14:paraId="01B6854D" w14:textId="77777777"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2.76</w:t>
            </w:r>
          </w:p>
        </w:tc>
        <w:tc>
          <w:tcPr>
            <w:tcW w:w="3600" w:type="dxa"/>
          </w:tcPr>
          <w:p w14:paraId="52247C77" w14:textId="77777777"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3.18</w:t>
            </w:r>
          </w:p>
        </w:tc>
        <w:tc>
          <w:tcPr>
            <w:tcW w:w="1620" w:type="dxa"/>
          </w:tcPr>
          <w:p w14:paraId="5CC7C27D" w14:textId="77777777"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-15</w:t>
            </w:r>
          </w:p>
        </w:tc>
      </w:tr>
      <w:tr w:rsidR="000C024A" w:rsidRPr="00770477" w14:paraId="7C7CA37C" w14:textId="77777777" w:rsidTr="006975DD">
        <w:tc>
          <w:tcPr>
            <w:cnfStyle w:val="001000000000" w:firstRow="0" w:lastRow="0" w:firstColumn="1" w:lastColumn="0" w:oddVBand="0" w:evenVBand="0" w:oddHBand="0" w:evenHBand="0" w:firstRowFirstColumn="0" w:firstRowLastColumn="0" w:lastRowFirstColumn="0" w:lastRowLastColumn="0"/>
            <w:tcW w:w="625" w:type="dxa"/>
          </w:tcPr>
          <w:p w14:paraId="38DE237B" w14:textId="77777777" w:rsidR="000C024A" w:rsidRPr="00770477" w:rsidRDefault="000C024A" w:rsidP="002E7C53">
            <w:pPr>
              <w:spacing w:line="240" w:lineRule="auto"/>
              <w:rPr>
                <w:rFonts w:cs="Times New Roman"/>
              </w:rPr>
            </w:pPr>
            <w:r w:rsidRPr="00770477">
              <w:rPr>
                <w:rFonts w:cs="Times New Roman"/>
              </w:rPr>
              <w:t>Se</w:t>
            </w:r>
          </w:p>
        </w:tc>
        <w:tc>
          <w:tcPr>
            <w:tcW w:w="3425" w:type="dxa"/>
          </w:tcPr>
          <w:p w14:paraId="7AA1C8C5" w14:textId="77777777"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0.58</w:t>
            </w:r>
          </w:p>
        </w:tc>
        <w:tc>
          <w:tcPr>
            <w:tcW w:w="3600" w:type="dxa"/>
          </w:tcPr>
          <w:p w14:paraId="2BA03A0F" w14:textId="77777777"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0.58</w:t>
            </w:r>
          </w:p>
        </w:tc>
        <w:tc>
          <w:tcPr>
            <w:tcW w:w="1620" w:type="dxa"/>
          </w:tcPr>
          <w:p w14:paraId="3CE01B1B" w14:textId="77777777"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w:t>
            </w:r>
          </w:p>
        </w:tc>
      </w:tr>
      <w:tr w:rsidR="000C024A" w:rsidRPr="00770477" w14:paraId="0BE1F17B" w14:textId="77777777" w:rsidTr="006975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Pr>
          <w:p w14:paraId="5498D397" w14:textId="77777777" w:rsidR="000C024A" w:rsidRPr="00770477" w:rsidRDefault="000C024A" w:rsidP="002E7C53">
            <w:pPr>
              <w:spacing w:line="240" w:lineRule="auto"/>
              <w:rPr>
                <w:rFonts w:cs="Times New Roman"/>
              </w:rPr>
            </w:pPr>
            <w:r w:rsidRPr="00770477">
              <w:rPr>
                <w:rFonts w:cs="Times New Roman"/>
              </w:rPr>
              <w:t>V</w:t>
            </w:r>
          </w:p>
        </w:tc>
        <w:tc>
          <w:tcPr>
            <w:tcW w:w="3425" w:type="dxa"/>
          </w:tcPr>
          <w:p w14:paraId="601F9163" w14:textId="322C8002"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NA</w:t>
            </w:r>
          </w:p>
        </w:tc>
        <w:tc>
          <w:tcPr>
            <w:tcW w:w="3600" w:type="dxa"/>
          </w:tcPr>
          <w:p w14:paraId="36196054" w14:textId="6D1D225A"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NA</w:t>
            </w:r>
          </w:p>
        </w:tc>
        <w:tc>
          <w:tcPr>
            <w:tcW w:w="1620" w:type="dxa"/>
          </w:tcPr>
          <w:p w14:paraId="0691366F" w14:textId="2A5AD43E" w:rsidR="000C024A" w:rsidRPr="00770477" w:rsidRDefault="000C024A" w:rsidP="006975D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NA</w:t>
            </w:r>
          </w:p>
        </w:tc>
      </w:tr>
      <w:tr w:rsidR="000C024A" w:rsidRPr="00770477" w14:paraId="3FABC26E" w14:textId="77777777" w:rsidTr="006975DD">
        <w:tc>
          <w:tcPr>
            <w:cnfStyle w:val="001000000000" w:firstRow="0" w:lastRow="0" w:firstColumn="1" w:lastColumn="0" w:oddVBand="0" w:evenVBand="0" w:oddHBand="0" w:evenHBand="0" w:firstRowFirstColumn="0" w:firstRowLastColumn="0" w:lastRowFirstColumn="0" w:lastRowLastColumn="0"/>
            <w:tcW w:w="625" w:type="dxa"/>
          </w:tcPr>
          <w:p w14:paraId="75F9B527" w14:textId="77777777" w:rsidR="000C024A" w:rsidRPr="00770477" w:rsidRDefault="000C024A" w:rsidP="002E7C53">
            <w:pPr>
              <w:spacing w:line="240" w:lineRule="auto"/>
              <w:rPr>
                <w:rFonts w:cs="Times New Roman"/>
              </w:rPr>
            </w:pPr>
            <w:r w:rsidRPr="00770477">
              <w:rPr>
                <w:rFonts w:cs="Times New Roman"/>
              </w:rPr>
              <w:t>Zn</w:t>
            </w:r>
          </w:p>
        </w:tc>
        <w:tc>
          <w:tcPr>
            <w:tcW w:w="3425" w:type="dxa"/>
          </w:tcPr>
          <w:p w14:paraId="2715EF79" w14:textId="77777777"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65.79</w:t>
            </w:r>
          </w:p>
        </w:tc>
        <w:tc>
          <w:tcPr>
            <w:tcW w:w="3600" w:type="dxa"/>
          </w:tcPr>
          <w:p w14:paraId="0F90C2E3" w14:textId="77777777"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30.96</w:t>
            </w:r>
          </w:p>
        </w:tc>
        <w:tc>
          <w:tcPr>
            <w:tcW w:w="1620" w:type="dxa"/>
          </w:tcPr>
          <w:p w14:paraId="3F912E58" w14:textId="77777777" w:rsidR="000C024A" w:rsidRPr="00770477" w:rsidRDefault="000C024A" w:rsidP="006975D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53</w:t>
            </w:r>
          </w:p>
        </w:tc>
      </w:tr>
    </w:tbl>
    <w:p w14:paraId="0FD6B9FA" w14:textId="4819242D" w:rsidR="00EC1151" w:rsidRPr="00770477" w:rsidRDefault="00EC1151" w:rsidP="00A80CF0">
      <w:pPr>
        <w:rPr>
          <w:rFonts w:cs="Times New Roman"/>
        </w:rPr>
      </w:pPr>
    </w:p>
    <w:p w14:paraId="3B019E0D" w14:textId="419CFF6A" w:rsidR="0045775B" w:rsidRPr="00770477" w:rsidRDefault="00EC1151" w:rsidP="00EC1151">
      <w:pPr>
        <w:spacing w:line="240" w:lineRule="auto"/>
        <w:rPr>
          <w:rFonts w:cs="Times New Roman"/>
        </w:rPr>
      </w:pPr>
      <w:r w:rsidRPr="00770477">
        <w:rPr>
          <w:rFonts w:cs="Times New Roman"/>
        </w:rPr>
        <w:br w:type="page"/>
      </w:r>
    </w:p>
    <w:p w14:paraId="5DD24454" w14:textId="162AC956" w:rsidR="00006051" w:rsidRPr="00770477" w:rsidRDefault="00006051" w:rsidP="00A80CF0">
      <w:pPr>
        <w:rPr>
          <w:rFonts w:cs="Times New Roman"/>
        </w:rPr>
      </w:pPr>
      <w:r w:rsidRPr="00770477">
        <w:rPr>
          <w:rFonts w:cs="Times New Roman"/>
        </w:rPr>
        <w:lastRenderedPageBreak/>
        <w:t xml:space="preserve">Changes in environmental conditions </w:t>
      </w:r>
      <w:r w:rsidR="00BD381F" w:rsidRPr="00770477">
        <w:rPr>
          <w:rFonts w:cs="Times New Roman"/>
        </w:rPr>
        <w:t xml:space="preserve">(such as a decrease in pH) </w:t>
      </w:r>
      <w:r w:rsidRPr="00770477">
        <w:rPr>
          <w:rFonts w:cs="Times New Roman"/>
        </w:rPr>
        <w:t xml:space="preserve">are likely to lead to desorption of bound metals from their sorbents </w:t>
      </w:r>
      <w:r w:rsidRPr="00770477">
        <w:rPr>
          <w:rFonts w:cs="Times New Roman"/>
        </w:rPr>
        <w:fldChar w:fldCharType="begin"/>
      </w:r>
      <w:r w:rsidR="002074AD">
        <w:rPr>
          <w:rFonts w:cs="Times New Roman"/>
        </w:rPr>
        <w:instrText xml:space="preserve"> ADDIN ZOTERO_ITEM CSL_CITATION {"citationID":"LpLKC5w5","properties":{"formattedCitation":"(Langmuir et al., 2004; Rommel et al., 2021)","plainCitation":"(Langmuir et al., 2004; Rommel et al., 2021)","noteIndex":0},"citationItems":[{"id":487,"uris":["http://zotero.org/users/8423188/items/DI5K47YZ"],"itemData":{"id":487,"type":"article-journal","language":"en","page":"113","source":"Zotero","title":"ISSUE PAPER ON THE ENVIRONMENTAL CHEMISTRY OF METALS","author":[{"family":"Langmuir","given":"Donald"},{"family":"Chrostowski","given":"Paul"},{"family":"Vigneault","given":"Bernard"},{"family":"Chaney","given":"Rufus"}],"issued":{"date-parts":[["2004"]]}}},{"id":530,"uris":["http://zotero.org/users/8423188/items/HS8UD34I"],"itemData":{"id":530,"type":"article-journal","abstract":"The performance of stormwater quality improvement devices (SQIDs), commonly based on sedimentation and media ﬁltration, is generally examined either at lab scale or in ﬁeld tests. However, there has so far been only little investigation into the remobilization of heavy metals retained in sediments and sorptive ﬁlter media. It is, moreover, unknown whether current lab-scale experiments are able to replicate the conditions of full-scale operation. To assess the potential impact of differences in conditions between lab-scale and ﬁeld tests on the strength of association of heavy metals, ﬁlter media taken from three SQIDs were subjected to analysis by sequential extraction after prestressing both on a lab scale and in ﬁeld tests. Sediments and ﬁlter cake trapped in the SQIDs were additionally analyzed. These displayed signiﬁcantly higher heavy metal content than ﬁlter media that had been prestressed in the ﬁeld. The zinc in the sediments and ﬁlter media displayed particularly high mobility. This study reveals a discrepancy between ﬁeld and lab-scale conditions that creates differences in the content and strength of association of heavy metals. It is hence possible to show that previous lab-scale experiments potentially overestimated the risk of heavy-metal leaching, due to their predominant occurrence in more mobile fractions.","container-title":"Science of The Total Environment","DOI":"10.1016/j.scitotenv.2021.146875","ISSN":"00489697","journalAbbreviation":"Science of The Total Environment","language":"en","page":"146875","source":"DOI.org (Crossref)","title":"Sequential extraction of heavy metals from sorptive filter media and sediments trapped in stormwater quality improvement devices for road runoff","volume":"782","author":[{"family":"Rommel","given":"Steffen H."},{"family":"Stinshoff","given":"Philipp"},{"family":"Helmreich","given":"Brigitte"}],"issued":{"date-parts":[["2021",8]]}}}],"schema":"https://github.com/citation-style-language/schema/raw/master/csl-citation.json"} </w:instrText>
      </w:r>
      <w:r w:rsidRPr="00770477">
        <w:rPr>
          <w:rFonts w:cs="Times New Roman"/>
        </w:rPr>
        <w:fldChar w:fldCharType="separate"/>
      </w:r>
      <w:r w:rsidR="00E11E17" w:rsidRPr="00770477">
        <w:rPr>
          <w:rFonts w:cs="Times New Roman"/>
        </w:rPr>
        <w:t>(Langmuir et al., 2004; Rommel et al., 2021)</w:t>
      </w:r>
      <w:r w:rsidRPr="00770477">
        <w:rPr>
          <w:rFonts w:cs="Times New Roman"/>
        </w:rPr>
        <w:fldChar w:fldCharType="end"/>
      </w:r>
      <w:r w:rsidRPr="00770477">
        <w:rPr>
          <w:rFonts w:cs="Times New Roman"/>
        </w:rPr>
        <w:t xml:space="preserve">, so careful consideration needs to be taken when engineering a sorption filter for metals removal. </w:t>
      </w:r>
      <w:r w:rsidR="00885D14" w:rsidRPr="00770477">
        <w:rPr>
          <w:rFonts w:cs="Times New Roman"/>
        </w:rPr>
        <w:t>The</w:t>
      </w:r>
      <w:r w:rsidR="00F75250" w:rsidRPr="00770477">
        <w:rPr>
          <w:rFonts w:cs="Times New Roman"/>
        </w:rPr>
        <w:t xml:space="preserve"> primary</w:t>
      </w:r>
      <w:r w:rsidR="00885D14" w:rsidRPr="00770477">
        <w:rPr>
          <w:rFonts w:cs="Times New Roman"/>
        </w:rPr>
        <w:t xml:space="preserve"> f</w:t>
      </w:r>
      <w:r w:rsidRPr="00770477">
        <w:rPr>
          <w:rFonts w:cs="Times New Roman"/>
        </w:rPr>
        <w:t xml:space="preserve">ederal programs (United States) which pertain to the limiting of metals in aquatic environments </w:t>
      </w:r>
      <w:r w:rsidR="00F75250" w:rsidRPr="00770477">
        <w:rPr>
          <w:rFonts w:cs="Times New Roman"/>
        </w:rPr>
        <w:t>are</w:t>
      </w:r>
      <w:r w:rsidRPr="00770477">
        <w:rPr>
          <w:rFonts w:cs="Times New Roman"/>
        </w:rPr>
        <w:t xml:space="preserve"> the Safe Drinking Water Act (maximum contaminant levels for human consumption), the Clean Water Act (ambient water quality criteria), CERCLA (site remediation targets), and RCRA (waste management) </w:t>
      </w:r>
      <w:r w:rsidRPr="00770477">
        <w:rPr>
          <w:rFonts w:cs="Times New Roman"/>
        </w:rPr>
        <w:fldChar w:fldCharType="begin"/>
      </w:r>
      <w:r w:rsidR="002074AD">
        <w:rPr>
          <w:rFonts w:cs="Times New Roman"/>
        </w:rPr>
        <w:instrText xml:space="preserve"> ADDIN ZOTERO_ITEM CSL_CITATION {"citationID":"OFcrCAQE","properties":{"formattedCitation":"(Langmuir et al., 2004)","plainCitation":"(Langmuir et al., 2004)","noteIndex":0},"citationItems":[{"id":487,"uris":["http://zotero.org/users/8423188/items/DI5K47YZ"],"itemData":{"id":487,"type":"article-journal","language":"en","page":"113","source":"Zotero","title":"ISSUE PAPER ON THE ENVIRONMENTAL CHEMISTRY OF METALS","author":[{"family":"Langmuir","given":"Donald"},{"family":"Chrostowski","given":"Paul"},{"family":"Vigneault","given":"Bernard"},{"family":"Chaney","given":"Rufus"}],"issued":{"date-parts":[["2004"]]}}}],"schema":"https://github.com/citation-style-language/schema/raw/master/csl-citation.json"} </w:instrText>
      </w:r>
      <w:r w:rsidRPr="00770477">
        <w:rPr>
          <w:rFonts w:cs="Times New Roman"/>
        </w:rPr>
        <w:fldChar w:fldCharType="separate"/>
      </w:r>
      <w:r w:rsidR="00E11E17" w:rsidRPr="00770477">
        <w:rPr>
          <w:rFonts w:cs="Times New Roman"/>
        </w:rPr>
        <w:t>(Langmuir et al., 2004)</w:t>
      </w:r>
      <w:r w:rsidRPr="00770477">
        <w:rPr>
          <w:rFonts w:cs="Times New Roman"/>
        </w:rPr>
        <w:fldChar w:fldCharType="end"/>
      </w:r>
      <w:r w:rsidRPr="00770477">
        <w:rPr>
          <w:rFonts w:cs="Times New Roman"/>
        </w:rPr>
        <w:t>. Ambient water quality standards (</w:t>
      </w:r>
      <w:r w:rsidR="00FE548B" w:rsidRPr="00770477">
        <w:rPr>
          <w:rFonts w:cs="Times New Roman"/>
        </w:rPr>
        <w:fldChar w:fldCharType="begin"/>
      </w:r>
      <w:r w:rsidR="00FE548B" w:rsidRPr="00770477">
        <w:rPr>
          <w:rFonts w:cs="Times New Roman"/>
        </w:rPr>
        <w:instrText xml:space="preserve"> REF _Ref115195447 \h </w:instrText>
      </w:r>
      <w:r w:rsidR="00770477">
        <w:rPr>
          <w:rFonts w:cs="Times New Roman"/>
        </w:rPr>
        <w:instrText xml:space="preserve"> \* MERGEFORMAT </w:instrText>
      </w:r>
      <w:r w:rsidR="00FE548B" w:rsidRPr="00770477">
        <w:rPr>
          <w:rFonts w:cs="Times New Roman"/>
        </w:rPr>
      </w:r>
      <w:r w:rsidR="00FE548B" w:rsidRPr="00770477">
        <w:rPr>
          <w:rFonts w:cs="Times New Roman"/>
        </w:rPr>
        <w:fldChar w:fldCharType="separate"/>
      </w:r>
      <w:r w:rsidR="00061096" w:rsidRPr="00770477">
        <w:rPr>
          <w:rFonts w:cs="Times New Roman"/>
        </w:rPr>
        <w:t xml:space="preserve">Table </w:t>
      </w:r>
      <w:r w:rsidR="00061096">
        <w:rPr>
          <w:rFonts w:cs="Times New Roman"/>
          <w:noProof/>
        </w:rPr>
        <w:t>1</w:t>
      </w:r>
      <w:r w:rsidR="00061096">
        <w:rPr>
          <w:rFonts w:cs="Times New Roman"/>
          <w:noProof/>
        </w:rPr>
        <w:noBreakHyphen/>
        <w:t>4</w:t>
      </w:r>
      <w:r w:rsidR="00FE548B" w:rsidRPr="00770477">
        <w:rPr>
          <w:rFonts w:cs="Times New Roman"/>
        </w:rPr>
        <w:fldChar w:fldCharType="end"/>
      </w:r>
      <w:r w:rsidRPr="00770477">
        <w:rPr>
          <w:rFonts w:cs="Times New Roman"/>
        </w:rPr>
        <w:t xml:space="preserve">) are </w:t>
      </w:r>
      <w:r w:rsidR="001D7B17" w:rsidRPr="00770477">
        <w:rPr>
          <w:rFonts w:cs="Times New Roman"/>
        </w:rPr>
        <w:t>recommended</w:t>
      </w:r>
      <w:r w:rsidRPr="00770477">
        <w:rPr>
          <w:rFonts w:cs="Times New Roman"/>
        </w:rPr>
        <w:t xml:space="preserve"> by</w:t>
      </w:r>
      <w:r w:rsidR="005F7FEA" w:rsidRPr="00770477">
        <w:rPr>
          <w:rFonts w:cs="Times New Roman"/>
        </w:rPr>
        <w:t xml:space="preserve"> the</w:t>
      </w:r>
      <w:r w:rsidRPr="00770477">
        <w:rPr>
          <w:rFonts w:cs="Times New Roman"/>
        </w:rPr>
        <w:t xml:space="preserve"> </w:t>
      </w:r>
      <w:r w:rsidR="005F7FEA" w:rsidRPr="00770477">
        <w:rPr>
          <w:rFonts w:cs="Times New Roman"/>
        </w:rPr>
        <w:fldChar w:fldCharType="begin"/>
      </w:r>
      <w:r w:rsidR="002074AD">
        <w:rPr>
          <w:rFonts w:cs="Times New Roman"/>
        </w:rPr>
        <w:instrText xml:space="preserve"> ADDIN ZOTERO_ITEM CSL_CITATION {"citationID":"okewhI0q","properties":{"formattedCitation":"(US EPA, 2015b)","plainCitation":"(US EPA, 2015b)","dontUpdate":true,"noteIndex":0},"citationItems":[{"id":617,"uris":["http://zotero.org/users/8423188/items/TIDFMLLD"],"itemData":{"id":617,"type":"webpage","abstract":"Table listing criteria for chemical concentration goals to protect surface water for aquatic life use.","genre":"Data and Tools","language":"en","title":"National Recommended Water Quality Criteria - Aquatic Life Criteria Table","URL":"https://www.epa.gov/wqc/national-recommended-water-quality-criteria-aquatic-life-criteria-table","author":[{"family":"US EPA","given":"OW"}],"accessed":{"date-parts":[["2022",8,24]]},"issued":{"date-parts":[["2015",9,3]]}}}],"schema":"https://github.com/citation-style-language/schema/raw/master/csl-citation.json"} </w:instrText>
      </w:r>
      <w:r w:rsidR="005F7FEA" w:rsidRPr="00770477">
        <w:rPr>
          <w:rFonts w:cs="Times New Roman"/>
        </w:rPr>
        <w:fldChar w:fldCharType="separate"/>
      </w:r>
      <w:r w:rsidR="005F7FEA" w:rsidRPr="00770477">
        <w:rPr>
          <w:rFonts w:cs="Times New Roman"/>
          <w:noProof/>
        </w:rPr>
        <w:t>US EPA (2015b)</w:t>
      </w:r>
      <w:r w:rsidR="005F7FEA" w:rsidRPr="00770477">
        <w:rPr>
          <w:rFonts w:cs="Times New Roman"/>
        </w:rPr>
        <w:fldChar w:fldCharType="end"/>
      </w:r>
      <w:r w:rsidR="005F7FEA" w:rsidRPr="00770477">
        <w:rPr>
          <w:rFonts w:cs="Times New Roman"/>
        </w:rPr>
        <w:t xml:space="preserve"> for adoption by individual states under </w:t>
      </w:r>
      <w:r w:rsidR="00C111E6" w:rsidRPr="00770477">
        <w:rPr>
          <w:rFonts w:cs="Times New Roman"/>
        </w:rPr>
        <w:t xml:space="preserve">section </w:t>
      </w:r>
      <w:r w:rsidR="006E5EA9" w:rsidRPr="00770477">
        <w:rPr>
          <w:rFonts w:cs="Times New Roman"/>
        </w:rPr>
        <w:t>304a</w:t>
      </w:r>
      <w:r w:rsidR="00C111E6" w:rsidRPr="00770477">
        <w:rPr>
          <w:rFonts w:cs="Times New Roman"/>
        </w:rPr>
        <w:t xml:space="preserve"> of the Clean Water Act</w:t>
      </w:r>
      <w:r w:rsidR="00DA034C" w:rsidRPr="00770477">
        <w:rPr>
          <w:rFonts w:cs="Times New Roman"/>
        </w:rPr>
        <w:t>.</w:t>
      </w:r>
    </w:p>
    <w:p w14:paraId="504B2F15" w14:textId="77777777" w:rsidR="00B37B6D" w:rsidRPr="00770477" w:rsidRDefault="00B37B6D" w:rsidP="00A80CF0">
      <w:pPr>
        <w:rPr>
          <w:rFonts w:cs="Times New Roman"/>
        </w:rPr>
      </w:pPr>
    </w:p>
    <w:p w14:paraId="76E5D3A3" w14:textId="7D746DB8" w:rsidR="003E1501" w:rsidRPr="00770477" w:rsidRDefault="003E1501" w:rsidP="00A80CF0">
      <w:pPr>
        <w:pStyle w:val="Caption"/>
        <w:keepNext/>
        <w:rPr>
          <w:rFonts w:cs="Times New Roman"/>
        </w:rPr>
      </w:pPr>
      <w:bookmarkStart w:id="12" w:name="_Ref115195447"/>
      <w:bookmarkStart w:id="13" w:name="_Toc121495927"/>
      <w:r w:rsidRPr="00770477">
        <w:rPr>
          <w:rFonts w:cs="Times New Roman"/>
        </w:rPr>
        <w:t xml:space="preserve">Table </w:t>
      </w:r>
      <w:r w:rsidR="00B26DDF">
        <w:rPr>
          <w:rFonts w:cs="Times New Roman"/>
        </w:rPr>
        <w:fldChar w:fldCharType="begin"/>
      </w:r>
      <w:r w:rsidR="00B26DDF">
        <w:rPr>
          <w:rFonts w:cs="Times New Roman"/>
        </w:rPr>
        <w:instrText xml:space="preserve"> STYLEREF 1 \s </w:instrText>
      </w:r>
      <w:r w:rsidR="00B26DDF">
        <w:rPr>
          <w:rFonts w:cs="Times New Roman"/>
        </w:rPr>
        <w:fldChar w:fldCharType="separate"/>
      </w:r>
      <w:r w:rsidR="00061096">
        <w:rPr>
          <w:rFonts w:cs="Times New Roman"/>
          <w:noProof/>
        </w:rPr>
        <w:t>1</w:t>
      </w:r>
      <w:r w:rsidR="00B26DDF">
        <w:rPr>
          <w:rFonts w:cs="Times New Roman"/>
        </w:rPr>
        <w:fldChar w:fldCharType="end"/>
      </w:r>
      <w:r w:rsidR="00B26DDF">
        <w:rPr>
          <w:rFonts w:cs="Times New Roman"/>
        </w:rPr>
        <w:noBreakHyphen/>
      </w:r>
      <w:r w:rsidR="00B26DDF">
        <w:rPr>
          <w:rFonts w:cs="Times New Roman"/>
        </w:rPr>
        <w:fldChar w:fldCharType="begin"/>
      </w:r>
      <w:r w:rsidR="00B26DDF">
        <w:rPr>
          <w:rFonts w:cs="Times New Roman"/>
        </w:rPr>
        <w:instrText xml:space="preserve"> SEQ Table \* ARABIC \s 1 </w:instrText>
      </w:r>
      <w:r w:rsidR="00B26DDF">
        <w:rPr>
          <w:rFonts w:cs="Times New Roman"/>
        </w:rPr>
        <w:fldChar w:fldCharType="separate"/>
      </w:r>
      <w:r w:rsidR="00061096">
        <w:rPr>
          <w:rFonts w:cs="Times New Roman"/>
          <w:noProof/>
        </w:rPr>
        <w:t>4</w:t>
      </w:r>
      <w:r w:rsidR="00B26DDF">
        <w:rPr>
          <w:rFonts w:cs="Times New Roman"/>
        </w:rPr>
        <w:fldChar w:fldCharType="end"/>
      </w:r>
      <w:bookmarkEnd w:id="12"/>
      <w:r w:rsidRPr="00770477">
        <w:rPr>
          <w:rFonts w:cs="Times New Roman"/>
        </w:rPr>
        <w:t xml:space="preserve"> EPA National Recommended Aquatic Life Criteria for freshwater </w:t>
      </w:r>
      <w:r w:rsidRPr="00770477">
        <w:rPr>
          <w:rFonts w:cs="Times New Roman"/>
        </w:rPr>
        <w:fldChar w:fldCharType="begin"/>
      </w:r>
      <w:r w:rsidR="002074AD">
        <w:rPr>
          <w:rFonts w:cs="Times New Roman"/>
        </w:rPr>
        <w:instrText xml:space="preserve"> ADDIN ZOTERO_ITEM CSL_CITATION {"citationID":"DyHLtjSR","properties":{"formattedCitation":"(US EPA, 2015b)","plainCitation":"(US EPA, 2015b)","noteIndex":0},"citationItems":[{"id":617,"uris":["http://zotero.org/users/8423188/items/TIDFMLLD"],"itemData":{"id":617,"type":"webpage","abstract":"Table listing criteria for chemical concentration goals to protect surface water for aquatic life use.","genre":"Data and Tools","language":"en","title":"National Recommended Water Quality Criteria - Aquatic Life Criteria Table","URL":"https://www.epa.gov/wqc/national-recommended-water-quality-criteria-aquatic-life-criteria-table","author":[{"family":"US EPA","given":"OW"}],"accessed":{"date-parts":[["2022",8,24]]},"issued":{"date-parts":[["2015",9,3]]}}}],"schema":"https://github.com/citation-style-language/schema/raw/master/csl-citation.json"} </w:instrText>
      </w:r>
      <w:r w:rsidRPr="00770477">
        <w:rPr>
          <w:rFonts w:cs="Times New Roman"/>
        </w:rPr>
        <w:fldChar w:fldCharType="separate"/>
      </w:r>
      <w:r w:rsidR="00E11E17" w:rsidRPr="00770477">
        <w:rPr>
          <w:rFonts w:cs="Times New Roman"/>
        </w:rPr>
        <w:t>(US EPA, 2015b)</w:t>
      </w:r>
      <w:r w:rsidRPr="00770477">
        <w:rPr>
          <w:rFonts w:cs="Times New Roman"/>
        </w:rPr>
        <w:fldChar w:fldCharType="end"/>
      </w:r>
      <w:r w:rsidR="006354AF">
        <w:rPr>
          <w:rFonts w:cs="Times New Roman"/>
        </w:rPr>
        <w:t>.</w:t>
      </w:r>
      <w:bookmarkEnd w:id="13"/>
    </w:p>
    <w:tbl>
      <w:tblPr>
        <w:tblStyle w:val="PlainTable5"/>
        <w:tblW w:w="5130" w:type="dxa"/>
        <w:tblLook w:val="04A0" w:firstRow="1" w:lastRow="0" w:firstColumn="1" w:lastColumn="0" w:noHBand="0" w:noVBand="1"/>
      </w:tblPr>
      <w:tblGrid>
        <w:gridCol w:w="1440"/>
        <w:gridCol w:w="1710"/>
        <w:gridCol w:w="1980"/>
      </w:tblGrid>
      <w:tr w:rsidR="003E1501" w:rsidRPr="00770477" w14:paraId="40EF5DDE" w14:textId="77777777" w:rsidTr="005A3C29">
        <w:trPr>
          <w:cnfStyle w:val="100000000000" w:firstRow="1" w:lastRow="0" w:firstColumn="0" w:lastColumn="0" w:oddVBand="0" w:evenVBand="0" w:oddHBand="0" w:evenHBand="0" w:firstRowFirstColumn="0" w:firstRowLastColumn="0" w:lastRowFirstColumn="0" w:lastRowLastColumn="0"/>
          <w:trHeight w:val="234"/>
        </w:trPr>
        <w:tc>
          <w:tcPr>
            <w:cnfStyle w:val="001000000100" w:firstRow="0" w:lastRow="0" w:firstColumn="1" w:lastColumn="0" w:oddVBand="0" w:evenVBand="0" w:oddHBand="0" w:evenHBand="0" w:firstRowFirstColumn="1" w:firstRowLastColumn="0" w:lastRowFirstColumn="0" w:lastRowLastColumn="0"/>
            <w:tcW w:w="1440" w:type="dxa"/>
          </w:tcPr>
          <w:p w14:paraId="69F5067A" w14:textId="77777777" w:rsidR="003E1501" w:rsidRPr="00770477" w:rsidRDefault="003E1501" w:rsidP="005A3C29">
            <w:pPr>
              <w:spacing w:line="240" w:lineRule="auto"/>
              <w:rPr>
                <w:rFonts w:cs="Times New Roman"/>
              </w:rPr>
            </w:pPr>
            <w:r w:rsidRPr="00770477">
              <w:rPr>
                <w:rFonts w:cs="Times New Roman"/>
              </w:rPr>
              <w:t>Metal</w:t>
            </w:r>
          </w:p>
        </w:tc>
        <w:tc>
          <w:tcPr>
            <w:tcW w:w="1710" w:type="dxa"/>
          </w:tcPr>
          <w:p w14:paraId="780676AB" w14:textId="3BC16BC6" w:rsidR="003E1501" w:rsidRPr="00770477" w:rsidRDefault="003E1501" w:rsidP="006354AF">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70477">
              <w:rPr>
                <w:rFonts w:cs="Times New Roman"/>
              </w:rPr>
              <w:t>Acute (</w:t>
            </w:r>
            <w:r w:rsidR="00EE3F3E">
              <w:rPr>
                <w:rFonts w:cs="Times New Roman"/>
              </w:rPr>
              <w:t>µg L</w:t>
            </w:r>
            <w:r w:rsidR="00EE3F3E" w:rsidRPr="001F3003">
              <w:rPr>
                <w:rFonts w:cs="Times New Roman"/>
                <w:vertAlign w:val="superscript"/>
              </w:rPr>
              <w:t>-1</w:t>
            </w:r>
            <w:r w:rsidRPr="00770477">
              <w:rPr>
                <w:rFonts w:cs="Times New Roman"/>
              </w:rPr>
              <w:t>)</w:t>
            </w:r>
          </w:p>
        </w:tc>
        <w:tc>
          <w:tcPr>
            <w:tcW w:w="1980" w:type="dxa"/>
          </w:tcPr>
          <w:p w14:paraId="2B038418" w14:textId="409C7EBB" w:rsidR="003E1501" w:rsidRPr="00770477" w:rsidRDefault="003E1501" w:rsidP="006354AF">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70477">
              <w:rPr>
                <w:rFonts w:cs="Times New Roman"/>
              </w:rPr>
              <w:t>Chronic (</w:t>
            </w:r>
            <w:r w:rsidR="00EE3F3E">
              <w:rPr>
                <w:rFonts w:cs="Times New Roman"/>
              </w:rPr>
              <w:t>µg L</w:t>
            </w:r>
            <w:r w:rsidR="00EE3F3E" w:rsidRPr="001F3003">
              <w:rPr>
                <w:rFonts w:cs="Times New Roman"/>
                <w:vertAlign w:val="superscript"/>
              </w:rPr>
              <w:t>-1</w:t>
            </w:r>
            <w:r w:rsidRPr="00770477">
              <w:rPr>
                <w:rFonts w:cs="Times New Roman"/>
              </w:rPr>
              <w:t>)</w:t>
            </w:r>
          </w:p>
        </w:tc>
      </w:tr>
      <w:tr w:rsidR="003E1501" w:rsidRPr="00770477" w14:paraId="7688FBA3" w14:textId="77777777" w:rsidTr="005A3C29">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440" w:type="dxa"/>
          </w:tcPr>
          <w:p w14:paraId="39F0DCA0" w14:textId="77777777" w:rsidR="003E1501" w:rsidRPr="00770477" w:rsidRDefault="003E1501" w:rsidP="005A3C29">
            <w:pPr>
              <w:spacing w:line="240" w:lineRule="auto"/>
              <w:rPr>
                <w:rFonts w:cs="Times New Roman"/>
              </w:rPr>
            </w:pPr>
            <w:r w:rsidRPr="00770477">
              <w:rPr>
                <w:rFonts w:cs="Times New Roman"/>
              </w:rPr>
              <w:t>As</w:t>
            </w:r>
          </w:p>
        </w:tc>
        <w:tc>
          <w:tcPr>
            <w:tcW w:w="1710" w:type="dxa"/>
          </w:tcPr>
          <w:p w14:paraId="684CAAD5" w14:textId="77777777" w:rsidR="003E1501" w:rsidRPr="00770477" w:rsidRDefault="003E1501" w:rsidP="006354A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340</w:t>
            </w:r>
          </w:p>
        </w:tc>
        <w:tc>
          <w:tcPr>
            <w:tcW w:w="1980" w:type="dxa"/>
          </w:tcPr>
          <w:p w14:paraId="60429CDF" w14:textId="77777777" w:rsidR="003E1501" w:rsidRPr="00770477" w:rsidRDefault="003E1501" w:rsidP="006354A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150</w:t>
            </w:r>
          </w:p>
        </w:tc>
      </w:tr>
      <w:tr w:rsidR="003E1501" w:rsidRPr="00770477" w14:paraId="0E4EADFB" w14:textId="77777777" w:rsidTr="005A3C29">
        <w:trPr>
          <w:trHeight w:val="440"/>
        </w:trPr>
        <w:tc>
          <w:tcPr>
            <w:cnfStyle w:val="001000000000" w:firstRow="0" w:lastRow="0" w:firstColumn="1" w:lastColumn="0" w:oddVBand="0" w:evenVBand="0" w:oddHBand="0" w:evenHBand="0" w:firstRowFirstColumn="0" w:firstRowLastColumn="0" w:lastRowFirstColumn="0" w:lastRowLastColumn="0"/>
            <w:tcW w:w="1440" w:type="dxa"/>
          </w:tcPr>
          <w:p w14:paraId="002A9A40" w14:textId="77777777" w:rsidR="003E1501" w:rsidRPr="00770477" w:rsidRDefault="003E1501" w:rsidP="005A3C29">
            <w:pPr>
              <w:spacing w:line="240" w:lineRule="auto"/>
              <w:rPr>
                <w:rFonts w:cs="Times New Roman"/>
              </w:rPr>
            </w:pPr>
            <w:r w:rsidRPr="00770477">
              <w:rPr>
                <w:rFonts w:cs="Times New Roman"/>
              </w:rPr>
              <w:t>Cd</w:t>
            </w:r>
          </w:p>
        </w:tc>
        <w:tc>
          <w:tcPr>
            <w:tcW w:w="1710" w:type="dxa"/>
          </w:tcPr>
          <w:p w14:paraId="7D6C2A71" w14:textId="77777777" w:rsidR="003E1501" w:rsidRPr="00770477" w:rsidRDefault="003E1501" w:rsidP="006354A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1.8</w:t>
            </w:r>
          </w:p>
        </w:tc>
        <w:tc>
          <w:tcPr>
            <w:tcW w:w="1980" w:type="dxa"/>
          </w:tcPr>
          <w:p w14:paraId="39A51CCD" w14:textId="77777777" w:rsidR="003E1501" w:rsidRPr="00770477" w:rsidRDefault="003E1501" w:rsidP="006354A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0.72</w:t>
            </w:r>
          </w:p>
        </w:tc>
      </w:tr>
      <w:tr w:rsidR="003E1501" w:rsidRPr="00770477" w14:paraId="4A3B5771" w14:textId="77777777" w:rsidTr="005A3C29">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440" w:type="dxa"/>
          </w:tcPr>
          <w:p w14:paraId="7B7530ED" w14:textId="5DB35A60" w:rsidR="003E1501" w:rsidRPr="006354AF" w:rsidRDefault="003E1501" w:rsidP="005A3C29">
            <w:pPr>
              <w:spacing w:line="240" w:lineRule="auto"/>
              <w:rPr>
                <w:rFonts w:cs="Times New Roman"/>
                <w:vertAlign w:val="superscript"/>
              </w:rPr>
            </w:pPr>
            <w:r w:rsidRPr="00770477">
              <w:rPr>
                <w:rFonts w:cs="Times New Roman"/>
              </w:rPr>
              <w:t>Cr</w:t>
            </w:r>
            <w:r w:rsidR="006354AF">
              <w:rPr>
                <w:rFonts w:cs="Times New Roman"/>
                <w:vertAlign w:val="superscript"/>
              </w:rPr>
              <w:t>+3</w:t>
            </w:r>
          </w:p>
        </w:tc>
        <w:tc>
          <w:tcPr>
            <w:tcW w:w="1710" w:type="dxa"/>
          </w:tcPr>
          <w:p w14:paraId="59E2DD85" w14:textId="77777777" w:rsidR="003E1501" w:rsidRPr="00770477" w:rsidRDefault="003E1501" w:rsidP="006354A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570</w:t>
            </w:r>
          </w:p>
        </w:tc>
        <w:tc>
          <w:tcPr>
            <w:tcW w:w="1980" w:type="dxa"/>
          </w:tcPr>
          <w:p w14:paraId="6F592708" w14:textId="77777777" w:rsidR="003E1501" w:rsidRPr="00770477" w:rsidRDefault="003E1501" w:rsidP="006354A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74</w:t>
            </w:r>
          </w:p>
        </w:tc>
      </w:tr>
      <w:tr w:rsidR="003E1501" w:rsidRPr="00770477" w14:paraId="47D7281F" w14:textId="77777777" w:rsidTr="005A3C29">
        <w:trPr>
          <w:trHeight w:val="440"/>
        </w:trPr>
        <w:tc>
          <w:tcPr>
            <w:cnfStyle w:val="001000000000" w:firstRow="0" w:lastRow="0" w:firstColumn="1" w:lastColumn="0" w:oddVBand="0" w:evenVBand="0" w:oddHBand="0" w:evenHBand="0" w:firstRowFirstColumn="0" w:firstRowLastColumn="0" w:lastRowFirstColumn="0" w:lastRowLastColumn="0"/>
            <w:tcW w:w="1440" w:type="dxa"/>
          </w:tcPr>
          <w:p w14:paraId="61965580" w14:textId="4889ACF3" w:rsidR="003E1501" w:rsidRPr="006354AF" w:rsidRDefault="003E1501" w:rsidP="005A3C29">
            <w:pPr>
              <w:spacing w:line="240" w:lineRule="auto"/>
              <w:rPr>
                <w:rFonts w:cs="Times New Roman"/>
                <w:vertAlign w:val="superscript"/>
              </w:rPr>
            </w:pPr>
            <w:r w:rsidRPr="00770477">
              <w:rPr>
                <w:rFonts w:cs="Times New Roman"/>
              </w:rPr>
              <w:t>Cr</w:t>
            </w:r>
            <w:r w:rsidR="006354AF">
              <w:rPr>
                <w:rFonts w:cs="Times New Roman"/>
                <w:vertAlign w:val="superscript"/>
              </w:rPr>
              <w:t>+6</w:t>
            </w:r>
          </w:p>
        </w:tc>
        <w:tc>
          <w:tcPr>
            <w:tcW w:w="1710" w:type="dxa"/>
          </w:tcPr>
          <w:p w14:paraId="5F5B0C54" w14:textId="77777777" w:rsidR="003E1501" w:rsidRPr="00770477" w:rsidRDefault="003E1501" w:rsidP="006354A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16</w:t>
            </w:r>
          </w:p>
        </w:tc>
        <w:tc>
          <w:tcPr>
            <w:tcW w:w="1980" w:type="dxa"/>
          </w:tcPr>
          <w:p w14:paraId="42F4E3E2" w14:textId="77777777" w:rsidR="003E1501" w:rsidRPr="00770477" w:rsidRDefault="003E1501" w:rsidP="006354A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11</w:t>
            </w:r>
          </w:p>
        </w:tc>
      </w:tr>
      <w:tr w:rsidR="003E1501" w:rsidRPr="00770477" w14:paraId="6E5809DF" w14:textId="77777777" w:rsidTr="005A3C29">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440" w:type="dxa"/>
          </w:tcPr>
          <w:p w14:paraId="242B10FE" w14:textId="77777777" w:rsidR="003E1501" w:rsidRPr="00770477" w:rsidRDefault="003E1501" w:rsidP="005A3C29">
            <w:pPr>
              <w:spacing w:line="240" w:lineRule="auto"/>
              <w:rPr>
                <w:rFonts w:cs="Times New Roman"/>
              </w:rPr>
            </w:pPr>
            <w:r w:rsidRPr="00770477">
              <w:rPr>
                <w:rFonts w:cs="Times New Roman"/>
              </w:rPr>
              <w:t>Fe</w:t>
            </w:r>
          </w:p>
        </w:tc>
        <w:tc>
          <w:tcPr>
            <w:tcW w:w="1710" w:type="dxa"/>
          </w:tcPr>
          <w:p w14:paraId="2337B10C" w14:textId="77777777" w:rsidR="003E1501" w:rsidRPr="00770477" w:rsidRDefault="003E1501" w:rsidP="006354A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c>
          <w:tcPr>
            <w:tcW w:w="1980" w:type="dxa"/>
          </w:tcPr>
          <w:p w14:paraId="2A8FEBDB" w14:textId="77777777" w:rsidR="003E1501" w:rsidRPr="00770477" w:rsidRDefault="003E1501" w:rsidP="006354A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1000</w:t>
            </w:r>
          </w:p>
        </w:tc>
      </w:tr>
      <w:tr w:rsidR="003E1501" w:rsidRPr="00770477" w14:paraId="72045C47" w14:textId="77777777" w:rsidTr="005A3C29">
        <w:trPr>
          <w:trHeight w:val="440"/>
        </w:trPr>
        <w:tc>
          <w:tcPr>
            <w:cnfStyle w:val="001000000000" w:firstRow="0" w:lastRow="0" w:firstColumn="1" w:lastColumn="0" w:oddVBand="0" w:evenVBand="0" w:oddHBand="0" w:evenHBand="0" w:firstRowFirstColumn="0" w:firstRowLastColumn="0" w:lastRowFirstColumn="0" w:lastRowLastColumn="0"/>
            <w:tcW w:w="1440" w:type="dxa"/>
          </w:tcPr>
          <w:p w14:paraId="427F9DA2" w14:textId="77777777" w:rsidR="003E1501" w:rsidRPr="00770477" w:rsidRDefault="003E1501" w:rsidP="005A3C29">
            <w:pPr>
              <w:spacing w:line="240" w:lineRule="auto"/>
              <w:rPr>
                <w:rFonts w:cs="Times New Roman"/>
              </w:rPr>
            </w:pPr>
            <w:r w:rsidRPr="00770477">
              <w:rPr>
                <w:rFonts w:cs="Times New Roman"/>
              </w:rPr>
              <w:t>Pb</w:t>
            </w:r>
          </w:p>
        </w:tc>
        <w:tc>
          <w:tcPr>
            <w:tcW w:w="1710" w:type="dxa"/>
          </w:tcPr>
          <w:p w14:paraId="34CF1FCD" w14:textId="77777777" w:rsidR="003E1501" w:rsidRPr="00770477" w:rsidRDefault="003E1501" w:rsidP="006354A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65</w:t>
            </w:r>
          </w:p>
        </w:tc>
        <w:tc>
          <w:tcPr>
            <w:tcW w:w="1980" w:type="dxa"/>
          </w:tcPr>
          <w:p w14:paraId="0903CE0C" w14:textId="77777777" w:rsidR="003E1501" w:rsidRPr="00770477" w:rsidRDefault="003E1501" w:rsidP="006354A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2.5</w:t>
            </w:r>
          </w:p>
        </w:tc>
      </w:tr>
      <w:tr w:rsidR="003E1501" w:rsidRPr="00770477" w14:paraId="642FD624" w14:textId="77777777" w:rsidTr="005A3C29">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440" w:type="dxa"/>
          </w:tcPr>
          <w:p w14:paraId="2C54F94B" w14:textId="77777777" w:rsidR="003E1501" w:rsidRPr="00770477" w:rsidRDefault="003E1501" w:rsidP="005A3C29">
            <w:pPr>
              <w:spacing w:line="240" w:lineRule="auto"/>
              <w:rPr>
                <w:rFonts w:cs="Times New Roman"/>
              </w:rPr>
            </w:pPr>
            <w:r w:rsidRPr="00770477">
              <w:rPr>
                <w:rFonts w:cs="Times New Roman"/>
              </w:rPr>
              <w:t>Ni</w:t>
            </w:r>
          </w:p>
        </w:tc>
        <w:tc>
          <w:tcPr>
            <w:tcW w:w="1710" w:type="dxa"/>
          </w:tcPr>
          <w:p w14:paraId="52EC827E" w14:textId="77777777" w:rsidR="003E1501" w:rsidRPr="00770477" w:rsidRDefault="003E1501" w:rsidP="006354A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470</w:t>
            </w:r>
          </w:p>
        </w:tc>
        <w:tc>
          <w:tcPr>
            <w:tcW w:w="1980" w:type="dxa"/>
          </w:tcPr>
          <w:p w14:paraId="56570A37" w14:textId="77777777" w:rsidR="003E1501" w:rsidRPr="00770477" w:rsidRDefault="003E1501" w:rsidP="006354A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52</w:t>
            </w:r>
          </w:p>
        </w:tc>
      </w:tr>
      <w:tr w:rsidR="003E1501" w:rsidRPr="00770477" w14:paraId="3BCC82A0" w14:textId="77777777" w:rsidTr="005A3C29">
        <w:trPr>
          <w:trHeight w:val="440"/>
        </w:trPr>
        <w:tc>
          <w:tcPr>
            <w:cnfStyle w:val="001000000000" w:firstRow="0" w:lastRow="0" w:firstColumn="1" w:lastColumn="0" w:oddVBand="0" w:evenVBand="0" w:oddHBand="0" w:evenHBand="0" w:firstRowFirstColumn="0" w:firstRowLastColumn="0" w:lastRowFirstColumn="0" w:lastRowLastColumn="0"/>
            <w:tcW w:w="1440" w:type="dxa"/>
          </w:tcPr>
          <w:p w14:paraId="1A370E14" w14:textId="77777777" w:rsidR="003E1501" w:rsidRPr="00770477" w:rsidRDefault="003E1501" w:rsidP="005A3C29">
            <w:pPr>
              <w:spacing w:line="240" w:lineRule="auto"/>
              <w:rPr>
                <w:rFonts w:cs="Times New Roman"/>
              </w:rPr>
            </w:pPr>
            <w:r w:rsidRPr="00770477">
              <w:rPr>
                <w:rFonts w:cs="Times New Roman"/>
              </w:rPr>
              <w:t>Zn</w:t>
            </w:r>
          </w:p>
        </w:tc>
        <w:tc>
          <w:tcPr>
            <w:tcW w:w="1710" w:type="dxa"/>
          </w:tcPr>
          <w:p w14:paraId="4D23D76D" w14:textId="77777777" w:rsidR="003E1501" w:rsidRPr="00770477" w:rsidRDefault="003E1501" w:rsidP="006354A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120</w:t>
            </w:r>
          </w:p>
        </w:tc>
        <w:tc>
          <w:tcPr>
            <w:tcW w:w="1980" w:type="dxa"/>
          </w:tcPr>
          <w:p w14:paraId="730C5958" w14:textId="77777777" w:rsidR="003E1501" w:rsidRPr="00770477" w:rsidRDefault="003E1501" w:rsidP="006354A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120</w:t>
            </w:r>
          </w:p>
        </w:tc>
      </w:tr>
    </w:tbl>
    <w:p w14:paraId="56EA6A3C" w14:textId="16DA11FC" w:rsidR="00EC1151" w:rsidRPr="00770477" w:rsidRDefault="00EC1151" w:rsidP="00A80CF0">
      <w:pPr>
        <w:rPr>
          <w:rFonts w:cs="Times New Roman"/>
        </w:rPr>
      </w:pPr>
    </w:p>
    <w:p w14:paraId="649DDAA7" w14:textId="18A9D540" w:rsidR="00C700A7" w:rsidRPr="00770477" w:rsidRDefault="00EC1151" w:rsidP="00EC1151">
      <w:pPr>
        <w:spacing w:line="240" w:lineRule="auto"/>
        <w:rPr>
          <w:rFonts w:cs="Times New Roman"/>
        </w:rPr>
      </w:pPr>
      <w:r w:rsidRPr="00770477">
        <w:rPr>
          <w:rFonts w:cs="Times New Roman"/>
        </w:rPr>
        <w:br w:type="page"/>
      </w:r>
    </w:p>
    <w:p w14:paraId="491B0227" w14:textId="0F584A2B" w:rsidR="00817D3C" w:rsidRPr="00770477" w:rsidRDefault="00B83C3B" w:rsidP="00A80CF0">
      <w:pPr>
        <w:pStyle w:val="Heading3"/>
        <w:rPr>
          <w:rFonts w:cs="Times New Roman"/>
        </w:rPr>
      </w:pPr>
      <w:bookmarkStart w:id="14" w:name="_Toc121495971"/>
      <w:r w:rsidRPr="00770477">
        <w:rPr>
          <w:rFonts w:cs="Times New Roman"/>
        </w:rPr>
        <w:lastRenderedPageBreak/>
        <w:t>Phosphorus</w:t>
      </w:r>
      <w:bookmarkEnd w:id="14"/>
    </w:p>
    <w:p w14:paraId="24299B1D" w14:textId="29E17E77" w:rsidR="00CC3B2F" w:rsidRPr="00770477" w:rsidRDefault="00D5650D" w:rsidP="00A916AF">
      <w:pPr>
        <w:rPr>
          <w:rFonts w:cs="Times New Roman"/>
        </w:rPr>
      </w:pPr>
      <w:r w:rsidRPr="00770477">
        <w:rPr>
          <w:rFonts w:cs="Times New Roman"/>
        </w:rPr>
        <w:tab/>
        <w:t xml:space="preserve">Phosphorus (P) </w:t>
      </w:r>
      <w:r w:rsidR="005B1A35" w:rsidRPr="00770477">
        <w:rPr>
          <w:rFonts w:cs="Times New Roman"/>
        </w:rPr>
        <w:t xml:space="preserve">is another element </w:t>
      </w:r>
      <w:r w:rsidR="001D6EB6" w:rsidRPr="00770477">
        <w:rPr>
          <w:rFonts w:cs="Times New Roman"/>
        </w:rPr>
        <w:t xml:space="preserve">that </w:t>
      </w:r>
      <w:r w:rsidR="005B1A35" w:rsidRPr="00770477">
        <w:rPr>
          <w:rFonts w:cs="Times New Roman"/>
        </w:rPr>
        <w:t>contributes to pollution of stormwater. P</w:t>
      </w:r>
      <w:r w:rsidR="00F75250" w:rsidRPr="00770477">
        <w:rPr>
          <w:rFonts w:cs="Times New Roman"/>
        </w:rPr>
        <w:t>hosphorus</w:t>
      </w:r>
      <w:r w:rsidR="005B1A35" w:rsidRPr="00770477">
        <w:rPr>
          <w:rFonts w:cs="Times New Roman"/>
        </w:rPr>
        <w:t xml:space="preserve"> can exist in many forms, however, the most common form discussed for P in the environment is in the form of </w:t>
      </w:r>
      <w:r w:rsidR="48D792B6" w:rsidRPr="00770477">
        <w:rPr>
          <w:rFonts w:cs="Times New Roman"/>
        </w:rPr>
        <w:t xml:space="preserve">the </w:t>
      </w:r>
      <w:r w:rsidR="005B1A35" w:rsidRPr="00770477">
        <w:rPr>
          <w:rFonts w:cs="Times New Roman"/>
        </w:rPr>
        <w:t xml:space="preserve">phosphate </w:t>
      </w:r>
      <w:r w:rsidR="4828C4FF" w:rsidRPr="00770477">
        <w:rPr>
          <w:rFonts w:cs="Times New Roman"/>
        </w:rPr>
        <w:t>ion</w:t>
      </w:r>
      <w:r w:rsidR="005B1A35" w:rsidRPr="00770477">
        <w:rPr>
          <w:rFonts w:cs="Times New Roman"/>
        </w:rPr>
        <w:t xml:space="preserve"> (PO</w:t>
      </w:r>
      <w:r w:rsidR="005B1A35" w:rsidRPr="00770477">
        <w:rPr>
          <w:rFonts w:cs="Times New Roman"/>
          <w:vertAlign w:val="subscript"/>
        </w:rPr>
        <w:t>4</w:t>
      </w:r>
      <w:r w:rsidR="00914EB0" w:rsidRPr="00770477">
        <w:rPr>
          <w:rFonts w:cs="Times New Roman"/>
          <w:vertAlign w:val="superscript"/>
        </w:rPr>
        <w:t>3-</w:t>
      </w:r>
      <w:r w:rsidR="005B1A35" w:rsidRPr="00770477">
        <w:rPr>
          <w:rFonts w:cs="Times New Roman"/>
        </w:rPr>
        <w:t xml:space="preserve">). Fundamentally, </w:t>
      </w:r>
      <w:r w:rsidR="008A78FC">
        <w:rPr>
          <w:rFonts w:cs="Times New Roman"/>
        </w:rPr>
        <w:t>PO</w:t>
      </w:r>
      <w:r w:rsidR="008A78FC" w:rsidRPr="00C8694C">
        <w:rPr>
          <w:rFonts w:cs="Times New Roman"/>
          <w:vertAlign w:val="subscript"/>
        </w:rPr>
        <w:t>4</w:t>
      </w:r>
      <w:r w:rsidR="008A78FC" w:rsidRPr="00C8694C">
        <w:rPr>
          <w:rFonts w:cs="Times New Roman"/>
          <w:vertAlign w:val="superscript"/>
        </w:rPr>
        <w:t>-3</w:t>
      </w:r>
      <w:r w:rsidR="005B1A35" w:rsidRPr="00770477">
        <w:rPr>
          <w:rFonts w:cs="Times New Roman"/>
        </w:rPr>
        <w:t xml:space="preserve"> is bioavailable in the environment, however this term is commonly used more broadly to refer to any compound containing the phosphate molecule therefore obscuring whether it is bioavailable or not. On the other hand, orthophosphate (ortho-P) refers to “free” phosphate </w:t>
      </w:r>
      <w:r w:rsidR="7FB7F25F" w:rsidRPr="00770477">
        <w:rPr>
          <w:rFonts w:cs="Times New Roman"/>
        </w:rPr>
        <w:t xml:space="preserve">that </w:t>
      </w:r>
      <w:r w:rsidR="005B1A35" w:rsidRPr="00770477">
        <w:rPr>
          <w:rFonts w:cs="Times New Roman"/>
        </w:rPr>
        <w:t>is fundamentally bioavailable. P</w:t>
      </w:r>
      <w:r w:rsidR="00BD57C2" w:rsidRPr="00770477">
        <w:rPr>
          <w:rFonts w:cs="Times New Roman"/>
        </w:rPr>
        <w:t>hosphorus</w:t>
      </w:r>
      <w:r w:rsidR="005B1A35" w:rsidRPr="00770477">
        <w:rPr>
          <w:rFonts w:cs="Times New Roman"/>
        </w:rPr>
        <w:t xml:space="preserve"> is a </w:t>
      </w:r>
      <w:r w:rsidR="00AF7653" w:rsidRPr="00770477">
        <w:rPr>
          <w:rFonts w:cs="Times New Roman"/>
        </w:rPr>
        <w:t>limiting nutrient which</w:t>
      </w:r>
      <w:r w:rsidR="005B1A35" w:rsidRPr="00770477">
        <w:rPr>
          <w:rFonts w:cs="Times New Roman"/>
        </w:rPr>
        <w:t xml:space="preserve"> </w:t>
      </w:r>
      <w:r w:rsidR="00AF7653" w:rsidRPr="00770477">
        <w:rPr>
          <w:rFonts w:cs="Times New Roman"/>
        </w:rPr>
        <w:t>supports</w:t>
      </w:r>
      <w:r w:rsidR="005B1A35" w:rsidRPr="00770477">
        <w:rPr>
          <w:rFonts w:cs="Times New Roman"/>
        </w:rPr>
        <w:t xml:space="preserve"> the growth of photosynthesizing </w:t>
      </w:r>
      <w:r w:rsidR="00522EE7" w:rsidRPr="00770477">
        <w:rPr>
          <w:rFonts w:cs="Times New Roman"/>
        </w:rPr>
        <w:t>organisms and</w:t>
      </w:r>
      <w:r w:rsidR="005B1A35" w:rsidRPr="00770477">
        <w:rPr>
          <w:rFonts w:cs="Times New Roman"/>
        </w:rPr>
        <w:t xml:space="preserve"> commonly</w:t>
      </w:r>
      <w:r w:rsidR="00AF7653" w:rsidRPr="00770477">
        <w:rPr>
          <w:rFonts w:cs="Times New Roman"/>
        </w:rPr>
        <w:t xml:space="preserve"> is</w:t>
      </w:r>
      <w:r w:rsidR="005B1A35" w:rsidRPr="00770477">
        <w:rPr>
          <w:rFonts w:cs="Times New Roman"/>
        </w:rPr>
        <w:t xml:space="preserve"> used in agricultural and domestic applications as a fertilizer to assist in the growth of crops, grass, and other plants </w:t>
      </w:r>
      <w:r w:rsidR="00E11E17" w:rsidRPr="00770477">
        <w:rPr>
          <w:rFonts w:cs="Times New Roman"/>
        </w:rPr>
        <w:t>(Schlesinger &amp; Bernhardt, 2013)</w:t>
      </w:r>
      <w:r w:rsidR="005B1A35" w:rsidRPr="00770477">
        <w:rPr>
          <w:rFonts w:cs="Times New Roman"/>
        </w:rPr>
        <w:t xml:space="preserve">. Unlike other pollutants discussed in this thesis, P is not considered for </w:t>
      </w:r>
      <w:r w:rsidR="643B18A4" w:rsidRPr="00770477">
        <w:rPr>
          <w:rFonts w:cs="Times New Roman"/>
        </w:rPr>
        <w:t>its</w:t>
      </w:r>
      <w:r w:rsidR="001146BE" w:rsidRPr="00770477">
        <w:rPr>
          <w:rFonts w:cs="Times New Roman"/>
        </w:rPr>
        <w:t xml:space="preserve"> direct </w:t>
      </w:r>
      <w:r w:rsidR="007106FE" w:rsidRPr="00770477">
        <w:rPr>
          <w:rFonts w:cs="Times New Roman"/>
        </w:rPr>
        <w:t>toxicity</w:t>
      </w:r>
      <w:r w:rsidR="001146BE" w:rsidRPr="00770477">
        <w:rPr>
          <w:rFonts w:cs="Times New Roman"/>
        </w:rPr>
        <w:t xml:space="preserve"> to aquatic </w:t>
      </w:r>
      <w:r w:rsidR="00770477" w:rsidRPr="00770477">
        <w:rPr>
          <w:rFonts w:cs="Times New Roman"/>
        </w:rPr>
        <w:t>life,</w:t>
      </w:r>
      <w:r w:rsidR="001146BE" w:rsidRPr="00770477">
        <w:rPr>
          <w:rFonts w:cs="Times New Roman"/>
        </w:rPr>
        <w:t xml:space="preserve"> and it </w:t>
      </w:r>
      <w:r w:rsidR="4E68EFB8" w:rsidRPr="00770477">
        <w:rPr>
          <w:rFonts w:cs="Times New Roman"/>
        </w:rPr>
        <w:t>does not have associated</w:t>
      </w:r>
      <w:r w:rsidR="005B1A35" w:rsidRPr="00770477">
        <w:rPr>
          <w:rFonts w:cs="Times New Roman"/>
        </w:rPr>
        <w:t xml:space="preserve"> acute or chronic toxicity</w:t>
      </w:r>
      <w:r w:rsidR="3AD6C381" w:rsidRPr="00770477">
        <w:rPr>
          <w:rFonts w:cs="Times New Roman"/>
        </w:rPr>
        <w:t xml:space="preserve"> </w:t>
      </w:r>
      <w:r w:rsidR="007106FE" w:rsidRPr="00770477">
        <w:rPr>
          <w:rFonts w:cs="Times New Roman"/>
        </w:rPr>
        <w:t>thresholds. R</w:t>
      </w:r>
      <w:r w:rsidR="005B1A35" w:rsidRPr="00770477">
        <w:rPr>
          <w:rFonts w:cs="Times New Roman"/>
        </w:rPr>
        <w:t>ather</w:t>
      </w:r>
      <w:r w:rsidR="007106FE" w:rsidRPr="00770477">
        <w:rPr>
          <w:rFonts w:cs="Times New Roman"/>
        </w:rPr>
        <w:t xml:space="preserve"> P</w:t>
      </w:r>
      <w:r w:rsidR="008625DB" w:rsidRPr="00770477">
        <w:rPr>
          <w:rFonts w:cs="Times New Roman"/>
        </w:rPr>
        <w:t>, at high levels,</w:t>
      </w:r>
      <w:r w:rsidR="007106FE" w:rsidRPr="00770477">
        <w:rPr>
          <w:rFonts w:cs="Times New Roman"/>
        </w:rPr>
        <w:t xml:space="preserve"> is considered potentially environmentally hazardous</w:t>
      </w:r>
      <w:r w:rsidR="005B1A35" w:rsidRPr="00770477">
        <w:rPr>
          <w:rFonts w:cs="Times New Roman"/>
        </w:rPr>
        <w:t xml:space="preserve"> for the role it plays in the eutrophication of waterbodies </w:t>
      </w:r>
      <w:r w:rsidR="00E11E17" w:rsidRPr="00770477">
        <w:rPr>
          <w:rFonts w:cs="Times New Roman"/>
        </w:rPr>
        <w:t xml:space="preserve">(Davis et al., 2006; </w:t>
      </w:r>
      <w:proofErr w:type="spellStart"/>
      <w:r w:rsidR="00E11E17" w:rsidRPr="00770477">
        <w:rPr>
          <w:rFonts w:cs="Times New Roman"/>
        </w:rPr>
        <w:t>Lyngsie</w:t>
      </w:r>
      <w:proofErr w:type="spellEnd"/>
      <w:r w:rsidR="00E11E17" w:rsidRPr="00770477">
        <w:rPr>
          <w:rFonts w:cs="Times New Roman"/>
        </w:rPr>
        <w:t xml:space="preserve"> et al., 2014; Schlesinger &amp; Bernhardt, 2013; </w:t>
      </w:r>
      <w:proofErr w:type="spellStart"/>
      <w:r w:rsidR="00E11E17" w:rsidRPr="00770477">
        <w:rPr>
          <w:rFonts w:cs="Times New Roman"/>
        </w:rPr>
        <w:t>Ulén</w:t>
      </w:r>
      <w:proofErr w:type="spellEnd"/>
      <w:r w:rsidR="00E11E17" w:rsidRPr="00770477">
        <w:rPr>
          <w:rFonts w:cs="Times New Roman"/>
        </w:rPr>
        <w:t xml:space="preserve"> et al., 2007; US Department of Commerce, n.d.)</w:t>
      </w:r>
      <w:r w:rsidR="005B1A35" w:rsidRPr="00770477">
        <w:rPr>
          <w:rFonts w:cs="Times New Roman"/>
        </w:rPr>
        <w:t xml:space="preserve">. Eutrophication is a phenomenon that occurs when excess nutrients collect in a waterbody allowing for an overwhelming growth of algae in the water. If dense enough, </w:t>
      </w:r>
      <w:r w:rsidR="3E225FDB" w:rsidRPr="00770477">
        <w:rPr>
          <w:rFonts w:cs="Times New Roman"/>
        </w:rPr>
        <w:t xml:space="preserve">these </w:t>
      </w:r>
      <w:r w:rsidR="005B1A35" w:rsidRPr="00770477">
        <w:rPr>
          <w:rFonts w:cs="Times New Roman"/>
        </w:rPr>
        <w:t>alga</w:t>
      </w:r>
      <w:r w:rsidR="3E225FDB" w:rsidRPr="00770477">
        <w:rPr>
          <w:rFonts w:cs="Times New Roman"/>
        </w:rPr>
        <w:t>e</w:t>
      </w:r>
      <w:r w:rsidR="005B1A35" w:rsidRPr="00770477">
        <w:rPr>
          <w:rFonts w:cs="Times New Roman"/>
        </w:rPr>
        <w:t xml:space="preserve"> can block out sunlight and kill other plants in the water which provide a vital source of oxygen to the aquatic life. In the meantime, it is not uncommon for </w:t>
      </w:r>
      <w:r w:rsidR="3E225FDB" w:rsidRPr="00770477">
        <w:rPr>
          <w:rFonts w:cs="Times New Roman"/>
        </w:rPr>
        <w:t xml:space="preserve">these </w:t>
      </w:r>
      <w:r w:rsidR="005B1A35" w:rsidRPr="00770477">
        <w:rPr>
          <w:rFonts w:cs="Times New Roman"/>
        </w:rPr>
        <w:t>alga</w:t>
      </w:r>
      <w:r w:rsidR="3E225FDB" w:rsidRPr="00770477">
        <w:rPr>
          <w:rFonts w:cs="Times New Roman"/>
        </w:rPr>
        <w:t>e</w:t>
      </w:r>
      <w:r w:rsidR="005B1A35" w:rsidRPr="00770477">
        <w:rPr>
          <w:rFonts w:cs="Times New Roman"/>
        </w:rPr>
        <w:t xml:space="preserve"> to release toxins which can be detrimental to humans and aquatic life. Once dead, </w:t>
      </w:r>
      <w:r w:rsidR="6F77CF90" w:rsidRPr="00770477">
        <w:rPr>
          <w:rFonts w:cs="Times New Roman"/>
        </w:rPr>
        <w:t xml:space="preserve">the </w:t>
      </w:r>
      <w:r w:rsidR="005B1A35" w:rsidRPr="00770477">
        <w:rPr>
          <w:rFonts w:cs="Times New Roman"/>
        </w:rPr>
        <w:t>alga</w:t>
      </w:r>
      <w:r w:rsidR="6F77CF90" w:rsidRPr="00770477">
        <w:rPr>
          <w:rFonts w:cs="Times New Roman"/>
        </w:rPr>
        <w:t>e</w:t>
      </w:r>
      <w:r w:rsidR="005B1A35" w:rsidRPr="00770477">
        <w:rPr>
          <w:rFonts w:cs="Times New Roman"/>
        </w:rPr>
        <w:t xml:space="preserve"> </w:t>
      </w:r>
      <w:r w:rsidR="6F77CF90" w:rsidRPr="00770477">
        <w:rPr>
          <w:rFonts w:cs="Times New Roman"/>
        </w:rPr>
        <w:t>are</w:t>
      </w:r>
      <w:r w:rsidR="005B1A35" w:rsidRPr="00770477">
        <w:rPr>
          <w:rFonts w:cs="Times New Roman"/>
        </w:rPr>
        <w:t xml:space="preserve"> consumed by microbes who’s increased activity can further prolong the depleted or absent oxygen supply </w:t>
      </w:r>
      <w:r w:rsidR="00E11E17" w:rsidRPr="00770477">
        <w:rPr>
          <w:rFonts w:cs="Times New Roman"/>
        </w:rPr>
        <w:t>(US Department of Commerce, n.d.; US EPA, 2015d)</w:t>
      </w:r>
      <w:r w:rsidR="005B1A35" w:rsidRPr="00770477">
        <w:rPr>
          <w:rFonts w:cs="Times New Roman"/>
        </w:rPr>
        <w:t xml:space="preserve">. </w:t>
      </w:r>
    </w:p>
    <w:p w14:paraId="130B57ED" w14:textId="363F67FE" w:rsidR="0028564B" w:rsidRPr="00770477" w:rsidRDefault="005B1A35" w:rsidP="00CC3B2F">
      <w:pPr>
        <w:ind w:firstLine="720"/>
        <w:rPr>
          <w:rFonts w:cs="Times New Roman"/>
        </w:rPr>
      </w:pPr>
      <w:r w:rsidRPr="00770477">
        <w:rPr>
          <w:rFonts w:cs="Times New Roman"/>
        </w:rPr>
        <w:t xml:space="preserve">The </w:t>
      </w:r>
      <w:r w:rsidRPr="00770477">
        <w:rPr>
          <w:rFonts w:cs="Times New Roman"/>
        </w:rPr>
        <w:fldChar w:fldCharType="begin"/>
      </w:r>
      <w:r w:rsidR="002074AD">
        <w:rPr>
          <w:rFonts w:cs="Times New Roman"/>
        </w:rPr>
        <w:instrText xml:space="preserve"> ADDIN ZOTERO_ITEM CSL_CITATION {"citationID":"Lk3Dw2zK","properties":{"formattedCitation":"(US EPA, 2015)","plainCitation":"(US EPA, 2015)","dontUpdate":true,"noteIndex":0},"citationItems":[{"id":560,"uris":["http://zotero.org/users/8423188/items/WUUY4AYN"],"itemData":{"id":560,"type":"webpage","abstract":"This page introduces to the nutrients module, when to list nutrients as a candidate cause, ways to measure nutrients, simple and detailed conceptual diagrams for nutrients, and module references and literature reviews.","genre":"Data and Tools","language":"en","title":"Nutrients","URL":"https://www.epa.gov/caddis-vol2/nutrients","author":[{"family":"US EPA","given":"ORD"}],"accessed":{"date-parts":[["2022",8,22]]},"issued":{"date-parts":[["2015",11,4]]}}}],"schema":"https://github.com/citation-style-language/schema/raw/master/csl-citation.json"} </w:instrText>
      </w:r>
      <w:r w:rsidRPr="00770477">
        <w:rPr>
          <w:rFonts w:cs="Times New Roman"/>
        </w:rPr>
        <w:fldChar w:fldCharType="separate"/>
      </w:r>
      <w:r w:rsidRPr="00770477">
        <w:rPr>
          <w:rFonts w:cs="Times New Roman"/>
          <w:noProof/>
        </w:rPr>
        <w:t>US EPA (2015)</w:t>
      </w:r>
      <w:r w:rsidRPr="00770477">
        <w:rPr>
          <w:rFonts w:cs="Times New Roman"/>
        </w:rPr>
        <w:fldChar w:fldCharType="end"/>
      </w:r>
      <w:r w:rsidRPr="00770477">
        <w:rPr>
          <w:rFonts w:cs="Times New Roman"/>
        </w:rPr>
        <w:t xml:space="preserve"> cites many different sources for increased P flux in the environment both from point sources such as industrial discharges as well as semi-point and non-point sources </w:t>
      </w:r>
      <w:r w:rsidRPr="00770477">
        <w:rPr>
          <w:rFonts w:cs="Times New Roman"/>
        </w:rPr>
        <w:lastRenderedPageBreak/>
        <w:t xml:space="preserve">such as mining, resource extraction, agriculture, and urban development. A </w:t>
      </w:r>
      <w:proofErr w:type="spellStart"/>
      <w:r w:rsidR="00BE46E8">
        <w:rPr>
          <w:rFonts w:cs="Times New Roman"/>
        </w:rPr>
        <w:t>prominant</w:t>
      </w:r>
      <w:proofErr w:type="spellEnd"/>
      <w:r w:rsidRPr="00770477">
        <w:rPr>
          <w:rFonts w:cs="Times New Roman"/>
        </w:rPr>
        <w:t xml:space="preserve"> flux of P in the environment is through soil erosion, although this source alone is not often likely to spark a eutrophication event in a downstream waterbody </w:t>
      </w:r>
      <w:r w:rsidRPr="00770477">
        <w:rPr>
          <w:rFonts w:cs="Times New Roman"/>
        </w:rPr>
        <w:fldChar w:fldCharType="begin"/>
      </w:r>
      <w:r w:rsidR="002074AD">
        <w:rPr>
          <w:rFonts w:cs="Times New Roman"/>
        </w:rPr>
        <w:instrText xml:space="preserve"> ADDIN ZOTERO_ITEM CSL_CITATION {"citationID":"osD0jeRt","properties":{"formattedCitation":"(Schlesinger &amp; Bernhardt, 2013)","plainCitation":"(Schlesinger &amp; Bernhardt, 2013)","noteIndex":0},"citationItems":[{"id":66,"uris":["http://zotero.org/users/8423188/items/E4W4NVLQ"],"itemData":{"id":66,"type":"chapter","container-title":"Biogeochemistry","edition":"3rd","ISBN":"978-0-12-385874-0","language":"en","note":"DOI: 10.1016/B978-0-12-385874-0.09985-4","publisher":"Elsevier","source":"DOI.org (Crossref)","title":"Biogeochemistry: An Analysis of Global Change","URL":"https://linkinghub.elsevier.com/retrieve/pii/B9780123858740099854","author":[{"family":"Schlesinger","given":"William H."},{"family":"Bernhardt","given":"Emily S."}],"accessed":{"date-parts":[["2021",11,18]]},"issued":{"date-parts":[["2013"]]}}}],"schema":"https://github.com/citation-style-language/schema/raw/master/csl-citation.json"} </w:instrText>
      </w:r>
      <w:r w:rsidRPr="00770477">
        <w:rPr>
          <w:rFonts w:cs="Times New Roman"/>
        </w:rPr>
        <w:fldChar w:fldCharType="separate"/>
      </w:r>
      <w:r w:rsidR="00E11E17" w:rsidRPr="00770477">
        <w:rPr>
          <w:rFonts w:cs="Times New Roman"/>
        </w:rPr>
        <w:t>(Schlesinger &amp; Bernhardt, 2013)</w:t>
      </w:r>
      <w:r w:rsidRPr="00770477">
        <w:rPr>
          <w:rFonts w:cs="Times New Roman"/>
        </w:rPr>
        <w:fldChar w:fldCharType="end"/>
      </w:r>
      <w:r w:rsidRPr="00770477">
        <w:rPr>
          <w:rFonts w:cs="Times New Roman"/>
        </w:rPr>
        <w:t xml:space="preserve">. However, the application of P-rich fertilizers </w:t>
      </w:r>
      <w:r w:rsidR="001554E2" w:rsidRPr="00770477">
        <w:rPr>
          <w:rFonts w:cs="Times New Roman"/>
        </w:rPr>
        <w:t>used</w:t>
      </w:r>
      <w:r w:rsidRPr="00770477">
        <w:rPr>
          <w:rFonts w:cs="Times New Roman"/>
        </w:rPr>
        <w:t xml:space="preserve"> in urban development and/or agriculture is often thought of as the primary source for eutrophic events </w:t>
      </w:r>
      <w:r w:rsidRPr="00770477">
        <w:rPr>
          <w:rFonts w:cs="Times New Roman"/>
        </w:rPr>
        <w:fldChar w:fldCharType="begin"/>
      </w:r>
      <w:r w:rsidR="002074AD">
        <w:rPr>
          <w:rFonts w:cs="Times New Roman"/>
        </w:rPr>
        <w:instrText xml:space="preserve"> ADDIN ZOTERO_ITEM CSL_CITATION {"citationID":"fUqT2x93","properties":{"formattedCitation":"(Ul\\uc0\\u233{}n et al., 2007; US EPA, 2015d)","plainCitation":"(Ulén et al., 2007; US EPA, 2015d)","noteIndex":0},"citationItems":[{"id":271,"uris":["http://zotero.org/users/8423188/items/U5DBY6EZ"],"itemData":{"id":271,"type":"article-journal","abstract":"In the north-western European countries Norway, Sweden, United Kingdom (UK) and Ireland, variability in the forms, amounts and timing of phosphorus (P) loss from agricultural land is related to national differences in climate, soil, hydrological conditions and agricultural production. The dissolved form of P constitutes 9–93% of the total phosphorus (TP) in water, subsurface drainage can contribute 12–60% and surface erosion 40–88% of TP transfer. TP export in small agricultural streams is generally in the range 0.3–6 kg ha)1 year)1, with the highest losses in Norway and UK. All four countries are complying with the EU Water Framework Directive and developing a range of measures based on P source with transport controls over P losses. A decreasing trend in TP losses has been detected in agricultural streams following the introduction of measures to reduce erosion in Norway. Average P concentrations in Swedish streams have shown a reduction of nearly 2% per year since 1993 as a result of measures introduced in southern Sweden. However, in two large rivers in agricultural regions of Sweden, the concentrations of suspended solids (SS) and TP were shown to increase by 0.4% and 0.7% per year, respectively, over the period 1975–2004, possibly as a result of climate change. It is too early to detect trends in agricultural contributions to P in surface waters as a result of catchment-sensitive farming (CSF) in the UK and Ireland.","container-title":"Soil Use and Management","DOI":"10.1111/j.1475-2743.2007.00115.x","ISSN":"0266-0032, 1475-2743","issue":"s1","journalAbbreviation":"Soil Use &amp; Management","language":"en","page":"5-15","source":"DOI.org (Crossref)","title":"Agriculture as a phosphorus source for eutrophication in the north-west European countries, Norway, Sweden, United Kingdom and Ireland: a review","title-short":"Agriculture as a phosphorus source for eutrophication in the north-west European countries, Norway, Sweden, United Kingdom and Ireland","volume":"23","author":[{"family":"Ulén","given":"B."},{"family":"Bechmann","given":"M."},{"family":"Fölster","given":"J."},{"family":"Jarvie","given":"H. P."},{"family":"Tunney","given":"H."}],"issued":{"date-parts":[["2007",9]]}}},{"id":560,"uris":["http://zotero.org/users/8423188/items/WUUY4AYN"],"itemData":{"id":560,"type":"webpage","abstract":"This page introduces to the nutrients module, when to list nutrients as a candidate cause, ways to measure nutrients, simple and detailed conceptual diagrams for nutrients, and module references and literature reviews.","genre":"Data and Tools","language":"en","title":"Nutrients","URL":"https://www.epa.gov/caddis-vol2/nutrients","author":[{"family":"US EPA","given":"ORD"}],"accessed":{"date-parts":[["2022",8,22]]},"issued":{"date-parts":[["2015",11,4]]}}}],"schema":"https://github.com/citation-style-language/schema/raw/master/csl-citation.json"} </w:instrText>
      </w:r>
      <w:r w:rsidRPr="00770477">
        <w:rPr>
          <w:rFonts w:cs="Times New Roman"/>
        </w:rPr>
        <w:fldChar w:fldCharType="separate"/>
      </w:r>
      <w:r w:rsidR="00E11E17" w:rsidRPr="00770477">
        <w:rPr>
          <w:rFonts w:cs="Times New Roman"/>
        </w:rPr>
        <w:t>(Ulén et al., 2007; US EPA, 2015d)</w:t>
      </w:r>
      <w:r w:rsidRPr="00770477">
        <w:rPr>
          <w:rFonts w:cs="Times New Roman"/>
        </w:rPr>
        <w:fldChar w:fldCharType="end"/>
      </w:r>
      <w:r w:rsidRPr="00770477">
        <w:rPr>
          <w:rFonts w:cs="Times New Roman"/>
        </w:rPr>
        <w:t xml:space="preserve">. The acceptable limit for P in a waterbody is highly dependent on the ecology, chemistry, and geometry of the receiving waterbody and its associated watershed and is often regulated and monitored on a site-by-site basis </w:t>
      </w:r>
      <w:r w:rsidRPr="00770477">
        <w:rPr>
          <w:rFonts w:cs="Times New Roman"/>
        </w:rPr>
        <w:fldChar w:fldCharType="begin"/>
      </w:r>
      <w:r w:rsidR="002074AD">
        <w:rPr>
          <w:rFonts w:cs="Times New Roman"/>
        </w:rPr>
        <w:instrText xml:space="preserve"> ADDIN ZOTERO_ITEM CSL_CITATION {"citationID":"swi3J4iV","properties":{"formattedCitation":"(US EPA, 2013; {\\i{}Water Quality Standards | Oklahoma Water Resources Board}, n.d.)","plainCitation":"(US EPA, 2013; Water Quality Standards | Oklahoma Water Resources Board, n.d.)","noteIndex":0},"citationItems":[{"id":562,"uris":["http://zotero.org/users/8423188/items/MSJBQ2W7"],"itemData":{"id":562,"type":"webpage","abstract":"Policy and data tools for nutrient pollution reduction efforts.","genre":"Collections and Lists","language":"en","title":"Nutrient Pollution Policy and Data","URL":"https://www.epa.gov/nutrient-policy-data","author":[{"family":"US EPA","given":"OW"}],"accessed":{"date-parts":[["2022",8,22]]},"issued":{"date-parts":[["2013",2,1]]}}},{"id":74,"uris":["http://zotero.org/users/8423188/items/J7Z3VX4P"],"itemData":{"id":74,"type":"webpage","title":"Water Quality Standards | Oklahoma Water Resources Board","URL":"https://www.owrb.ok.gov/quality/standards/standards.php","accessed":{"date-parts":[["2021",11,3]]}}}],"schema":"https://github.com/citation-style-language/schema/raw/master/csl-citation.json"} </w:instrText>
      </w:r>
      <w:r w:rsidRPr="00770477">
        <w:rPr>
          <w:rFonts w:cs="Times New Roman"/>
        </w:rPr>
        <w:fldChar w:fldCharType="separate"/>
      </w:r>
      <w:r w:rsidR="00E11E17" w:rsidRPr="00770477">
        <w:rPr>
          <w:rFonts w:cs="Times New Roman"/>
        </w:rPr>
        <w:t xml:space="preserve">(US EPA, 2013; </w:t>
      </w:r>
      <w:r w:rsidR="00E11E17" w:rsidRPr="00770477">
        <w:rPr>
          <w:rFonts w:cs="Times New Roman"/>
          <w:i/>
          <w:iCs/>
        </w:rPr>
        <w:t>Water Quality Standards | Oklahoma Water Resources Board</w:t>
      </w:r>
      <w:r w:rsidR="00E11E17" w:rsidRPr="00770477">
        <w:rPr>
          <w:rFonts w:cs="Times New Roman"/>
        </w:rPr>
        <w:t>, n.d.)</w:t>
      </w:r>
      <w:r w:rsidRPr="00770477">
        <w:rPr>
          <w:rFonts w:cs="Times New Roman"/>
        </w:rPr>
        <w:fldChar w:fldCharType="end"/>
      </w:r>
      <w:r w:rsidRPr="00770477">
        <w:rPr>
          <w:rFonts w:cs="Times New Roman"/>
        </w:rPr>
        <w:t xml:space="preserve">. There are many strategies for preventing the flux of P through aquatic systems such as fertilizer management and conservation tillage, however these methods often fall short of reaching the necessary P reductions for protecting waterbodies and may not always be an applicable method for P management </w:t>
      </w:r>
      <w:r w:rsidRPr="00770477">
        <w:rPr>
          <w:rFonts w:cs="Times New Roman"/>
        </w:rPr>
        <w:fldChar w:fldCharType="begin"/>
      </w:r>
      <w:r w:rsidR="002074AD">
        <w:rPr>
          <w:rFonts w:cs="Times New Roman"/>
        </w:rPr>
        <w:instrText xml:space="preserve"> ADDIN ZOTERO_ITEM CSL_CITATION {"citationID":"wXxvUi5K","properties":{"formattedCitation":"(Qin et al., 2018)","plainCitation":"(Qin et al., 2018)","noteIndex":0},"citationItems":[{"id":250,"uris":["http://zotero.org/users/8423188/items/L2UI4H3R"],"itemData":{"id":250,"type":"article-journal","abstract":"Stormwater filters are a structural best management practice designed to reduce dissolved P losses from runoff. Various industrial byproducts are suitable for use as P sorbing materials (PSMs) for the treatment of drainage water; P sorption by PSMs varies with material physical and chemical properties. Previously, P removal capacity by PSMs was estimated using chemical extractions. We determined the speciation of P when reacted with various PSMs using X-ray absorption near edge structure (XANES) spectroscopy. Twelve PSMs were reacted with P solution in the laboratory under batch or flow-through conditions. In addition, three slag materials were collected from working stormwater filtration structures. Phosphorus K-edge XANES spectra were collected on each reacted PSM and compared with spectra of 22 known P standards using linear combination fitting in Athena. We found evidence of formation of a variety of Ca-, Al-, and/or Fe-phosphate minerals and sorbed phases on the reacted PSMs, with the exact speciation influenced by the chemical properties of the original unreacted PSMs. We grouped PSMs into three general categories based on the dominant P removal mechanism: (i) Fe- and Al-mediated removal [i.e., adsorption of P to Fe- or Al-(hydro-)oxide minerals and/or precipitation of Fe- or Alphosphate minerals]; (ii) Ca-mediated removal (i.e., precipitation of Ca-phosphate mineral); and (iii) both mechanisms. We recommend the use of Fe/Al sorbing PSMs for use in stormwater filtration structures where stormwater retention time is limited because reaction of P with Fe or Al generally occurs more quickly than Ca-P precipitation.","container-title":"Journal of Environmental Quality","DOI":"10.2134/jeq2018.02.0064","ISSN":"0047-2425, 1537-2537","issue":"5","journalAbbreviation":"J. environ. qual.","language":"en","page":"1232-1241","source":"DOI.org (Crossref)","title":"Mechanisms of Phosphorus Removal by Phosphorus Sorbing Materials","volume":"47","author":[{"family":"Qin","given":"Zhixuan"},{"family":"Shober","given":"Amy L."},{"family":"Scheckel","given":"Kirk G."},{"family":"Penn","given":"Chad J."},{"family":"Turner","given":"Kathryn C."}],"issued":{"date-parts":[["2018",9]]}}}],"schema":"https://github.com/citation-style-language/schema/raw/master/csl-citation.json"} </w:instrText>
      </w:r>
      <w:r w:rsidRPr="00770477">
        <w:rPr>
          <w:rFonts w:cs="Times New Roman"/>
        </w:rPr>
        <w:fldChar w:fldCharType="separate"/>
      </w:r>
      <w:r w:rsidR="00E11E17" w:rsidRPr="00770477">
        <w:rPr>
          <w:rFonts w:cs="Times New Roman"/>
        </w:rPr>
        <w:t>(Qin et al., 2018)</w:t>
      </w:r>
      <w:r w:rsidRPr="00770477">
        <w:rPr>
          <w:rFonts w:cs="Times New Roman"/>
        </w:rPr>
        <w:fldChar w:fldCharType="end"/>
      </w:r>
      <w:r w:rsidRPr="00770477">
        <w:rPr>
          <w:rFonts w:cs="Times New Roman"/>
        </w:rPr>
        <w:t xml:space="preserve">. </w:t>
      </w:r>
    </w:p>
    <w:p w14:paraId="3C2C468C" w14:textId="1F0D62A4" w:rsidR="009C3051" w:rsidRPr="00770477" w:rsidRDefault="005B1A35" w:rsidP="00CC3B2F">
      <w:pPr>
        <w:ind w:firstLine="720"/>
        <w:rPr>
          <w:rFonts w:cs="Times New Roman"/>
          <w:noProof/>
        </w:rPr>
      </w:pPr>
      <w:r w:rsidRPr="00770477">
        <w:rPr>
          <w:rFonts w:cs="Times New Roman"/>
        </w:rPr>
        <w:t xml:space="preserve">Instead, a common strategy is to utilize bioretention swales to provide a low cost, aesthetic, and small footprint solution </w:t>
      </w:r>
      <w:r w:rsidRPr="00770477">
        <w:rPr>
          <w:rFonts w:cs="Times New Roman"/>
        </w:rPr>
        <w:fldChar w:fldCharType="begin"/>
      </w:r>
      <w:r w:rsidR="002074AD">
        <w:rPr>
          <w:rFonts w:cs="Times New Roman"/>
        </w:rPr>
        <w:instrText xml:space="preserve"> ADDIN ZOTERO_ITEM CSL_CITATION {"citationID":"URGMLcEA","properties":{"formattedCitation":"(Arias et al., 2001; Davis et al., 2001, 2006; Hsieh et al., 2007; Lyngsie et al., 2014; Paus et al., 2014; Qin et al., 2018)","plainCitation":"(Arias et al., 2001; Davis et al., 2001, 2006; Hsieh et al., 2007; Lyngsie et al., 2014; Paus et al., 2014; Qin et al., 2018)","noteIndex":0},"citationItems":[{"id":570,"uris":["http://zotero.org/users/8423188/items/IV9DVR7L"],"itemData":{"id":570,"type":"article-journal","container-title":"Water Research","DOI":"10.1016/S0043-1354(00)00368-7","ISSN":"00431354","issue":"5","journalAbbreviation":"Water Research","language":"en","page":"1159-1168","source":"DOI.org (Crossref)","title":"Phosphorus removal by sands for use as media in subsurface flow constructed reed beds","volume":"35","author":[{"family":"Arias","given":"C.A"},{"family":"Del Bubba","given":"M"},{"family":"Brix","given":"H"}],"issued":{"date-parts":[["2001",4]]}}},{"id":"6PIx2nXX/xAQEnExs","uris":["http://zotero.org/users/8423188/items/XGESB6GG"],"itemData":{"id":574,"type":"article-journal","abstract":"Urban stormwater runoff contains a broad range of pollutants that are transported to natural water systems. A practice known as biological retention (bioretention) has been suggested to manage stormwater runoff from small, developed areas. Bioretention facilities consist of porous soil, a topping layer of hardwood mulch, and a variety of different plant species. A detailed study of the characteristics and performance of bioretention systems for the removal of several heavy metals (copper, lead, and zinc) and nutrients (phosphorus, total Kjeldahl nitrogen [TKN], ammonium, and nitrate) from a synthetic urban stormwater runoff was completed using batch and column adsorption studies along with pilot-scale laboratory systems. The roles of the soil, mulch, and plants in the removal of heavy metals and nutrients were evaluated to estimate the treatment capacity of laboratory bioretention systems. Reductions in concentrations of all metals were excellent (&gt;90%) with specific metal removals of 15 to 145 mg/m2 per event. Moderate reductions of TKN, ammonium, and phosphorus levels were found (60 to 80%). Little nitrate was removed, and nitrate production was noted in several cases. The importance of the mulch layer in metal removal was identified. Overall results support the use of bioretention as a stormwater best management practice and indicate the need for further research and development. Water Environ. Res., 73, 5 (2001).","container-title":"Water Environment Research","DOI":"10.2175/106143001X138624","ISSN":"10614303","issue":"1","journalAbbreviation":"Water Environment Research","language":"en","page":"5-14","source":"DOI.org (Crossref)","title":"Laboratory Study of Biological Retention for Urban Stormwater Management","volume":"73","author":[{"family":"Davis","given":"Allen P."},{"family":"Shokouhian","given":"Mohammad"},{"family":"Sharma","given":"Himanshu"},{"family":"Minami","given":"Christie"}],"issued":{"date-parts":[["2001",1]]}}},{"id":281,"uris":["http://zotero.org/users/8423188/items/279KQFGG"],"itemData":{"id":281,"type":"article-journal","abstract":"High nutrient inputs and eutrophication continue to be one of the highest priority water quality problems. Bioretention is a low-impact development technology that has been advocated for use in urban and other developed areas. This work provides an in-depth analysis on removal of nutrients from a synthetic stormwater runoff by bioretention. Results have indicated good removal of phosphorus (70 to 85%) and total Kjeldahl nitrogen (55 to 65%). Nitrate reduction was poor (&lt;20%) and, in several cases, nitrate production was noted. Variations in flowrate (intensity) and duration had a moderate affect on nutrient removal. Mass balances demonstrate the importance of water attenuation in the facility in reducing mass nutrient loads. Captured nitrogen can be converted to nitrate between storm events and subsequently washed from the system. Analysis on the fate of nutrients in bioretention suggests that accumulation of phosphorus and nitrogen may be controlled by carefully managing growing and harvesting of vegetation. Water Environ. Res., 78, 284 (2006).","container-title":"Water Environment Research","DOI":"10.2175/106143005X94376","ISSN":"10614303","issue":"3","journalAbbreviation":"Water Environment Research","language":"en","page":"284-293","source":"DOI.org (Crossref)","title":"Water Quality Improvement through Bioretention Media: Nitrogen and Phosphorus Removal","title-short":"Water Quality Improvement through Bioretention Media","volume":"78","author":[{"family":"Davis","given":"Allen P."},{"family":"Shokouhian","given":"Mohammad"},{"family":"Sharma","given":"Himanshu"},{"family":"Minami","given":"Christie"}],"issued":{"date-parts":[["2006",3]]}}},{"id":86,"uris":["http://zotero.org/users/8423188/items/NC6GWK94"],"itemData":{"id":86,"type":"article-journal","container-title":"Water Environment Research","DOI":"10.2175/106143006X111745","ISSN":"10614303","issue":"2","journalAbbreviation":"Water Environment Research","language":"en","page":"177-184","source":"DOI.org (Crossref)","title":"Bioretention Column Studies of Phosphorus Removal from Urban Stormwater Runoff","volume":"79","author":[{"family":"Hsieh","given":"Chi-hsu"},{"family":"Davis","given":"Allen P."},{"family":"Needelman","given":"Brian A."}],"issued":{"date-parts":[["2007",2]]}}},{"id":252,"uris":["http://zotero.org/users/8423188/items/8TPIW58S"],"itemData":{"id":252,"type":"article-journal","abstract":"Phosphorus (P) eutrophication of lakes and streams, coming from drained farmlands, is a serious problem in areas with intensive agriculture. Installation of P sorbing ﬁlters at drain outlets may be a solution. Efﬁcient sorbents to be used for such ﬁlters must possess high P bonding afﬁnity to retain ortho-phosphate (Pi) at low concentrations. In addition high P sorption capacity, fast bonding and low desorption is necessary. In this study ﬁve potential ﬁlter materials (Filtralite-PÒ, limestone, calcinated diatomaceous earth, shell-sand and iron-oxide based CFH) in four particle size intervals were investigated under ﬁeld relevant P concentrations (0e161 mM) and retentions times of 0e24 min. Of the ﬁve materials examined, the results from P sorption and desorption studies clearly demonstrate that the iron based CFH is superior as a ﬁlter material compared to calcium based materials when tested against criteria for sorption afﬁnity, capacity and stability. The ﬁnest CFH and Filtralite-PÒ fractions (0.05e0.5 mm) were best with P retention of !90% of Pi from an initial concentration of 161 mM corresponding to 14.5 mmol/kg sorbed within 24 min. They were further capable to retain !90% of Pi from an initially 16 mM solution within 1½ min. However, only the ﬁnest CFH fraction was also able to retain !90% of Pi sorbed from the 16 mM solution against 4 times desorption sequences with 6 mM KNO3. Among the materials investigated, the ﬁnest CFH fraction is therefore the only suitable ﬁlter material, when very fast and strong bonding of high Pi concentrations is needed, e.g. in drains under P rich soils during extreme weather conditions.","container-title":"Water Research","DOI":"10.1016/j.watres.2013.10.061","ISSN":"00431354","journalAbbreviation":"Water Research","language":"en","page":"256-265","source":"DOI.org (Crossref)","title":"A three-step test of phosphate sorption efficiency of potential agricultural drainage filter materials","volume":"51","author":[{"family":"Lyngsie","given":"G."},{"family":"Borggaard","given":"O.K."},{"family":"Hansen","given":"H.C.B."}],"issued":{"date-parts":[["2014",3]]}}},{"id":283,"uris":["http://zotero.org/users/8423188/items/H5DWI5LJ"],"itemData":{"id":283,"type":"article-journal","abstract":"Batch and column experiments were conducted to investigate the effects of compost volume fraction (CVF; 0–50%) on bioretention media hydraulic conductivity, toxic metal (i.e., Cd, Zn, and Cu) capture, and phosphorus (P) release. Three sources of compost were tested and all exhibited high Cd and Zn sorption capacities. Thus, metal breakthrough times in the columns increased with increasing CVF. Typical breakthrough behavior was not observed for Cu, because little to no Cu was observed in the column effluents after more than 1,000 pore volumes. The unique behavior of Cu was attributable to its precipitation in the synthetic storm water with removal primarily attributed to filtration rather than sorption. Although beneficial for metal removal from storm water, increasing the CVF of the media resulted in reduced hydraulic conductivity and significant release of P. The release of nutrients from compost is a significant concern, and addition of a second layer of media beneath the compost-amended sand to promote P retention, such as iron-amended sand, should be considered. DOI: 10.1061/(ASCE)EE.1943-7870.0000846. © 2014 American Society of Civil Engineers.","container-title":"Journal of Environmental Engineering","DOI":"10.1061/(ASCE)EE.1943-7870.0000846","ISSN":"0733-9372, 1943-7870","issue":"10","journalAbbreviation":"J. Environ. Eng.","language":"en","page":"04014033","source":"DOI.org (Crossref)","title":"Effects of Bioretention Media Compost Volume Fraction on Toxic Metals Removal, Hydraulic Conductivity, and Phosphorous Release","volume":"140","author":[{"family":"Paus","given":"Kim H."},{"family":"Morgan","given":"Joel"},{"family":"Gulliver","given":"John S."},{"family":"Hozalski","given":"Raymond M."}],"issued":{"date-parts":[["2014",10]]}}},{"id":250,"uris":["http://zotero.org/users/8423188/items/L2UI4H3R"],"itemData":{"id":250,"type":"article-journal","abstract":"Stormwater filters are a structural best management practice designed to reduce dissolved P losses from runoff. Various industrial byproducts are suitable for use as P sorbing materials (PSMs) for the treatment of drainage water; P sorption by PSMs varies with material physical and chemical properties. Previously, P removal capacity by PSMs was estimated using chemical extractions. We determined the speciation of P when reacted with various PSMs using X-ray absorption near edge structure (XANES) spectroscopy. Twelve PSMs were reacted with P solution in the laboratory under batch or flow-through conditions. In addition, three slag materials were collected from working stormwater filtration structures. Phosphorus K-edge XANES spectra were collected on each reacted PSM and compared with spectra of 22 known P standards using linear combination fitting in Athena. We found evidence of formation of a variety of Ca-, Al-, and/or Fe-phosphate minerals and sorbed phases on the reacted PSMs, with the exact speciation influenced by the chemical properties of the original unreacted PSMs. We grouped PSMs into three general categories based on the dominant P removal mechanism: (i) Fe- and Al-mediated removal [i.e., adsorption of P to Fe- or Al-(hydro-)oxide minerals and/or precipitation of Fe- or Alphosphate minerals]; (ii) Ca-mediated removal (i.e., precipitation of Ca-phosphate mineral); and (iii) both mechanisms. We recommend the use of Fe/Al sorbing PSMs for use in stormwater filtration structures where stormwater retention time is limited because reaction of P with Fe or Al generally occurs more quickly than Ca-P precipitation.","container-title":"Journal of Environmental Quality","DOI":"10.2134/jeq2018.02.0064","ISSN":"0047-2425, 1537-2537","issue":"5","journalAbbreviation":"J. environ. qual.","language":"en","page":"1232-1241","source":"DOI.org (Crossref)","title":"Mechanisms of Phosphorus Removal by Phosphorus Sorbing Materials","volume":"47","author":[{"family":"Qin","given":"Zhixuan"},{"family":"Shober","given":"Amy L."},{"family":"Scheckel","given":"Kirk G."},{"family":"Penn","given":"Chad J."},{"family":"Turner","given":"Kathryn C."}],"issued":{"date-parts":[["2018",9]]}}}],"schema":"https://github.com/citation-style-language/schema/raw/master/csl-citation.json"} </w:instrText>
      </w:r>
      <w:r w:rsidRPr="00770477">
        <w:rPr>
          <w:rFonts w:cs="Times New Roman"/>
        </w:rPr>
        <w:fldChar w:fldCharType="separate"/>
      </w:r>
      <w:r w:rsidR="00E11E17" w:rsidRPr="00770477">
        <w:rPr>
          <w:rFonts w:cs="Times New Roman"/>
        </w:rPr>
        <w:t>(Arias et al., 2001; Davis et al., 2001, 2006; Hsieh et al., 2007; Lyngsie et al., 2014; Paus et al., 2014; Qin et al., 2018)</w:t>
      </w:r>
      <w:r w:rsidRPr="00770477">
        <w:rPr>
          <w:rFonts w:cs="Times New Roman"/>
        </w:rPr>
        <w:fldChar w:fldCharType="end"/>
      </w:r>
      <w:r w:rsidRPr="00770477">
        <w:rPr>
          <w:rFonts w:cs="Times New Roman"/>
        </w:rPr>
        <w:t xml:space="preserve">. Previous studies have shown promising results with total P removals between 55% and 85% </w:t>
      </w:r>
      <w:r w:rsidRPr="00770477">
        <w:rPr>
          <w:rFonts w:cs="Times New Roman"/>
        </w:rPr>
        <w:fldChar w:fldCharType="begin"/>
      </w:r>
      <w:r w:rsidR="002074AD">
        <w:rPr>
          <w:rFonts w:cs="Times New Roman"/>
        </w:rPr>
        <w:instrText xml:space="preserve"> ADDIN ZOTERO_ITEM CSL_CITATION {"citationID":"3zAEm8au","properties":{"formattedCitation":"(Carleton et al., 2001; Davis et al., 2001, 2006)","plainCitation":"(Carleton et al., 2001; Davis et al., 2001, 2006)","noteIndex":0},"citationItems":[{"id":578,"uris":["http://zotero.org/users/8423188/items/WF2ZQ4MU"],"itemData":{"id":578,"type":"article-journal","container-title":"Water Research","DOI":"10.1016/S0043-1354(00)00416-4","ISSN":"00431354","issue":"6","journalAbbreviation":"Water Research","language":"en","page":"1552-1562","source":"DOI.org (Crossref)","title":"Factors affecting the performance of stormwater treatment wetlands","volume":"35","author":[{"family":"Carleton","given":"J.N"},{"family":"Grizzard","given":"T.J"},{"family":"Godrej","given":"A.N"},{"family":"Post","given":"H.E"}],"issued":{"date-parts":[["2001",4]]}}},{"id":"6PIx2nXX/xAQEnExs","uris":["http://zotero.org/users/8423188/items/XGESB6GG"],"itemData":{"id":574,"type":"article-journal","abstract":"Urban stormwater runoff contains a broad range of pollutants that are transported to natural water systems. A practice known as biological retention (bioretention) has been suggested to manage stormwater runoff from small, developed areas. Bioretention facilities consist of porous soil, a topping layer of hardwood mulch, and a variety of different plant species. A detailed study of the characteristics and performance of bioretention systems for the removal of several heavy metals (copper, lead, and zinc) and nutrients (phosphorus, total Kjeldahl nitrogen [TKN], ammonium, and nitrate) from a synthetic urban stormwater runoff was completed using batch and column adsorption studies along with pilot-scale laboratory systems. The roles of the soil, mulch, and plants in the removal of heavy metals and nutrients were evaluated to estimate the treatment capacity of laboratory bioretention systems. Reductions in concentrations of all metals were excellent (&gt;90%) with specific metal removals of 15 to 145 mg/m2 per event. Moderate reductions of TKN, ammonium, and phosphorus levels were found (60 to 80%). Little nitrate was removed, and nitrate production was noted in several cases. The importance of the mulch layer in metal removal was identified. Overall results support the use of bioretention as a stormwater best management practice and indicate the need for further research and development. Water Environ. Res., 73, 5 (2001).","container-title":"Water Environment Research","DOI":"10.2175/106143001X138624","ISSN":"10614303","issue":"1","journalAbbreviation":"Water Environment Research","language":"en","page":"5-14","source":"DOI.org (Crossref)","title":"Laboratory Study of Biological Retention for Urban Stormwater Management","volume":"73","author":[{"family":"Davis","given":"Allen P."},{"family":"Shokouhian","given":"Mohammad"},{"family":"Sharma","given":"Himanshu"},{"family":"Minami","given":"Christie"}],"issued":{"date-parts":[["2001",1]]}}},{"id":281,"uris":["http://zotero.org/users/8423188/items/279KQFGG"],"itemData":{"id":281,"type":"article-journal","abstract":"High nutrient inputs and eutrophication continue to be one of the highest priority water quality problems. Bioretention is a low-impact development technology that has been advocated for use in urban and other developed areas. This work provides an in-depth analysis on removal of nutrients from a synthetic stormwater runoff by bioretention. Results have indicated good removal of phosphorus (70 to 85%) and total Kjeldahl nitrogen (55 to 65%). Nitrate reduction was poor (&lt;20%) and, in several cases, nitrate production was noted. Variations in flowrate (intensity) and duration had a moderate affect on nutrient removal. Mass balances demonstrate the importance of water attenuation in the facility in reducing mass nutrient loads. Captured nitrogen can be converted to nitrate between storm events and subsequently washed from the system. Analysis on the fate of nutrients in bioretention suggests that accumulation of phosphorus and nitrogen may be controlled by carefully managing growing and harvesting of vegetation. Water Environ. Res., 78, 284 (2006).","container-title":"Water Environment Research","DOI":"10.2175/106143005X94376","ISSN":"10614303","issue":"3","journalAbbreviation":"Water Environment Research","language":"en","page":"284-293","source":"DOI.org (Crossref)","title":"Water Quality Improvement through Bioretention Media: Nitrogen and Phosphorus Removal","title-short":"Water Quality Improvement through Bioretention Media","volume":"78","author":[{"family":"Davis","given":"Allen P."},{"family":"Shokouhian","given":"Mohammad"},{"family":"Sharma","given":"Himanshu"},{"family":"Minami","given":"Christie"}],"issued":{"date-parts":[["2006",3]]}}}],"schema":"https://github.com/citation-style-language/schema/raw/master/csl-citation.json"} </w:instrText>
      </w:r>
      <w:r w:rsidRPr="00770477">
        <w:rPr>
          <w:rFonts w:cs="Times New Roman"/>
        </w:rPr>
        <w:fldChar w:fldCharType="separate"/>
      </w:r>
      <w:r w:rsidR="00E11E17" w:rsidRPr="00770477">
        <w:rPr>
          <w:rFonts w:cs="Times New Roman"/>
        </w:rPr>
        <w:t>(Carleton et al., 2001; Davis et al., 2001, 2006)</w:t>
      </w:r>
      <w:r w:rsidRPr="00770477">
        <w:rPr>
          <w:rFonts w:cs="Times New Roman"/>
        </w:rPr>
        <w:fldChar w:fldCharType="end"/>
      </w:r>
      <w:r w:rsidRPr="00770477">
        <w:rPr>
          <w:rFonts w:cs="Times New Roman"/>
        </w:rPr>
        <w:t xml:space="preserve"> with one study reporting only 39% total P removal </w:t>
      </w:r>
      <w:r w:rsidRPr="00770477">
        <w:rPr>
          <w:rFonts w:cs="Times New Roman"/>
        </w:rPr>
        <w:fldChar w:fldCharType="begin"/>
      </w:r>
      <w:r w:rsidR="002074AD">
        <w:rPr>
          <w:rFonts w:cs="Times New Roman"/>
        </w:rPr>
        <w:instrText xml:space="preserve"> ADDIN ZOTERO_ITEM CSL_CITATION {"citationID":"C5WFFscb","properties":{"formattedCitation":"(Barrett, 2003)","plainCitation":"(Barrett, 2003)","noteIndex":0},"citationItems":[{"id":576,"uris":["http://zotero.org/users/8423188/items/9X2Y2FU7"],"itemData":{"id":576,"type":"article-journal","abstract":"Five Austin-style sand ﬁlters were constructed by the California Department of Transportation ͑CALTRANS͒ as retroﬁt projects for maintenance yards and park-and-ride facilities in the Los Angeles and San Diego metropolitan areas. Each of these ﬁlter systems included storm-water monitoring equipment for collection of ﬂow weighted composite samples. In addition, detailed records were compiled of the design elements, construction costs, and type and amount of maintenance required at each of the sites. The construction costs were relatively high because of the retroﬁt nature of the project and the integration of the CALTRANS storm-drain system with those of the adjoining metropolitan areas, which eliminated any opportunities for economies of scale. An analysis of performance using linear-regression techniques indicated that for sediment and almost all particle associated constituents, efﬂuent concentration was independent of inﬂuent concentration. For instance, the average suspended solids concentration in treated runoff was 7.8Ϯ1.2 mg/L ͑at the 90% conﬁdence level͒ regardless of observed inﬂuent concentration. The constant efﬂuent quality produced for the particulate constituents indicates that the calculation of a percent reduction is more indicative of the inﬂuent concentration rather than the performance of the ﬁlter itself. Rejuvenation of the ﬁlter bed was required at three sites after 3 years of operation when the solids loading to the system was between 5 and 7.5 kg/m2 of ﬁlter area. However, the clogging may have been accelerated by problems with the pumps that resulted in standing water on the ﬁlter for extended periods. Other maintenance activities consisted mainly of inspections, pump repair, and activities to reduce mosquito breeding. The main impediment to widespread implementation is the initial construction cost; however, modiﬁcations of the ﬁlter conﬁguration and media may reduce these costs and increase effectiveness, thereby making the technology more attractive.","container-title":"Journal of Water Resources Planning and Management","DOI":"10.1061/(ASCE)0733-9496(2003)129:3(234)","ISSN":"0733-9496, 1943-5452","issue":"3","journalAbbreviation":"J. Water Resour. Plann. Manage.","language":"en","page":"234-242","source":"DOI.org (Crossref)","title":"Performance, Cost, and Maintenance Requirements of Austin Sand Filters","volume":"129","author":[{"family":"Barrett","given":"Michael E."}],"issued":{"date-parts":[["2003",5]]}}}],"schema":"https://github.com/citation-style-language/schema/raw/master/csl-citation.json"} </w:instrText>
      </w:r>
      <w:r w:rsidRPr="00770477">
        <w:rPr>
          <w:rFonts w:cs="Times New Roman"/>
        </w:rPr>
        <w:fldChar w:fldCharType="separate"/>
      </w:r>
      <w:r w:rsidR="00E11E17" w:rsidRPr="00770477">
        <w:rPr>
          <w:rFonts w:cs="Times New Roman"/>
        </w:rPr>
        <w:t>(Barrett, 2003)</w:t>
      </w:r>
      <w:r w:rsidRPr="00770477">
        <w:rPr>
          <w:rFonts w:cs="Times New Roman"/>
        </w:rPr>
        <w:fldChar w:fldCharType="end"/>
      </w:r>
      <w:r w:rsidRPr="00770477">
        <w:rPr>
          <w:rFonts w:cs="Times New Roman"/>
        </w:rPr>
        <w:t xml:space="preserve">. While the contents and chemistry of a bioretention swale </w:t>
      </w:r>
      <w:r w:rsidR="007725D8" w:rsidRPr="00770477">
        <w:rPr>
          <w:rFonts w:cs="Times New Roman"/>
        </w:rPr>
        <w:t>are</w:t>
      </w:r>
      <w:r w:rsidRPr="00770477">
        <w:rPr>
          <w:rFonts w:cs="Times New Roman"/>
        </w:rPr>
        <w:t xml:space="preserve"> major contributing factor</w:t>
      </w:r>
      <w:r w:rsidR="003833A9" w:rsidRPr="00770477">
        <w:rPr>
          <w:rFonts w:cs="Times New Roman"/>
        </w:rPr>
        <w:t>s</w:t>
      </w:r>
      <w:r w:rsidRPr="00770477">
        <w:rPr>
          <w:rFonts w:cs="Times New Roman"/>
        </w:rPr>
        <w:t xml:space="preserve"> to a swale’s success at removing or adding P, other factors such as media layering, plant type, and proper maintenance play a </w:t>
      </w:r>
      <w:proofErr w:type="spellStart"/>
      <w:r w:rsidR="00BE46E8">
        <w:rPr>
          <w:rFonts w:cs="Times New Roman"/>
        </w:rPr>
        <w:t>prominant</w:t>
      </w:r>
      <w:proofErr w:type="spellEnd"/>
      <w:r w:rsidRPr="00770477">
        <w:rPr>
          <w:rFonts w:cs="Times New Roman"/>
        </w:rPr>
        <w:t xml:space="preserve"> role in P removal efficiency </w:t>
      </w:r>
      <w:r w:rsidRPr="00770477">
        <w:rPr>
          <w:rFonts w:cs="Times New Roman"/>
        </w:rPr>
        <w:fldChar w:fldCharType="begin"/>
      </w:r>
      <w:r w:rsidR="002074AD">
        <w:rPr>
          <w:rFonts w:cs="Times New Roman"/>
        </w:rPr>
        <w:instrText xml:space="preserve"> ADDIN ZOTERO_ITEM CSL_CITATION {"citationID":"pYyi5Tn4","properties":{"formattedCitation":"(Hsieh et al., 2007)","plainCitation":"(Hsieh et al., 2007)","noteIndex":0},"citationItems":[{"id":86,"uris":["http://zotero.org/users/8423188/items/NC6GWK94"],"itemData":{"id":86,"type":"article-journal","container-title":"Water Environment Research","DOI":"10.2175/106143006X111745","ISSN":"10614303","issue":"2","journalAbbreviation":"Water Environment Research","language":"en","page":"177-184","source":"DOI.org (Crossref)","title":"Bioretention Column Studies of Phosphorus Removal from Urban Stormwater Runoff","volume":"79","author":[{"family":"Hsieh","given":"Chi-hsu"},{"family":"Davis","given":"Allen P."},{"family":"Needelman","given":"Brian A."}],"issued":{"date-parts":[["2007",2]]}}}],"schema":"https://github.com/citation-style-language/schema/raw/master/csl-citation.json"} </w:instrText>
      </w:r>
      <w:r w:rsidRPr="00770477">
        <w:rPr>
          <w:rFonts w:cs="Times New Roman"/>
        </w:rPr>
        <w:fldChar w:fldCharType="separate"/>
      </w:r>
      <w:r w:rsidR="00E11E17" w:rsidRPr="00770477">
        <w:rPr>
          <w:rFonts w:cs="Times New Roman"/>
        </w:rPr>
        <w:t>(Hsieh et al., 2007)</w:t>
      </w:r>
      <w:r w:rsidRPr="00770477">
        <w:rPr>
          <w:rFonts w:cs="Times New Roman"/>
        </w:rPr>
        <w:fldChar w:fldCharType="end"/>
      </w:r>
      <w:r w:rsidRPr="00770477">
        <w:rPr>
          <w:rFonts w:cs="Times New Roman"/>
        </w:rPr>
        <w:t xml:space="preserve">. A wide array of sorptive media have been explored for P sorption </w:t>
      </w:r>
      <w:r w:rsidRPr="00770477">
        <w:rPr>
          <w:rFonts w:cs="Times New Roman"/>
        </w:rPr>
        <w:fldChar w:fldCharType="begin"/>
      </w:r>
      <w:r w:rsidR="002074AD">
        <w:rPr>
          <w:rFonts w:cs="Times New Roman"/>
        </w:rPr>
        <w:instrText xml:space="preserve"> ADDIN ZOTERO_ITEM CSL_CITATION {"citationID":"Umhq8jFY","properties":{"formattedCitation":"(Agyei et al., 2002; Arias et al., 2001; Davis et al., 2006; Hsieh et al., 2007; Kandel et al., 2017; S. Li et al., 2017; Lyngsie et al., 2014; Okochi &amp; McMartin, 2012; Paus et al., 2014; Scott &amp; Penn, 2021; Tang &amp; Nairn, 2021; W. Zhang et al., 2008)","plainCitation":"(Agyei et al., 2002; Arias et al., 2001; Davis et al., 2006; Hsieh et al., 2007; Kandel et al., 2017; S. Li et al., 2017; Lyngsie et al., 2014; Okochi &amp; McMartin, 2012; Paus et al., 2014; Scott &amp; Penn, 2021; Tang &amp; Nairn, 2021; W. Zhang et al., 2008)","noteIndex":0},"citationItems":[{"id":82,"uris":["http://zotero.org/users/8423188/items/HN5FGA5G"],"itemData":{"id":82,"type":"article-journal","abstract":"Phosphate ions have been removed from aqueous solution by fly ash, slag, ordinary Portland cement (OPC) and related cement blends. The rate and efficiency of PO43 À removal were found to increase in the order: fly ash, slag, OPC, apparently mimicking the order of increasing percent CaO in the adsorbents. Blending OPC with fly ash or slag evidently results in diminished PO43 À removal efficiency. Better removal was obtained at higher solute concentration, acidic pH and higher temperature. The effect of particle size and the speed of mixing were found not to be significant. A first-order kinetic model was used to obtain values for overall sorption rate constants and intraparticle diffusion constants. The Frumkin isotherm was found to be the appropriate equation for modelling isotherms from the experimental adsorption data, and values have been obtained for the isotherm constants. A 400-mg/l PO43 À (as P) solution was fed at a steady velocity of 2.0 cm/min through a 2.0-cm fixed-bed column (at pH 9.0 and 25 °C), and breakthrough curves were constructed to obtain estimated adsorption capacity values of 32, 60, 75, 78 and 83 mg PO43 À /g adsorbent for fly ash, slag, OPC + fly ash, OPC + slag and OPC, respectively.","container-title":"Cement and Concrete Research","DOI":"10.1016/S0008-8846(02)00888-8","ISSN":"00088846","issue":"12","journalAbbreviation":"Cement and Concrete Research","language":"en","page":"1889-1897","source":"DOI.org (Crossref)","title":"The removal of phosphate ions from aqueous solution by fly ash, slag, ordinary Portland cement and related blends","volume":"32","author":[{"family":"Agyei","given":"N.M."},{"family":"Strydom","given":"C.A."},{"family":"Potgieter","given":"J.H."}],"issued":{"date-parts":[["2002",12]]}}},{"id":570,"uris":["http://zotero.org/users/8423188/items/IV9DVR7L"],"itemData":{"id":570,"type":"article-journal","container-title":"Water Research","DOI":"10.1016/S0043-1354(00)00368-7","ISSN":"00431354","issue":"5","journalAbbreviation":"Water Research","language":"en","page":"1159-1168","source":"DOI.org (Crossref)","title":"Phosphorus removal by sands for use as media in subsurface flow constructed reed beds","volume":"35","author":[{"family":"Arias","given":"C.A"},{"family":"Del Bubba","given":"M"},{"family":"Brix","given":"H"}],"issued":{"date-parts":[["2001",4]]}}},{"id":281,"uris":["http://zotero.org/users/8423188/items/279KQFGG"],"itemData":{"id":281,"type":"article-journal","abstract":"High nutrient inputs and eutrophication continue to be one of the highest priority water quality problems. Bioretention is a low-impact development technology that has been advocated for use in urban and other developed areas. This work provides an in-depth analysis on removal of nutrients from a synthetic stormwater runoff by bioretention. Results have indicated good removal of phosphorus (70 to 85%) and total Kjeldahl nitrogen (55 to 65%). Nitrate reduction was poor (&lt;20%) and, in several cases, nitrate production was noted. Variations in flowrate (intensity) and duration had a moderate affect on nutrient removal. Mass balances demonstrate the importance of water attenuation in the facility in reducing mass nutrient loads. Captured nitrogen can be converted to nitrate between storm events and subsequently washed from the system. Analysis on the fate of nutrients in bioretention suggests that accumulation of phosphorus and nitrogen may be controlled by carefully managing growing and harvesting of vegetation. Water Environ. Res., 78, 284 (2006).","container-title":"Water Environment Research","DOI":"10.2175/106143005X94376","ISSN":"10614303","issue":"3","journalAbbreviation":"Water Environment Research","language":"en","page":"284-293","source":"DOI.org (Crossref)","title":"Water Quality Improvement through Bioretention Media: Nitrogen and Phosphorus Removal","title-short":"Water Quality Improvement through Bioretention Media","volume":"78","author":[{"family":"Davis","given":"Allen P."},{"family":"Shokouhian","given":"Mohammad"},{"family":"Sharma","given":"Himanshu"},{"family":"Minami","given":"Christie"}],"issued":{"date-parts":[["2006",3]]}},"label":"page"},{"id":86,"uris":["http://zotero.org/users/8423188/items/NC6GWK94"],"itemData":{"id":86,"type":"article-journal","container-title":"Water Environment Research","DOI":"10.2175/106143006X111745","ISSN":"10614303","issue":"2","journalAbbreviation":"Water Environment Research","language":"en","page":"177-184","source":"DOI.org (Crossref)","title":"Bioretention Column Studies of Phosphorus Removal from Urban Stormwater Runoff","volume":"79","author":[{"family":"Hsieh","given":"Chi-hsu"},{"family":"Davis","given":"Allen P."},{"family":"Needelman","given":"Brian A."}],"issued":{"date-parts":[["2007",2]]}}},{"id":83,"uris":["http://zotero.org/users/8423188/items/PRJYJ92J"],"itemData":{"id":83,"type":"article-journal","abstract":"Bioretention cells (BRCs) have shown potential for storm water quantity and quality control. However, the phosphorus (P) removal in BRC has been variable due to differences of soil properties in ﬁlter media. The objectives of this research were to identify and evaluate P accumulation in ﬁlter media and to quantify efﬂuent P reduction in BRC. Each cell has a sand and ﬂy ash media designed to remove phosphorous. Filter media were collected in 2014 across the cell surface and to a depth of 0.6 m to quantify the P accumulation. The mean total P (T-P) concentration increased over the seven years of operation, but the changes were not statistically signiﬁcant. The average Mehlich-3 P (M3-P) and water-soluble P (WS-P) concentrations in the media proﬁles showed higher P accumulation in the top 0.15 m. The average M3-P and WS-P concentrations between 0.15 m to 0.30 m, and 0.30 m to 0.60 m were variable on all four BRCs media. The media with 5% ﬂy ash signiﬁcantly retained M3-P and WS-P over the top 0.15 m. Stormwater inﬂuent and efﬂuent samples from three of the BRCs monitored over one year showed reductions in both P concentration (68% to 75%) and P mass (76% to 93%).","container-title":"Water","DOI":"10.3390/w9100746","ISSN":"2073-4441","issue":"10","journalAbbreviation":"Water","language":"en","page":"746","source":"DOI.org (Crossref)","title":"Phosphorus Retention by Fly Ash Amended Filter Media in Aged Bioretention Cells","volume":"9","author":[{"family":"Kandel","given":"Saroj"},{"family":"Vogel","given":"Jason"},{"family":"Penn","given":"Chad"},{"family":"Brown","given":"Glenn"}],"issued":{"date-parts":[["2017",9,29]]}}},{"id":79,"uris":["http://zotero.org/users/8423188/items/XEE9RAIE"],"itemData":{"id":79,"type":"article-journal","abstract":"Phosphorus has been recognized as a leading pollutant for surface water quality deterioration. In the Midwestern USA, subsurface drainage not only provides a pathway for excess water to leave the ﬁeld but it also drains out nutrients like nitrogen (N) and phosphorus (P). Fly ash has been identiﬁed as one of the viable materials for phosphorus removal from contaminated waters. In this study, a ceramic pellet was manufactured using ﬂy ash for P absorption. Three types of pellet with varying lime and clay proportions by weight (type 1: 10% lime þ 30% clay, type 2: 20% lime þ 20% clay, and type 3: 30% lime þ 10% clay) were characterized and evaluated for absorption efﬁciency. The result showed that type 3 pellet (60% ﬂy ash with 30% lime and 10% clay) had the highest porosity (14%) and absorption efﬁciency and saturated absorption capacity (1.98 mg P/g pellet) compared to type 1 and 2 pellets. The heavy metal leaching was the least (30 mg/L of chromium after 5 h) for type 3 pellet compared to other two. The microcosmic structure of pellet from scanning electron microscope showed the type 3 pellet had the better distribution of aluminum and iron oxide on the surface compared other two pellets. This result indicates that addition of lime and clay can improve P absorption capacity of ﬂy ash while reducing the potential to reduce chromium leaching.","container-title":"Journal of Environmental Management","DOI":"10.1016/j.jenvman.2016.12.042","ISSN":"03014797","journalAbbreviation":"Journal of Environmental Management","language":"en","page":"67-74","source":"DOI.org (Crossref)","title":"Characterization of fly ash ceramic pellet for phosphorus removal","volume":"189","author":[{"family":"Li","given":"Shiyang"},{"family":"Cooke","given":"Richard A."},{"family":"Wang","given":"Li"},{"family":"Ma","given":"Fang"},{"family":"Bhattarai","given":"Rabin"}],"issued":{"date-parts":[["2017",3]]}}},{"id":252,"uris":["http://zotero.org/users/8423188/items/8TPIW58S"],"itemData":{"id":252,"type":"article-journal","abstract":"Phosphorus (P) eutrophication of lakes and streams, coming from drained farmlands, is a serious problem in areas with intensive agriculture. Installation of P sorbing ﬁlters at drain outlets may be a solution. Efﬁcient sorbents to be used for such ﬁlters must possess high P bonding afﬁnity to retain ortho-phosphate (Pi) at low concentrations. In addition high P sorption capacity, fast bonding and low desorption is necessary. In this study ﬁve potential ﬁlter materials (Filtralite-PÒ, limestone, calcinated diatomaceous earth, shell-sand and iron-oxide based CFH) in four particle size intervals were investigated under ﬁeld relevant P concentrations (0e161 mM) and retentions times of 0e24 min. Of the ﬁve materials examined, the results from P sorption and desorption studies clearly demonstrate that the iron based CFH is superior as a ﬁlter material compared to calcium based materials when tested against criteria for sorption afﬁnity, capacity and stability. The ﬁnest CFH and Filtralite-PÒ fractions (0.05e0.5 mm) were best with P retention of !90% of Pi from an initial concentration of 161 mM corresponding to 14.5 mmol/kg sorbed within 24 min. They were further capable to retain !90% of Pi from an initially 16 mM solution within 1½ min. However, only the ﬁnest CFH fraction was also able to retain !90% of Pi sorbed from the 16 mM solution against 4 times desorption sequences with 6 mM KNO3. Among the materials investigated, the ﬁnest CFH fraction is therefore the only suitable ﬁlter material, when very fast and strong bonding of high Pi concentrations is needed, e.g. in drains under P rich soils during extreme weather conditions.","container-title":"Water Research","DOI":"10.1016/j.watres.2013.10.061","ISSN":"00431354","journalAbbreviation":"Water Research","language":"en","page":"256-265","source":"DOI.org (Crossref)","title":"A three-step test of phosphate sorption efficiency of potential agricultural drainage filter materials","volume":"51","author":[{"family":"Lyngsie","given":"G."},{"family":"Borggaard","given":"O.K."},{"family":"Hansen","given":"H.C.B."}],"issued":{"date-parts":[["2014",3]]}}},{"id":75,"uris":["http://zotero.org/users/8423188/items/FWQCV8DG"],"itemData":{"id":75,"type":"article-journal","abstract":"The investigation of electric arc furnace (EAF) steel slag as a viable add-on technology to existing stormwater systems for the removal of dissolved phosphorus (P) was extended to explore the effects of varying environmental and treatment system conditions. Parameters such as stormwater composition, P concentration, metal concentration, pH, temperature, slag mass and slag particle size were varied. Observations relating to the method of P removal via EAF slag were also carefully considered to explain removal mechanisms involved. Results demonstrated that, although physisorption contributed to P reduction, it was not the key P removal mechanism. Instead, precipitation was observed to be a key removal pathway as evidenced by the correlation between the loss of iron (Fe) from slag and the amount of P removed from solution. The reduced removal of P by slag in a copper-dominant stormwater solution was attributed to the formation of a stable complex formed by the interaction of copper with the slag via the ion-exchange surface model. The stability of this complex inhibits the loss of Fe from the EAF slag and, consequently, P removal by means of precipitation. In terms of the effect of changing environmental and treatment system conditions on the P removal process, stormwater composition, P concentration, metal concentration, pH, temperature, slag mass and slag particle size were found to significantly influence the effectiveness of EAF slag in removing P from a given stormwater system. It was also established that a number of combinations of these factors influence P uptake differently.","container-title":"Water","DOI":"10.3390/w4020321","ISSN":"2073-4441","issue":"2","journalAbbreviation":"Water","language":"en","page":"321-344","source":"DOI.org (Crossref)","title":"A Laboratory Study of the Treatability of Synthetic Stormwater Under Varying Conditions Using Electric Arc Furnace Steel Slag","volume":"4","author":[{"family":"Okochi","given":"Nnaemeka C."},{"family":"McMartin","given":"Dena W."}],"issued":{"date-parts":[["2012",3,27]]}}},{"id":283,"uris":["http://zotero.org/users/8423188/items/H5DWI5LJ"],"itemData":{"id":283,"type":"article-journal","abstract":"Batch and column experiments were conducted to investigate the effects of compost volume fraction (CVF; 0–50%) on bioretention media hydraulic conductivity, toxic metal (i.e., Cd, Zn, and Cu) capture, and phosphorus (P) release. Three sources of compost were tested and all exhibited high Cd and Zn sorption capacities. Thus, metal breakthrough times in the columns increased with increasing CVF. Typical breakthrough behavior was not observed for Cu, because little to no Cu was observed in the column effluents after more than 1,000 pore volumes. The unique behavior of Cu was attributable to its precipitation in the synthetic storm water with removal primarily attributed to filtration rather than sorption. Although beneficial for metal removal from storm water, increasing the CVF of the media resulted in reduced hydraulic conductivity and significant release of P. The release of nutrients from compost is a significant concern, and addition of a second layer of media beneath the compost-amended sand to promote P retention, such as iron-amended sand, should be considered. DOI: 10.1061/(ASCE)EE.1943-7870.0000846. © 2014 American Society of Civil Engineers.","container-title":"Journal of Environmental Engineering","DOI":"10.1061/(ASCE)EE.1943-7870.0000846","ISSN":"0733-9372, 1943-7870","issue":"10","journalAbbreviation":"J. Environ. Eng.","language":"en","page":"04014033","source":"DOI.org (Crossref)","title":"Effects of Bioretention Media Compost Volume Fraction on Toxic Metals Removal, Hydraulic Conductivity, and Phosphorous Release","volume":"140","author":[{"family":"Paus","given":"Kim H."},{"family":"Morgan","given":"Joel"},{"family":"Gulliver","given":"John S."},{"family":"Hozalski","given":"Raymond M."}],"issued":{"date-parts":[["2014",10]]}}},{"id":331,"uris":["http://zotero.org/users/8423188/items/CSHY3DJB"],"itemData":{"id":331,"type":"article-journal","abstract":"Steel slag has been proven to be an effective phosphorus (P) removal media, and a potential aid to mitigate point and nonpoint P pollution in freshwater systems. However, the behavior of steel slag as a P sorption material (PSM) is often oversimpliﬁed through the generalization of its chemical and physical properties, preventing proper design of P removal structures. In this work, we tested eighteen steel slag samples from different batches, production processes, and steel-making plants, for the purpose of relating slag origin and chemical and physical properties to P removal ability, under two different ﬂow regimes. Slag samples were also coated with aluminum (Al) and tested for P removal. Characterization included elemental composition, particle density, buffer capacity, and P removal ability. There was great variability in the evaluated properties across slag sources and origin, compelling the individual characterization of steel slag samples, since their intrinsic characteristics were key variables in determining their potential P removal capacity. Speciﬁcally, electrical conductivity (EC), bulk density, particle density and magnesium (Mg) content could explain around 70% of the variability of P removal by uncoated steel slags. Increasing residence time (RT) always increased P removal for uncoated slags. Steel slags showed a high variability in their P removal ability, but such variability was considerably decreased by coating the slags with Al. Additionally, the Al-coating process signiﬁcantly improved P removal performance under more rapid ﬂows (lower RT).","container-title":"Chemosphere","DOI":"10.1016/j.chemosphere.2021.130205","ISSN":"00456535","journalAbbreviation":"Chemosphere","language":"en","page":"130205","source":"DOI.org (Crossref)","title":"Estimating the variability of steel slag properties and their influence in phosphorus removal ability","volume":"276","author":[{"family":"Scott","given":"Isis S.P.C."},{"family":"Penn","given":"Chad J."}],"issued":{"date-parts":[["2021",8]]}}},{"id":59,"uris":["http://zotero.org/users/8423188/items/M7U7T8RC"],"itemData":{"id":59,"type":"article-journal","abstract":"Grand Lake o' the Cherokees, Oklahoma is a large multipurpose reservoir that receives both elevated metals concentrations from the upstream Tri-State Lead-Zinc Mining District (TSMD) and excess nutrients from its agricultural watershed along with significant internal phosphorus (P) legacy loads. Mine drainage residuals (MDRs), amorphous iron oxyhydroxides recovered from passive treatment systems, may serve as phosphorus sinks. To evaluate the role of MDRs on reservoir sediment dynamics, a field mesocosm study (20-L vessels) was designed with four different mine drainage residuals (MDR) treatments: sediment control (no addition), mixed (MDR mixed with sediment), layered (MDR on top of sediment, no mixing) and bagged (MDR inside a fine mesh bag on top of sediment, no mixing) with phosphorus-spiked water. Soluble reactive P (SRP) concentrations demonstrated decreasing trends and the control treatment showed greater concentrations than all MDR treat­ ments. P adsorption capacity (PAC) was determined to be approximately 0.7 mg/g and &gt; 30 mg/g for sediments and MDRs, respectively. At Day 135, SRP reached &gt;99% removal for all four treatments. Aqueous lead and cadmium concentrations were below detection limits and zinc concentrations were below the National Rec­ ommended Water Quality Criteria. Sediment lead, zinc and cadmium concentrations were below the TSMDspecific sediment quality guidelines, except for final Mixed MDR treatment sediment with 16.7% of samples exceeding both Cd and Pb criteria. Results showed that MDRs removed excess P from the water column and by using the recommended bagged addition method, trace metal release to both the water column and sediment layer were minimized.","container-title":"Ecological Engineering","DOI":"10.1016/j.ecoleng.2021.106358","ISSN":"09258574","journalAbbreviation":"Ecological Engineering","language":"en","page":"106358","source":"DOI.org (Crossref)","title":"Recovered mine drainage passive treatment residuals address legacy sediment pollution: A field mesocosm study at Grand Lake o' the Cherokees, Oklahoma","title-short":"Recovered mine drainage passive treatment residuals address legacy sediment pollution","volume":"170","author":[{"family":"Tang","given":"Zepei"},{"family":"Nairn","given":"Robert W."}],"issued":{"date-parts":[["2021",11]]}}},{"id":85,"uris":["http://zotero.org/users/8423188/items/DFEUEDT5"],"itemData":{"id":85,"type":"article-journal","container-title":"Water Environment Research","DOI":"10.2175/106143008X266823","ISSN":"10614303","issue":"6","journalAbbreviation":"Water Environment Research","language":"en","page":"507-516","source":"DOI.org (Crossref)","title":"Fly-Ash-Amended Sand as Filter Media in Bioretention Cells to Improve Phosphorus Removal","volume":"80","author":[{"family":"Zhang","given":"Wei"},{"family":"Brown","given":"Glenn O."},{"family":"Storm","given":"Daniel E."},{"family":"Zhang","given":"Hailin"}],"issued":{"date-parts":[["2008",6]]}}}],"schema":"https://github.com/citation-style-language/schema/raw/master/csl-citation.json"} </w:instrText>
      </w:r>
      <w:r w:rsidRPr="00770477">
        <w:rPr>
          <w:rFonts w:cs="Times New Roman"/>
        </w:rPr>
        <w:fldChar w:fldCharType="separate"/>
      </w:r>
      <w:r w:rsidR="00E11E17" w:rsidRPr="00770477">
        <w:rPr>
          <w:rFonts w:cs="Times New Roman"/>
        </w:rPr>
        <w:t>(Agyei et al., 2002; Arias et al., 2001; Davis et al., 2006; Hsieh et al., 2007; Kandel et al., 2017; S. Li et al., 2017; Lyngsie et al., 2014; Okochi &amp; McMartin, 2012; Paus et al., 2014; Scott &amp; Penn, 2021; Tang &amp; Nairn, 2021; W. Zhang et al., 2008)</w:t>
      </w:r>
      <w:r w:rsidRPr="00770477">
        <w:rPr>
          <w:rFonts w:cs="Times New Roman"/>
        </w:rPr>
        <w:fldChar w:fldCharType="end"/>
      </w:r>
      <w:r w:rsidRPr="00770477">
        <w:rPr>
          <w:rFonts w:cs="Times New Roman"/>
        </w:rPr>
        <w:t xml:space="preserve"> </w:t>
      </w:r>
      <w:r w:rsidR="003C6756" w:rsidRPr="00770477">
        <w:rPr>
          <w:rFonts w:cs="Times New Roman"/>
        </w:rPr>
        <w:t>with</w:t>
      </w:r>
      <w:r w:rsidRPr="00770477">
        <w:rPr>
          <w:rFonts w:cs="Times New Roman"/>
        </w:rPr>
        <w:t>, the content of Al</w:t>
      </w:r>
      <w:r w:rsidR="00680C0B" w:rsidRPr="00770477">
        <w:rPr>
          <w:rFonts w:cs="Times New Roman"/>
        </w:rPr>
        <w:t>-</w:t>
      </w:r>
      <w:r w:rsidRPr="00770477">
        <w:rPr>
          <w:rFonts w:cs="Times New Roman"/>
        </w:rPr>
        <w:t>, Ca</w:t>
      </w:r>
      <w:r w:rsidR="00680C0B" w:rsidRPr="00770477">
        <w:rPr>
          <w:rFonts w:cs="Times New Roman"/>
        </w:rPr>
        <w:t>-</w:t>
      </w:r>
      <w:r w:rsidRPr="00770477">
        <w:rPr>
          <w:rFonts w:cs="Times New Roman"/>
        </w:rPr>
        <w:t>,</w:t>
      </w:r>
      <w:r w:rsidR="000B15ED" w:rsidRPr="00770477">
        <w:rPr>
          <w:rFonts w:cs="Times New Roman"/>
        </w:rPr>
        <w:t xml:space="preserve"> </w:t>
      </w:r>
      <w:r w:rsidRPr="00770477">
        <w:rPr>
          <w:rFonts w:cs="Times New Roman"/>
        </w:rPr>
        <w:t>Fe</w:t>
      </w:r>
      <w:r w:rsidR="00680C0B" w:rsidRPr="00770477">
        <w:rPr>
          <w:rFonts w:cs="Times New Roman"/>
        </w:rPr>
        <w:t>-</w:t>
      </w:r>
      <w:r w:rsidRPr="00770477">
        <w:rPr>
          <w:rFonts w:cs="Times New Roman"/>
        </w:rPr>
        <w:lastRenderedPageBreak/>
        <w:t>, and Mg</w:t>
      </w:r>
      <w:r w:rsidR="00680C0B" w:rsidRPr="00770477">
        <w:rPr>
          <w:rFonts w:cs="Times New Roman"/>
        </w:rPr>
        <w:t>-</w:t>
      </w:r>
      <w:r w:rsidRPr="00770477">
        <w:rPr>
          <w:rFonts w:cs="Times New Roman"/>
        </w:rPr>
        <w:t>(</w:t>
      </w:r>
      <w:proofErr w:type="spellStart"/>
      <w:r w:rsidRPr="00770477">
        <w:rPr>
          <w:rFonts w:cs="Times New Roman"/>
        </w:rPr>
        <w:t>hydr</w:t>
      </w:r>
      <w:proofErr w:type="spellEnd"/>
      <w:r w:rsidRPr="00770477">
        <w:rPr>
          <w:rFonts w:cs="Times New Roman"/>
        </w:rPr>
        <w:t>)oxides and carbonates</w:t>
      </w:r>
      <w:r w:rsidR="000B15ED" w:rsidRPr="00770477">
        <w:rPr>
          <w:rFonts w:cs="Times New Roman"/>
        </w:rPr>
        <w:t xml:space="preserve"> proving</w:t>
      </w:r>
      <w:r w:rsidRPr="00770477">
        <w:rPr>
          <w:rFonts w:cs="Times New Roman"/>
        </w:rPr>
        <w:t xml:space="preserve"> the best chemical predictor for highly efficient P removal via sorption </w:t>
      </w:r>
      <w:r w:rsidRPr="00770477">
        <w:rPr>
          <w:rFonts w:cs="Times New Roman"/>
        </w:rPr>
        <w:fldChar w:fldCharType="begin"/>
      </w:r>
      <w:r w:rsidR="002074AD">
        <w:rPr>
          <w:rFonts w:cs="Times New Roman"/>
        </w:rPr>
        <w:instrText xml:space="preserve"> ADDIN ZOTERO_ITEM CSL_CITATION {"citationID":"w4Q2rFiE","properties":{"formattedCitation":"(Lyngsie et al., 2014)","plainCitation":"(Lyngsie et al., 2014)","noteIndex":0},"citationItems":[{"id":252,"uris":["http://zotero.org/users/8423188/items/8TPIW58S"],"itemData":{"id":252,"type":"article-journal","abstract":"Phosphorus (P) eutrophication of lakes and streams, coming from drained farmlands, is a serious problem in areas with intensive agriculture. Installation of P sorbing ﬁlters at drain outlets may be a solution. Efﬁcient sorbents to be used for such ﬁlters must possess high P bonding afﬁnity to retain ortho-phosphate (Pi) at low concentrations. In addition high P sorption capacity, fast bonding and low desorption is necessary. In this study ﬁve potential ﬁlter materials (Filtralite-PÒ, limestone, calcinated diatomaceous earth, shell-sand and iron-oxide based CFH) in four particle size intervals were investigated under ﬁeld relevant P concentrations (0e161 mM) and retentions times of 0e24 min. Of the ﬁve materials examined, the results from P sorption and desorption studies clearly demonstrate that the iron based CFH is superior as a ﬁlter material compared to calcium based materials when tested against criteria for sorption afﬁnity, capacity and stability. The ﬁnest CFH and Filtralite-PÒ fractions (0.05e0.5 mm) were best with P retention of !90% of Pi from an initial concentration of 161 mM corresponding to 14.5 mmol/kg sorbed within 24 min. They were further capable to retain !90% of Pi from an initially 16 mM solution within 1½ min. However, only the ﬁnest CFH fraction was also able to retain !90% of Pi sorbed from the 16 mM solution against 4 times desorption sequences with 6 mM KNO3. Among the materials investigated, the ﬁnest CFH fraction is therefore the only suitable ﬁlter material, when very fast and strong bonding of high Pi concentrations is needed, e.g. in drains under P rich soils during extreme weather conditions.","container-title":"Water Research","DOI":"10.1016/j.watres.2013.10.061","ISSN":"00431354","journalAbbreviation":"Water Research","language":"en","page":"256-265","source":"DOI.org (Crossref)","title":"A three-step test of phosphate sorption efficiency of potential agricultural drainage filter materials","volume":"51","author":[{"family":"Lyngsie","given":"G."},{"family":"Borggaard","given":"O.K."},{"family":"Hansen","given":"H.C.B."}],"issued":{"date-parts":[["2014",3]]}}}],"schema":"https://github.com/citation-style-language/schema/raw/master/csl-citation.json"} </w:instrText>
      </w:r>
      <w:r w:rsidRPr="00770477">
        <w:rPr>
          <w:rFonts w:cs="Times New Roman"/>
        </w:rPr>
        <w:fldChar w:fldCharType="separate"/>
      </w:r>
      <w:r w:rsidR="00E11E17" w:rsidRPr="00770477">
        <w:rPr>
          <w:rFonts w:cs="Times New Roman"/>
        </w:rPr>
        <w:t>(Lyngsie et al., 2014)</w:t>
      </w:r>
      <w:r w:rsidRPr="00770477">
        <w:rPr>
          <w:rFonts w:cs="Times New Roman"/>
        </w:rPr>
        <w:fldChar w:fldCharType="end"/>
      </w:r>
      <w:r w:rsidRPr="00770477">
        <w:rPr>
          <w:rFonts w:cs="Times New Roman"/>
        </w:rPr>
        <w:t>.</w:t>
      </w:r>
      <w:r w:rsidRPr="00770477">
        <w:rPr>
          <w:rFonts w:cs="Times New Roman"/>
        </w:rPr>
        <w:fldChar w:fldCharType="begin"/>
      </w:r>
      <w:r w:rsidR="002074AD">
        <w:rPr>
          <w:rFonts w:cs="Times New Roman"/>
        </w:rPr>
        <w:instrText xml:space="preserve"> ADDIN ZOTERO_ITEM CSL_CITATION {"citationID":"YViT5uJY","properties":{"formattedCitation":"(Qin et al., 2018)","plainCitation":"(Qin et al., 2018)","dontUpdate":true,"noteIndex":0},"citationItems":[{"id":250,"uris":["http://zotero.org/users/8423188/items/L2UI4H3R"],"itemData":{"id":250,"type":"article-journal","abstract":"Stormwater filters are a structural best management practice designed to reduce dissolved P losses from runoff. Various industrial byproducts are suitable for use as P sorbing materials (PSMs) for the treatment of drainage water; P sorption by PSMs varies with material physical and chemical properties. Previously, P removal capacity by PSMs was estimated using chemical extractions. We determined the speciation of P when reacted with various PSMs using X-ray absorption near edge structure (XANES) spectroscopy. Twelve PSMs were reacted with P solution in the laboratory under batch or flow-through conditions. In addition, three slag materials were collected from working stormwater filtration structures. Phosphorus K-edge XANES spectra were collected on each reacted PSM and compared with spectra of 22 known P standards using linear combination fitting in Athena. We found evidence of formation of a variety of Ca-, Al-, and/or Fe-phosphate minerals and sorbed phases on the reacted PSMs, with the exact speciation influenced by the chemical properties of the original unreacted PSMs. We grouped PSMs into three general categories based on the dominant P removal mechanism: (i) Fe- and Al-mediated removal [i.e., adsorption of P to Fe- or Al-(hydro-)oxide minerals and/or precipitation of Fe- or Alphosphate minerals]; (ii) Ca-mediated removal (i.e., precipitation of Ca-phosphate mineral); and (iii) both mechanisms. We recommend the use of Fe/Al sorbing PSMs for use in stormwater filtration structures where stormwater retention time is limited because reaction of P with Fe or Al generally occurs more quickly than Ca-P precipitation.","container-title":"Journal of Environmental Quality","DOI":"10.2134/jeq2018.02.0064","ISSN":"0047-2425, 1537-2537","issue":"5","journalAbbreviation":"J. environ. qual.","language":"en","page":"1232-1241","source":"DOI.org (Crossref)","title":"Mechanisms of Phosphorus Removal by Phosphorus Sorbing Materials","volume":"47","author":[{"family":"Qin","given":"Zhixuan"},{"family":"Shober","given":"Amy L."},{"family":"Scheckel","given":"Kirk G."},{"family":"Penn","given":"Chad J."},{"family":"Turner","given":"Kathryn C."}],"issued":{"date-parts":[["2018",9]]}}}],"schema":"https://github.com/citation-style-language/schema/raw/master/csl-citation.json"} </w:instrText>
      </w:r>
      <w:r w:rsidRPr="00770477">
        <w:rPr>
          <w:rFonts w:cs="Times New Roman"/>
        </w:rPr>
        <w:fldChar w:fldCharType="separate"/>
      </w:r>
      <w:r w:rsidRPr="00770477">
        <w:rPr>
          <w:rFonts w:cs="Times New Roman"/>
          <w:noProof/>
        </w:rPr>
        <w:t xml:space="preserve"> </w:t>
      </w:r>
    </w:p>
    <w:p w14:paraId="7973D19D" w14:textId="15E1954E" w:rsidR="00A916AF" w:rsidRPr="00770477" w:rsidRDefault="005B1A35" w:rsidP="00EA3F75">
      <w:pPr>
        <w:ind w:firstLine="720"/>
        <w:rPr>
          <w:rFonts w:cs="Times New Roman"/>
        </w:rPr>
      </w:pPr>
      <w:r w:rsidRPr="00770477">
        <w:rPr>
          <w:rFonts w:cs="Times New Roman"/>
          <w:noProof/>
        </w:rPr>
        <w:t>Qin et al. (2018)</w:t>
      </w:r>
      <w:r w:rsidRPr="00770477">
        <w:rPr>
          <w:rFonts w:cs="Times New Roman"/>
        </w:rPr>
        <w:fldChar w:fldCharType="end"/>
      </w:r>
      <w:r w:rsidRPr="00770477">
        <w:rPr>
          <w:rFonts w:cs="Times New Roman"/>
        </w:rPr>
        <w:t xml:space="preserve"> discusses several of the various complexes that </w:t>
      </w:r>
      <w:r w:rsidR="3A269183" w:rsidRPr="00770477">
        <w:rPr>
          <w:rFonts w:cs="Times New Roman"/>
        </w:rPr>
        <w:t xml:space="preserve">result in the removal of </w:t>
      </w:r>
      <w:r w:rsidRPr="00770477">
        <w:rPr>
          <w:rFonts w:cs="Times New Roman"/>
        </w:rPr>
        <w:t xml:space="preserve">can form when P is removed from an aqueous solution. The authors show that sorption is common with Al- and Fe-hydroxides and in many </w:t>
      </w:r>
      <w:r w:rsidR="007E5941" w:rsidRPr="00770477">
        <w:rPr>
          <w:rFonts w:cs="Times New Roman"/>
        </w:rPr>
        <w:t>cases,</w:t>
      </w:r>
      <w:r w:rsidRPr="00770477">
        <w:rPr>
          <w:rFonts w:cs="Times New Roman"/>
        </w:rPr>
        <w:t xml:space="preserve"> precipitates are formed with varying levels of </w:t>
      </w:r>
      <w:r w:rsidR="007E5941" w:rsidRPr="00770477">
        <w:rPr>
          <w:rFonts w:cs="Times New Roman"/>
        </w:rPr>
        <w:t>crystallinity</w:t>
      </w:r>
      <w:r w:rsidRPr="00770477">
        <w:rPr>
          <w:rFonts w:cs="Times New Roman"/>
        </w:rPr>
        <w:t xml:space="preserve"> in the way of Al-phosphate species such as wavellite, Fe-phosphate species such as </w:t>
      </w:r>
      <w:proofErr w:type="spellStart"/>
      <w:r w:rsidRPr="00770477">
        <w:rPr>
          <w:rFonts w:cs="Times New Roman"/>
        </w:rPr>
        <w:t>strengite</w:t>
      </w:r>
      <w:proofErr w:type="spellEnd"/>
      <w:r w:rsidRPr="00770477">
        <w:rPr>
          <w:rFonts w:cs="Times New Roman"/>
        </w:rPr>
        <w:t xml:space="preserve">, and Ca-phosphate species such as </w:t>
      </w:r>
      <w:proofErr w:type="spellStart"/>
      <w:r w:rsidRPr="00770477">
        <w:rPr>
          <w:rFonts w:cs="Times New Roman"/>
        </w:rPr>
        <w:t>monetite</w:t>
      </w:r>
      <w:proofErr w:type="spellEnd"/>
      <w:r w:rsidRPr="00770477">
        <w:rPr>
          <w:rFonts w:cs="Times New Roman"/>
        </w:rPr>
        <w:t xml:space="preserve">. Once removed from solution, P is not always static in the form that it takes. A study conducted by </w:t>
      </w:r>
      <w:r w:rsidRPr="00770477">
        <w:rPr>
          <w:rFonts w:cs="Times New Roman"/>
        </w:rPr>
        <w:fldChar w:fldCharType="begin"/>
      </w:r>
      <w:r w:rsidR="002074AD">
        <w:rPr>
          <w:rFonts w:cs="Times New Roman"/>
        </w:rPr>
        <w:instrText xml:space="preserve"> ADDIN ZOTERO_ITEM CSL_CITATION {"citationID":"oapHMSHk","properties":{"formattedCitation":"(Ippolito et al., 2003)","plainCitation":"(Ippolito et al., 2003)","dontUpdate":true,"noteIndex":0},"citationItems":[{"id":615,"uris":["http://zotero.org/users/8423188/items/88KQEF4Y"],"itemData":{"id":615,"type":"article-journal","abstract":"Water treatment residuals (WTRs) are a by-product of municipal drinking water treatment plants and can have the capacity to adsorb tremendous amounts of P. Understanding the WTR phosphorus adsorption process is important for discerning the mechanism and tenacity of P retention. We studied P adsorbing mechanism(s) of an aluminum-based [Al2(SO4)3·14H2O] WTR from Englewood, CO. In a laboratory study, we shook mixtures of P-loaded WTR for 1 to 211 d followed by solution pH analysis, and solution Ca, Al, and P analysis via inductively coupled plasma atomic emission spectroscopy. After shaking periods, we also examined the solids fraction by X-ray diffraction (XRD) and electron microprobe analysis using wavelength dispersive spectroscopy (EMPA–WDS). The shaking results indicated an increase in pH from 7.2 to 8.2, an increase in desorbed Ca and Al concentrations, and a decrease in desorbed P concentration. The pH and desorbed Ca concentration increases suggested that CaCO3 controlled Ca solubility. Increased desorbed Al concentration may have been due to Al(OH)4Ϫ formation. Decreased P content, in conjunction with the pH increase, was consistent with calcium phosphate formation or precipitation. The system appeared to be undersaturated with respect to dicalcium phosphate (DCP; CaHPO4) and supersaturated with respect to octacalcium phosphate [OCP; Ca4H(PO4)3· 2.5H2O]. The Ca and Al increases, as well as OCP formation, were supported by MINTEQA2 modeling. The XRD and EMPA–WDS results for all shaking times, however, suggested surface P chemisorption as an amorphous Al–P mineral phase.","container-title":"Journal of Environmental Quality","DOI":"10.2134/jeq2003.1857","ISSN":"00472425","issue":"5","journalAbbreviation":"J. Environ. Qual.","language":"en","page":"1857-1864","source":"DOI.org (Crossref)","title":"Phosphorus Retention Mechanisms of a Water Treatment Residual","volume":"32","author":[{"family":"Ippolito","given":"J. A."},{"family":"Barbarick","given":"K. A."},{"family":"Heil","given":"D. M."},{"family":"Chandler","given":"J. P."},{"family":"Redente","given":"E. F."}],"issued":{"date-parts":[["2003",9]]}}}],"schema":"https://github.com/citation-style-language/schema/raw/master/csl-citation.json"} </w:instrText>
      </w:r>
      <w:r w:rsidRPr="00770477">
        <w:rPr>
          <w:rFonts w:cs="Times New Roman"/>
        </w:rPr>
        <w:fldChar w:fldCharType="separate"/>
      </w:r>
      <w:r w:rsidRPr="00770477">
        <w:rPr>
          <w:rFonts w:cs="Times New Roman"/>
          <w:noProof/>
        </w:rPr>
        <w:t>Ippolito et al. (2003)</w:t>
      </w:r>
      <w:r w:rsidRPr="00770477">
        <w:rPr>
          <w:rFonts w:cs="Times New Roman"/>
        </w:rPr>
        <w:fldChar w:fldCharType="end"/>
      </w:r>
      <w:r w:rsidRPr="00770477">
        <w:rPr>
          <w:rFonts w:cs="Times New Roman"/>
        </w:rPr>
        <w:t xml:space="preserve"> suggested that P can form outer sphere Al-complexes which, given time, can transition to more stable inner-sphere complexes and eventually an even more stable mineral phase, variscite. In a dynamic system, many different reactions can both inhibit and promote the removal of P from solution. One example of this is dissolved organic matter (DOM) which is a great source of debate and is relevant to the </w:t>
      </w:r>
      <w:r w:rsidR="00D475CA" w:rsidRPr="00770477">
        <w:rPr>
          <w:rFonts w:cs="Times New Roman"/>
        </w:rPr>
        <w:t>applicability</w:t>
      </w:r>
      <w:r w:rsidRPr="00770477">
        <w:rPr>
          <w:rFonts w:cs="Times New Roman"/>
        </w:rPr>
        <w:t xml:space="preserve"> of P sorption in bioretention swales. The broadly accepted convention is that DOM inhibits the sorption of P in soils </w:t>
      </w:r>
      <w:r w:rsidRPr="00770477">
        <w:rPr>
          <w:rFonts w:cs="Times New Roman"/>
        </w:rPr>
        <w:fldChar w:fldCharType="begin"/>
      </w:r>
      <w:r w:rsidR="002074AD">
        <w:rPr>
          <w:rFonts w:cs="Times New Roman"/>
        </w:rPr>
        <w:instrText xml:space="preserve"> ADDIN ZOTERO_ITEM CSL_CITATION {"citationID":"V0uP6cX6","properties":{"formattedCitation":"(von Wandruszka, 2006)","plainCitation":"(von Wandruszka, 2006)","noteIndex":0},"citationItems":[{"id":594,"uris":["http://zotero.org/users/8423188/items/DUIW6PPX"],"itemData":{"id":594,"type":"article-journal","abstract":"A survey of the interactions between phosphorus (P) species and the components of calcareous soils shows that both surface reactions and precipitation take place, especially in the presence of calcite and limestone. The principal products of these reactions are dicalcium phosphate and octacalcium phosphate, which may interconvert after formation. The role of calcium carbonate in P retention by calcareous soils is, however, significant only at relatively high P concentrations –non-carbonate clays play a more important part at lower concentrations. In the presence of iron oxide particles, occlusion of P frequently occurs in these bodies, especially with forms of the element that are pedogenic in origin. Progressive mineralization and immobilization, often biological in nature, are generally observed when P is added as a fertilizer.","container-title":"Geochemical Transactions","DOI":"10.1186/1467-4866-7-6","ISSN":"1467-4866","issue":"1","journalAbbreviation":"Geochem Trans","language":"en","page":"6","source":"DOI.org (Crossref)","title":"Phosphorus retention in calcareous soils and the effect of organic matter on its mobility","volume":"7","author":[{"family":"Wandruszka","given":"Ray","non-dropping-particle":"von"}],"issued":{"date-parts":[["2006",12]]}}}],"schema":"https://github.com/citation-style-language/schema/raw/master/csl-citation.json"} </w:instrText>
      </w:r>
      <w:r w:rsidRPr="00770477">
        <w:rPr>
          <w:rFonts w:cs="Times New Roman"/>
        </w:rPr>
        <w:fldChar w:fldCharType="separate"/>
      </w:r>
      <w:r w:rsidR="00E11E17" w:rsidRPr="00770477">
        <w:rPr>
          <w:rFonts w:cs="Times New Roman"/>
        </w:rPr>
        <w:t>(von Wandruszka, 2006)</w:t>
      </w:r>
      <w:r w:rsidRPr="00770477">
        <w:rPr>
          <w:rFonts w:cs="Times New Roman"/>
        </w:rPr>
        <w:fldChar w:fldCharType="end"/>
      </w:r>
      <w:r w:rsidRPr="00770477">
        <w:rPr>
          <w:rFonts w:cs="Times New Roman"/>
        </w:rPr>
        <w:t xml:space="preserve">, however, some authors argue that decomposing organic matter releases P into the system which increases the overall total P in the system therefore making it appear as if DOM hinders P sorption </w:t>
      </w:r>
      <w:r w:rsidRPr="00770477">
        <w:rPr>
          <w:rFonts w:cs="Times New Roman"/>
        </w:rPr>
        <w:fldChar w:fldCharType="begin"/>
      </w:r>
      <w:r w:rsidR="002074AD">
        <w:rPr>
          <w:rFonts w:cs="Times New Roman"/>
        </w:rPr>
        <w:instrText xml:space="preserve"> ADDIN ZOTERO_ITEM CSL_CITATION {"citationID":"2HL4EFyr","properties":{"formattedCitation":"(Guppy et al., 2005)","plainCitation":"(Guppy et al., 2005)","noteIndex":0},"citationItems":[{"id":596,"uris":["http://zotero.org/users/8423188/items/CTJVQ262"],"itemData":{"id":596,"type":"article-journal","container-title":"Soil Science Society of America Journal","DOI":"10.2136/sssaj2004.0266","ISSN":"03615995","issue":"5","journalAbbreviation":"Soil Sci. Soc. Am. J.","language":"en","page":"1405-1411","source":"DOI.org (Crossref)","title":"Do Decomposing Organic Matter Residues Reduce Phosphorus Sorption in Highly Weathered Soils?","volume":"69","author":[{"family":"Guppy","given":"Christopher N."},{"family":"Menzies","given":"Neal W."},{"family":"Blamey","given":"F. P. C."},{"family":"Moody","given":"Phil W."}],"issued":{"date-parts":[["2005",9]]}}}],"schema":"https://github.com/citation-style-language/schema/raw/master/csl-citation.json"} </w:instrText>
      </w:r>
      <w:r w:rsidRPr="00770477">
        <w:rPr>
          <w:rFonts w:cs="Times New Roman"/>
        </w:rPr>
        <w:fldChar w:fldCharType="separate"/>
      </w:r>
      <w:r w:rsidR="00E11E17" w:rsidRPr="00770477">
        <w:rPr>
          <w:rFonts w:cs="Times New Roman"/>
        </w:rPr>
        <w:t>(Guppy et al., 2005)</w:t>
      </w:r>
      <w:r w:rsidRPr="00770477">
        <w:rPr>
          <w:rFonts w:cs="Times New Roman"/>
        </w:rPr>
        <w:fldChar w:fldCharType="end"/>
      </w:r>
      <w:r w:rsidRPr="00770477">
        <w:rPr>
          <w:rFonts w:cs="Times New Roman"/>
        </w:rPr>
        <w:t xml:space="preserve">. While this specific point is hotly debated, </w:t>
      </w:r>
      <w:r w:rsidRPr="00770477">
        <w:rPr>
          <w:rFonts w:cs="Times New Roman"/>
        </w:rPr>
        <w:fldChar w:fldCharType="begin"/>
      </w:r>
      <w:r w:rsidR="002074AD">
        <w:rPr>
          <w:rFonts w:cs="Times New Roman"/>
        </w:rPr>
        <w:instrText xml:space="preserve"> ADDIN ZOTERO_ITEM CSL_CITATION {"citationID":"aLCTLfy6","properties":{"formattedCitation":"(Guppy et al., 2005)","plainCitation":"(Guppy et al., 2005)","dontUpdate":true,"noteIndex":0},"citationItems":[{"id":596,"uris":["http://zotero.org/users/8423188/items/CTJVQ262"],"itemData":{"id":596,"type":"article-journal","container-title":"Soil Science Society of America Journal","DOI":"10.2136/sssaj2004.0266","ISSN":"03615995","issue":"5","journalAbbreviation":"Soil Sci. Soc. Am. J.","language":"en","page":"1405-1411","source":"DOI.org (Crossref)","title":"Do Decomposing Organic Matter Residues Reduce Phosphorus Sorption in Highly Weathered Soils?","volume":"69","author":[{"family":"Guppy","given":"Christopher N."},{"family":"Menzies","given":"Neal W."},{"family":"Blamey","given":"F. P. C."},{"family":"Moody","given":"Phil W."}],"issued":{"date-parts":[["2005",9]]}}}],"schema":"https://github.com/citation-style-language/schema/raw/master/csl-citation.json"} </w:instrText>
      </w:r>
      <w:r w:rsidRPr="00770477">
        <w:rPr>
          <w:rFonts w:cs="Times New Roman"/>
        </w:rPr>
        <w:fldChar w:fldCharType="separate"/>
      </w:r>
      <w:r w:rsidRPr="00770477">
        <w:rPr>
          <w:rFonts w:cs="Times New Roman"/>
          <w:noProof/>
        </w:rPr>
        <w:t>Guppy et al. (2005)</w:t>
      </w:r>
      <w:r w:rsidRPr="00770477">
        <w:rPr>
          <w:rFonts w:cs="Times New Roman"/>
        </w:rPr>
        <w:fldChar w:fldCharType="end"/>
      </w:r>
      <w:r w:rsidRPr="00770477">
        <w:rPr>
          <w:rFonts w:cs="Times New Roman"/>
        </w:rPr>
        <w:t xml:space="preserve"> raises the excellent observation that organic matter can also be a source of P in a system designed to remove P. Furthermore, mismanagement of bioretention swales can also increase P leaching through poor soil management or from the wrongful addition of compost or organic mulch </w:t>
      </w:r>
      <w:r w:rsidRPr="00770477">
        <w:rPr>
          <w:rFonts w:cs="Times New Roman"/>
        </w:rPr>
        <w:fldChar w:fldCharType="begin"/>
      </w:r>
      <w:r w:rsidR="002074AD">
        <w:rPr>
          <w:rFonts w:cs="Times New Roman"/>
        </w:rPr>
        <w:instrText xml:space="preserve"> ADDIN ZOTERO_ITEM CSL_CITATION {"citationID":"THwBSHba","properties":{"formattedCitation":"(von Wandruszka, 2006)","plainCitation":"(von Wandruszka, 2006)","noteIndex":0},"citationItems":[{"id":594,"uris":["http://zotero.org/users/8423188/items/DUIW6PPX"],"itemData":{"id":594,"type":"article-journal","abstract":"A survey of the interactions between phosphorus (P) species and the components of calcareous soils shows that both surface reactions and precipitation take place, especially in the presence of calcite and limestone. The principal products of these reactions are dicalcium phosphate and octacalcium phosphate, which may interconvert after formation. The role of calcium carbonate in P retention by calcareous soils is, however, significant only at relatively high P concentrations –non-carbonate clays play a more important part at lower concentrations. In the presence of iron oxide particles, occlusion of P frequently occurs in these bodies, especially with forms of the element that are pedogenic in origin. Progressive mineralization and immobilization, often biological in nature, are generally observed when P is added as a fertilizer.","container-title":"Geochemical Transactions","DOI":"10.1186/1467-4866-7-6","ISSN":"1467-4866","issue":"1","journalAbbreviation":"Geochem Trans","language":"en","page":"6","source":"DOI.org (Crossref)","title":"Phosphorus retention in calcareous soils and the effect of organic matter on its mobility","volume":"7","author":[{"family":"Wandruszka","given":"Ray","non-dropping-particle":"von"}],"issued":{"date-parts":[["2006",12]]}}}],"schema":"https://github.com/citation-style-language/schema/raw/master/csl-citation.json"} </w:instrText>
      </w:r>
      <w:r w:rsidRPr="00770477">
        <w:rPr>
          <w:rFonts w:cs="Times New Roman"/>
        </w:rPr>
        <w:fldChar w:fldCharType="separate"/>
      </w:r>
      <w:r w:rsidR="00E11E17" w:rsidRPr="00770477">
        <w:rPr>
          <w:rFonts w:cs="Times New Roman"/>
        </w:rPr>
        <w:t>(von Wandruszka, 2006)</w:t>
      </w:r>
      <w:r w:rsidRPr="00770477">
        <w:rPr>
          <w:rFonts w:cs="Times New Roman"/>
        </w:rPr>
        <w:fldChar w:fldCharType="end"/>
      </w:r>
      <w:r w:rsidRPr="00770477">
        <w:rPr>
          <w:rFonts w:cs="Times New Roman"/>
        </w:rPr>
        <w:t>.</w:t>
      </w:r>
    </w:p>
    <w:p w14:paraId="6D55ADCD" w14:textId="2A400BF1" w:rsidR="007B3DB8" w:rsidRPr="00770477" w:rsidRDefault="00A916AF" w:rsidP="00A916AF">
      <w:pPr>
        <w:rPr>
          <w:rFonts w:cs="Times New Roman"/>
        </w:rPr>
      </w:pPr>
      <w:r w:rsidRPr="00770477">
        <w:rPr>
          <w:rFonts w:cs="Times New Roman"/>
        </w:rPr>
        <w:tab/>
        <w:t>As mentioned,</w:t>
      </w:r>
      <w:r w:rsidR="005B1A35" w:rsidRPr="00770477">
        <w:rPr>
          <w:rFonts w:cs="Times New Roman"/>
        </w:rPr>
        <w:t xml:space="preserve"> the chemistry of the media is not the only influence on the ability of a media to remove P from solution. The surface area of the sorptive media and geometry (such as media depth, development of macropores, and media conductivity) of a bioretention swale will impact </w:t>
      </w:r>
      <w:r w:rsidR="005B1A35" w:rsidRPr="00770477">
        <w:rPr>
          <w:rFonts w:cs="Times New Roman"/>
        </w:rPr>
        <w:lastRenderedPageBreak/>
        <w:t xml:space="preserve">the P removal efficiency </w:t>
      </w:r>
      <w:r w:rsidR="005B1A35" w:rsidRPr="00770477">
        <w:rPr>
          <w:rFonts w:cs="Times New Roman"/>
        </w:rPr>
        <w:fldChar w:fldCharType="begin"/>
      </w:r>
      <w:r w:rsidR="002074AD">
        <w:rPr>
          <w:rFonts w:cs="Times New Roman"/>
        </w:rPr>
        <w:instrText xml:space="preserve"> ADDIN ZOTERO_ITEM CSL_CITATION {"citationID":"43YE9iNJ","properties":{"formattedCitation":"(Davis et al., 2006; Lyngsie et al., 2014; Qin et al., 2018)","plainCitation":"(Davis et al., 2006; Lyngsie et al., 2014; Qin et al., 2018)","noteIndex":0},"citationItems":[{"id":281,"uris":["http://zotero.org/users/8423188/items/279KQFGG"],"itemData":{"id":281,"type":"article-journal","abstract":"High nutrient inputs and eutrophication continue to be one of the highest priority water quality problems. Bioretention is a low-impact development technology that has been advocated for use in urban and other developed areas. This work provides an in-depth analysis on removal of nutrients from a synthetic stormwater runoff by bioretention. Results have indicated good removal of phosphorus (70 to 85%) and total Kjeldahl nitrogen (55 to 65%). Nitrate reduction was poor (&lt;20%) and, in several cases, nitrate production was noted. Variations in flowrate (intensity) and duration had a moderate affect on nutrient removal. Mass balances demonstrate the importance of water attenuation in the facility in reducing mass nutrient loads. Captured nitrogen can be converted to nitrate between storm events and subsequently washed from the system. Analysis on the fate of nutrients in bioretention suggests that accumulation of phosphorus and nitrogen may be controlled by carefully managing growing and harvesting of vegetation. Water Environ. Res., 78, 284 (2006).","container-title":"Water Environment Research","DOI":"10.2175/106143005X94376","ISSN":"10614303","issue":"3","journalAbbreviation":"Water Environment Research","language":"en","page":"284-293","source":"DOI.org (Crossref)","title":"Water Quality Improvement through Bioretention Media: Nitrogen and Phosphorus Removal","title-short":"Water Quality Improvement through Bioretention Media","volume":"78","author":[{"family":"Davis","given":"Allen P."},{"family":"Shokouhian","given":"Mohammad"},{"family":"Sharma","given":"Himanshu"},{"family":"Minami","given":"Christie"}],"issued":{"date-parts":[["2006",3]]}}},{"id":252,"uris":["http://zotero.org/users/8423188/items/8TPIW58S"],"itemData":{"id":252,"type":"article-journal","abstract":"Phosphorus (P) eutrophication of lakes and streams, coming from drained farmlands, is a serious problem in areas with intensive agriculture. Installation of P sorbing ﬁlters at drain outlets may be a solution. Efﬁcient sorbents to be used for such ﬁlters must possess high P bonding afﬁnity to retain ortho-phosphate (Pi) at low concentrations. In addition high P sorption capacity, fast bonding and low desorption is necessary. In this study ﬁve potential ﬁlter materials (Filtralite-PÒ, limestone, calcinated diatomaceous earth, shell-sand and iron-oxide based CFH) in four particle size intervals were investigated under ﬁeld relevant P concentrations (0e161 mM) and retentions times of 0e24 min. Of the ﬁve materials examined, the results from P sorption and desorption studies clearly demonstrate that the iron based CFH is superior as a ﬁlter material compared to calcium based materials when tested against criteria for sorption afﬁnity, capacity and stability. The ﬁnest CFH and Filtralite-PÒ fractions (0.05e0.5 mm) were best with P retention of !90% of Pi from an initial concentration of 161 mM corresponding to 14.5 mmol/kg sorbed within 24 min. They were further capable to retain !90% of Pi from an initially 16 mM solution within 1½ min. However, only the ﬁnest CFH fraction was also able to retain !90% of Pi sorbed from the 16 mM solution against 4 times desorption sequences with 6 mM KNO3. Among the materials investigated, the ﬁnest CFH fraction is therefore the only suitable ﬁlter material, when very fast and strong bonding of high Pi concentrations is needed, e.g. in drains under P rich soils during extreme weather conditions.","container-title":"Water Research","DOI":"10.1016/j.watres.2013.10.061","ISSN":"00431354","journalAbbreviation":"Water Research","language":"en","page":"256-265","source":"DOI.org (Crossref)","title":"A three-step test of phosphate sorption efficiency of potential agricultural drainage filter materials","volume":"51","author":[{"family":"Lyngsie","given":"G."},{"family":"Borggaard","given":"O.K."},{"family":"Hansen","given":"H.C.B."}],"issued":{"date-parts":[["2014",3]]}}},{"id":250,"uris":["http://zotero.org/users/8423188/items/L2UI4H3R"],"itemData":{"id":250,"type":"article-journal","abstract":"Stormwater filters are a structural best management practice designed to reduce dissolved P losses from runoff. Various industrial byproducts are suitable for use as P sorbing materials (PSMs) for the treatment of drainage water; P sorption by PSMs varies with material physical and chemical properties. Previously, P removal capacity by PSMs was estimated using chemical extractions. We determined the speciation of P when reacted with various PSMs using X-ray absorption near edge structure (XANES) spectroscopy. Twelve PSMs were reacted with P solution in the laboratory under batch or flow-through conditions. In addition, three slag materials were collected from working stormwater filtration structures. Phosphorus K-edge XANES spectra were collected on each reacted PSM and compared with spectra of 22 known P standards using linear combination fitting in Athena. We found evidence of formation of a variety of Ca-, Al-, and/or Fe-phosphate minerals and sorbed phases on the reacted PSMs, with the exact speciation influenced by the chemical properties of the original unreacted PSMs. We grouped PSMs into three general categories based on the dominant P removal mechanism: (i) Fe- and Al-mediated removal [i.e., adsorption of P to Fe- or Al-(hydro-)oxide minerals and/or precipitation of Fe- or Alphosphate minerals]; (ii) Ca-mediated removal (i.e., precipitation of Ca-phosphate mineral); and (iii) both mechanisms. We recommend the use of Fe/Al sorbing PSMs for use in stormwater filtration structures where stormwater retention time is limited because reaction of P with Fe or Al generally occurs more quickly than Ca-P precipitation.","container-title":"Journal of Environmental Quality","DOI":"10.2134/jeq2018.02.0064","ISSN":"0047-2425, 1537-2537","issue":"5","journalAbbreviation":"J. environ. qual.","language":"en","page":"1232-1241","source":"DOI.org (Crossref)","title":"Mechanisms of Phosphorus Removal by Phosphorus Sorbing Materials","volume":"47","author":[{"family":"Qin","given":"Zhixuan"},{"family":"Shober","given":"Amy L."},{"family":"Scheckel","given":"Kirk G."},{"family":"Penn","given":"Chad J."},{"family":"Turner","given":"Kathryn C."}],"issued":{"date-parts":[["2018",9]]}}}],"schema":"https://github.com/citation-style-language/schema/raw/master/csl-citation.json"} </w:instrText>
      </w:r>
      <w:r w:rsidR="005B1A35" w:rsidRPr="00770477">
        <w:rPr>
          <w:rFonts w:cs="Times New Roman"/>
        </w:rPr>
        <w:fldChar w:fldCharType="separate"/>
      </w:r>
      <w:r w:rsidR="00E11E17" w:rsidRPr="00770477">
        <w:rPr>
          <w:rFonts w:cs="Times New Roman"/>
        </w:rPr>
        <w:t>(Davis et al., 2006; Lyngsie et al., 2014; Qin et al., 2018)</w:t>
      </w:r>
      <w:r w:rsidR="005B1A35" w:rsidRPr="00770477">
        <w:rPr>
          <w:rFonts w:cs="Times New Roman"/>
        </w:rPr>
        <w:fldChar w:fldCharType="end"/>
      </w:r>
      <w:r w:rsidR="005B1A35" w:rsidRPr="00770477">
        <w:rPr>
          <w:rFonts w:cs="Times New Roman"/>
        </w:rPr>
        <w:t>. Once sorbed or precipitated, P</w:t>
      </w:r>
      <w:r w:rsidR="00D97FC1" w:rsidRPr="00770477">
        <w:rPr>
          <w:rFonts w:cs="Times New Roman"/>
        </w:rPr>
        <w:t xml:space="preserve"> is immobilized and allows for the more metered uptake by</w:t>
      </w:r>
      <w:r w:rsidR="005B1A35" w:rsidRPr="00770477">
        <w:rPr>
          <w:rFonts w:cs="Times New Roman"/>
        </w:rPr>
        <w:t xml:space="preserve"> plants within the bioretention swale which will allow it to be stored in an organic form within the plants themselves</w:t>
      </w:r>
      <w:r w:rsidR="00EC5D6B" w:rsidRPr="00770477">
        <w:rPr>
          <w:rFonts w:cs="Times New Roman"/>
        </w:rPr>
        <w:t xml:space="preserve">. This process </w:t>
      </w:r>
      <w:r w:rsidR="005B1A35" w:rsidRPr="00770477">
        <w:rPr>
          <w:rFonts w:cs="Times New Roman"/>
        </w:rPr>
        <w:t>serv</w:t>
      </w:r>
      <w:r w:rsidR="00EC5D6B" w:rsidRPr="00770477">
        <w:rPr>
          <w:rFonts w:cs="Times New Roman"/>
        </w:rPr>
        <w:t>es</w:t>
      </w:r>
      <w:r w:rsidR="005B1A35" w:rsidRPr="00770477">
        <w:rPr>
          <w:rFonts w:cs="Times New Roman"/>
        </w:rPr>
        <w:t xml:space="preserve"> as a sink for P and </w:t>
      </w:r>
      <w:r w:rsidR="00EC5D6B" w:rsidRPr="00770477">
        <w:rPr>
          <w:rFonts w:cs="Times New Roman"/>
        </w:rPr>
        <w:t>increases</w:t>
      </w:r>
      <w:r w:rsidR="005B1A35" w:rsidRPr="00770477">
        <w:rPr>
          <w:rFonts w:cs="Times New Roman"/>
        </w:rPr>
        <w:t xml:space="preserve"> the capacity for the media to remove more P from solution </w:t>
      </w:r>
      <w:r w:rsidR="005B1A35" w:rsidRPr="00770477">
        <w:rPr>
          <w:rFonts w:cs="Times New Roman"/>
        </w:rPr>
        <w:fldChar w:fldCharType="begin"/>
      </w:r>
      <w:r w:rsidR="002074AD">
        <w:rPr>
          <w:rFonts w:cs="Times New Roman"/>
        </w:rPr>
        <w:instrText xml:space="preserve"> ADDIN ZOTERO_ITEM CSL_CITATION {"citationID":"t4mGUqgG","properties":{"formattedCitation":"(Davis et al., 2006)","plainCitation":"(Davis et al., 2006)","noteIndex":0},"citationItems":[{"id":281,"uris":["http://zotero.org/users/8423188/items/279KQFGG"],"itemData":{"id":281,"type":"article-journal","abstract":"High nutrient inputs and eutrophication continue to be one of the highest priority water quality problems. Bioretention is a low-impact development technology that has been advocated for use in urban and other developed areas. This work provides an in-depth analysis on removal of nutrients from a synthetic stormwater runoff by bioretention. Results have indicated good removal of phosphorus (70 to 85%) and total Kjeldahl nitrogen (55 to 65%). Nitrate reduction was poor (&lt;20%) and, in several cases, nitrate production was noted. Variations in flowrate (intensity) and duration had a moderate affect on nutrient removal. Mass balances demonstrate the importance of water attenuation in the facility in reducing mass nutrient loads. Captured nitrogen can be converted to nitrate between storm events and subsequently washed from the system. Analysis on the fate of nutrients in bioretention suggests that accumulation of phosphorus and nitrogen may be controlled by carefully managing growing and harvesting of vegetation. Water Environ. Res., 78, 284 (2006).","container-title":"Water Environment Research","DOI":"10.2175/106143005X94376","ISSN":"10614303","issue":"3","journalAbbreviation":"Water Environment Research","language":"en","page":"284-293","source":"DOI.org (Crossref)","title":"Water Quality Improvement through Bioretention Media: Nitrogen and Phosphorus Removal","title-short":"Water Quality Improvement through Bioretention Media","volume":"78","author":[{"family":"Davis","given":"Allen P."},{"family":"Shokouhian","given":"Mohammad"},{"family":"Sharma","given":"Himanshu"},{"family":"Minami","given":"Christie"}],"issued":{"date-parts":[["2006",3]]}}}],"schema":"https://github.com/citation-style-language/schema/raw/master/csl-citation.json"} </w:instrText>
      </w:r>
      <w:r w:rsidR="005B1A35" w:rsidRPr="00770477">
        <w:rPr>
          <w:rFonts w:cs="Times New Roman"/>
        </w:rPr>
        <w:fldChar w:fldCharType="separate"/>
      </w:r>
      <w:r w:rsidR="00E11E17" w:rsidRPr="00770477">
        <w:rPr>
          <w:rFonts w:cs="Times New Roman"/>
        </w:rPr>
        <w:t>(Davis et al., 2006)</w:t>
      </w:r>
      <w:r w:rsidR="005B1A35" w:rsidRPr="00770477">
        <w:rPr>
          <w:rFonts w:cs="Times New Roman"/>
        </w:rPr>
        <w:fldChar w:fldCharType="end"/>
      </w:r>
      <w:r w:rsidR="005B1A35" w:rsidRPr="00770477">
        <w:rPr>
          <w:rFonts w:cs="Times New Roman"/>
        </w:rPr>
        <w:t xml:space="preserve">. </w:t>
      </w:r>
    </w:p>
    <w:p w14:paraId="23ACA7B7" w14:textId="77777777" w:rsidR="007B3DB8" w:rsidRPr="00770477" w:rsidRDefault="007B3DB8" w:rsidP="00A80CF0">
      <w:pPr>
        <w:tabs>
          <w:tab w:val="left" w:pos="5687"/>
        </w:tabs>
        <w:rPr>
          <w:rFonts w:cs="Times New Roman"/>
        </w:rPr>
      </w:pPr>
    </w:p>
    <w:p w14:paraId="34619CF6" w14:textId="0AF993ED" w:rsidR="005B1A35" w:rsidRPr="00770477" w:rsidRDefault="005B1A35" w:rsidP="00A80CF0">
      <w:pPr>
        <w:pStyle w:val="Heading2"/>
        <w:rPr>
          <w:rFonts w:cs="Times New Roman"/>
        </w:rPr>
      </w:pPr>
      <w:bookmarkStart w:id="15" w:name="_Toc121495972"/>
      <w:r w:rsidRPr="00770477">
        <w:rPr>
          <w:rFonts w:cs="Times New Roman"/>
        </w:rPr>
        <w:t>Treatment Media</w:t>
      </w:r>
      <w:bookmarkEnd w:id="15"/>
    </w:p>
    <w:p w14:paraId="665F617A" w14:textId="7CEA76E2" w:rsidR="005B1A35" w:rsidRPr="00770477" w:rsidRDefault="0095658B" w:rsidP="00A80CF0">
      <w:pPr>
        <w:rPr>
          <w:rFonts w:cs="Times New Roman"/>
        </w:rPr>
      </w:pPr>
      <w:r w:rsidRPr="00770477">
        <w:rPr>
          <w:rFonts w:cs="Times New Roman"/>
        </w:rPr>
        <w:t xml:space="preserve">Three </w:t>
      </w:r>
      <w:r w:rsidR="234A65D0" w:rsidRPr="00770477">
        <w:rPr>
          <w:rFonts w:cs="Times New Roman"/>
        </w:rPr>
        <w:t xml:space="preserve">different types of </w:t>
      </w:r>
      <w:r w:rsidR="5953BB58" w:rsidRPr="00770477">
        <w:rPr>
          <w:rFonts w:cs="Times New Roman"/>
        </w:rPr>
        <w:t>treatment</w:t>
      </w:r>
      <w:r w:rsidRPr="00770477">
        <w:rPr>
          <w:rFonts w:cs="Times New Roman"/>
        </w:rPr>
        <w:t xml:space="preserve"> media were selected for, among other reasons, their </w:t>
      </w:r>
      <w:r w:rsidR="00E26633" w:rsidRPr="00770477">
        <w:rPr>
          <w:rFonts w:cs="Times New Roman"/>
        </w:rPr>
        <w:t xml:space="preserve">abundance, </w:t>
      </w:r>
      <w:r w:rsidR="00D8138D" w:rsidRPr="00770477">
        <w:rPr>
          <w:rFonts w:cs="Times New Roman"/>
        </w:rPr>
        <w:t xml:space="preserve">low </w:t>
      </w:r>
      <w:r w:rsidR="00E26633" w:rsidRPr="00770477">
        <w:rPr>
          <w:rFonts w:cs="Times New Roman"/>
        </w:rPr>
        <w:t xml:space="preserve">cost, and </w:t>
      </w:r>
      <w:r w:rsidR="00CC7591" w:rsidRPr="00770477">
        <w:rPr>
          <w:rFonts w:cs="Times New Roman"/>
        </w:rPr>
        <w:t xml:space="preserve">lack of </w:t>
      </w:r>
      <w:r w:rsidR="00E26633" w:rsidRPr="00770477">
        <w:rPr>
          <w:rFonts w:cs="Times New Roman"/>
        </w:rPr>
        <w:t>widespread secondary uses. The intent with the three media is to identify a</w:t>
      </w:r>
      <w:r w:rsidR="00381A9C" w:rsidRPr="00770477">
        <w:rPr>
          <w:rFonts w:cs="Times New Roman"/>
        </w:rPr>
        <w:t xml:space="preserve"> beneficial secondary use while also providing a </w:t>
      </w:r>
      <w:r w:rsidR="00973D8E" w:rsidRPr="00770477">
        <w:rPr>
          <w:rFonts w:cs="Times New Roman"/>
        </w:rPr>
        <w:t>low-cost</w:t>
      </w:r>
      <w:r w:rsidR="00381A9C" w:rsidRPr="00770477">
        <w:rPr>
          <w:rFonts w:cs="Times New Roman"/>
        </w:rPr>
        <w:t xml:space="preserve"> solution to stormwater management</w:t>
      </w:r>
      <w:r w:rsidR="00F24D1C" w:rsidRPr="00770477">
        <w:rPr>
          <w:rFonts w:cs="Times New Roman"/>
        </w:rPr>
        <w:t xml:space="preserve"> and bioretention deficiencies. </w:t>
      </w:r>
      <w:r w:rsidR="00973D8E" w:rsidRPr="00770477">
        <w:rPr>
          <w:rFonts w:cs="Times New Roman"/>
        </w:rPr>
        <w:t xml:space="preserve">Media preparation and sourcing will be discussed in </w:t>
      </w:r>
      <w:r w:rsidR="004E18AB" w:rsidRPr="00770477">
        <w:rPr>
          <w:rFonts w:cs="Times New Roman"/>
        </w:rPr>
        <w:t xml:space="preserve">the </w:t>
      </w:r>
      <w:r w:rsidR="00FD4971" w:rsidRPr="00770477">
        <w:rPr>
          <w:rFonts w:cs="Times New Roman"/>
        </w:rPr>
        <w:t>methods;</w:t>
      </w:r>
      <w:r w:rsidR="004E18AB" w:rsidRPr="00770477">
        <w:rPr>
          <w:rFonts w:cs="Times New Roman"/>
        </w:rPr>
        <w:t xml:space="preserve"> however, this section highlight</w:t>
      </w:r>
      <w:r w:rsidR="00822A8A" w:rsidRPr="00770477">
        <w:rPr>
          <w:rFonts w:cs="Times New Roman"/>
        </w:rPr>
        <w:t>s</w:t>
      </w:r>
      <w:r w:rsidR="004E18AB" w:rsidRPr="00770477">
        <w:rPr>
          <w:rFonts w:cs="Times New Roman"/>
        </w:rPr>
        <w:t xml:space="preserve"> the </w:t>
      </w:r>
      <w:r w:rsidR="00414047" w:rsidRPr="00770477">
        <w:rPr>
          <w:rFonts w:cs="Times New Roman"/>
        </w:rPr>
        <w:t>most common characteristics of each media and provide</w:t>
      </w:r>
      <w:r w:rsidR="00A77756" w:rsidRPr="00770477">
        <w:rPr>
          <w:rFonts w:cs="Times New Roman"/>
        </w:rPr>
        <w:t>s</w:t>
      </w:r>
      <w:r w:rsidR="00414047" w:rsidRPr="00770477">
        <w:rPr>
          <w:rFonts w:cs="Times New Roman"/>
        </w:rPr>
        <w:t xml:space="preserve"> a review of existing literature as it pertains to the various media use</w:t>
      </w:r>
      <w:r w:rsidR="00E935F3" w:rsidRPr="00770477">
        <w:rPr>
          <w:rFonts w:cs="Times New Roman"/>
        </w:rPr>
        <w:t>s</w:t>
      </w:r>
      <w:r w:rsidR="00414047" w:rsidRPr="00770477">
        <w:rPr>
          <w:rFonts w:cs="Times New Roman"/>
        </w:rPr>
        <w:t xml:space="preserve"> for </w:t>
      </w:r>
      <w:r w:rsidR="00FD4971" w:rsidRPr="00770477">
        <w:rPr>
          <w:rFonts w:cs="Times New Roman"/>
        </w:rPr>
        <w:t>stormwater application.</w:t>
      </w:r>
      <w:r w:rsidR="00F24D1C" w:rsidRPr="00770477">
        <w:rPr>
          <w:rFonts w:cs="Times New Roman"/>
        </w:rPr>
        <w:t xml:space="preserve"> </w:t>
      </w:r>
    </w:p>
    <w:p w14:paraId="62289127" w14:textId="495560A8" w:rsidR="005B1A35" w:rsidRPr="00770477" w:rsidRDefault="005B1A35" w:rsidP="00A80CF0">
      <w:pPr>
        <w:rPr>
          <w:rFonts w:cs="Times New Roman"/>
        </w:rPr>
      </w:pPr>
    </w:p>
    <w:p w14:paraId="6B69DE8D" w14:textId="09118B7A" w:rsidR="005B1A35" w:rsidRPr="00770477" w:rsidRDefault="005B1A35" w:rsidP="00A80CF0">
      <w:pPr>
        <w:pStyle w:val="Heading3"/>
        <w:rPr>
          <w:rFonts w:cs="Times New Roman"/>
        </w:rPr>
      </w:pPr>
      <w:bookmarkStart w:id="16" w:name="_Toc121495973"/>
      <w:r w:rsidRPr="00770477">
        <w:rPr>
          <w:rFonts w:cs="Times New Roman"/>
        </w:rPr>
        <w:t>Fly Ash</w:t>
      </w:r>
      <w:bookmarkEnd w:id="16"/>
    </w:p>
    <w:p w14:paraId="7A76D5E5" w14:textId="32350988" w:rsidR="00687593" w:rsidRPr="00770477" w:rsidRDefault="000F3987" w:rsidP="005D64B8">
      <w:pPr>
        <w:ind w:firstLine="720"/>
        <w:rPr>
          <w:rFonts w:cs="Times New Roman"/>
        </w:rPr>
      </w:pPr>
      <w:r w:rsidRPr="00770477">
        <w:rPr>
          <w:rFonts w:cs="Times New Roman"/>
        </w:rPr>
        <w:t xml:space="preserve">Fly ash is </w:t>
      </w:r>
      <w:r w:rsidR="006E3CFD" w:rsidRPr="00770477">
        <w:rPr>
          <w:rFonts w:cs="Times New Roman"/>
        </w:rPr>
        <w:t xml:space="preserve">a portion of the product left after burning coal, typically for power generation. </w:t>
      </w:r>
      <w:r w:rsidR="006B5EF4" w:rsidRPr="00770477">
        <w:rPr>
          <w:rFonts w:cs="Times New Roman"/>
        </w:rPr>
        <w:t xml:space="preserve">After combusting coal, </w:t>
      </w:r>
      <w:r w:rsidR="00785750" w:rsidRPr="00770477">
        <w:rPr>
          <w:rFonts w:cs="Times New Roman"/>
        </w:rPr>
        <w:t>75</w:t>
      </w:r>
      <w:r w:rsidR="00AA7820" w:rsidRPr="00770477">
        <w:rPr>
          <w:rFonts w:cs="Times New Roman"/>
        </w:rPr>
        <w:t>-</w:t>
      </w:r>
      <w:r w:rsidR="00785750" w:rsidRPr="00770477">
        <w:rPr>
          <w:rFonts w:cs="Times New Roman"/>
        </w:rPr>
        <w:t>80% of the material remaining is fly ash</w:t>
      </w:r>
      <w:r w:rsidR="00BD4489" w:rsidRPr="00770477">
        <w:rPr>
          <w:rFonts w:cs="Times New Roman"/>
        </w:rPr>
        <w:t xml:space="preserve"> which accounts for roughly 500 million tons worldwide every year </w:t>
      </w:r>
      <w:r w:rsidR="00BD4489" w:rsidRPr="00770477">
        <w:rPr>
          <w:rFonts w:cs="Times New Roman"/>
        </w:rPr>
        <w:fldChar w:fldCharType="begin"/>
      </w:r>
      <w:r w:rsidR="002074AD">
        <w:rPr>
          <w:rFonts w:cs="Times New Roman"/>
        </w:rPr>
        <w:instrText xml:space="preserve"> ADDIN ZOTERO_ITEM CSL_CITATION {"citationID":"8dER7ktE","properties":{"formattedCitation":"(Ahmaruzzaman, 2010)","plainCitation":"(Ahmaruzzaman, 2010)","noteIndex":0},"citationItems":[{"id":77,"uris":["http://zotero.org/users/8423188/items/PEE3JLJR"],"itemData":{"id":77,"type":"article-journal","abstract":"Fly ash, generated during the combustion of coal for energy production, is an industrial by-product which is recognized as an environmental pollutant. Because of the environmental problems presented by the ﬂy ash, considerable research has been undertaken on the subject worldwide. In this paper, the utilization of ﬂy ash in construction, as a low-cost adsorbent for the removal of organic compounds, ﬂue gas and metals, light weight aggregate, mine back ﬁll, road sub-base, and zeolite synthesis is discussed. A considerable amount of research has been conducted using ﬂy ash for adsorption of NOx, SOx, organic compounds, and mercury in air, dyes and other organic compounds in waters. It is found that ﬂy ash is a promising adsorbent for the removal of various pollutants. The adsorption capacity of ﬂy ash may be increased after chemical and physical activation. It was also found that ﬂy ash has good potential for use in the construction industry. The conversion of ﬂy ash into zeolites has many applications such as ion exchange, molecular sieves, and adsorbents. Converting ﬂy ash into zeolites not only alleviates the disposal problem but also converts a waste material into a marketable commodity. Investigations also revealed that the unburned carbon component in ﬂy ash plays an important role in its adsorption capacity. Future research in these areas is also discussed.","container-title":"Progress in Energy and Combustion Science","DOI":"10.1016/j.pecs.2009.11.003","ISSN":"03601285","issue":"3","journalAbbreviation":"Progress in Energy and Combustion Science","language":"en","page":"327-363","source":"DOI.org (Crossref)","title":"A review on the utilization of fly ash","volume":"36","author":[{"family":"Ahmaruzzaman","given":"M."}],"issued":{"date-parts":[["2010",6]]}}}],"schema":"https://github.com/citation-style-language/schema/raw/master/csl-citation.json"} </w:instrText>
      </w:r>
      <w:r w:rsidR="00BD4489" w:rsidRPr="00770477">
        <w:rPr>
          <w:rFonts w:cs="Times New Roman"/>
        </w:rPr>
        <w:fldChar w:fldCharType="separate"/>
      </w:r>
      <w:r w:rsidR="00E11E17" w:rsidRPr="00770477">
        <w:rPr>
          <w:rFonts w:cs="Times New Roman"/>
        </w:rPr>
        <w:t>(Ahmaruzzaman, 2010)</w:t>
      </w:r>
      <w:r w:rsidR="00BD4489" w:rsidRPr="00770477">
        <w:rPr>
          <w:rFonts w:cs="Times New Roman"/>
        </w:rPr>
        <w:fldChar w:fldCharType="end"/>
      </w:r>
      <w:r w:rsidR="001D5FAD" w:rsidRPr="00770477">
        <w:rPr>
          <w:rFonts w:cs="Times New Roman"/>
        </w:rPr>
        <w:t>. This byproduct has several uses beyond power generation including its use in concrete</w:t>
      </w:r>
      <w:r w:rsidR="00025583" w:rsidRPr="00770477">
        <w:rPr>
          <w:rFonts w:cs="Times New Roman"/>
        </w:rPr>
        <w:t>, as a road base, and as a contaminant-sorbing</w:t>
      </w:r>
      <w:r w:rsidR="002D44DB" w:rsidRPr="00770477">
        <w:rPr>
          <w:rFonts w:cs="Times New Roman"/>
        </w:rPr>
        <w:t xml:space="preserve"> medium</w:t>
      </w:r>
      <w:r w:rsidR="00E437E1" w:rsidRPr="00770477">
        <w:rPr>
          <w:rFonts w:cs="Times New Roman"/>
        </w:rPr>
        <w:t xml:space="preserve"> </w:t>
      </w:r>
      <w:r w:rsidR="00E437E1" w:rsidRPr="00770477">
        <w:rPr>
          <w:rFonts w:cs="Times New Roman"/>
        </w:rPr>
        <w:fldChar w:fldCharType="begin"/>
      </w:r>
      <w:r w:rsidR="002074AD">
        <w:rPr>
          <w:rFonts w:cs="Times New Roman"/>
        </w:rPr>
        <w:instrText xml:space="preserve"> ADDIN ZOTERO_ITEM CSL_CITATION {"citationID":"pRW0Xxyz","properties":{"formattedCitation":"(Ahmaruzzaman, 2010)","plainCitation":"(Ahmaruzzaman, 2010)","noteIndex":0},"citationItems":[{"id":77,"uris":["http://zotero.org/users/8423188/items/PEE3JLJR"],"itemData":{"id":77,"type":"article-journal","abstract":"Fly ash, generated during the combustion of coal for energy production, is an industrial by-product which is recognized as an environmental pollutant. Because of the environmental problems presented by the ﬂy ash, considerable research has been undertaken on the subject worldwide. In this paper, the utilization of ﬂy ash in construction, as a low-cost adsorbent for the removal of organic compounds, ﬂue gas and metals, light weight aggregate, mine back ﬁll, road sub-base, and zeolite synthesis is discussed. A considerable amount of research has been conducted using ﬂy ash for adsorption of NOx, SOx, organic compounds, and mercury in air, dyes and other organic compounds in waters. It is found that ﬂy ash is a promising adsorbent for the removal of various pollutants. The adsorption capacity of ﬂy ash may be increased after chemical and physical activation. It was also found that ﬂy ash has good potential for use in the construction industry. The conversion of ﬂy ash into zeolites has many applications such as ion exchange, molecular sieves, and adsorbents. Converting ﬂy ash into zeolites not only alleviates the disposal problem but also converts a waste material into a marketable commodity. Investigations also revealed that the unburned carbon component in ﬂy ash plays an important role in its adsorption capacity. Future research in these areas is also discussed.","container-title":"Progress in Energy and Combustion Science","DOI":"10.1016/j.pecs.2009.11.003","ISSN":"03601285","issue":"3","journalAbbreviation":"Progress in Energy and Combustion Science","language":"en","page":"327-363","source":"DOI.org (Crossref)","title":"A review on the utilization of fly ash","volume":"36","author":[{"family":"Ahmaruzzaman","given":"M."}],"issued":{"date-parts":[["2010",6]]}}}],"schema":"https://github.com/citation-style-language/schema/raw/master/csl-citation.json"} </w:instrText>
      </w:r>
      <w:r w:rsidR="00E437E1" w:rsidRPr="00770477">
        <w:rPr>
          <w:rFonts w:cs="Times New Roman"/>
        </w:rPr>
        <w:fldChar w:fldCharType="separate"/>
      </w:r>
      <w:r w:rsidR="00E11E17" w:rsidRPr="00770477">
        <w:rPr>
          <w:rFonts w:cs="Times New Roman"/>
        </w:rPr>
        <w:t>(Ahmaruzzaman, 2010)</w:t>
      </w:r>
      <w:r w:rsidR="00E437E1" w:rsidRPr="00770477">
        <w:rPr>
          <w:rFonts w:cs="Times New Roman"/>
        </w:rPr>
        <w:fldChar w:fldCharType="end"/>
      </w:r>
      <w:r w:rsidR="00E437E1" w:rsidRPr="00770477">
        <w:rPr>
          <w:rFonts w:cs="Times New Roman"/>
        </w:rPr>
        <w:t xml:space="preserve">. However, estimates from 2009 show that only 16% of all fly ash produced worldwide is </w:t>
      </w:r>
      <w:r w:rsidR="00D209F7" w:rsidRPr="00770477">
        <w:rPr>
          <w:rFonts w:cs="Times New Roman"/>
        </w:rPr>
        <w:t xml:space="preserve">reused in any way </w:t>
      </w:r>
      <w:r w:rsidR="00D209F7" w:rsidRPr="00770477">
        <w:rPr>
          <w:rFonts w:cs="Times New Roman"/>
        </w:rPr>
        <w:fldChar w:fldCharType="begin"/>
      </w:r>
      <w:r w:rsidR="002074AD">
        <w:rPr>
          <w:rFonts w:cs="Times New Roman"/>
        </w:rPr>
        <w:instrText xml:space="preserve"> ADDIN ZOTERO_ITEM CSL_CITATION {"citationID":"8bkHC61V","properties":{"formattedCitation":"(Ahmaruzzaman, 2010)","plainCitation":"(Ahmaruzzaman, 2010)","noteIndex":0},"citationItems":[{"id":77,"uris":["http://zotero.org/users/8423188/items/PEE3JLJR"],"itemData":{"id":77,"type":"article-journal","abstract":"Fly ash, generated during the combustion of coal for energy production, is an industrial by-product which is recognized as an environmental pollutant. Because of the environmental problems presented by the ﬂy ash, considerable research has been undertaken on the subject worldwide. In this paper, the utilization of ﬂy ash in construction, as a low-cost adsorbent for the removal of organic compounds, ﬂue gas and metals, light weight aggregate, mine back ﬁll, road sub-base, and zeolite synthesis is discussed. A considerable amount of research has been conducted using ﬂy ash for adsorption of NOx, SOx, organic compounds, and mercury in air, dyes and other organic compounds in waters. It is found that ﬂy ash is a promising adsorbent for the removal of various pollutants. The adsorption capacity of ﬂy ash may be increased after chemical and physical activation. It was also found that ﬂy ash has good potential for use in the construction industry. The conversion of ﬂy ash into zeolites has many applications such as ion exchange, molecular sieves, and adsorbents. Converting ﬂy ash into zeolites not only alleviates the disposal problem but also converts a waste material into a marketable commodity. Investigations also revealed that the unburned carbon component in ﬂy ash plays an important role in its adsorption capacity. Future research in these areas is also discussed.","container-title":"Progress in Energy and Combustion Science","DOI":"10.1016/j.pecs.2009.11.003","ISSN":"03601285","issue":"3","journalAbbreviation":"Progress in Energy and Combustion Science","language":"en","page":"327-363","source":"DOI.org (Crossref)","title":"A review on the utilization of fly ash","volume":"36","author":[{"family":"Ahmaruzzaman","given":"M."}],"issued":{"date-parts":[["2010",6]]}}}],"schema":"https://github.com/citation-style-language/schema/raw/master/csl-citation.json"} </w:instrText>
      </w:r>
      <w:r w:rsidR="00D209F7" w:rsidRPr="00770477">
        <w:rPr>
          <w:rFonts w:cs="Times New Roman"/>
        </w:rPr>
        <w:fldChar w:fldCharType="separate"/>
      </w:r>
      <w:r w:rsidR="00E11E17" w:rsidRPr="00770477">
        <w:rPr>
          <w:rFonts w:cs="Times New Roman"/>
        </w:rPr>
        <w:t>(Ahmaruzzaman, 2010)</w:t>
      </w:r>
      <w:r w:rsidR="00D209F7" w:rsidRPr="00770477">
        <w:rPr>
          <w:rFonts w:cs="Times New Roman"/>
        </w:rPr>
        <w:fldChar w:fldCharType="end"/>
      </w:r>
      <w:r w:rsidR="00D209F7" w:rsidRPr="00770477">
        <w:rPr>
          <w:rFonts w:cs="Times New Roman"/>
        </w:rPr>
        <w:t xml:space="preserve">. </w:t>
      </w:r>
    </w:p>
    <w:p w14:paraId="01206A17" w14:textId="1F4D38A0" w:rsidR="005B1A35" w:rsidRPr="00770477" w:rsidRDefault="00075C96" w:rsidP="003D18F6">
      <w:pPr>
        <w:ind w:firstLine="720"/>
        <w:rPr>
          <w:rFonts w:cs="Times New Roman"/>
        </w:rPr>
      </w:pPr>
      <w:r w:rsidRPr="00770477">
        <w:rPr>
          <w:rFonts w:cs="Times New Roman"/>
        </w:rPr>
        <w:t xml:space="preserve">Generally, fly ash </w:t>
      </w:r>
      <w:r w:rsidR="005C6454" w:rsidRPr="00770477">
        <w:rPr>
          <w:rFonts w:cs="Times New Roman"/>
        </w:rPr>
        <w:t xml:space="preserve">is </w:t>
      </w:r>
      <w:r w:rsidR="00E769E6" w:rsidRPr="00770477">
        <w:rPr>
          <w:rFonts w:cs="Times New Roman"/>
        </w:rPr>
        <w:t xml:space="preserve">primarily </w:t>
      </w:r>
      <w:r w:rsidR="005C6454" w:rsidRPr="00770477">
        <w:rPr>
          <w:rFonts w:cs="Times New Roman"/>
        </w:rPr>
        <w:t>composed of SiO</w:t>
      </w:r>
      <w:r w:rsidR="005C6454" w:rsidRPr="00770477">
        <w:rPr>
          <w:rFonts w:cs="Times New Roman"/>
          <w:vertAlign w:val="subscript"/>
        </w:rPr>
        <w:t>2</w:t>
      </w:r>
      <w:r w:rsidR="005C6454" w:rsidRPr="00770477">
        <w:rPr>
          <w:rFonts w:cs="Times New Roman"/>
        </w:rPr>
        <w:t>, Al</w:t>
      </w:r>
      <w:r w:rsidR="005C6454" w:rsidRPr="00770477">
        <w:rPr>
          <w:rFonts w:cs="Times New Roman"/>
          <w:vertAlign w:val="subscript"/>
        </w:rPr>
        <w:t>2</w:t>
      </w:r>
      <w:r w:rsidR="00E01814" w:rsidRPr="00770477">
        <w:rPr>
          <w:rFonts w:cs="Times New Roman"/>
        </w:rPr>
        <w:t>O</w:t>
      </w:r>
      <w:r w:rsidR="00E01814" w:rsidRPr="00770477">
        <w:rPr>
          <w:rFonts w:cs="Times New Roman"/>
          <w:vertAlign w:val="subscript"/>
        </w:rPr>
        <w:t>3</w:t>
      </w:r>
      <w:r w:rsidR="00E01814" w:rsidRPr="00770477">
        <w:rPr>
          <w:rFonts w:cs="Times New Roman"/>
        </w:rPr>
        <w:t>, Fe</w:t>
      </w:r>
      <w:r w:rsidR="00E01814" w:rsidRPr="00770477">
        <w:rPr>
          <w:rFonts w:cs="Times New Roman"/>
          <w:vertAlign w:val="subscript"/>
        </w:rPr>
        <w:t>2</w:t>
      </w:r>
      <w:r w:rsidR="00E01814" w:rsidRPr="00770477">
        <w:rPr>
          <w:rFonts w:cs="Times New Roman"/>
        </w:rPr>
        <w:t>O</w:t>
      </w:r>
      <w:r w:rsidR="00E01814" w:rsidRPr="00770477">
        <w:rPr>
          <w:rFonts w:cs="Times New Roman"/>
          <w:vertAlign w:val="subscript"/>
        </w:rPr>
        <w:t>3</w:t>
      </w:r>
      <w:r w:rsidR="00E01814" w:rsidRPr="00770477">
        <w:rPr>
          <w:rFonts w:cs="Times New Roman"/>
        </w:rPr>
        <w:t>,</w:t>
      </w:r>
      <w:r w:rsidR="00E769E6" w:rsidRPr="00770477">
        <w:rPr>
          <w:rFonts w:cs="Times New Roman"/>
        </w:rPr>
        <w:t xml:space="preserve"> and</w:t>
      </w:r>
      <w:r w:rsidR="00E01814" w:rsidRPr="00770477">
        <w:rPr>
          <w:rFonts w:cs="Times New Roman"/>
        </w:rPr>
        <w:t xml:space="preserve"> </w:t>
      </w:r>
      <w:proofErr w:type="spellStart"/>
      <w:r w:rsidR="00E01814" w:rsidRPr="00770477">
        <w:rPr>
          <w:rFonts w:cs="Times New Roman"/>
        </w:rPr>
        <w:t>CaO</w:t>
      </w:r>
      <w:proofErr w:type="spellEnd"/>
      <w:r w:rsidR="00E769E6" w:rsidRPr="00770477">
        <w:rPr>
          <w:rFonts w:cs="Times New Roman"/>
        </w:rPr>
        <w:t xml:space="preserve"> with other compounds such as</w:t>
      </w:r>
      <w:r w:rsidR="00E01814" w:rsidRPr="00770477">
        <w:rPr>
          <w:rFonts w:cs="Times New Roman"/>
        </w:rPr>
        <w:t xml:space="preserve"> MgO, SO</w:t>
      </w:r>
      <w:r w:rsidR="00E01814" w:rsidRPr="00770477">
        <w:rPr>
          <w:rFonts w:cs="Times New Roman"/>
          <w:vertAlign w:val="subscript"/>
        </w:rPr>
        <w:t>3</w:t>
      </w:r>
      <w:r w:rsidR="00E01814" w:rsidRPr="00770477">
        <w:rPr>
          <w:rFonts w:cs="Times New Roman"/>
        </w:rPr>
        <w:t>, Na</w:t>
      </w:r>
      <w:r w:rsidR="00E01814" w:rsidRPr="00770477">
        <w:rPr>
          <w:rFonts w:cs="Times New Roman"/>
          <w:vertAlign w:val="subscript"/>
        </w:rPr>
        <w:t>2</w:t>
      </w:r>
      <w:r w:rsidR="00E01814" w:rsidRPr="00770477">
        <w:rPr>
          <w:rFonts w:cs="Times New Roman"/>
        </w:rPr>
        <w:t>O</w:t>
      </w:r>
      <w:r w:rsidR="000E3424" w:rsidRPr="00770477">
        <w:rPr>
          <w:rFonts w:cs="Times New Roman"/>
        </w:rPr>
        <w:t xml:space="preserve">, </w:t>
      </w:r>
      <w:r w:rsidR="006F2A4E" w:rsidRPr="00770477">
        <w:rPr>
          <w:rFonts w:cs="Times New Roman"/>
        </w:rPr>
        <w:t xml:space="preserve">and </w:t>
      </w:r>
      <w:r w:rsidR="000E3424" w:rsidRPr="00770477">
        <w:rPr>
          <w:rFonts w:cs="Times New Roman"/>
        </w:rPr>
        <w:t>K</w:t>
      </w:r>
      <w:r w:rsidR="000E3424" w:rsidRPr="00770477">
        <w:rPr>
          <w:rFonts w:cs="Times New Roman"/>
          <w:vertAlign w:val="subscript"/>
        </w:rPr>
        <w:t>2</w:t>
      </w:r>
      <w:r w:rsidR="000E3424" w:rsidRPr="00770477">
        <w:rPr>
          <w:rFonts w:cs="Times New Roman"/>
        </w:rPr>
        <w:t>O</w:t>
      </w:r>
      <w:r w:rsidR="00E769E6" w:rsidRPr="00770477">
        <w:rPr>
          <w:rFonts w:cs="Times New Roman"/>
        </w:rPr>
        <w:t xml:space="preserve"> found at </w:t>
      </w:r>
      <w:r w:rsidR="003D4C50">
        <w:rPr>
          <w:rFonts w:cs="Times New Roman"/>
        </w:rPr>
        <w:t xml:space="preserve">much </w:t>
      </w:r>
      <w:r w:rsidR="00E769E6" w:rsidRPr="00770477">
        <w:rPr>
          <w:rFonts w:cs="Times New Roman"/>
        </w:rPr>
        <w:t>lower concentrations</w:t>
      </w:r>
      <w:r w:rsidR="00A60CF6" w:rsidRPr="00770477">
        <w:rPr>
          <w:rFonts w:cs="Times New Roman"/>
        </w:rPr>
        <w:t xml:space="preserve"> </w:t>
      </w:r>
      <w:r w:rsidR="00A60CF6" w:rsidRPr="00770477">
        <w:rPr>
          <w:rFonts w:cs="Times New Roman"/>
        </w:rPr>
        <w:lastRenderedPageBreak/>
        <w:fldChar w:fldCharType="begin"/>
      </w:r>
      <w:r w:rsidR="002074AD">
        <w:rPr>
          <w:rFonts w:cs="Times New Roman"/>
        </w:rPr>
        <w:instrText xml:space="preserve"> ADDIN ZOTERO_ITEM CSL_CITATION {"citationID":"60vEGIof","properties":{"formattedCitation":"(Ahmaruzzaman, 2010)","plainCitation":"(Ahmaruzzaman, 2010)","noteIndex":0},"citationItems":[{"id":77,"uris":["http://zotero.org/users/8423188/items/PEE3JLJR"],"itemData":{"id":77,"type":"article-journal","abstract":"Fly ash, generated during the combustion of coal for energy production, is an industrial by-product which is recognized as an environmental pollutant. Because of the environmental problems presented by the ﬂy ash, considerable research has been undertaken on the subject worldwide. In this paper, the utilization of ﬂy ash in construction, as a low-cost adsorbent for the removal of organic compounds, ﬂue gas and metals, light weight aggregate, mine back ﬁll, road sub-base, and zeolite synthesis is discussed. A considerable amount of research has been conducted using ﬂy ash for adsorption of NOx, SOx, organic compounds, and mercury in air, dyes and other organic compounds in waters. It is found that ﬂy ash is a promising adsorbent for the removal of various pollutants. The adsorption capacity of ﬂy ash may be increased after chemical and physical activation. It was also found that ﬂy ash has good potential for use in the construction industry. The conversion of ﬂy ash into zeolites has many applications such as ion exchange, molecular sieves, and adsorbents. Converting ﬂy ash into zeolites not only alleviates the disposal problem but also converts a waste material into a marketable commodity. Investigations also revealed that the unburned carbon component in ﬂy ash plays an important role in its adsorption capacity. Future research in these areas is also discussed.","container-title":"Progress in Energy and Combustion Science","DOI":"10.1016/j.pecs.2009.11.003","ISSN":"03601285","issue":"3","journalAbbreviation":"Progress in Energy and Combustion Science","language":"en","page":"327-363","source":"DOI.org (Crossref)","title":"A review on the utilization of fly ash","volume":"36","author":[{"family":"Ahmaruzzaman","given":"M."}],"issued":{"date-parts":[["2010",6]]}}}],"schema":"https://github.com/citation-style-language/schema/raw/master/csl-citation.json"} </w:instrText>
      </w:r>
      <w:r w:rsidR="00A60CF6" w:rsidRPr="00770477">
        <w:rPr>
          <w:rFonts w:cs="Times New Roman"/>
        </w:rPr>
        <w:fldChar w:fldCharType="separate"/>
      </w:r>
      <w:r w:rsidR="00E11E17" w:rsidRPr="00770477">
        <w:rPr>
          <w:rFonts w:cs="Times New Roman"/>
        </w:rPr>
        <w:t>(Ahmaruzzaman, 2010)</w:t>
      </w:r>
      <w:r w:rsidR="00A60CF6" w:rsidRPr="00770477">
        <w:rPr>
          <w:rFonts w:cs="Times New Roman"/>
        </w:rPr>
        <w:fldChar w:fldCharType="end"/>
      </w:r>
      <w:r w:rsidR="00A60CF6" w:rsidRPr="00770477">
        <w:rPr>
          <w:rFonts w:cs="Times New Roman"/>
        </w:rPr>
        <w:t xml:space="preserve">. </w:t>
      </w:r>
      <w:r w:rsidR="007A4A2A" w:rsidRPr="00770477">
        <w:rPr>
          <w:rFonts w:cs="Times New Roman"/>
        </w:rPr>
        <w:t xml:space="preserve">Variations in the composition of any </w:t>
      </w:r>
      <w:proofErr w:type="gramStart"/>
      <w:r w:rsidR="007A4A2A" w:rsidRPr="00770477">
        <w:rPr>
          <w:rFonts w:cs="Times New Roman"/>
        </w:rPr>
        <w:t>particular fly</w:t>
      </w:r>
      <w:proofErr w:type="gramEnd"/>
      <w:r w:rsidR="007A4A2A" w:rsidRPr="00770477">
        <w:rPr>
          <w:rFonts w:cs="Times New Roman"/>
        </w:rPr>
        <w:t xml:space="preserve"> ash will be </w:t>
      </w:r>
      <w:r w:rsidR="00F81735">
        <w:rPr>
          <w:rFonts w:cs="Times New Roman"/>
        </w:rPr>
        <w:t>highly</w:t>
      </w:r>
      <w:r w:rsidR="007A4A2A" w:rsidRPr="00770477">
        <w:rPr>
          <w:rFonts w:cs="Times New Roman"/>
        </w:rPr>
        <w:t xml:space="preserve"> dependent on the source and quality of the coal that is combusted</w:t>
      </w:r>
      <w:r w:rsidR="003D18F6" w:rsidRPr="00770477">
        <w:rPr>
          <w:rFonts w:cs="Times New Roman"/>
        </w:rPr>
        <w:t xml:space="preserve">. </w:t>
      </w:r>
      <w:r w:rsidR="008857BE" w:rsidRPr="00770477">
        <w:rPr>
          <w:rFonts w:cs="Times New Roman"/>
        </w:rPr>
        <w:t>Additionall</w:t>
      </w:r>
      <w:r w:rsidR="003D18F6" w:rsidRPr="00770477">
        <w:rPr>
          <w:rFonts w:cs="Times New Roman"/>
        </w:rPr>
        <w:t xml:space="preserve">y, </w:t>
      </w:r>
      <w:r w:rsidR="008857BE" w:rsidRPr="00770477">
        <w:rPr>
          <w:rFonts w:cs="Times New Roman"/>
        </w:rPr>
        <w:t>the</w:t>
      </w:r>
      <w:r w:rsidR="00B51341" w:rsidRPr="00770477">
        <w:rPr>
          <w:rFonts w:cs="Times New Roman"/>
        </w:rPr>
        <w:t xml:space="preserve"> American Society for Testing Materials </w:t>
      </w:r>
      <w:r w:rsidR="00F308D8" w:rsidRPr="00770477">
        <w:rPr>
          <w:rFonts w:cs="Times New Roman"/>
        </w:rPr>
        <w:t>(</w:t>
      </w:r>
      <w:r w:rsidR="00F308D8" w:rsidRPr="00770477">
        <w:rPr>
          <w:rFonts w:cs="Times New Roman"/>
        </w:rPr>
        <w:fldChar w:fldCharType="begin"/>
      </w:r>
      <w:r w:rsidR="002074AD">
        <w:rPr>
          <w:rFonts w:cs="Times New Roman"/>
        </w:rPr>
        <w:instrText xml:space="preserve"> ADDIN ZOTERO_ITEM CSL_CITATION {"citationID":"dfySTXv5","properties":{"formattedCitation":"({\\i{}ASTM C618-05}, 2005)","plainCitation":"(ASTM C618-05, 2005)","dontUpdate":true,"noteIndex":0},"citationItems":[{"id":684,"uris":["http://zotero.org/users/8423188/items/MF6BMGRF"],"itemData":{"id":684,"type":"report","collection-title":"Annual book of ASTM standards, concrete and aggregates","number":"C618-05","publisher":"American Society for Testing Materials","title":"ASTM standard specification for coal fly ash and raw or calcined natural pozzolan for use in concrete","title-short":"ASTM C618-05","issued":{"date-parts":[["2005"]]}}}],"schema":"https://github.com/citation-style-language/schema/raw/master/csl-citation.json"} </w:instrText>
      </w:r>
      <w:r w:rsidR="00F308D8" w:rsidRPr="00770477">
        <w:rPr>
          <w:rFonts w:cs="Times New Roman"/>
        </w:rPr>
        <w:fldChar w:fldCharType="separate"/>
      </w:r>
      <w:r w:rsidR="00F308D8" w:rsidRPr="00770477">
        <w:rPr>
          <w:rFonts w:cs="Times New Roman"/>
          <w:i/>
          <w:iCs/>
        </w:rPr>
        <w:t>ASTM C618-05</w:t>
      </w:r>
      <w:r w:rsidR="00F308D8" w:rsidRPr="00770477">
        <w:rPr>
          <w:rFonts w:cs="Times New Roman"/>
        </w:rPr>
        <w:t>, 2005)</w:t>
      </w:r>
      <w:r w:rsidR="00F308D8" w:rsidRPr="00770477">
        <w:rPr>
          <w:rFonts w:cs="Times New Roman"/>
        </w:rPr>
        <w:fldChar w:fldCharType="end"/>
      </w:r>
      <w:r w:rsidR="00F308D8" w:rsidRPr="00770477">
        <w:rPr>
          <w:rFonts w:cs="Times New Roman"/>
        </w:rPr>
        <w:t xml:space="preserve"> delineates ash </w:t>
      </w:r>
      <w:r w:rsidR="009B3517" w:rsidRPr="00770477">
        <w:rPr>
          <w:rFonts w:cs="Times New Roman"/>
        </w:rPr>
        <w:t xml:space="preserve">that has a </w:t>
      </w:r>
      <w:proofErr w:type="spellStart"/>
      <w:r w:rsidR="009B3517" w:rsidRPr="00770477">
        <w:rPr>
          <w:rFonts w:cs="Times New Roman"/>
        </w:rPr>
        <w:t>wt</w:t>
      </w:r>
      <w:proofErr w:type="spellEnd"/>
      <w:r w:rsidR="009B3517" w:rsidRPr="00770477">
        <w:rPr>
          <w:rFonts w:cs="Times New Roman"/>
        </w:rPr>
        <w:t>% of combined SiO</w:t>
      </w:r>
      <w:r w:rsidR="009B3517" w:rsidRPr="00770477">
        <w:rPr>
          <w:rFonts w:cs="Times New Roman"/>
          <w:vertAlign w:val="subscript"/>
        </w:rPr>
        <w:t>2</w:t>
      </w:r>
      <w:r w:rsidR="009B3517" w:rsidRPr="00770477">
        <w:rPr>
          <w:rFonts w:cs="Times New Roman"/>
        </w:rPr>
        <w:t>, Al</w:t>
      </w:r>
      <w:r w:rsidR="009B3517" w:rsidRPr="00770477">
        <w:rPr>
          <w:rFonts w:cs="Times New Roman"/>
          <w:vertAlign w:val="subscript"/>
        </w:rPr>
        <w:t>2</w:t>
      </w:r>
      <w:r w:rsidR="009B3517" w:rsidRPr="00770477">
        <w:rPr>
          <w:rFonts w:cs="Times New Roman"/>
        </w:rPr>
        <w:t>O</w:t>
      </w:r>
      <w:r w:rsidR="009B3517" w:rsidRPr="00770477">
        <w:rPr>
          <w:rFonts w:cs="Times New Roman"/>
          <w:vertAlign w:val="subscript"/>
        </w:rPr>
        <w:t>3</w:t>
      </w:r>
      <w:r w:rsidR="009B3517" w:rsidRPr="00770477">
        <w:rPr>
          <w:rFonts w:cs="Times New Roman"/>
        </w:rPr>
        <w:t>, Fe</w:t>
      </w:r>
      <w:r w:rsidR="009B3517" w:rsidRPr="00770477">
        <w:rPr>
          <w:rFonts w:cs="Times New Roman"/>
          <w:vertAlign w:val="subscript"/>
        </w:rPr>
        <w:t>2</w:t>
      </w:r>
      <w:r w:rsidR="009B3517" w:rsidRPr="00770477">
        <w:rPr>
          <w:rFonts w:cs="Times New Roman"/>
        </w:rPr>
        <w:t>O</w:t>
      </w:r>
      <w:r w:rsidR="009B3517" w:rsidRPr="00770477">
        <w:rPr>
          <w:rFonts w:cs="Times New Roman"/>
          <w:vertAlign w:val="subscript"/>
        </w:rPr>
        <w:t>3</w:t>
      </w:r>
      <w:r w:rsidR="009B3517" w:rsidRPr="00770477">
        <w:rPr>
          <w:rFonts w:cs="Times New Roman"/>
        </w:rPr>
        <w:t xml:space="preserve"> content greater than 70</w:t>
      </w:r>
      <w:r w:rsidR="00A95B63" w:rsidRPr="00770477">
        <w:rPr>
          <w:rFonts w:cs="Times New Roman"/>
        </w:rPr>
        <w:t xml:space="preserve"> as “class F” and ash with a combined </w:t>
      </w:r>
      <w:proofErr w:type="spellStart"/>
      <w:r w:rsidR="00A95B63" w:rsidRPr="00770477">
        <w:rPr>
          <w:rFonts w:cs="Times New Roman"/>
        </w:rPr>
        <w:t>wt</w:t>
      </w:r>
      <w:proofErr w:type="spellEnd"/>
      <w:r w:rsidR="00A95B63" w:rsidRPr="00770477">
        <w:rPr>
          <w:rFonts w:cs="Times New Roman"/>
        </w:rPr>
        <w:t xml:space="preserve">% of the mentioned compounds </w:t>
      </w:r>
      <w:r w:rsidR="009A63DB" w:rsidRPr="00770477">
        <w:rPr>
          <w:rFonts w:cs="Times New Roman"/>
        </w:rPr>
        <w:t>between 50% and 70% as “class C.”</w:t>
      </w:r>
      <w:r w:rsidR="00543024" w:rsidRPr="00770477">
        <w:rPr>
          <w:rFonts w:cs="Times New Roman"/>
        </w:rPr>
        <w:t xml:space="preserve"> </w:t>
      </w:r>
      <w:r w:rsidR="00C06038" w:rsidRPr="00770477">
        <w:rPr>
          <w:rFonts w:cs="Times New Roman"/>
        </w:rPr>
        <w:t>In addition</w:t>
      </w:r>
      <w:r w:rsidR="00543024" w:rsidRPr="00770477">
        <w:rPr>
          <w:rFonts w:cs="Times New Roman"/>
        </w:rPr>
        <w:t>, fly ash is know</w:t>
      </w:r>
      <w:r w:rsidR="009A6D3D" w:rsidRPr="00770477">
        <w:rPr>
          <w:rFonts w:cs="Times New Roman"/>
        </w:rPr>
        <w:t>n</w:t>
      </w:r>
      <w:r w:rsidR="00543024" w:rsidRPr="00770477">
        <w:rPr>
          <w:rFonts w:cs="Times New Roman"/>
        </w:rPr>
        <w:t xml:space="preserve"> to contain elements such as P, K,</w:t>
      </w:r>
      <w:r w:rsidR="00EC5D6B" w:rsidRPr="00770477">
        <w:rPr>
          <w:rFonts w:cs="Times New Roman"/>
        </w:rPr>
        <w:t xml:space="preserve"> </w:t>
      </w:r>
      <w:r w:rsidR="00543024" w:rsidRPr="00770477">
        <w:rPr>
          <w:rFonts w:cs="Times New Roman"/>
        </w:rPr>
        <w:t>Zn, Fe, Cu, Mn, B, and Mo</w:t>
      </w:r>
      <w:r w:rsidR="002373BE" w:rsidRPr="00770477">
        <w:rPr>
          <w:rFonts w:cs="Times New Roman"/>
        </w:rPr>
        <w:t xml:space="preserve"> </w:t>
      </w:r>
      <w:r w:rsidR="002373BE" w:rsidRPr="00770477">
        <w:rPr>
          <w:rFonts w:cs="Times New Roman"/>
        </w:rPr>
        <w:fldChar w:fldCharType="begin"/>
      </w:r>
      <w:r w:rsidR="002074AD">
        <w:rPr>
          <w:rFonts w:cs="Times New Roman"/>
        </w:rPr>
        <w:instrText xml:space="preserve"> ADDIN ZOTERO_ITEM CSL_CITATION {"citationID":"qiC6y6qA","properties":{"formattedCitation":"(Ahmaruzzaman, 2010)","plainCitation":"(Ahmaruzzaman, 2010)","noteIndex":0},"citationItems":[{"id":77,"uris":["http://zotero.org/users/8423188/items/PEE3JLJR"],"itemData":{"id":77,"type":"article-journal","abstract":"Fly ash, generated during the combustion of coal for energy production, is an industrial by-product which is recognized as an environmental pollutant. Because of the environmental problems presented by the ﬂy ash, considerable research has been undertaken on the subject worldwide. In this paper, the utilization of ﬂy ash in construction, as a low-cost adsorbent for the removal of organic compounds, ﬂue gas and metals, light weight aggregate, mine back ﬁll, road sub-base, and zeolite synthesis is discussed. A considerable amount of research has been conducted using ﬂy ash for adsorption of NOx, SOx, organic compounds, and mercury in air, dyes and other organic compounds in waters. It is found that ﬂy ash is a promising adsorbent for the removal of various pollutants. The adsorption capacity of ﬂy ash may be increased after chemical and physical activation. It was also found that ﬂy ash has good potential for use in the construction industry. The conversion of ﬂy ash into zeolites has many applications such as ion exchange, molecular sieves, and adsorbents. Converting ﬂy ash into zeolites not only alleviates the disposal problem but also converts a waste material into a marketable commodity. Investigations also revealed that the unburned carbon component in ﬂy ash plays an important role in its adsorption capacity. Future research in these areas is also discussed.","container-title":"Progress in Energy and Combustion Science","DOI":"10.1016/j.pecs.2009.11.003","ISSN":"03601285","issue":"3","journalAbbreviation":"Progress in Energy and Combustion Science","language":"en","page":"327-363","source":"DOI.org (Crossref)","title":"A review on the utilization of fly ash","volume":"36","author":[{"family":"Ahmaruzzaman","given":"M."}],"issued":{"date-parts":[["2010",6]]}}}],"schema":"https://github.com/citation-style-language/schema/raw/master/csl-citation.json"} </w:instrText>
      </w:r>
      <w:r w:rsidR="002373BE" w:rsidRPr="00770477">
        <w:rPr>
          <w:rFonts w:cs="Times New Roman"/>
        </w:rPr>
        <w:fldChar w:fldCharType="separate"/>
      </w:r>
      <w:r w:rsidR="00E11E17" w:rsidRPr="00770477">
        <w:rPr>
          <w:rFonts w:cs="Times New Roman"/>
        </w:rPr>
        <w:t>(Ahmaruzzaman, 2010)</w:t>
      </w:r>
      <w:r w:rsidR="002373BE" w:rsidRPr="00770477">
        <w:rPr>
          <w:rFonts w:cs="Times New Roman"/>
        </w:rPr>
        <w:fldChar w:fldCharType="end"/>
      </w:r>
      <w:r w:rsidR="00591713" w:rsidRPr="00770477">
        <w:rPr>
          <w:rFonts w:cs="Times New Roman"/>
        </w:rPr>
        <w:t xml:space="preserve">. Fly ash </w:t>
      </w:r>
      <w:r w:rsidR="00F43DD7" w:rsidRPr="00770477">
        <w:rPr>
          <w:rFonts w:cs="Times New Roman"/>
        </w:rPr>
        <w:t xml:space="preserve">is typically grey to tan in color and </w:t>
      </w:r>
      <w:r w:rsidR="00AB32AC" w:rsidRPr="00770477">
        <w:rPr>
          <w:rFonts w:cs="Times New Roman"/>
        </w:rPr>
        <w:t>measures 0.075mm or less in diameter</w:t>
      </w:r>
      <w:r w:rsidR="00D478C3" w:rsidRPr="00770477">
        <w:rPr>
          <w:rFonts w:cs="Times New Roman"/>
        </w:rPr>
        <w:t xml:space="preserve"> </w:t>
      </w:r>
      <w:r w:rsidR="00D478C3" w:rsidRPr="00770477">
        <w:rPr>
          <w:rFonts w:cs="Times New Roman"/>
        </w:rPr>
        <w:fldChar w:fldCharType="begin"/>
      </w:r>
      <w:r w:rsidR="002074AD">
        <w:rPr>
          <w:rFonts w:cs="Times New Roman"/>
        </w:rPr>
        <w:instrText xml:space="preserve"> ADDIN ZOTERO_ITEM CSL_CITATION {"citationID":"Y4c0PsRw","properties":{"formattedCitation":"(Ahmaruzzaman, 2010)","plainCitation":"(Ahmaruzzaman, 2010)","noteIndex":0},"citationItems":[{"id":77,"uris":["http://zotero.org/users/8423188/items/PEE3JLJR"],"itemData":{"id":77,"type":"article-journal","abstract":"Fly ash, generated during the combustion of coal for energy production, is an industrial by-product which is recognized as an environmental pollutant. Because of the environmental problems presented by the ﬂy ash, considerable research has been undertaken on the subject worldwide. In this paper, the utilization of ﬂy ash in construction, as a low-cost adsorbent for the removal of organic compounds, ﬂue gas and metals, light weight aggregate, mine back ﬁll, road sub-base, and zeolite synthesis is discussed. A considerable amount of research has been conducted using ﬂy ash for adsorption of NOx, SOx, organic compounds, and mercury in air, dyes and other organic compounds in waters. It is found that ﬂy ash is a promising adsorbent for the removal of various pollutants. The adsorption capacity of ﬂy ash may be increased after chemical and physical activation. It was also found that ﬂy ash has good potential for use in the construction industry. The conversion of ﬂy ash into zeolites has many applications such as ion exchange, molecular sieves, and adsorbents. Converting ﬂy ash into zeolites not only alleviates the disposal problem but also converts a waste material into a marketable commodity. Investigations also revealed that the unburned carbon component in ﬂy ash plays an important role in its adsorption capacity. Future research in these areas is also discussed.","container-title":"Progress in Energy and Combustion Science","DOI":"10.1016/j.pecs.2009.11.003","ISSN":"03601285","issue":"3","journalAbbreviation":"Progress in Energy and Combustion Science","language":"en","page":"327-363","source":"DOI.org (Crossref)","title":"A review on the utilization of fly ash","volume":"36","author":[{"family":"Ahmaruzzaman","given":"M."}],"issued":{"date-parts":[["2010",6]]}}}],"schema":"https://github.com/citation-style-language/schema/raw/master/csl-citation.json"} </w:instrText>
      </w:r>
      <w:r w:rsidR="00D478C3" w:rsidRPr="00770477">
        <w:rPr>
          <w:rFonts w:cs="Times New Roman"/>
        </w:rPr>
        <w:fldChar w:fldCharType="separate"/>
      </w:r>
      <w:r w:rsidR="00E11E17" w:rsidRPr="00770477">
        <w:rPr>
          <w:rFonts w:cs="Times New Roman"/>
        </w:rPr>
        <w:t>(Ahmaruzzaman, 2010)</w:t>
      </w:r>
      <w:r w:rsidR="00D478C3" w:rsidRPr="00770477">
        <w:rPr>
          <w:rFonts w:cs="Times New Roman"/>
        </w:rPr>
        <w:fldChar w:fldCharType="end"/>
      </w:r>
      <w:r w:rsidR="00D478C3" w:rsidRPr="00770477">
        <w:rPr>
          <w:rFonts w:cs="Times New Roman"/>
        </w:rPr>
        <w:t xml:space="preserve">. </w:t>
      </w:r>
      <w:r w:rsidR="00D1160A" w:rsidRPr="00770477">
        <w:rPr>
          <w:rFonts w:cs="Times New Roman"/>
        </w:rPr>
        <w:t xml:space="preserve">It can be utilized in its powder form or it can be mixed with water </w:t>
      </w:r>
      <w:r w:rsidR="00005AEF" w:rsidRPr="00770477">
        <w:rPr>
          <w:rFonts w:cs="Times New Roman"/>
        </w:rPr>
        <w:t xml:space="preserve">(in the case of class C ash) or water and </w:t>
      </w:r>
      <w:r w:rsidR="0004641F" w:rsidRPr="00770477">
        <w:rPr>
          <w:rFonts w:cs="Times New Roman"/>
        </w:rPr>
        <w:t xml:space="preserve">calcium hydroxide (in the case of class F ash) to form a </w:t>
      </w:r>
      <w:r w:rsidR="007E474B" w:rsidRPr="00770477">
        <w:rPr>
          <w:rFonts w:cs="Times New Roman"/>
        </w:rPr>
        <w:t xml:space="preserve">hardened form </w:t>
      </w:r>
      <w:r w:rsidR="007E474B" w:rsidRPr="00770477">
        <w:rPr>
          <w:rFonts w:cs="Times New Roman"/>
        </w:rPr>
        <w:fldChar w:fldCharType="begin"/>
      </w:r>
      <w:r w:rsidR="002074AD">
        <w:rPr>
          <w:rFonts w:cs="Times New Roman"/>
        </w:rPr>
        <w:instrText xml:space="preserve"> ADDIN ZOTERO_ITEM CSL_CITATION {"citationID":"yZYeE6p3","properties":{"formattedCitation":"(Ahmaruzzaman, 2010)","plainCitation":"(Ahmaruzzaman, 2010)","noteIndex":0},"citationItems":[{"id":77,"uris":["http://zotero.org/users/8423188/items/PEE3JLJR"],"itemData":{"id":77,"type":"article-journal","abstract":"Fly ash, generated during the combustion of coal for energy production, is an industrial by-product which is recognized as an environmental pollutant. Because of the environmental problems presented by the ﬂy ash, considerable research has been undertaken on the subject worldwide. In this paper, the utilization of ﬂy ash in construction, as a low-cost adsorbent for the removal of organic compounds, ﬂue gas and metals, light weight aggregate, mine back ﬁll, road sub-base, and zeolite synthesis is discussed. A considerable amount of research has been conducted using ﬂy ash for adsorption of NOx, SOx, organic compounds, and mercury in air, dyes and other organic compounds in waters. It is found that ﬂy ash is a promising adsorbent for the removal of various pollutants. The adsorption capacity of ﬂy ash may be increased after chemical and physical activation. It was also found that ﬂy ash has good potential for use in the construction industry. The conversion of ﬂy ash into zeolites has many applications such as ion exchange, molecular sieves, and adsorbents. Converting ﬂy ash into zeolites not only alleviates the disposal problem but also converts a waste material into a marketable commodity. Investigations also revealed that the unburned carbon component in ﬂy ash plays an important role in its adsorption capacity. Future research in these areas is also discussed.","container-title":"Progress in Energy and Combustion Science","DOI":"10.1016/j.pecs.2009.11.003","ISSN":"03601285","issue":"3","journalAbbreviation":"Progress in Energy and Combustion Science","language":"en","page":"327-363","source":"DOI.org (Crossref)","title":"A review on the utilization of fly ash","volume":"36","author":[{"family":"Ahmaruzzaman","given":"M."}],"issued":{"date-parts":[["2010",6]]}}}],"schema":"https://github.com/citation-style-language/schema/raw/master/csl-citation.json"} </w:instrText>
      </w:r>
      <w:r w:rsidR="007E474B" w:rsidRPr="00770477">
        <w:rPr>
          <w:rFonts w:cs="Times New Roman"/>
        </w:rPr>
        <w:fldChar w:fldCharType="separate"/>
      </w:r>
      <w:r w:rsidR="00E11E17" w:rsidRPr="00770477">
        <w:rPr>
          <w:rFonts w:cs="Times New Roman"/>
        </w:rPr>
        <w:t>(Ahmaruzzaman, 2010)</w:t>
      </w:r>
      <w:r w:rsidR="007E474B" w:rsidRPr="00770477">
        <w:rPr>
          <w:rFonts w:cs="Times New Roman"/>
        </w:rPr>
        <w:fldChar w:fldCharType="end"/>
      </w:r>
      <w:r w:rsidR="007E474B" w:rsidRPr="00770477">
        <w:rPr>
          <w:rFonts w:cs="Times New Roman"/>
        </w:rPr>
        <w:t xml:space="preserve">. </w:t>
      </w:r>
    </w:p>
    <w:p w14:paraId="6FA556D5" w14:textId="313A8626" w:rsidR="00061096" w:rsidRDefault="005A395F" w:rsidP="00061096">
      <w:r w:rsidRPr="00770477">
        <w:tab/>
      </w:r>
      <w:r w:rsidR="00A119C9" w:rsidRPr="00770477">
        <w:fldChar w:fldCharType="begin"/>
      </w:r>
      <w:r w:rsidR="002074AD">
        <w:instrText xml:space="preserve"> ADDIN ZOTERO_ITEM CSL_CITATION {"citationID":"V6NeCW23","properties":{"formattedCitation":"(Ahmaruzzaman, 2010)","plainCitation":"(Ahmaruzzaman, 2010)","dontUpdate":true,"noteIndex":0},"citationItems":[{"id":77,"uris":["http://zotero.org/users/8423188/items/PEE3JLJR"],"itemData":{"id":77,"type":"article-journal","abstract":"Fly ash, generated during the combustion of coal for energy production, is an industrial by-product which is recognized as an environmental pollutant. Because of the environmental problems presented by the ﬂy ash, considerable research has been undertaken on the subject worldwide. In this paper, the utilization of ﬂy ash in construction, as a low-cost adsorbent for the removal of organic compounds, ﬂue gas and metals, light weight aggregate, mine back ﬁll, road sub-base, and zeolite synthesis is discussed. A considerable amount of research has been conducted using ﬂy ash for adsorption of NOx, SOx, organic compounds, and mercury in air, dyes and other organic compounds in waters. It is found that ﬂy ash is a promising adsorbent for the removal of various pollutants. The adsorption capacity of ﬂy ash may be increased after chemical and physical activation. It was also found that ﬂy ash has good potential for use in the construction industry. The conversion of ﬂy ash into zeolites has many applications such as ion exchange, molecular sieves, and adsorbents. Converting ﬂy ash into zeolites not only alleviates the disposal problem but also converts a waste material into a marketable commodity. Investigations also revealed that the unburned carbon component in ﬂy ash plays an important role in its adsorption capacity. Future research in these areas is also discussed.","container-title":"Progress in Energy and Combustion Science","DOI":"10.1016/j.pecs.2009.11.003","ISSN":"03601285","issue":"3","journalAbbreviation":"Progress in Energy and Combustion Science","language":"en","page":"327-363","source":"DOI.org (Crossref)","title":"A review on the utilization of fly ash","volume":"36","author":[{"family":"Ahmaruzzaman","given":"M."}],"issued":{"date-parts":[["2010",6]]}}}],"schema":"https://github.com/citation-style-language/schema/raw/master/csl-citation.json"} </w:instrText>
      </w:r>
      <w:r w:rsidR="00A119C9" w:rsidRPr="00770477">
        <w:fldChar w:fldCharType="separate"/>
      </w:r>
      <w:r w:rsidR="00A119C9" w:rsidRPr="00770477">
        <w:t xml:space="preserve">Ahmaruzzaman </w:t>
      </w:r>
      <w:r w:rsidR="00F051C1" w:rsidRPr="00770477">
        <w:t>(</w:t>
      </w:r>
      <w:r w:rsidR="00A119C9" w:rsidRPr="00770477">
        <w:t>2010)</w:t>
      </w:r>
      <w:r w:rsidR="00A119C9" w:rsidRPr="00770477">
        <w:fldChar w:fldCharType="end"/>
      </w:r>
      <w:r w:rsidR="00F051C1" w:rsidRPr="00770477">
        <w:t xml:space="preserve"> provides an excellent and comprehensive review of fly ash and </w:t>
      </w:r>
      <w:r w:rsidR="00D87DC6" w:rsidRPr="00770477">
        <w:t>its</w:t>
      </w:r>
      <w:r w:rsidR="00F051C1" w:rsidRPr="00770477">
        <w:t xml:space="preserve"> utilization in </w:t>
      </w:r>
      <w:r w:rsidR="00D87DC6" w:rsidRPr="00770477">
        <w:t xml:space="preserve">removing </w:t>
      </w:r>
      <w:r w:rsidR="003B415E" w:rsidRPr="00770477">
        <w:t>several</w:t>
      </w:r>
      <w:r w:rsidR="00D87DC6" w:rsidRPr="00770477">
        <w:t xml:space="preserve"> aqueous contaminants. </w:t>
      </w:r>
      <w:r w:rsidR="004C3493" w:rsidRPr="00770477">
        <w:t xml:space="preserve">Other studies have shown </w:t>
      </w:r>
      <w:r w:rsidR="008701C7" w:rsidRPr="00770477">
        <w:t>adsorption capacities (in mg</w:t>
      </w:r>
      <w:r w:rsidR="00B84517">
        <w:t xml:space="preserve"> </w:t>
      </w:r>
      <w:r w:rsidR="008701C7" w:rsidRPr="00770477">
        <w:t>g</w:t>
      </w:r>
      <w:r w:rsidR="00B84517">
        <w:rPr>
          <w:vertAlign w:val="superscript"/>
        </w:rPr>
        <w:t>-1</w:t>
      </w:r>
      <w:r w:rsidR="008701C7" w:rsidRPr="00770477">
        <w:t>) for a variety of metals</w:t>
      </w:r>
      <w:r w:rsidR="008B2EFE" w:rsidRPr="00770477">
        <w:t xml:space="preserve"> </w:t>
      </w:r>
      <w:r w:rsidR="000C034F" w:rsidRPr="00770477">
        <w:t>shown i</w:t>
      </w:r>
      <w:r w:rsidR="00BC53BF">
        <w:t>n</w:t>
      </w:r>
      <w:r w:rsidR="00061096">
        <w:t xml:space="preserve"> </w:t>
      </w:r>
      <w:r w:rsidR="00061096">
        <w:fldChar w:fldCharType="begin"/>
      </w:r>
      <w:r w:rsidR="00061096">
        <w:instrText xml:space="preserve"> REF _Ref121497216 \h </w:instrText>
      </w:r>
      <w:r w:rsidR="00061096">
        <w:fldChar w:fldCharType="separate"/>
      </w:r>
      <w:r w:rsidR="00061096">
        <w:t xml:space="preserve">Table </w:t>
      </w:r>
      <w:r w:rsidR="00061096">
        <w:rPr>
          <w:noProof/>
        </w:rPr>
        <w:t>1</w:t>
      </w:r>
      <w:r w:rsidR="00061096">
        <w:noBreakHyphen/>
      </w:r>
      <w:r w:rsidR="00061096">
        <w:rPr>
          <w:noProof/>
        </w:rPr>
        <w:t>5</w:t>
      </w:r>
      <w:r w:rsidR="00061096">
        <w:fldChar w:fldCharType="end"/>
      </w:r>
      <w:r w:rsidR="00061096">
        <w:t xml:space="preserve"> </w:t>
      </w:r>
      <w:r w:rsidR="000C034F" w:rsidRPr="00770477">
        <w:t>below.</w:t>
      </w:r>
    </w:p>
    <w:p w14:paraId="6589D3A2" w14:textId="2D391B13" w:rsidR="00DF1932" w:rsidRPr="00B26DDF" w:rsidRDefault="00061096" w:rsidP="00061096">
      <w:pPr>
        <w:spacing w:line="240" w:lineRule="auto"/>
        <w:jc w:val="left"/>
      </w:pPr>
      <w:r>
        <w:br w:type="page"/>
      </w:r>
    </w:p>
    <w:p w14:paraId="175E4300" w14:textId="6C7D5770" w:rsidR="00B26DDF" w:rsidRDefault="00B26DDF" w:rsidP="00B26DDF">
      <w:pPr>
        <w:pStyle w:val="Caption"/>
        <w:keepNext/>
      </w:pPr>
      <w:bookmarkStart w:id="17" w:name="_Ref121497216"/>
      <w:r>
        <w:lastRenderedPageBreak/>
        <w:t xml:space="preserve">Table </w:t>
      </w:r>
      <w:fldSimple w:instr=" STYLEREF 1 \s ">
        <w:r w:rsidR="00061096">
          <w:rPr>
            <w:noProof/>
          </w:rPr>
          <w:t>1</w:t>
        </w:r>
      </w:fldSimple>
      <w:r>
        <w:noBreakHyphen/>
      </w:r>
      <w:fldSimple w:instr=" SEQ Table \* ARABIC \s 1 ">
        <w:r w:rsidR="00061096">
          <w:rPr>
            <w:noProof/>
          </w:rPr>
          <w:t>5</w:t>
        </w:r>
      </w:fldSimple>
      <w:bookmarkEnd w:id="17"/>
      <w:r>
        <w:t xml:space="preserve"> </w:t>
      </w:r>
      <w:r w:rsidRPr="008D1887">
        <w:t>Selected literature of heavy metal removal capacities of fly ash.</w:t>
      </w:r>
    </w:p>
    <w:tbl>
      <w:tblPr>
        <w:tblStyle w:val="PlainTable5"/>
        <w:tblW w:w="4952" w:type="pct"/>
        <w:tblLook w:val="04A0" w:firstRow="1" w:lastRow="0" w:firstColumn="1" w:lastColumn="0" w:noHBand="0" w:noVBand="1"/>
      </w:tblPr>
      <w:tblGrid>
        <w:gridCol w:w="843"/>
        <w:gridCol w:w="3117"/>
        <w:gridCol w:w="5310"/>
      </w:tblGrid>
      <w:tr w:rsidR="00E6059B" w:rsidRPr="00770477" w14:paraId="355B1A1E" w14:textId="77777777" w:rsidTr="00E6059B">
        <w:trPr>
          <w:cnfStyle w:val="100000000000" w:firstRow="1" w:lastRow="0" w:firstColumn="0" w:lastColumn="0" w:oddVBand="0" w:evenVBand="0" w:oddHBand="0" w:evenHBand="0" w:firstRowFirstColumn="0" w:firstRowLastColumn="0" w:lastRowFirstColumn="0" w:lastRowLastColumn="0"/>
          <w:trHeight w:val="360"/>
        </w:trPr>
        <w:tc>
          <w:tcPr>
            <w:cnfStyle w:val="001000000100" w:firstRow="0" w:lastRow="0" w:firstColumn="1" w:lastColumn="0" w:oddVBand="0" w:evenVBand="0" w:oddHBand="0" w:evenHBand="0" w:firstRowFirstColumn="1" w:firstRowLastColumn="0" w:lastRowFirstColumn="0" w:lastRowLastColumn="0"/>
            <w:tcW w:w="455" w:type="pct"/>
            <w:hideMark/>
          </w:tcPr>
          <w:p w14:paraId="0B53CF4D" w14:textId="77777777" w:rsidR="005D76F1" w:rsidRPr="00770477" w:rsidRDefault="005D76F1" w:rsidP="00C364B6">
            <w:pPr>
              <w:spacing w:line="240" w:lineRule="auto"/>
              <w:rPr>
                <w:rFonts w:eastAsia="Times New Roman" w:cs="Times New Roman"/>
                <w:color w:val="000000"/>
              </w:rPr>
            </w:pPr>
            <w:r w:rsidRPr="00770477">
              <w:rPr>
                <w:rFonts w:eastAsia="Times New Roman" w:cs="Times New Roman"/>
                <w:color w:val="000000"/>
              </w:rPr>
              <w:t>Metal</w:t>
            </w:r>
          </w:p>
        </w:tc>
        <w:tc>
          <w:tcPr>
            <w:tcW w:w="1681" w:type="pct"/>
            <w:hideMark/>
          </w:tcPr>
          <w:p w14:paraId="294469A2" w14:textId="0E9CFF50" w:rsidR="005D76F1" w:rsidRPr="00770477" w:rsidRDefault="005D76F1" w:rsidP="008B12C9">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Adsorption capacity (m</w:t>
            </w:r>
            <w:r w:rsidR="00B84517">
              <w:rPr>
                <w:rFonts w:eastAsia="Times New Roman" w:cs="Times New Roman"/>
                <w:color w:val="000000"/>
              </w:rPr>
              <w:t xml:space="preserve"> </w:t>
            </w:r>
            <w:r w:rsidRPr="00770477">
              <w:rPr>
                <w:rFonts w:eastAsia="Times New Roman" w:cs="Times New Roman"/>
                <w:color w:val="000000"/>
              </w:rPr>
              <w:t>g</w:t>
            </w:r>
            <w:r w:rsidR="00B84517">
              <w:rPr>
                <w:rFonts w:eastAsia="Times New Roman" w:cs="Times New Roman"/>
                <w:color w:val="000000"/>
                <w:vertAlign w:val="superscript"/>
              </w:rPr>
              <w:t>-1</w:t>
            </w:r>
            <w:r w:rsidRPr="00770477">
              <w:rPr>
                <w:rFonts w:eastAsia="Times New Roman" w:cs="Times New Roman"/>
                <w:color w:val="000000"/>
              </w:rPr>
              <w:t>)</w:t>
            </w:r>
          </w:p>
        </w:tc>
        <w:tc>
          <w:tcPr>
            <w:tcW w:w="2864" w:type="pct"/>
            <w:hideMark/>
          </w:tcPr>
          <w:p w14:paraId="40952938" w14:textId="77777777" w:rsidR="005D76F1" w:rsidRPr="00770477" w:rsidRDefault="005D76F1" w:rsidP="008B12C9">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Reference</w:t>
            </w:r>
          </w:p>
        </w:tc>
      </w:tr>
      <w:tr w:rsidR="00E6059B" w:rsidRPr="00770477" w14:paraId="1E3E3C6D" w14:textId="77777777" w:rsidTr="00E6059B">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55" w:type="pct"/>
            <w:hideMark/>
          </w:tcPr>
          <w:p w14:paraId="0305C366" w14:textId="4BCC2A16" w:rsidR="005D76F1" w:rsidRPr="00770477" w:rsidRDefault="005D76F1" w:rsidP="00C364B6">
            <w:pPr>
              <w:spacing w:line="240" w:lineRule="auto"/>
              <w:rPr>
                <w:rFonts w:eastAsia="Times New Roman" w:cs="Times New Roman"/>
                <w:color w:val="000000"/>
              </w:rPr>
            </w:pPr>
            <w:r w:rsidRPr="00770477">
              <w:rPr>
                <w:rFonts w:eastAsia="Times New Roman" w:cs="Times New Roman"/>
                <w:color w:val="000000"/>
              </w:rPr>
              <w:t>Cd</w:t>
            </w:r>
            <w:r w:rsidR="008B12C9" w:rsidRPr="008B12C9">
              <w:rPr>
                <w:rFonts w:eastAsia="Times New Roman" w:cs="Times New Roman"/>
                <w:color w:val="000000"/>
                <w:vertAlign w:val="superscript"/>
              </w:rPr>
              <w:t>+2</w:t>
            </w:r>
          </w:p>
        </w:tc>
        <w:tc>
          <w:tcPr>
            <w:tcW w:w="1681" w:type="pct"/>
            <w:hideMark/>
          </w:tcPr>
          <w:p w14:paraId="0F25D302" w14:textId="161FAFF2" w:rsidR="005D76F1" w:rsidRPr="00770477" w:rsidRDefault="005D76F1" w:rsidP="008B12C9">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0.08-0.29</w:t>
            </w:r>
            <w:r w:rsidR="00875AF7" w:rsidRPr="00770477">
              <w:rPr>
                <w:rFonts w:eastAsia="Times New Roman" w:cs="Times New Roman"/>
                <w:color w:val="000000"/>
              </w:rPr>
              <w:t>,</w:t>
            </w:r>
            <w:r w:rsidRPr="00770477">
              <w:rPr>
                <w:rFonts w:eastAsia="Times New Roman" w:cs="Times New Roman"/>
                <w:color w:val="000000"/>
              </w:rPr>
              <w:t xml:space="preserve"> 6.19</w:t>
            </w:r>
            <w:r w:rsidR="00875AF7" w:rsidRPr="00770477">
              <w:rPr>
                <w:rFonts w:eastAsia="Times New Roman" w:cs="Times New Roman"/>
                <w:color w:val="000000"/>
              </w:rPr>
              <w:t>; 198.2; 207.3</w:t>
            </w:r>
          </w:p>
        </w:tc>
        <w:tc>
          <w:tcPr>
            <w:tcW w:w="2864" w:type="pct"/>
            <w:hideMark/>
          </w:tcPr>
          <w:p w14:paraId="391CBAFD" w14:textId="0CFE9E03" w:rsidR="005D76F1" w:rsidRPr="00770477" w:rsidRDefault="005D76F1" w:rsidP="008B12C9">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rPr>
              <w:fldChar w:fldCharType="begin"/>
            </w:r>
            <w:r w:rsidR="002074AD">
              <w:rPr>
                <w:rFonts w:cs="Times New Roman"/>
              </w:rPr>
              <w:instrText xml:space="preserve"> ADDIN ZOTERO_ITEM CSL_CITATION {"citationID":"N8eet3H3","properties":{"formattedCitation":"(Chandra Srivastava et al., 2006)","plainCitation":"(Chandra Srivastava et al., 2006)","noteIndex":0},"citationItems":[{"id":683,"uris":["http://zotero.org/users/8423188/items/SF4IBLY2"],"itemData":{"id":683,"type":"article-journal","container-title":"Separation Science and Technology","DOI":"10.1080/01496390600725687","ISSN":"0149-6395, 1520-5754","issue":"12","journalAbbreviation":"Separation Science and Technology","language":"en","page":"2685-2710","source":"DOI.org (Crossref)","title":"Modelling Individual and Competitive Adsorption of Cadmium(II) and Zinc(II) Metal Ions from Aqueous Solution onto Bagasse Fly Ash","volume":"41","author":[{"family":"Chandra Srivastava","given":"Vimal"},{"family":"Deo Mall","given":"Indra"},{"family":"Mani Mishra","given":"Indra"}],"issued":{"date-parts":[["2006",9]]}}}],"schema":"https://github.com/citation-style-language/schema/raw/master/csl-citation.json"} </w:instrText>
            </w:r>
            <w:r w:rsidRPr="00770477">
              <w:rPr>
                <w:rFonts w:cs="Times New Roman"/>
              </w:rPr>
              <w:fldChar w:fldCharType="separate"/>
            </w:r>
            <w:r w:rsidR="00E11E17" w:rsidRPr="00770477">
              <w:rPr>
                <w:rFonts w:cs="Times New Roman"/>
              </w:rPr>
              <w:t>(Chandra Srivastava et al., 2006)</w:t>
            </w:r>
            <w:r w:rsidRPr="00770477">
              <w:rPr>
                <w:rFonts w:cs="Times New Roman"/>
              </w:rPr>
              <w:fldChar w:fldCharType="end"/>
            </w:r>
            <w:r w:rsidR="00875AF7" w:rsidRPr="00770477">
              <w:rPr>
                <w:rFonts w:cs="Times New Roman"/>
              </w:rPr>
              <w:t xml:space="preserve">; </w:t>
            </w:r>
            <w:r w:rsidR="00875AF7" w:rsidRPr="00770477">
              <w:rPr>
                <w:rFonts w:cs="Times New Roman"/>
              </w:rPr>
              <w:fldChar w:fldCharType="begin"/>
            </w:r>
            <w:r w:rsidR="002074AD">
              <w:rPr>
                <w:rFonts w:cs="Times New Roman"/>
              </w:rPr>
              <w:instrText xml:space="preserve"> ADDIN ZOTERO_ITEM CSL_CITATION {"citationID":"q7wrlXuC","properties":{"formattedCitation":"(Apak et al., 1998)","plainCitation":"(Apak et al., 1998)","noteIndex":0},"citationItems":[{"id":681,"uris":["http://zotero.org/users/8423188/items/8P7SBUYM"],"itemData":{"id":681,"type":"article-journal","container-title":"Water Research","DOI":"10.1016/S0043-1354(97)00204-2","ISSN":"00431354","issue":"2","journalAbbreviation":"Water Research","language":"en","page":"430-440","source":"DOI.org (Crossref)","title":"Heavy metal cation retention by unconventional sorbents (red muds and fly ashes)","volume":"32","author":[{"family":"Apak","given":"Reşat"},{"family":"Tütem","given":"Esma"},{"family":"Hügül","given":"Mehmet"},{"family":"Hizal","given":"Jülide"}],"issued":{"date-parts":[["1998",2]]}}}],"schema":"https://github.com/citation-style-language/schema/raw/master/csl-citation.json"} </w:instrText>
            </w:r>
            <w:r w:rsidR="00875AF7" w:rsidRPr="00770477">
              <w:rPr>
                <w:rFonts w:cs="Times New Roman"/>
              </w:rPr>
              <w:fldChar w:fldCharType="separate"/>
            </w:r>
            <w:r w:rsidR="00E11E17" w:rsidRPr="00770477">
              <w:rPr>
                <w:rFonts w:cs="Times New Roman"/>
              </w:rPr>
              <w:t>(Apak et al., 1998)</w:t>
            </w:r>
            <w:r w:rsidR="00875AF7" w:rsidRPr="00770477">
              <w:rPr>
                <w:rFonts w:cs="Times New Roman"/>
              </w:rPr>
              <w:fldChar w:fldCharType="end"/>
            </w:r>
          </w:p>
        </w:tc>
      </w:tr>
      <w:tr w:rsidR="00DF1932" w:rsidRPr="00770477" w14:paraId="73FD9AB5" w14:textId="77777777" w:rsidTr="00E6059B">
        <w:trPr>
          <w:trHeight w:val="360"/>
        </w:trPr>
        <w:tc>
          <w:tcPr>
            <w:cnfStyle w:val="001000000000" w:firstRow="0" w:lastRow="0" w:firstColumn="1" w:lastColumn="0" w:oddVBand="0" w:evenVBand="0" w:oddHBand="0" w:evenHBand="0" w:firstRowFirstColumn="0" w:firstRowLastColumn="0" w:lastRowFirstColumn="0" w:lastRowLastColumn="0"/>
            <w:tcW w:w="455" w:type="pct"/>
            <w:hideMark/>
          </w:tcPr>
          <w:p w14:paraId="15860175" w14:textId="0D0553F2" w:rsidR="005D76F1" w:rsidRPr="00770477" w:rsidRDefault="005D76F1" w:rsidP="00C364B6">
            <w:pPr>
              <w:spacing w:line="240" w:lineRule="auto"/>
              <w:rPr>
                <w:rFonts w:eastAsia="Times New Roman" w:cs="Times New Roman"/>
                <w:color w:val="000000"/>
              </w:rPr>
            </w:pPr>
            <w:r w:rsidRPr="00770477">
              <w:rPr>
                <w:rFonts w:eastAsia="Times New Roman" w:cs="Times New Roman"/>
                <w:color w:val="000000"/>
              </w:rPr>
              <w:t>Cr</w:t>
            </w:r>
            <w:r w:rsidR="008B12C9" w:rsidRPr="008B12C9">
              <w:rPr>
                <w:rFonts w:eastAsia="Times New Roman" w:cs="Times New Roman"/>
                <w:color w:val="000000"/>
                <w:vertAlign w:val="superscript"/>
              </w:rPr>
              <w:t>+6</w:t>
            </w:r>
          </w:p>
        </w:tc>
        <w:tc>
          <w:tcPr>
            <w:tcW w:w="1681" w:type="pct"/>
            <w:hideMark/>
          </w:tcPr>
          <w:p w14:paraId="50F293A9" w14:textId="77777777" w:rsidR="005D76F1" w:rsidRPr="00770477" w:rsidRDefault="005D76F1" w:rsidP="008B12C9">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3.7-89.2; 7.7-27.8</w:t>
            </w:r>
          </w:p>
        </w:tc>
        <w:tc>
          <w:tcPr>
            <w:tcW w:w="2864" w:type="pct"/>
            <w:hideMark/>
          </w:tcPr>
          <w:p w14:paraId="0517900B" w14:textId="089410BD" w:rsidR="005D76F1" w:rsidRPr="00770477" w:rsidRDefault="005D76F1" w:rsidP="008B12C9">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rPr>
              <w:fldChar w:fldCharType="begin"/>
            </w:r>
            <w:r w:rsidR="002074AD">
              <w:rPr>
                <w:rFonts w:cs="Times New Roman"/>
              </w:rPr>
              <w:instrText xml:space="preserve"> ADDIN ZOTERO_ITEM CSL_CITATION {"citationID":"VeXQgknI","properties":{"formattedCitation":"(Chandra Srivastava et al., 2006)","plainCitation":"(Chandra Srivastava et al., 2006)","noteIndex":0},"citationItems":[{"id":683,"uris":["http://zotero.org/users/8423188/items/SF4IBLY2"],"itemData":{"id":683,"type":"article-journal","container-title":"Separation Science and Technology","DOI":"10.1080/01496390600725687","ISSN":"0149-6395, 1520-5754","issue":"12","journalAbbreviation":"Separation Science and Technology","language":"en","page":"2685-2710","source":"DOI.org (Crossref)","title":"Modelling Individual and Competitive Adsorption of Cadmium(II) and Zinc(II) Metal Ions from Aqueous Solution onto Bagasse Fly Ash","volume":"41","author":[{"family":"Chandra Srivastava","given":"Vimal"},{"family":"Deo Mall","given":"Indra"},{"family":"Mani Mishra","given":"Indra"}],"issued":{"date-parts":[["2006",9]]}}}],"schema":"https://github.com/citation-style-language/schema/raw/master/csl-citation.json"} </w:instrText>
            </w:r>
            <w:r w:rsidRPr="00770477">
              <w:rPr>
                <w:rFonts w:cs="Times New Roman"/>
              </w:rPr>
              <w:fldChar w:fldCharType="separate"/>
            </w:r>
            <w:r w:rsidR="00E11E17" w:rsidRPr="00770477">
              <w:rPr>
                <w:rFonts w:cs="Times New Roman"/>
              </w:rPr>
              <w:t>(Chandra Srivastava et al., 2006)</w:t>
            </w:r>
            <w:r w:rsidRPr="00770477">
              <w:rPr>
                <w:rFonts w:cs="Times New Roman"/>
              </w:rPr>
              <w:fldChar w:fldCharType="end"/>
            </w:r>
          </w:p>
        </w:tc>
      </w:tr>
      <w:tr w:rsidR="00E6059B" w:rsidRPr="00770477" w14:paraId="79BC07AE" w14:textId="77777777" w:rsidTr="00E6059B">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55" w:type="pct"/>
            <w:hideMark/>
          </w:tcPr>
          <w:p w14:paraId="6325121B" w14:textId="06319661" w:rsidR="005D76F1" w:rsidRPr="00770477" w:rsidRDefault="005D76F1" w:rsidP="00C364B6">
            <w:pPr>
              <w:spacing w:line="240" w:lineRule="auto"/>
              <w:rPr>
                <w:rFonts w:eastAsia="Times New Roman" w:cs="Times New Roman"/>
                <w:color w:val="000000"/>
              </w:rPr>
            </w:pPr>
            <w:r w:rsidRPr="00770477">
              <w:rPr>
                <w:rFonts w:eastAsia="Times New Roman" w:cs="Times New Roman"/>
                <w:color w:val="000000"/>
              </w:rPr>
              <w:t>Cu</w:t>
            </w:r>
            <w:r w:rsidR="008B12C9" w:rsidRPr="008B12C9">
              <w:rPr>
                <w:rFonts w:eastAsia="Times New Roman" w:cs="Times New Roman"/>
                <w:color w:val="000000"/>
                <w:vertAlign w:val="superscript"/>
              </w:rPr>
              <w:t>+2</w:t>
            </w:r>
          </w:p>
        </w:tc>
        <w:tc>
          <w:tcPr>
            <w:tcW w:w="1681" w:type="pct"/>
            <w:hideMark/>
          </w:tcPr>
          <w:p w14:paraId="2034757F" w14:textId="4D87A7DD" w:rsidR="005D76F1" w:rsidRPr="00770477" w:rsidRDefault="005D76F1" w:rsidP="008B12C9">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7.5</w:t>
            </w:r>
            <w:r w:rsidR="00875AF7" w:rsidRPr="00770477">
              <w:rPr>
                <w:rFonts w:eastAsia="Times New Roman" w:cs="Times New Roman"/>
                <w:color w:val="000000"/>
              </w:rPr>
              <w:t>; 207.3</w:t>
            </w:r>
          </w:p>
        </w:tc>
        <w:tc>
          <w:tcPr>
            <w:tcW w:w="2864" w:type="pct"/>
            <w:hideMark/>
          </w:tcPr>
          <w:p w14:paraId="178C3AE4" w14:textId="30A94EC6" w:rsidR="005D76F1" w:rsidRPr="00770477" w:rsidRDefault="005D76F1" w:rsidP="008B12C9">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rPr>
              <w:fldChar w:fldCharType="begin"/>
            </w:r>
            <w:r w:rsidR="002074AD">
              <w:rPr>
                <w:rFonts w:cs="Times New Roman"/>
              </w:rPr>
              <w:instrText xml:space="preserve"> ADDIN ZOTERO_ITEM CSL_CITATION {"citationID":"QT74Z3PL","properties":{"formattedCitation":"(Ricou et al., 1999)","plainCitation":"(Ricou et al., 1999)","noteIndex":0},"citationItems":[{"id":682,"uris":["http://zotero.org/users/8423188/items/GW8F83DH"],"itemData":{"id":682,"type":"article-journal","issue":"10-11","journalAbbreviation":"Wat. Sci. Tech.","page":"239-247","title":"Removal of Cu2+, Zn2+ and Pb2+ by Adsorption Onto Fly Ash and Fly Ash/Lime Mixing","volume":"39","author":[{"family":"Ricou","given":"P"},{"family":"Lecuyer","given":"I"},{"family":"Le Cloirec","given":"P"}],"issued":{"date-parts":[["1999"]]}}}],"schema":"https://github.com/citation-style-language/schema/raw/master/csl-citation.json"} </w:instrText>
            </w:r>
            <w:r w:rsidRPr="00770477">
              <w:rPr>
                <w:rFonts w:cs="Times New Roman"/>
              </w:rPr>
              <w:fldChar w:fldCharType="separate"/>
            </w:r>
            <w:r w:rsidR="00E11E17" w:rsidRPr="00770477">
              <w:rPr>
                <w:rFonts w:cs="Times New Roman"/>
              </w:rPr>
              <w:t>(Ricou et al., 1999)</w:t>
            </w:r>
            <w:r w:rsidRPr="00770477">
              <w:rPr>
                <w:rFonts w:cs="Times New Roman"/>
              </w:rPr>
              <w:fldChar w:fldCharType="end"/>
            </w:r>
            <w:r w:rsidR="00875AF7" w:rsidRPr="00770477">
              <w:rPr>
                <w:rFonts w:cs="Times New Roman"/>
              </w:rPr>
              <w:t xml:space="preserve">; </w:t>
            </w:r>
            <w:r w:rsidR="00875AF7" w:rsidRPr="00770477">
              <w:rPr>
                <w:rFonts w:cs="Times New Roman"/>
              </w:rPr>
              <w:fldChar w:fldCharType="begin"/>
            </w:r>
            <w:r w:rsidR="002074AD">
              <w:rPr>
                <w:rFonts w:cs="Times New Roman"/>
              </w:rPr>
              <w:instrText xml:space="preserve"> ADDIN ZOTERO_ITEM CSL_CITATION {"citationID":"eK5v4lRz","properties":{"formattedCitation":"(Apak et al., 1998)","plainCitation":"(Apak et al., 1998)","noteIndex":0},"citationItems":[{"id":681,"uris":["http://zotero.org/users/8423188/items/8P7SBUYM"],"itemData":{"id":681,"type":"article-journal","container-title":"Water Research","DOI":"10.1016/S0043-1354(97)00204-2","ISSN":"00431354","issue":"2","journalAbbreviation":"Water Research","language":"en","page":"430-440","source":"DOI.org (Crossref)","title":"Heavy metal cation retention by unconventional sorbents (red muds and fly ashes)","volume":"32","author":[{"family":"Apak","given":"Reşat"},{"family":"Tütem","given":"Esma"},{"family":"Hügül","given":"Mehmet"},{"family":"Hizal","given":"Jülide"}],"issued":{"date-parts":[["1998",2]]}}}],"schema":"https://github.com/citation-style-language/schema/raw/master/csl-citation.json"} </w:instrText>
            </w:r>
            <w:r w:rsidR="00875AF7" w:rsidRPr="00770477">
              <w:rPr>
                <w:rFonts w:cs="Times New Roman"/>
              </w:rPr>
              <w:fldChar w:fldCharType="separate"/>
            </w:r>
            <w:r w:rsidR="00E11E17" w:rsidRPr="00770477">
              <w:rPr>
                <w:rFonts w:cs="Times New Roman"/>
              </w:rPr>
              <w:t>(Apak et al., 1998)</w:t>
            </w:r>
            <w:r w:rsidR="00875AF7" w:rsidRPr="00770477">
              <w:rPr>
                <w:rFonts w:cs="Times New Roman"/>
              </w:rPr>
              <w:fldChar w:fldCharType="end"/>
            </w:r>
          </w:p>
        </w:tc>
      </w:tr>
      <w:tr w:rsidR="00DF1932" w:rsidRPr="00770477" w14:paraId="34812695" w14:textId="77777777" w:rsidTr="00E6059B">
        <w:trPr>
          <w:trHeight w:val="360"/>
        </w:trPr>
        <w:tc>
          <w:tcPr>
            <w:cnfStyle w:val="001000000000" w:firstRow="0" w:lastRow="0" w:firstColumn="1" w:lastColumn="0" w:oddVBand="0" w:evenVBand="0" w:oddHBand="0" w:evenHBand="0" w:firstRowFirstColumn="0" w:firstRowLastColumn="0" w:lastRowFirstColumn="0" w:lastRowLastColumn="0"/>
            <w:tcW w:w="455" w:type="pct"/>
            <w:hideMark/>
          </w:tcPr>
          <w:p w14:paraId="7B10E06D" w14:textId="61B29F9B" w:rsidR="005D76F1" w:rsidRPr="00770477" w:rsidRDefault="005D76F1" w:rsidP="00C364B6">
            <w:pPr>
              <w:spacing w:line="240" w:lineRule="auto"/>
              <w:rPr>
                <w:rFonts w:eastAsia="Times New Roman" w:cs="Times New Roman"/>
                <w:color w:val="000000"/>
              </w:rPr>
            </w:pPr>
            <w:r w:rsidRPr="00770477">
              <w:rPr>
                <w:rFonts w:eastAsia="Times New Roman" w:cs="Times New Roman"/>
                <w:color w:val="000000"/>
              </w:rPr>
              <w:t>Ni</w:t>
            </w:r>
            <w:r w:rsidR="008B12C9" w:rsidRPr="008B12C9">
              <w:rPr>
                <w:rFonts w:eastAsia="Times New Roman" w:cs="Times New Roman"/>
                <w:color w:val="000000"/>
                <w:vertAlign w:val="superscript"/>
              </w:rPr>
              <w:t>+2</w:t>
            </w:r>
          </w:p>
        </w:tc>
        <w:tc>
          <w:tcPr>
            <w:tcW w:w="1681" w:type="pct"/>
            <w:hideMark/>
          </w:tcPr>
          <w:p w14:paraId="517EBECA" w14:textId="77777777" w:rsidR="005D76F1" w:rsidRPr="00770477" w:rsidRDefault="005D76F1" w:rsidP="008B12C9">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6.48</w:t>
            </w:r>
          </w:p>
        </w:tc>
        <w:tc>
          <w:tcPr>
            <w:tcW w:w="2864" w:type="pct"/>
            <w:hideMark/>
          </w:tcPr>
          <w:p w14:paraId="066A3BB4" w14:textId="1B86FE87" w:rsidR="005D76F1" w:rsidRPr="00770477" w:rsidRDefault="005D76F1" w:rsidP="008B12C9">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rPr>
              <w:fldChar w:fldCharType="begin"/>
            </w:r>
            <w:r w:rsidR="002074AD">
              <w:rPr>
                <w:rFonts w:cs="Times New Roman"/>
              </w:rPr>
              <w:instrText xml:space="preserve"> ADDIN ZOTERO_ITEM CSL_CITATION {"citationID":"8H4qF6p4","properties":{"formattedCitation":"(Chandra Srivastava et al., 2006)","plainCitation":"(Chandra Srivastava et al., 2006)","noteIndex":0},"citationItems":[{"id":683,"uris":["http://zotero.org/users/8423188/items/SF4IBLY2"],"itemData":{"id":683,"type":"article-journal","container-title":"Separation Science and Technology","DOI":"10.1080/01496390600725687","ISSN":"0149-6395, 1520-5754","issue":"12","journalAbbreviation":"Separation Science and Technology","language":"en","page":"2685-2710","source":"DOI.org (Crossref)","title":"Modelling Individual and Competitive Adsorption of Cadmium(II) and Zinc(II) Metal Ions from Aqueous Solution onto Bagasse Fly Ash","volume":"41","author":[{"family":"Chandra Srivastava","given":"Vimal"},{"family":"Deo Mall","given":"Indra"},{"family":"Mani Mishra","given":"Indra"}],"issued":{"date-parts":[["2006",9]]}}}],"schema":"https://github.com/citation-style-language/schema/raw/master/csl-citation.json"} </w:instrText>
            </w:r>
            <w:r w:rsidRPr="00770477">
              <w:rPr>
                <w:rFonts w:cs="Times New Roman"/>
              </w:rPr>
              <w:fldChar w:fldCharType="separate"/>
            </w:r>
            <w:r w:rsidR="00E11E17" w:rsidRPr="00770477">
              <w:rPr>
                <w:rFonts w:cs="Times New Roman"/>
              </w:rPr>
              <w:t>(Chandra Srivastava et al., 2006)</w:t>
            </w:r>
            <w:r w:rsidRPr="00770477">
              <w:rPr>
                <w:rFonts w:cs="Times New Roman"/>
              </w:rPr>
              <w:fldChar w:fldCharType="end"/>
            </w:r>
          </w:p>
        </w:tc>
      </w:tr>
      <w:tr w:rsidR="00E6059B" w:rsidRPr="00770477" w14:paraId="5E8AAEB4" w14:textId="77777777" w:rsidTr="00E6059B">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55" w:type="pct"/>
            <w:hideMark/>
          </w:tcPr>
          <w:p w14:paraId="59B1F2D3" w14:textId="6B9A7E2E" w:rsidR="005D76F1" w:rsidRPr="00770477" w:rsidRDefault="005D76F1" w:rsidP="00C364B6">
            <w:pPr>
              <w:spacing w:line="240" w:lineRule="auto"/>
              <w:rPr>
                <w:rFonts w:eastAsia="Times New Roman" w:cs="Times New Roman"/>
                <w:color w:val="000000"/>
              </w:rPr>
            </w:pPr>
            <w:r w:rsidRPr="00770477">
              <w:rPr>
                <w:rFonts w:eastAsia="Times New Roman" w:cs="Times New Roman"/>
                <w:color w:val="000000"/>
              </w:rPr>
              <w:t>Pb</w:t>
            </w:r>
            <w:r w:rsidR="008B12C9" w:rsidRPr="008B12C9">
              <w:rPr>
                <w:rFonts w:eastAsia="Times New Roman" w:cs="Times New Roman"/>
                <w:color w:val="000000"/>
                <w:vertAlign w:val="superscript"/>
              </w:rPr>
              <w:t>+2</w:t>
            </w:r>
          </w:p>
        </w:tc>
        <w:tc>
          <w:tcPr>
            <w:tcW w:w="1681" w:type="pct"/>
            <w:hideMark/>
          </w:tcPr>
          <w:p w14:paraId="1ABD7A8C" w14:textId="76A5633A" w:rsidR="005D76F1" w:rsidRPr="00770477" w:rsidRDefault="005D76F1" w:rsidP="008B12C9">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18.8</w:t>
            </w:r>
            <w:r w:rsidR="00875AF7" w:rsidRPr="00770477">
              <w:rPr>
                <w:rFonts w:eastAsia="Times New Roman" w:cs="Times New Roman"/>
                <w:color w:val="000000"/>
              </w:rPr>
              <w:t>; 444.7</w:t>
            </w:r>
          </w:p>
        </w:tc>
        <w:tc>
          <w:tcPr>
            <w:tcW w:w="2864" w:type="pct"/>
            <w:hideMark/>
          </w:tcPr>
          <w:p w14:paraId="721303EE" w14:textId="0FC08BE4" w:rsidR="005D76F1" w:rsidRPr="00770477" w:rsidRDefault="005D76F1" w:rsidP="008B12C9">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rPr>
              <w:fldChar w:fldCharType="begin"/>
            </w:r>
            <w:r w:rsidR="002074AD">
              <w:rPr>
                <w:rFonts w:cs="Times New Roman"/>
              </w:rPr>
              <w:instrText xml:space="preserve"> ADDIN ZOTERO_ITEM CSL_CITATION {"citationID":"xMGyS2ds","properties":{"formattedCitation":"(Ricou et al., 1999)","plainCitation":"(Ricou et al., 1999)","noteIndex":0},"citationItems":[{"id":682,"uris":["http://zotero.org/users/8423188/items/GW8F83DH"],"itemData":{"id":682,"type":"article-journal","issue":"10-11","journalAbbreviation":"Wat. Sci. Tech.","page":"239-247","title":"Removal of Cu2+, Zn2+ and Pb2+ by Adsorption Onto Fly Ash and Fly Ash/Lime Mixing","volume":"39","author":[{"family":"Ricou","given":"P"},{"family":"Lecuyer","given":"I"},{"family":"Le Cloirec","given":"P"}],"issued":{"date-parts":[["1999"]]}}}],"schema":"https://github.com/citation-style-language/schema/raw/master/csl-citation.json"} </w:instrText>
            </w:r>
            <w:r w:rsidRPr="00770477">
              <w:rPr>
                <w:rFonts w:cs="Times New Roman"/>
              </w:rPr>
              <w:fldChar w:fldCharType="separate"/>
            </w:r>
            <w:r w:rsidR="00E11E17" w:rsidRPr="00770477">
              <w:rPr>
                <w:rFonts w:cs="Times New Roman"/>
              </w:rPr>
              <w:t>(Ricou et al., 1999)</w:t>
            </w:r>
            <w:r w:rsidRPr="00770477">
              <w:rPr>
                <w:rFonts w:cs="Times New Roman"/>
              </w:rPr>
              <w:fldChar w:fldCharType="end"/>
            </w:r>
            <w:r w:rsidR="00875AF7" w:rsidRPr="00770477">
              <w:rPr>
                <w:rFonts w:cs="Times New Roman"/>
              </w:rPr>
              <w:t xml:space="preserve">; </w:t>
            </w:r>
            <w:r w:rsidR="00875AF7" w:rsidRPr="00770477">
              <w:rPr>
                <w:rFonts w:cs="Times New Roman"/>
              </w:rPr>
              <w:fldChar w:fldCharType="begin"/>
            </w:r>
            <w:r w:rsidR="002074AD">
              <w:rPr>
                <w:rFonts w:cs="Times New Roman"/>
              </w:rPr>
              <w:instrText xml:space="preserve"> ADDIN ZOTERO_ITEM CSL_CITATION {"citationID":"3ZAY9uBk","properties":{"formattedCitation":"(Apak et al., 1998)","plainCitation":"(Apak et al., 1998)","noteIndex":0},"citationItems":[{"id":681,"uris":["http://zotero.org/users/8423188/items/8P7SBUYM"],"itemData":{"id":681,"type":"article-journal","container-title":"Water Research","DOI":"10.1016/S0043-1354(97)00204-2","ISSN":"00431354","issue":"2","journalAbbreviation":"Water Research","language":"en","page":"430-440","source":"DOI.org (Crossref)","title":"Heavy metal cation retention by unconventional sorbents (red muds and fly ashes)","volume":"32","author":[{"family":"Apak","given":"Reşat"},{"family":"Tütem","given":"Esma"},{"family":"Hügül","given":"Mehmet"},{"family":"Hizal","given":"Jülide"}],"issued":{"date-parts":[["1998",2]]}}}],"schema":"https://github.com/citation-style-language/schema/raw/master/csl-citation.json"} </w:instrText>
            </w:r>
            <w:r w:rsidR="00875AF7" w:rsidRPr="00770477">
              <w:rPr>
                <w:rFonts w:cs="Times New Roman"/>
              </w:rPr>
              <w:fldChar w:fldCharType="separate"/>
            </w:r>
            <w:r w:rsidR="00E11E17" w:rsidRPr="00770477">
              <w:rPr>
                <w:rFonts w:cs="Times New Roman"/>
              </w:rPr>
              <w:t>(Apak et al., 1998)</w:t>
            </w:r>
            <w:r w:rsidR="00875AF7" w:rsidRPr="00770477">
              <w:rPr>
                <w:rFonts w:cs="Times New Roman"/>
              </w:rPr>
              <w:fldChar w:fldCharType="end"/>
            </w:r>
          </w:p>
        </w:tc>
      </w:tr>
      <w:tr w:rsidR="00DF1932" w:rsidRPr="00770477" w14:paraId="63203F55" w14:textId="77777777" w:rsidTr="00E6059B">
        <w:trPr>
          <w:trHeight w:val="360"/>
        </w:trPr>
        <w:tc>
          <w:tcPr>
            <w:cnfStyle w:val="001000000000" w:firstRow="0" w:lastRow="0" w:firstColumn="1" w:lastColumn="0" w:oddVBand="0" w:evenVBand="0" w:oddHBand="0" w:evenHBand="0" w:firstRowFirstColumn="0" w:firstRowLastColumn="0" w:lastRowFirstColumn="0" w:lastRowLastColumn="0"/>
            <w:tcW w:w="455" w:type="pct"/>
            <w:hideMark/>
          </w:tcPr>
          <w:p w14:paraId="15C7A6CD" w14:textId="654D6AB0" w:rsidR="005D76F1" w:rsidRPr="00770477" w:rsidRDefault="005D76F1" w:rsidP="00C364B6">
            <w:pPr>
              <w:spacing w:line="240" w:lineRule="auto"/>
              <w:rPr>
                <w:rFonts w:eastAsia="Times New Roman" w:cs="Times New Roman"/>
                <w:color w:val="000000"/>
              </w:rPr>
            </w:pPr>
            <w:r w:rsidRPr="00770477">
              <w:rPr>
                <w:rFonts w:eastAsia="Times New Roman" w:cs="Times New Roman"/>
                <w:color w:val="000000"/>
              </w:rPr>
              <w:t>Zn</w:t>
            </w:r>
            <w:r w:rsidR="008B12C9" w:rsidRPr="008B12C9">
              <w:rPr>
                <w:rFonts w:eastAsia="Times New Roman" w:cs="Times New Roman"/>
                <w:color w:val="000000"/>
                <w:vertAlign w:val="superscript"/>
              </w:rPr>
              <w:t>+2</w:t>
            </w:r>
          </w:p>
        </w:tc>
        <w:tc>
          <w:tcPr>
            <w:tcW w:w="1681" w:type="pct"/>
            <w:hideMark/>
          </w:tcPr>
          <w:p w14:paraId="2756B096" w14:textId="779F1837" w:rsidR="005D76F1" w:rsidRPr="00770477" w:rsidRDefault="005D76F1" w:rsidP="008B12C9">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7.03</w:t>
            </w:r>
            <w:r w:rsidR="00875AF7" w:rsidRPr="00770477">
              <w:rPr>
                <w:rFonts w:eastAsia="Times New Roman" w:cs="Times New Roman"/>
                <w:color w:val="000000"/>
              </w:rPr>
              <w:t>; 3.4</w:t>
            </w:r>
          </w:p>
        </w:tc>
        <w:tc>
          <w:tcPr>
            <w:tcW w:w="2864" w:type="pct"/>
            <w:hideMark/>
          </w:tcPr>
          <w:p w14:paraId="43C1211D" w14:textId="48EBA878" w:rsidR="005D76F1" w:rsidRPr="00770477" w:rsidRDefault="005D76F1" w:rsidP="008B12C9">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rPr>
              <w:fldChar w:fldCharType="begin"/>
            </w:r>
            <w:r w:rsidR="002074AD">
              <w:rPr>
                <w:rFonts w:cs="Times New Roman"/>
              </w:rPr>
              <w:instrText xml:space="preserve"> ADDIN ZOTERO_ITEM CSL_CITATION {"citationID":"BP4B8IZM","properties":{"formattedCitation":"(Chandra Srivastava et al., 2006)","plainCitation":"(Chandra Srivastava et al., 2006)","noteIndex":0},"citationItems":[{"id":683,"uris":["http://zotero.org/users/8423188/items/SF4IBLY2"],"itemData":{"id":683,"type":"article-journal","container-title":"Separation Science and Technology","DOI":"10.1080/01496390600725687","ISSN":"0149-6395, 1520-5754","issue":"12","journalAbbreviation":"Separation Science and Technology","language":"en","page":"2685-2710","source":"DOI.org (Crossref)","title":"Modelling Individual and Competitive Adsorption of Cadmium(II) and Zinc(II) Metal Ions from Aqueous Solution onto Bagasse Fly Ash","volume":"41","author":[{"family":"Chandra Srivastava","given":"Vimal"},{"family":"Deo Mall","given":"Indra"},{"family":"Mani Mishra","given":"Indra"}],"issued":{"date-parts":[["2006",9]]}}}],"schema":"https://github.com/citation-style-language/schema/raw/master/csl-citation.json"} </w:instrText>
            </w:r>
            <w:r w:rsidRPr="00770477">
              <w:rPr>
                <w:rFonts w:cs="Times New Roman"/>
              </w:rPr>
              <w:fldChar w:fldCharType="separate"/>
            </w:r>
            <w:r w:rsidR="00E11E17" w:rsidRPr="00770477">
              <w:rPr>
                <w:rFonts w:cs="Times New Roman"/>
              </w:rPr>
              <w:t>(Chandra Srivastava et al., 2006)</w:t>
            </w:r>
            <w:r w:rsidRPr="00770477">
              <w:rPr>
                <w:rFonts w:cs="Times New Roman"/>
              </w:rPr>
              <w:fldChar w:fldCharType="end"/>
            </w:r>
            <w:r w:rsidR="00875AF7" w:rsidRPr="00770477">
              <w:rPr>
                <w:rFonts w:cs="Times New Roman"/>
              </w:rPr>
              <w:t xml:space="preserve">; </w:t>
            </w:r>
            <w:r w:rsidR="00875AF7" w:rsidRPr="00770477">
              <w:rPr>
                <w:rFonts w:cs="Times New Roman"/>
              </w:rPr>
              <w:fldChar w:fldCharType="begin"/>
            </w:r>
            <w:r w:rsidR="002074AD">
              <w:rPr>
                <w:rFonts w:cs="Times New Roman"/>
              </w:rPr>
              <w:instrText xml:space="preserve"> ADDIN ZOTERO_ITEM CSL_CITATION {"citationID":"gJNblyxe","properties":{"formattedCitation":"(Ricou et al., 1999)","plainCitation":"(Ricou et al., 1999)","noteIndex":0},"citationItems":[{"id":682,"uris":["http://zotero.org/users/8423188/items/GW8F83DH"],"itemData":{"id":682,"type":"article-journal","issue":"10-11","journalAbbreviation":"Wat. Sci. Tech.","page":"239-247","title":"Removal of Cu2+, Zn2+ and Pb2+ by Adsorption Onto Fly Ash and Fly Ash/Lime Mixing","volume":"39","author":[{"family":"Ricou","given":"P"},{"family":"Lecuyer","given":"I"},{"family":"Le Cloirec","given":"P"}],"issued":{"date-parts":[["1999"]]}}}],"schema":"https://github.com/citation-style-language/schema/raw/master/csl-citation.json"} </w:instrText>
            </w:r>
            <w:r w:rsidR="00875AF7" w:rsidRPr="00770477">
              <w:rPr>
                <w:rFonts w:cs="Times New Roman"/>
              </w:rPr>
              <w:fldChar w:fldCharType="separate"/>
            </w:r>
            <w:r w:rsidR="00E11E17" w:rsidRPr="00770477">
              <w:rPr>
                <w:rFonts w:cs="Times New Roman"/>
              </w:rPr>
              <w:t>(Ricou et al., 1999)</w:t>
            </w:r>
            <w:r w:rsidR="00875AF7" w:rsidRPr="00770477">
              <w:rPr>
                <w:rFonts w:cs="Times New Roman"/>
              </w:rPr>
              <w:fldChar w:fldCharType="end"/>
            </w:r>
          </w:p>
        </w:tc>
      </w:tr>
    </w:tbl>
    <w:p w14:paraId="7FB0628A" w14:textId="1D9C34F6" w:rsidR="005B1A35" w:rsidRPr="00770477" w:rsidRDefault="005B1A35" w:rsidP="00231594">
      <w:pPr>
        <w:rPr>
          <w:rFonts w:cs="Times New Roman"/>
        </w:rPr>
      </w:pPr>
    </w:p>
    <w:p w14:paraId="0BC5655A" w14:textId="3AC15582" w:rsidR="00FE5B25" w:rsidRPr="00770477" w:rsidRDefault="00942882" w:rsidP="00061096">
      <w:pPr>
        <w:ind w:firstLine="720"/>
        <w:rPr>
          <w:rFonts w:cs="Times New Roman"/>
        </w:rPr>
      </w:pPr>
      <w:r w:rsidRPr="00770477">
        <w:rPr>
          <w:rFonts w:cs="Times New Roman"/>
        </w:rPr>
        <w:t xml:space="preserve">Overall, the </w:t>
      </w:r>
      <w:r w:rsidR="00E14C60" w:rsidRPr="00770477">
        <w:rPr>
          <w:rFonts w:cs="Times New Roman"/>
        </w:rPr>
        <w:t xml:space="preserve">body of literature on fly ash as a sorptive media supports </w:t>
      </w:r>
      <w:r w:rsidR="008A71DF" w:rsidRPr="00770477">
        <w:rPr>
          <w:rFonts w:cs="Times New Roman"/>
        </w:rPr>
        <w:t xml:space="preserve">its utilization for removing metals, phosphorus, and pesticides. </w:t>
      </w:r>
      <w:r w:rsidR="002967AD" w:rsidRPr="00770477">
        <w:rPr>
          <w:rFonts w:cs="Times New Roman"/>
        </w:rPr>
        <w:t xml:space="preserve">Sorption of a variety of metal ions </w:t>
      </w:r>
      <w:r w:rsidR="00EE14F8" w:rsidRPr="00770477">
        <w:rPr>
          <w:rFonts w:cs="Times New Roman"/>
        </w:rPr>
        <w:t xml:space="preserve">was studied with fly ash </w:t>
      </w:r>
      <w:r w:rsidR="00A74FA8" w:rsidRPr="00770477">
        <w:rPr>
          <w:rFonts w:cs="Times New Roman"/>
        </w:rPr>
        <w:t xml:space="preserve">and the </w:t>
      </w:r>
      <w:r w:rsidR="00630B2B" w:rsidRPr="00770477">
        <w:rPr>
          <w:rFonts w:cs="Times New Roman"/>
        </w:rPr>
        <w:t xml:space="preserve">composition, thermodynamics, and kinetics were determined </w:t>
      </w:r>
      <w:r w:rsidR="00D71CF0" w:rsidRPr="00770477">
        <w:rPr>
          <w:rFonts w:cs="Times New Roman"/>
        </w:rPr>
        <w:t xml:space="preserve">for the most efficient removal </w:t>
      </w:r>
      <w:r w:rsidR="00D60348" w:rsidRPr="00770477">
        <w:rPr>
          <w:rFonts w:cs="Times New Roman"/>
        </w:rPr>
        <w:fldChar w:fldCharType="begin"/>
      </w:r>
      <w:r w:rsidR="002074AD">
        <w:rPr>
          <w:rFonts w:cs="Times New Roman"/>
        </w:rPr>
        <w:instrText xml:space="preserve"> ADDIN ZOTERO_ITEM CSL_CITATION {"citationID":"LlPj9k5R","properties":{"formattedCitation":"(Apak et al., 1998; Ayala et al., 1998; Bayat, 2002a, 2002b; Diamadopoulos et al., 1993; G. Gupta &amp; Torres, 1998; V. K. Gupta et al., 1998, 2003; V. K. Gupta &amp; Ali, 2000, 2004, 2004; V. K. Gupta &amp; Sharma, 2003; Hsu et al., 2008; Lin &amp; Chang, 2001; S.-C. Pan et al., 2003; Panday et al., 1985; Rao et al., 2003; Rio et al., 2002; S. Wang et al., 2008; Yadava et al., 1987)","plainCitation":"(Apak et al., 1998; Ayala et al., 1998; Bayat, 2002a, 2002b; Diamadopoulos et al., 1993; G. Gupta &amp; Torres, 1998; V. K. Gupta et al., 1998, 2003; V. K. Gupta &amp; Ali, 2000, 2004, 2004; V. K. Gupta &amp; Sharma, 2003; Hsu et al., 2008; Lin &amp; Chang, 2001; S.-C. Pan et al., 2003; Panday et al., 1985; Rao et al., 2003; Rio et al., 2002; S. Wang et al., 2008; Yadava et al., 1987)","noteIndex":0},"citationItems":[{"id":681,"uris":["http://zotero.org/users/8423188/items/8P7SBUYM"],"itemData":{"id":681,"type":"article-journal","container-title":"Water Research","DOI":"10.1016/S0043-1354(97)00204-2","ISSN":"00431354","issue":"2","journalAbbreviation":"Water Research","language":"en","page":"430-440","source":"DOI.org (Crossref)","title":"Heavy metal cation retention by unconventional sorbents (red muds and fly ashes)","volume":"32","author":[{"family":"Apak","given":"Reşat"},{"family":"Tütem","given":"Esma"},{"family":"Hügül","given":"Mehmet"},{"family":"Hizal","given":"Jülide"}],"issued":{"date-parts":[["1998",2]]}}},{"id":673,"uris":["http://zotero.org/users/8423188/items/ZQG4XPRJ"],"itemData":{"id":673,"type":"article-journal","container-title":"Fuel","DOI":"10.1016/S0016-2361(98)00027-1","ISSN":"00162361","issue":"11","journalAbbreviation":"Fuel","language":"en","page":"1147-1154","source":"DOI.org (Crossref)","title":"Asturian fly ash as a heavy metals removal material","volume":"77","author":[{"family":"Ayala","given":"Julia"},{"family":"Blanco","given":"Francisco"},{"family":"García","given":"Purificación"},{"family":"Rodriguez","given":"Penelope"},{"family":"Sancho","given":"José"}],"issued":{"date-parts":[["1998",9]]}}},{"id":672,"uris":["http://zotero.org/users/8423188/items/U5UEU9Y2"],"itemData":{"id":672,"type":"article-journal","abstract":"The aim of this work is the investigation of possible use of ﬂy ash in the removal of zinc (Zn2+) and cadmium (Cd2+) contained in aqueous solutions. Batch adsorption experiments were performed in order to evaluate the removal efﬁciency of lignite-based ﬂy ash. The parameters studied include contact time, pH, temperature, initial concentration of the adsorbate and ﬂy ash dosage. The contact time necessary to attain equilibrium was found to be two hours. Maximum adsorption occurred in the pH range of 7.0 to 7.5. The percent adsorption of Zn2+ and Cd2+ increased with an increase in concentration of Zn2+ and Cd2+, dosage of ﬂy ash and temperature. The applicability of Langmuir isotherm suggests the formation of monolayer coverage Zn2+ and Cd2+ ions at the outer surface of the adsorbent. Thermodynamic parameters suggested the endothermic nature of the adsorption process. The ﬂy ash was found to be an metal adsorbent as effective as activated carbon.","container-title":"Water, Air and Soil Pollution","language":"en","page":"69-92","source":"Zotero","title":"Combined Removal of Zinc (II) and Cadmium (II) from Aqueous Solutions by Adsorption onto High-Calcium Turkish Fly Ash","volume":"136","author":[{"family":"Bayat","given":"Belgin"}],"issued":{"date-parts":[["2002",1]]}}},{"id":680,"uris":["http://zotero.org/users/8423188/items/RQX89T3T"],"itemData":{"id":680,"type":"article-journal","container-title":"Journal of Hazardous Materials","DOI":"10.1016/S0304-3894(02)00141-3","ISSN":"03043894","issue":"3","journalAbbreviation":"Journal of Hazardous Materials","language":"en","page":"275-290","source":"DOI.org (Crossref)","title":"Comparative study of adsorption properties of Turkish fly ashes","volume":"95","author":[{"family":"Bayat","given":"Belgin"}],"issued":{"date-parts":[["2002",12]]}}},{"id":660,"uris":["http://zotero.org/users/8423188/items/9EKR3238"],"itemData":{"id":660,"type":"article-journal","container-title":"Water Research","DOI":"10.1016/0043-1354(93)90116-Y","ISSN":"00431354","issue":"12","journalAbbreviation":"Water Research","language":"en","page":"1773-1777","source":"DOI.org (Crossref)","title":"As(V) removal from aqueous solutions by fly ash","volume":"27","author":[{"family":"Diamadopoulos","given":"Evan"},{"family":"Ioannidis","given":"Socrates"},{"family":"Sakellaropoulos","given":"George P."}],"issued":{"date-parts":[["1993",12]]}}},{"id":671,"uris":["http://zotero.org/users/8423188/items/S4E7P38U"],"itemData":{"id":671,"type":"article-journal","container-title":"Journal of Hazardous Materials","DOI":"10.1016/S0304-3894(97)00093-9","ISSN":"03043894","issue":"1-3","journalAbbreviation":"Journal of Hazardous Materials","language":"en","page":"243-248","source":"DOI.org (Crossref)","title":"Use of fly ash in reducing toxicity of and heavy metals in wastewater effluent","volume":"57","author":[{"family":"Gupta","given":"Gian"},{"family":"Torres","given":"Norca"}],"issued":{"date-parts":[["1998",1]]}}},{"id":669,"uris":["http://zotero.org/users/8423188/items/2C582S52"],"itemData":{"id":669,"type":"article-journal","container-title":"The Environmentalist","DOI":"10.1023/A:1006693017711","ISSN":"02511088","issue":"2","page":"129-136","source":"DOI.org (Crossref)","title":"Removal of chromium(VI) from electroplating industry wastewater using bagasse fly ash—a sugar industry waste material","volume":"19","author":[{"family":"Gupta","given":"Vinod K."},{"family":"Mohan","given":"Dinesh"},{"family":"Sharma","given":"Saurabh"},{"family":"Park","given":"Kuk T."}],"issued":{"date-parts":[["1998"]]}}},{"id":666,"uris":["http://zotero.org/users/8423188/items/H4PN2JFD"],"itemData":{"id":666,"type":"article-journal","container-title":"Water Research","DOI":"10.1016/S0043-1354(03)00292-6","ISSN":"00431354","issue":"16","journalAbbreviation":"Water Research","language":"en","page":"4038-4044","source":"DOI.org (Crossref)","title":"Removal of cadmium and nickel from wastewater using bagasse fly ash—a sugar industry waste","volume":"37","author":[{"family":"Gupta","given":"Vinod K."},{"family":"Jain","given":"C.K."},{"family":"Ali","given":"Imran"},{"family":"Sharma","given":"M."},{"family":"Saini","given":"V.K."}],"issued":{"date-parts":[["2003",9]]}}},{"id":668,"uris":["http://zotero.org/users/8423188/items/X8XGLQ48"],"itemData":{"id":668,"type":"article-journal","container-title":"Separation and Purification Technology","DOI":"10.1016/S1383-5866(99)00058-1","ISSN":"13835866","issue":"2","journalAbbreviation":"Separation and Purification Technology","language":"en","page":"131-140","source":"DOI.org (Crossref)","title":"Utilisation of bagasse fly ash (a sugar industry waste) for the removal of copper and zinc from wastewater","volume":"18","author":[{"family":"Gupta","given":"Vinod K."},{"family":"Ali","given":"Imran"}],"issued":{"date-parts":[["2000",3]]}}},{"id":665,"uris":["http://zotero.org/users/8423188/items/GAAITFHV"],"itemData":{"id":665,"type":"article-journal","container-title":"Journal of Colloid and Interface Science","DOI":"10.1016/j.jcis.2003.11.007","ISSN":"00219797","issue":"2","journalAbbreviation":"Journal of Colloid and Interface Science","language":"en","page":"321-328","source":"DOI.org (Crossref)","title":"Removal of lead and chromium from wastewater using bagasse fly ash—a sugar industry waste","volume":"271","author":[{"family":"Gupta","given":"V.K."},{"family":"Ali","given":"Imran"}],"issued":{"date-parts":[["2004",3]]}}},{"id":665,"uris":["http://zotero.org/users/8423188/items/GAAITFHV"],"itemData":{"id":665,"type":"article-journal","container-title":"Journal of Colloid and Interface Science","DOI":"10.1016/j.jcis.2003.11.007","ISSN":"00219797","issue":"2","journalAbbreviation":"Journal of Colloid and Interface Science","language":"en","page":"321-328","source":"DOI.org (Crossref)","title":"Removal of lead and chromium from wastewater using bagasse fly ash—a sugar industry waste","volume":"271","author":[{"family":"Gupta","given":"V.K."},{"family":"Ali","given":"Imran"}],"issued":{"date-parts":[["2004",3]]}}},{"id":667,"uris":["http://zotero.org/users/8423188/items/VNXC8IQ4"],"itemData":{"id":667,"type":"article-journal","container-title":"Industrial &amp; Engineering Chemistry Research","DOI":"10.1021/ie0303146","ISSN":"0888-5885, 1520-5045","issue":"25","journalAbbreviation":"Ind. Eng. Chem. Res.","language":"en","page":"6619-6624","source":"DOI.org (Crossref)","title":"Removal of Zinc from Aqueous Solutions Using Bagasse Fly Ash − a Low Cost Adsorbent","volume":"42","author":[{"family":"Gupta","given":"Vinod K."},{"family":"Sharma","given":"Saurabh"}],"issued":{"date-parts":[["2003",12,1]]}}},{"id":675,"uris":["http://zotero.org/users/8423188/items/DNXKSMZZ"],"itemData":{"id":675,"type":"article-journal","container-title":"Fuel","DOI":"10.1016/j.fuel.2007.05.055","ISSN":"00162361","issue":"7","journalAbbreviation":"Fuel","language":"en","page":"1355-1359","source":"DOI.org (Crossref)","title":"Adsorption of Cu2+ from water using raw and modified coal fly ashes","volume":"87","author":[{"family":"Hsu","given":"Ting-Chu"},{"family":"Yu","given":"Chung-Chin"},{"family":"Yeh","given":"Chin-Ming"}],"issued":{"date-parts":[["2008",6]]}}},{"id":676,"uris":["http://zotero.org/users/8423188/items/4S6UUC7R"],"itemData":{"id":676,"type":"article-journal","container-title":"Chemosphere","DOI":"10.1016/S0045-6535(00)00494-X","ISSN":"00456535","issue":"5","journalAbbreviation":"Chemosphere","language":"en","page":"1185-1192","source":"DOI.org (Crossref)","title":"Effect of fly ash characteristics on the removal of Cu(II) from aqueous solution","volume":"44","author":[{"family":"Lin","given":"Chien-Jung"},{"family":"Chang","given":"Juu-En"}],"issued":{"date-parts":[["2001",8]]}}},{"id":662,"uris":["http://zotero.org/users/8423188/items/T6GESYYU"],"itemData":{"id":662,"type":"article-journal","container-title":"Resources, Conservation and Recycling","DOI":"10.1016/S0921-3449(02)00122-2","ISSN":"09213449","issue":"1","journalAbbreviation":"Resources, Conservation and Recycling","language":"en","page":"79-90","source":"DOI.org (Crossref)","title":"Reusing sewage sludge ash as adsorbent for copper removal from wastewater","volume":"39","author":[{"family":"Pan","given":"Shih-Cheng"},{"family":"Lin","given":"Chin-Chi"},{"family":"Tseng","given":"Dyi-Hwa"}],"issued":{"date-parts":[["2003",8]]}}},{"id":678,"uris":["http://zotero.org/users/8423188/items/UHGTM4SL"],"itemData":{"id":678,"type":"article-journal","container-title":"Water Research","DOI":"10.1016/0043-1354(85)90145-9","ISSN":"00431354","issue":"7","journalAbbreviation":"Water Research","language":"en","page":"869-873","source":"DOI.org (Crossref)","title":"Copper(II) removal from aqueous solutions by fly ash","volume":"19","author":[{"family":"Panday","given":"K.K."},{"family":"Prasad","given":"Gur"},{"family":"Singh","given":"V.N."}],"issued":{"date-parts":[["1985",1]]}}},{"id":661,"uris":["http://zotero.org/users/8423188/items/WKXYX3XE"],"itemData":{"id":661,"type":"article-journal","container-title":"Journal of Water Supply: Research and Technology-Aqua","DOI":"10.2166/aqua.2003.0005","ISSN":"0003-7214, 1605-3974","issue":"1","language":"en","page":"49-58","source":"DOI.org (Crossref)","title":"Performance of low-cost adsorbents for the removal of copper and lead","volume":"52","author":[{"family":"Rao","given":"M."},{"family":"Parwate","given":"A. V."},{"family":"Kadu","given":"P. A."},{"family":"Bhole","given":"A. G."}],"issued":{"date-parts":[["2003",2]]}}},{"id":670,"uris":["http://zotero.org/users/8423188/items/GS52TV7S"],"itemData":{"id":670,"type":"article-journal","container-title":"Journal of Chemical Technology &amp; Biotechnology","DOI":"10.1002/jctb.573","ISSN":"02682575","issue":"3","journalAbbreviation":"J. Chem. Technol. Biotechnol.","language":"en","page":"382-388","source":"DOI.org (Crossref)","title":"Metallic ion removal from aqueous solutions by fly ashes: multicomponent studies: Metallic ion removal from aqueous solutions by fly ashes","title-short":"Metallic ion removal from aqueous solutions by fly ashes","volume":"77","author":[{"family":"Rio","given":"Sébastien"},{"family":"Delebarre","given":"Arnaud"},{"family":"Héquet","given":"Valérie"},{"family":"Cloirec","given":"Pierre Le"},{"family":"Blondin","given":"Jacques"}],"issued":{"date-parts":[["2002",3]]}}},{"id":674,"uris":["http://zotero.org/users/8423188/items/BJ4R2TNP"],"itemData":{"id":674,"type":"article-journal","container-title":"Separation and Purification Technology","DOI":"10.1016/j.seppur.2007.05.009","ISSN":"13835866","issue":"3","journalAbbreviation":"Separation and Purification Technology","language":"en","page":"353-358","source":"DOI.org (Crossref)","title":"Single and co-adsorption of heavy metals and humic acid on fly ash","volume":"58","author":[{"family":"Wang","given":"Shaobin"},{"family":"Terdkiatburana","given":"T."},{"family":"Tadé","given":"M.O."}],"issued":{"date-parts":[["2008",1]]}}},{"id":679,"uris":["http://zotero.org/users/8423188/items/LV7BNUVU"],"itemData":{"id":679,"type":"article-journal","container-title":"Environmental Technology Letters","DOI":"10.1080/09593338709384482","ISSN":"0143-2060","issue":"1-12","journalAbbreviation":"Environmental Technology Letters","language":"en","page":"225-234","source":"DOI.org (Crossref)","title":"Fly ash for the treatment of Cd(II) rich effluents","volume":"8","author":[{"family":"Yadava","given":"K.P."},{"family":"Tyagi","given":"B.S."},{"family":"Panday","given":"K.K."},{"family":"Singh","given":"V.N."}],"issued":{"date-parts":[["1987",1]]}}}],"schema":"https://github.com/citation-style-language/schema/raw/master/csl-citation.json"} </w:instrText>
      </w:r>
      <w:r w:rsidR="00D60348" w:rsidRPr="00770477">
        <w:rPr>
          <w:rFonts w:cs="Times New Roman"/>
        </w:rPr>
        <w:fldChar w:fldCharType="separate"/>
      </w:r>
      <w:r w:rsidR="00E11E17" w:rsidRPr="00770477">
        <w:rPr>
          <w:rFonts w:cs="Times New Roman"/>
        </w:rPr>
        <w:t>(Apak et al., 1998; Ayala et al., 1998; Bayat, 2002a, 2002b; Diamadopoulos et al., 1993; G. Gupta &amp; Torres, 1998; V. K. Gupta et al., 1998, 2003; V. K. Gupta &amp; Ali, 2000, 2004, 2004; V. K. Gupta &amp; Sharma, 2003; Hsu et al., 2008; Lin &amp; Chang, 2001; S.-C. Pan et al., 2003; Panday et al., 1985; Rao et al., 2003; Rio et al., 2002; S. Wang et al., 2008; Yadava et al., 1987)</w:t>
      </w:r>
      <w:r w:rsidR="00D60348" w:rsidRPr="00770477">
        <w:rPr>
          <w:rFonts w:cs="Times New Roman"/>
        </w:rPr>
        <w:fldChar w:fldCharType="end"/>
      </w:r>
      <w:r w:rsidR="002F3454" w:rsidRPr="00770477">
        <w:rPr>
          <w:rFonts w:cs="Times New Roman"/>
        </w:rPr>
        <w:t xml:space="preserve">. </w:t>
      </w:r>
      <w:r w:rsidR="000A3CCB" w:rsidRPr="00770477">
        <w:rPr>
          <w:rFonts w:cs="Times New Roman"/>
        </w:rPr>
        <w:t xml:space="preserve">The </w:t>
      </w:r>
      <w:r w:rsidR="00626C18" w:rsidRPr="00770477">
        <w:rPr>
          <w:rFonts w:cs="Times New Roman"/>
        </w:rPr>
        <w:t xml:space="preserve">content of </w:t>
      </w:r>
      <w:proofErr w:type="spellStart"/>
      <w:r w:rsidR="00626C18" w:rsidRPr="00770477">
        <w:rPr>
          <w:rFonts w:cs="Times New Roman"/>
        </w:rPr>
        <w:t>CaO</w:t>
      </w:r>
      <w:proofErr w:type="spellEnd"/>
      <w:r w:rsidR="00BA6304" w:rsidRPr="00770477">
        <w:rPr>
          <w:rFonts w:cs="Times New Roman"/>
        </w:rPr>
        <w:t xml:space="preserve"> </w:t>
      </w:r>
      <w:r w:rsidR="004C04D1" w:rsidRPr="00770477">
        <w:rPr>
          <w:rFonts w:cs="Times New Roman"/>
        </w:rPr>
        <w:fldChar w:fldCharType="begin"/>
      </w:r>
      <w:r w:rsidR="002074AD">
        <w:rPr>
          <w:rFonts w:cs="Times New Roman"/>
        </w:rPr>
        <w:instrText xml:space="preserve"> ADDIN ZOTERO_ITEM CSL_CITATION {"citationID":"vwMaGxNN","properties":{"formattedCitation":"(Bayat, 2002a)","plainCitation":"(Bayat, 2002a)","noteIndex":0},"citationItems":[{"id":672,"uris":["http://zotero.org/users/8423188/items/U5UEU9Y2"],"itemData":{"id":672,"type":"article-journal","abstract":"The aim of this work is the investigation of possible use of ﬂy ash in the removal of zinc (Zn2+) and cadmium (Cd2+) contained in aqueous solutions. Batch adsorption experiments were performed in order to evaluate the removal efﬁciency of lignite-based ﬂy ash. The parameters studied include contact time, pH, temperature, initial concentration of the adsorbate and ﬂy ash dosage. The contact time necessary to attain equilibrium was found to be two hours. Maximum adsorption occurred in the pH range of 7.0 to 7.5. The percent adsorption of Zn2+ and Cd2+ increased with an increase in concentration of Zn2+ and Cd2+, dosage of ﬂy ash and temperature. The applicability of Langmuir isotherm suggests the formation of monolayer coverage Zn2+ and Cd2+ ions at the outer surface of the adsorbent. Thermodynamic parameters suggested the endothermic nature of the adsorption process. The ﬂy ash was found to be an metal adsorbent as effective as activated carbon.","container-title":"Water, Air and Soil Pollution","language":"en","page":"69-92","source":"Zotero","title":"Combined Removal of Zinc (II) and Cadmium (II) from Aqueous Solutions by Adsorption onto High-Calcium Turkish Fly Ash","volume":"136","author":[{"family":"Bayat","given":"Belgin"}],"issued":{"date-parts":[["2002",1]]}}}],"schema":"https://github.com/citation-style-language/schema/raw/master/csl-citation.json"} </w:instrText>
      </w:r>
      <w:r w:rsidR="004C04D1" w:rsidRPr="00770477">
        <w:rPr>
          <w:rFonts w:cs="Times New Roman"/>
        </w:rPr>
        <w:fldChar w:fldCharType="separate"/>
      </w:r>
      <w:r w:rsidR="00E11E17" w:rsidRPr="00770477">
        <w:rPr>
          <w:rFonts w:cs="Times New Roman"/>
        </w:rPr>
        <w:t>(Bayat, 2002a)</w:t>
      </w:r>
      <w:r w:rsidR="004C04D1" w:rsidRPr="00770477">
        <w:rPr>
          <w:rFonts w:cs="Times New Roman"/>
        </w:rPr>
        <w:fldChar w:fldCharType="end"/>
      </w:r>
      <w:r w:rsidR="00626C18" w:rsidRPr="00770477">
        <w:rPr>
          <w:rFonts w:cs="Times New Roman"/>
        </w:rPr>
        <w:t>, C</w:t>
      </w:r>
      <w:r w:rsidR="00D87D3B" w:rsidRPr="00770477">
        <w:rPr>
          <w:rFonts w:cs="Times New Roman"/>
        </w:rPr>
        <w:t xml:space="preserve"> </w:t>
      </w:r>
      <w:r w:rsidR="00D87D3B" w:rsidRPr="00770477">
        <w:rPr>
          <w:rFonts w:cs="Times New Roman"/>
        </w:rPr>
        <w:fldChar w:fldCharType="begin"/>
      </w:r>
      <w:r w:rsidR="002074AD">
        <w:rPr>
          <w:rFonts w:cs="Times New Roman"/>
        </w:rPr>
        <w:instrText xml:space="preserve"> ADDIN ZOTERO_ITEM CSL_CITATION {"citationID":"NmnQvjh4","properties":{"formattedCitation":"(Lin &amp; Chang, 2001)","plainCitation":"(Lin &amp; Chang, 2001)","noteIndex":0},"citationItems":[{"id":676,"uris":["http://zotero.org/users/8423188/items/4S6UUC7R"],"itemData":{"id":676,"type":"article-journal","container-title":"Chemosphere","DOI":"10.1016/S0045-6535(00)00494-X","ISSN":"00456535","issue":"5","journalAbbreviation":"Chemosphere","language":"en","page":"1185-1192","source":"DOI.org (Crossref)","title":"Effect of fly ash characteristics on the removal of Cu(II) from aqueous solution","volume":"44","author":[{"family":"Lin","given":"Chien-Jung"},{"family":"Chang","given":"Juu-En"}],"issued":{"date-parts":[["2001",8]]}}}],"schema":"https://github.com/citation-style-language/schema/raw/master/csl-citation.json"} </w:instrText>
      </w:r>
      <w:r w:rsidR="00D87D3B" w:rsidRPr="00770477">
        <w:rPr>
          <w:rFonts w:cs="Times New Roman"/>
        </w:rPr>
        <w:fldChar w:fldCharType="separate"/>
      </w:r>
      <w:r w:rsidR="00E11E17" w:rsidRPr="00770477">
        <w:rPr>
          <w:rFonts w:cs="Times New Roman"/>
        </w:rPr>
        <w:t>(Lin &amp; Chang, 2001)</w:t>
      </w:r>
      <w:r w:rsidR="00D87D3B" w:rsidRPr="00770477">
        <w:rPr>
          <w:rFonts w:cs="Times New Roman"/>
        </w:rPr>
        <w:fldChar w:fldCharType="end"/>
      </w:r>
      <w:r w:rsidR="00626C18" w:rsidRPr="00770477">
        <w:rPr>
          <w:rFonts w:cs="Times New Roman"/>
        </w:rPr>
        <w:t xml:space="preserve">, </w:t>
      </w:r>
      <w:r w:rsidR="008F1846" w:rsidRPr="00770477">
        <w:rPr>
          <w:rFonts w:cs="Times New Roman"/>
        </w:rPr>
        <w:t>and humic acid</w:t>
      </w:r>
      <w:r w:rsidR="00D87D3B" w:rsidRPr="00770477">
        <w:rPr>
          <w:rFonts w:cs="Times New Roman"/>
        </w:rPr>
        <w:t xml:space="preserve"> </w:t>
      </w:r>
      <w:r w:rsidR="005853DC" w:rsidRPr="00770477">
        <w:rPr>
          <w:rFonts w:cs="Times New Roman"/>
        </w:rPr>
        <w:fldChar w:fldCharType="begin"/>
      </w:r>
      <w:r w:rsidR="002074AD">
        <w:rPr>
          <w:rFonts w:cs="Times New Roman"/>
        </w:rPr>
        <w:instrText xml:space="preserve"> ADDIN ZOTERO_ITEM CSL_CITATION {"citationID":"pd9mt4rO","properties":{"formattedCitation":"(S. Wang et al., 2008)","plainCitation":"(S. Wang et al., 2008)","noteIndex":0},"citationItems":[{"id":674,"uris":["http://zotero.org/users/8423188/items/BJ4R2TNP"],"itemData":{"id":674,"type":"article-journal","container-title":"Separation and Purification Technology","DOI":"10.1016/j.seppur.2007.05.009","ISSN":"13835866","issue":"3","journalAbbreviation":"Separation and Purification Technology","language":"en","page":"353-358","source":"DOI.org (Crossref)","title":"Single and co-adsorption of heavy metals and humic acid on fly ash","volume":"58","author":[{"family":"Wang","given":"Shaobin"},{"family":"Terdkiatburana","given":"T."},{"family":"Tadé","given":"M.O."}],"issued":{"date-parts":[["2008",1]]}}}],"schema":"https://github.com/citation-style-language/schema/raw/master/csl-citation.json"} </w:instrText>
      </w:r>
      <w:r w:rsidR="005853DC" w:rsidRPr="00770477">
        <w:rPr>
          <w:rFonts w:cs="Times New Roman"/>
        </w:rPr>
        <w:fldChar w:fldCharType="separate"/>
      </w:r>
      <w:r w:rsidR="00E11E17" w:rsidRPr="00770477">
        <w:rPr>
          <w:rFonts w:cs="Times New Roman"/>
        </w:rPr>
        <w:t>(S. Wang et al., 2008)</w:t>
      </w:r>
      <w:r w:rsidR="005853DC" w:rsidRPr="00770477">
        <w:rPr>
          <w:rFonts w:cs="Times New Roman"/>
        </w:rPr>
        <w:fldChar w:fldCharType="end"/>
      </w:r>
      <w:r w:rsidR="008F1846" w:rsidRPr="00770477">
        <w:rPr>
          <w:rFonts w:cs="Times New Roman"/>
        </w:rPr>
        <w:t>, as well as the designation a</w:t>
      </w:r>
      <w:r w:rsidR="00717549" w:rsidRPr="00770477">
        <w:rPr>
          <w:rFonts w:cs="Times New Roman"/>
        </w:rPr>
        <w:t>s a silico-aluminous fly ash</w:t>
      </w:r>
      <w:r w:rsidR="005853DC" w:rsidRPr="00770477">
        <w:rPr>
          <w:rFonts w:cs="Times New Roman"/>
        </w:rPr>
        <w:t xml:space="preserve"> </w:t>
      </w:r>
      <w:r w:rsidR="005853DC" w:rsidRPr="00770477">
        <w:rPr>
          <w:rFonts w:cs="Times New Roman"/>
        </w:rPr>
        <w:fldChar w:fldCharType="begin"/>
      </w:r>
      <w:r w:rsidR="002074AD">
        <w:rPr>
          <w:rFonts w:cs="Times New Roman"/>
        </w:rPr>
        <w:instrText xml:space="preserve"> ADDIN ZOTERO_ITEM CSL_CITATION {"citationID":"1igLfwbC","properties":{"formattedCitation":"(Rio et al., 2002)","plainCitation":"(Rio et al., 2002)","noteIndex":0},"citationItems":[{"id":670,"uris":["http://zotero.org/users/8423188/items/GS52TV7S"],"itemData":{"id":670,"type":"article-journal","container-title":"Journal of Chemical Technology &amp; Biotechnology","DOI":"10.1002/jctb.573","ISSN":"02682575","issue":"3","journalAbbreviation":"J. Chem. Technol. Biotechnol.","language":"en","page":"382-388","source":"DOI.org (Crossref)","title":"Metallic ion removal from aqueous solutions by fly ashes: multicomponent studies: Metallic ion removal from aqueous solutions by fly ashes","title-short":"Metallic ion removal from aqueous solutions by fly ashes","volume":"77","author":[{"family":"Rio","given":"Sébastien"},{"family":"Delebarre","given":"Arnaud"},{"family":"Héquet","given":"Valérie"},{"family":"Cloirec","given":"Pierre Le"},{"family":"Blondin","given":"Jacques"}],"issued":{"date-parts":[["2002",3]]}}}],"schema":"https://github.com/citation-style-language/schema/raw/master/csl-citation.json"} </w:instrText>
      </w:r>
      <w:r w:rsidR="005853DC" w:rsidRPr="00770477">
        <w:rPr>
          <w:rFonts w:cs="Times New Roman"/>
        </w:rPr>
        <w:fldChar w:fldCharType="separate"/>
      </w:r>
      <w:r w:rsidR="00E11E17" w:rsidRPr="00770477">
        <w:rPr>
          <w:rFonts w:cs="Times New Roman"/>
        </w:rPr>
        <w:t>(Rio et al., 2002)</w:t>
      </w:r>
      <w:r w:rsidR="005853DC" w:rsidRPr="00770477">
        <w:rPr>
          <w:rFonts w:cs="Times New Roman"/>
        </w:rPr>
        <w:fldChar w:fldCharType="end"/>
      </w:r>
      <w:r w:rsidR="00717549" w:rsidRPr="00770477">
        <w:rPr>
          <w:rFonts w:cs="Times New Roman"/>
        </w:rPr>
        <w:t xml:space="preserve"> had a positive correlation on the removal of</w:t>
      </w:r>
      <w:r w:rsidR="00D525D7" w:rsidRPr="00770477">
        <w:rPr>
          <w:rFonts w:cs="Times New Roman"/>
        </w:rPr>
        <w:t xml:space="preserve"> Cr(VI) and Cd(II), Cu(II), </w:t>
      </w:r>
      <w:r w:rsidR="008464F0" w:rsidRPr="00770477">
        <w:rPr>
          <w:rFonts w:cs="Times New Roman"/>
        </w:rPr>
        <w:t xml:space="preserve">Pb(II), and Ni(II), respectively. </w:t>
      </w:r>
      <w:r w:rsidR="0045776C" w:rsidRPr="00770477">
        <w:rPr>
          <w:rFonts w:cs="Times New Roman"/>
        </w:rPr>
        <w:t xml:space="preserve">Removal efficiency </w:t>
      </w:r>
      <w:r w:rsidR="00137337" w:rsidRPr="00770477">
        <w:rPr>
          <w:rFonts w:cs="Times New Roman"/>
        </w:rPr>
        <w:t xml:space="preserve">can rely on a great number of variables, </w:t>
      </w:r>
      <w:r w:rsidR="0034079E" w:rsidRPr="00770477">
        <w:rPr>
          <w:rFonts w:cs="Times New Roman"/>
        </w:rPr>
        <w:t>primarily</w:t>
      </w:r>
      <w:r w:rsidR="00137337" w:rsidRPr="00770477">
        <w:rPr>
          <w:rFonts w:cs="Times New Roman"/>
        </w:rPr>
        <w:t xml:space="preserve"> environmental conditions. </w:t>
      </w:r>
      <w:r w:rsidR="006D5C21" w:rsidRPr="00770477">
        <w:rPr>
          <w:rFonts w:cs="Times New Roman"/>
        </w:rPr>
        <w:t>T</w:t>
      </w:r>
      <w:r w:rsidR="00897B17" w:rsidRPr="00770477">
        <w:rPr>
          <w:rFonts w:cs="Times New Roman"/>
        </w:rPr>
        <w:t xml:space="preserve">he control of removal efficiency </w:t>
      </w:r>
      <w:r w:rsidR="007E012C" w:rsidRPr="00770477">
        <w:rPr>
          <w:rFonts w:cs="Times New Roman"/>
        </w:rPr>
        <w:t>is</w:t>
      </w:r>
      <w:r w:rsidR="00897B17" w:rsidRPr="00770477">
        <w:rPr>
          <w:rFonts w:cs="Times New Roman"/>
        </w:rPr>
        <w:t xml:space="preserve"> pH, temperature, and </w:t>
      </w:r>
      <w:r w:rsidR="006B52FF" w:rsidRPr="00770477">
        <w:rPr>
          <w:rFonts w:cs="Times New Roman"/>
        </w:rPr>
        <w:t>concentration of metals in solution</w:t>
      </w:r>
      <w:r w:rsidR="00D0163E" w:rsidRPr="00770477">
        <w:rPr>
          <w:rFonts w:cs="Times New Roman"/>
        </w:rPr>
        <w:t xml:space="preserve"> </w:t>
      </w:r>
      <w:r w:rsidR="00D0163E" w:rsidRPr="00770477">
        <w:rPr>
          <w:rFonts w:cs="Times New Roman"/>
        </w:rPr>
        <w:fldChar w:fldCharType="begin"/>
      </w:r>
      <w:r w:rsidR="002074AD">
        <w:rPr>
          <w:rFonts w:cs="Times New Roman"/>
        </w:rPr>
        <w:instrText xml:space="preserve"> ADDIN ZOTERO_ITEM CSL_CITATION {"citationID":"M8DSOP6r","properties":{"formattedCitation":"(Bayat, 2002a; V. K. Gupta &amp; Ali, 2004; Panday et al., 1985; Yadava et al., 1987)","plainCitation":"(Bayat, 2002a; V. K. Gupta &amp; Ali, 2004; Panday et al., 1985; Yadava et al., 1987)","noteIndex":0},"citationItems":[{"id":672,"uris":["http://zotero.org/users/8423188/items/U5UEU9Y2"],"itemData":{"id":672,"type":"article-journal","abstract":"The aim of this work is the investigation of possible use of ﬂy ash in the removal of zinc (Zn2+) and cadmium (Cd2+) contained in aqueous solutions. Batch adsorption experiments were performed in order to evaluate the removal efﬁciency of lignite-based ﬂy ash. The parameters studied include contact time, pH, temperature, initial concentration of the adsorbate and ﬂy ash dosage. The contact time necessary to attain equilibrium was found to be two hours. Maximum adsorption occurred in the pH range of 7.0 to 7.5. The percent adsorption of Zn2+ and Cd2+ increased with an increase in concentration of Zn2+ and Cd2+, dosage of ﬂy ash and temperature. The applicability of Langmuir isotherm suggests the formation of monolayer coverage Zn2+ and Cd2+ ions at the outer surface of the adsorbent. Thermodynamic parameters suggested the endothermic nature of the adsorption process. The ﬂy ash was found to be an metal adsorbent as effective as activated carbon.","container-title":"Water, Air and Soil Pollution","language":"en","page":"69-92","source":"Zotero","title":"Combined Removal of Zinc (II) and Cadmium (II) from Aqueous Solutions by Adsorption onto High-Calcium Turkish Fly Ash","volume":"136","author":[{"family":"Bayat","given":"Belgin"}],"issued":{"date-parts":[["2002",1]]}}},{"id":665,"uris":["http://zotero.org/users/8423188/items/GAAITFHV"],"itemData":{"id":665,"type":"article-journal","container-title":"Journal of Colloid and Interface Science","DOI":"10.1016/j.jcis.2003.11.007","ISSN":"00219797","issue":"2","journalAbbreviation":"Journal of Colloid and Interface Science","language":"en","page":"321-328","source":"DOI.org (Crossref)","title":"Removal of lead and chromium from wastewater using bagasse fly ash—a sugar industry waste","volume":"271","author":[{"family":"Gupta","given":"V.K."},{"family":"Ali","given":"Imran"}],"issued":{"date-parts":[["2004",3]]}}},{"id":678,"uris":["http://zotero.org/users/8423188/items/UHGTM4SL"],"itemData":{"id":678,"type":"article-journal","container-title":"Water Research","DOI":"10.1016/0043-1354(85)90145-9","ISSN":"00431354","issue":"7","journalAbbreviation":"Water Research","language":"en","page":"869-873","source":"DOI.org (Crossref)","title":"Copper(II) removal from aqueous solutions by fly ash","volume":"19","author":[{"family":"Panday","given":"K.K."},{"family":"Prasad","given":"Gur"},{"family":"Singh","given":"V.N."}],"issued":{"date-parts":[["1985",1]]}}},{"id":679,"uris":["http://zotero.org/users/8423188/items/LV7BNUVU"],"itemData":{"id":679,"type":"article-journal","container-title":"Environmental Technology Letters","DOI":"10.1080/09593338709384482","ISSN":"0143-2060","issue":"1-12","journalAbbreviation":"Environmental Technology Letters","language":"en","page":"225-234","source":"DOI.org (Crossref)","title":"Fly ash for the treatment of Cd(II) rich effluents","volume":"8","author":[{"family":"Yadava","given":"K.P."},{"family":"Tyagi","given":"B.S."},{"family":"Panday","given":"K.K."},{"family":"Singh","given":"V.N."}],"issued":{"date-parts":[["1987",1]]}}}],"schema":"https://github.com/citation-style-language/schema/raw/master/csl-citation.json"} </w:instrText>
      </w:r>
      <w:r w:rsidR="00D0163E" w:rsidRPr="00770477">
        <w:rPr>
          <w:rFonts w:cs="Times New Roman"/>
        </w:rPr>
        <w:fldChar w:fldCharType="separate"/>
      </w:r>
      <w:r w:rsidR="00E11E17" w:rsidRPr="00770477">
        <w:rPr>
          <w:rFonts w:cs="Times New Roman"/>
        </w:rPr>
        <w:t>(Bayat, 2002a; V. K. Gupta &amp; Ali, 2004; Panday et al., 1985; Yadava et al., 1987)</w:t>
      </w:r>
      <w:r w:rsidR="00D0163E" w:rsidRPr="00770477">
        <w:rPr>
          <w:rFonts w:cs="Times New Roman"/>
        </w:rPr>
        <w:fldChar w:fldCharType="end"/>
      </w:r>
      <w:r w:rsidR="00AB4756" w:rsidRPr="00770477">
        <w:rPr>
          <w:rFonts w:cs="Times New Roman"/>
        </w:rPr>
        <w:t xml:space="preserve"> with removal typically </w:t>
      </w:r>
      <w:r w:rsidR="00494717" w:rsidRPr="00770477">
        <w:rPr>
          <w:rFonts w:cs="Times New Roman"/>
        </w:rPr>
        <w:t xml:space="preserve">increasing with increasing pH </w:t>
      </w:r>
      <w:r w:rsidR="00777074" w:rsidRPr="00770477">
        <w:rPr>
          <w:rFonts w:cs="Times New Roman"/>
        </w:rPr>
        <w:t>up to a certain point and at</w:t>
      </w:r>
      <w:r w:rsidR="00AB4756" w:rsidRPr="00770477">
        <w:rPr>
          <w:rFonts w:cs="Times New Roman"/>
        </w:rPr>
        <w:t xml:space="preserve"> </w:t>
      </w:r>
      <w:r w:rsidR="006F64BC" w:rsidRPr="00770477">
        <w:rPr>
          <w:rFonts w:cs="Times New Roman"/>
        </w:rPr>
        <w:t xml:space="preserve">high </w:t>
      </w:r>
      <w:r w:rsidR="009C018C" w:rsidRPr="00770477">
        <w:rPr>
          <w:rFonts w:cs="Times New Roman"/>
        </w:rPr>
        <w:t xml:space="preserve">solution </w:t>
      </w:r>
      <w:r w:rsidR="006F64BC" w:rsidRPr="00770477">
        <w:rPr>
          <w:rFonts w:cs="Times New Roman"/>
        </w:rPr>
        <w:t>metal concentrations</w:t>
      </w:r>
      <w:r w:rsidR="003379AD" w:rsidRPr="00770477">
        <w:rPr>
          <w:rFonts w:cs="Times New Roman"/>
        </w:rPr>
        <w:t xml:space="preserve"> </w:t>
      </w:r>
      <w:r w:rsidR="003379AD" w:rsidRPr="00770477">
        <w:rPr>
          <w:rFonts w:cs="Times New Roman"/>
        </w:rPr>
        <w:fldChar w:fldCharType="begin"/>
      </w:r>
      <w:r w:rsidR="002074AD">
        <w:rPr>
          <w:rFonts w:cs="Times New Roman"/>
        </w:rPr>
        <w:instrText xml:space="preserve"> ADDIN ZOTERO_ITEM CSL_CITATION {"citationID":"KBlwnJOa","properties":{"formattedCitation":"(Ahmaruzzaman, 2010)","plainCitation":"(Ahmaruzzaman, 2010)","noteIndex":0},"citationItems":[{"id":77,"uris":["http://zotero.org/users/8423188/items/PEE3JLJR"],"itemData":{"id":77,"type":"article-journal","abstract":"Fly ash, generated during the combustion of coal for energy production, is an industrial by-product which is recognized as an environmental pollutant. Because of the environmental problems presented by the ﬂy ash, considerable research has been undertaken on the subject worldwide. In this paper, the utilization of ﬂy ash in construction, as a low-cost adsorbent for the removal of organic compounds, ﬂue gas and metals, light weight aggregate, mine back ﬁll, road sub-base, and zeolite synthesis is discussed. A considerable amount of research has been conducted using ﬂy ash for adsorption of NOx, SOx, organic compounds, and mercury in air, dyes and other organic compounds in waters. It is found that ﬂy ash is a promising adsorbent for the removal of various pollutants. The adsorption capacity of ﬂy ash may be increased after chemical and physical activation. It was also found that ﬂy ash has good potential for use in the construction industry. The conversion of ﬂy ash into zeolites has many applications such as ion exchange, molecular sieves, and adsorbents. Converting ﬂy ash into zeolites not only alleviates the disposal problem but also converts a waste material into a marketable commodity. Investigations also revealed that the unburned carbon component in ﬂy ash plays an important role in its adsorption capacity. Future research in these areas is also discussed.","container-title":"Progress in Energy and Combustion Science","DOI":"10.1016/j.pecs.2009.11.003","ISSN":"03601285","issue":"3","journalAbbreviation":"Progress in Energy and Combustion Science","language":"en","page":"327-363","source":"DOI.org (Crossref)","title":"A review on the utilization of fly ash","volume":"36","author":[{"family":"Ahmaruzzaman","given":"M."}],"issued":{"date-parts":[["2010",6]]}}}],"schema":"https://github.com/citation-style-language/schema/raw/master/csl-citation.json"} </w:instrText>
      </w:r>
      <w:r w:rsidR="003379AD" w:rsidRPr="00770477">
        <w:rPr>
          <w:rFonts w:cs="Times New Roman"/>
        </w:rPr>
        <w:fldChar w:fldCharType="separate"/>
      </w:r>
      <w:r w:rsidR="00E11E17" w:rsidRPr="00770477">
        <w:rPr>
          <w:rFonts w:cs="Times New Roman"/>
        </w:rPr>
        <w:t>(Ahmaruzzaman, 2010)</w:t>
      </w:r>
      <w:r w:rsidR="003379AD" w:rsidRPr="00770477">
        <w:rPr>
          <w:rFonts w:cs="Times New Roman"/>
        </w:rPr>
        <w:fldChar w:fldCharType="end"/>
      </w:r>
      <w:r w:rsidR="006F64BC" w:rsidRPr="00770477">
        <w:rPr>
          <w:rFonts w:cs="Times New Roman"/>
        </w:rPr>
        <w:t xml:space="preserve">. </w:t>
      </w:r>
      <w:r w:rsidR="1D7D1109" w:rsidRPr="00770477">
        <w:rPr>
          <w:rFonts w:cs="Times New Roman"/>
        </w:rPr>
        <w:t>L</w:t>
      </w:r>
      <w:r w:rsidR="094C1707" w:rsidRPr="00770477">
        <w:rPr>
          <w:rFonts w:cs="Times New Roman"/>
        </w:rPr>
        <w:t xml:space="preserve">ow </w:t>
      </w:r>
      <w:r w:rsidR="4BA0BD71" w:rsidRPr="00770477">
        <w:rPr>
          <w:rFonts w:cs="Times New Roman"/>
        </w:rPr>
        <w:t>solution</w:t>
      </w:r>
      <w:r w:rsidR="001833A2" w:rsidRPr="00770477">
        <w:rPr>
          <w:rFonts w:cs="Times New Roman"/>
        </w:rPr>
        <w:t xml:space="preserve"> temperatures favored removal for exothermic reactions</w:t>
      </w:r>
      <w:r w:rsidR="004F3A94" w:rsidRPr="00770477">
        <w:rPr>
          <w:rFonts w:cs="Times New Roman"/>
        </w:rPr>
        <w:t>, however, high temperatures were found to generally be more favorabl</w:t>
      </w:r>
      <w:r w:rsidR="003D3EB0" w:rsidRPr="00770477">
        <w:rPr>
          <w:rFonts w:cs="Times New Roman"/>
        </w:rPr>
        <w:t>e indicating typically endothermic reactions</w:t>
      </w:r>
      <w:r w:rsidR="00345BF2" w:rsidRPr="00770477">
        <w:rPr>
          <w:rFonts w:cs="Times New Roman"/>
        </w:rPr>
        <w:t xml:space="preserve"> </w:t>
      </w:r>
      <w:r w:rsidR="00345BF2" w:rsidRPr="00770477">
        <w:rPr>
          <w:rFonts w:cs="Times New Roman"/>
        </w:rPr>
        <w:lastRenderedPageBreak/>
        <w:fldChar w:fldCharType="begin"/>
      </w:r>
      <w:r w:rsidR="002074AD">
        <w:rPr>
          <w:rFonts w:cs="Times New Roman"/>
        </w:rPr>
        <w:instrText xml:space="preserve"> ADDIN ZOTERO_ITEM CSL_CITATION {"citationID":"dtS65Lp1","properties":{"formattedCitation":"(Bayat, 2002a; G. Gupta &amp; Torres, 1998)","plainCitation":"(Bayat, 2002a; G. Gupta &amp; Torres, 1998)","noteIndex":0},"citationItems":[{"id":672,"uris":["http://zotero.org/users/8423188/items/U5UEU9Y2"],"itemData":{"id":672,"type":"article-journal","abstract":"The aim of this work is the investigation of possible use of ﬂy ash in the removal of zinc (Zn2+) and cadmium (Cd2+) contained in aqueous solutions. Batch adsorption experiments were performed in order to evaluate the removal efﬁciency of lignite-based ﬂy ash. The parameters studied include contact time, pH, temperature, initial concentration of the adsorbate and ﬂy ash dosage. The contact time necessary to attain equilibrium was found to be two hours. Maximum adsorption occurred in the pH range of 7.0 to 7.5. The percent adsorption of Zn2+ and Cd2+ increased with an increase in concentration of Zn2+ and Cd2+, dosage of ﬂy ash and temperature. The applicability of Langmuir isotherm suggests the formation of monolayer coverage Zn2+ and Cd2+ ions at the outer surface of the adsorbent. Thermodynamic parameters suggested the endothermic nature of the adsorption process. The ﬂy ash was found to be an metal adsorbent as effective as activated carbon.","container-title":"Water, Air and Soil Pollution","language":"en","page":"69-92","source":"Zotero","title":"Combined Removal of Zinc (II) and Cadmium (II) from Aqueous Solutions by Adsorption onto High-Calcium Turkish Fly Ash","volume":"136","author":[{"family":"Bayat","given":"Belgin"}],"issued":{"date-parts":[["2002",1]]}}},{"id":671,"uris":["http://zotero.org/users/8423188/items/S4E7P38U"],"itemData":{"id":671,"type":"article-journal","container-title":"Journal of Hazardous Materials","DOI":"10.1016/S0304-3894(97)00093-9","ISSN":"03043894","issue":"1-3","journalAbbreviation":"Journal of Hazardous Materials","language":"en","page":"243-248","source":"DOI.org (Crossref)","title":"Use of fly ash in reducing toxicity of and heavy metals in wastewater effluent","volume":"57","author":[{"family":"Gupta","given":"Gian"},{"family":"Torres","given":"Norca"}],"issued":{"date-parts":[["1998",1]]}}}],"schema":"https://github.com/citation-style-language/schema/raw/master/csl-citation.json"} </w:instrText>
      </w:r>
      <w:r w:rsidR="00345BF2" w:rsidRPr="00770477">
        <w:rPr>
          <w:rFonts w:cs="Times New Roman"/>
        </w:rPr>
        <w:fldChar w:fldCharType="separate"/>
      </w:r>
      <w:r w:rsidR="00E11E17" w:rsidRPr="00770477">
        <w:rPr>
          <w:rFonts w:cs="Times New Roman"/>
        </w:rPr>
        <w:t>(Bayat, 2002a; G. Gupta &amp; Torres, 1998)</w:t>
      </w:r>
      <w:r w:rsidR="00345BF2" w:rsidRPr="00770477">
        <w:rPr>
          <w:rFonts w:cs="Times New Roman"/>
        </w:rPr>
        <w:fldChar w:fldCharType="end"/>
      </w:r>
      <w:r w:rsidR="001833A2" w:rsidRPr="00770477">
        <w:rPr>
          <w:rFonts w:cs="Times New Roman"/>
        </w:rPr>
        <w:t>.</w:t>
      </w:r>
      <w:r w:rsidR="00554E00" w:rsidRPr="00770477">
        <w:rPr>
          <w:rFonts w:cs="Times New Roman"/>
        </w:rPr>
        <w:t xml:space="preserve"> </w:t>
      </w:r>
      <w:r w:rsidR="00244740" w:rsidRPr="00770477">
        <w:rPr>
          <w:rFonts w:cs="Times New Roman"/>
        </w:rPr>
        <w:t>Surface area of the fly ash itself</w:t>
      </w:r>
      <w:r w:rsidR="00DB6C5F" w:rsidRPr="00770477">
        <w:rPr>
          <w:rFonts w:cs="Times New Roman"/>
        </w:rPr>
        <w:t xml:space="preserve"> can also impact sorption</w:t>
      </w:r>
      <w:r w:rsidR="001910CA" w:rsidRPr="00770477">
        <w:rPr>
          <w:rFonts w:cs="Times New Roman"/>
        </w:rPr>
        <w:t xml:space="preserve"> with higher surface areas resulting in more </w:t>
      </w:r>
      <w:r w:rsidR="003379AD" w:rsidRPr="00770477">
        <w:rPr>
          <w:rFonts w:cs="Times New Roman"/>
        </w:rPr>
        <w:t>efficient</w:t>
      </w:r>
      <w:r w:rsidR="001910CA" w:rsidRPr="00770477">
        <w:rPr>
          <w:rFonts w:cs="Times New Roman"/>
        </w:rPr>
        <w:t xml:space="preserve"> removal </w:t>
      </w:r>
      <w:r w:rsidR="001910CA" w:rsidRPr="00770477">
        <w:rPr>
          <w:rFonts w:cs="Times New Roman"/>
        </w:rPr>
        <w:fldChar w:fldCharType="begin"/>
      </w:r>
      <w:r w:rsidR="002074AD">
        <w:rPr>
          <w:rFonts w:cs="Times New Roman"/>
        </w:rPr>
        <w:instrText xml:space="preserve"> ADDIN ZOTERO_ITEM CSL_CITATION {"citationID":"gfeOjIOl","properties":{"formattedCitation":"(Ahmaruzzaman, 2010)","plainCitation":"(Ahmaruzzaman, 2010)","noteIndex":0},"citationItems":[{"id":77,"uris":["http://zotero.org/users/8423188/items/PEE3JLJR"],"itemData":{"id":77,"type":"article-journal","abstract":"Fly ash, generated during the combustion of coal for energy production, is an industrial by-product which is recognized as an environmental pollutant. Because of the environmental problems presented by the ﬂy ash, considerable research has been undertaken on the subject worldwide. In this paper, the utilization of ﬂy ash in construction, as a low-cost adsorbent for the removal of organic compounds, ﬂue gas and metals, light weight aggregate, mine back ﬁll, road sub-base, and zeolite synthesis is discussed. A considerable amount of research has been conducted using ﬂy ash for adsorption of NOx, SOx, organic compounds, and mercury in air, dyes and other organic compounds in waters. It is found that ﬂy ash is a promising adsorbent for the removal of various pollutants. The adsorption capacity of ﬂy ash may be increased after chemical and physical activation. It was also found that ﬂy ash has good potential for use in the construction industry. The conversion of ﬂy ash into zeolites has many applications such as ion exchange, molecular sieves, and adsorbents. Converting ﬂy ash into zeolites not only alleviates the disposal problem but also converts a waste material into a marketable commodity. Investigations also revealed that the unburned carbon component in ﬂy ash plays an important role in its adsorption capacity. Future research in these areas is also discussed.","container-title":"Progress in Energy and Combustion Science","DOI":"10.1016/j.pecs.2009.11.003","ISSN":"03601285","issue":"3","journalAbbreviation":"Progress in Energy and Combustion Science","language":"en","page":"327-363","source":"DOI.org (Crossref)","title":"A review on the utilization of fly ash","volume":"36","author":[{"family":"Ahmaruzzaman","given":"M."}],"issued":{"date-parts":[["2010",6]]}}}],"schema":"https://github.com/citation-style-language/schema/raw/master/csl-citation.json"} </w:instrText>
      </w:r>
      <w:r w:rsidR="001910CA" w:rsidRPr="00770477">
        <w:rPr>
          <w:rFonts w:cs="Times New Roman"/>
        </w:rPr>
        <w:fldChar w:fldCharType="separate"/>
      </w:r>
      <w:r w:rsidR="00E11E17" w:rsidRPr="00770477">
        <w:rPr>
          <w:rFonts w:cs="Times New Roman"/>
        </w:rPr>
        <w:t>(Ahmaruzzaman, 2010)</w:t>
      </w:r>
      <w:r w:rsidR="001910CA" w:rsidRPr="00770477">
        <w:rPr>
          <w:rFonts w:cs="Times New Roman"/>
        </w:rPr>
        <w:fldChar w:fldCharType="end"/>
      </w:r>
      <w:r w:rsidR="00494717" w:rsidRPr="00770477">
        <w:rPr>
          <w:rFonts w:cs="Times New Roman"/>
        </w:rPr>
        <w:t xml:space="preserve">. </w:t>
      </w:r>
      <w:r w:rsidR="003379AD" w:rsidRPr="00770477">
        <w:rPr>
          <w:rFonts w:cs="Times New Roman"/>
        </w:rPr>
        <w:t>This surface area will</w:t>
      </w:r>
      <w:r w:rsidR="00D132D1" w:rsidRPr="00770477">
        <w:rPr>
          <w:rFonts w:cs="Times New Roman"/>
        </w:rPr>
        <w:t xml:space="preserve"> impact k</w:t>
      </w:r>
      <w:r w:rsidR="00554E00" w:rsidRPr="00770477">
        <w:rPr>
          <w:rFonts w:cs="Times New Roman"/>
        </w:rPr>
        <w:t>inetics</w:t>
      </w:r>
      <w:r w:rsidR="00D132D1" w:rsidRPr="00770477">
        <w:rPr>
          <w:rFonts w:cs="Times New Roman"/>
        </w:rPr>
        <w:t xml:space="preserve"> which</w:t>
      </w:r>
      <w:r w:rsidR="00554E00" w:rsidRPr="00770477">
        <w:rPr>
          <w:rFonts w:cs="Times New Roman"/>
        </w:rPr>
        <w:t xml:space="preserve"> were </w:t>
      </w:r>
      <w:r w:rsidR="00D132D1" w:rsidRPr="00770477">
        <w:rPr>
          <w:rFonts w:cs="Times New Roman"/>
        </w:rPr>
        <w:t xml:space="preserve">found to </w:t>
      </w:r>
      <w:r w:rsidR="00554E00" w:rsidRPr="00770477">
        <w:rPr>
          <w:rFonts w:cs="Times New Roman"/>
        </w:rPr>
        <w:t>largely</w:t>
      </w:r>
      <w:r w:rsidR="00D132D1" w:rsidRPr="00770477">
        <w:rPr>
          <w:rFonts w:cs="Times New Roman"/>
        </w:rPr>
        <w:t xml:space="preserve"> be</w:t>
      </w:r>
      <w:r w:rsidR="00554E00" w:rsidRPr="00770477">
        <w:rPr>
          <w:rFonts w:cs="Times New Roman"/>
        </w:rPr>
        <w:t xml:space="preserve"> first order with mechanisms such as </w:t>
      </w:r>
      <w:r w:rsidR="00422845" w:rsidRPr="00770477">
        <w:rPr>
          <w:rFonts w:cs="Times New Roman"/>
        </w:rPr>
        <w:t xml:space="preserve">intraparticle transport </w:t>
      </w:r>
      <w:r w:rsidR="00422845" w:rsidRPr="00770477">
        <w:rPr>
          <w:rFonts w:cs="Times New Roman"/>
        </w:rPr>
        <w:fldChar w:fldCharType="begin"/>
      </w:r>
      <w:r w:rsidR="002074AD">
        <w:rPr>
          <w:rFonts w:cs="Times New Roman"/>
        </w:rPr>
        <w:instrText xml:space="preserve"> ADDIN ZOTERO_ITEM CSL_CITATION {"citationID":"rzmF9g3d","properties":{"formattedCitation":"(Yadava et al., 1987)","plainCitation":"(Yadava et al., 1987)","noteIndex":0},"citationItems":[{"id":679,"uris":["http://zotero.org/users/8423188/items/LV7BNUVU"],"itemData":{"id":679,"type":"article-journal","container-title":"Environmental Technology Letters","DOI":"10.1080/09593338709384482","ISSN":"0143-2060","issue":"1-12","journalAbbreviation":"Environmental Technology Letters","language":"en","page":"225-234","source":"DOI.org (Crossref)","title":"Fly ash for the treatment of Cd(II) rich effluents","volume":"8","author":[{"family":"Yadava","given":"K.P."},{"family":"Tyagi","given":"B.S."},{"family":"Panday","given":"K.K."},{"family":"Singh","given":"V.N."}],"issued":{"date-parts":[["1987",1]]}}}],"schema":"https://github.com/citation-style-language/schema/raw/master/csl-citation.json"} </w:instrText>
      </w:r>
      <w:r w:rsidR="00422845" w:rsidRPr="00770477">
        <w:rPr>
          <w:rFonts w:cs="Times New Roman"/>
        </w:rPr>
        <w:fldChar w:fldCharType="separate"/>
      </w:r>
      <w:r w:rsidR="00E11E17" w:rsidRPr="00770477">
        <w:rPr>
          <w:rFonts w:cs="Times New Roman"/>
        </w:rPr>
        <w:t>(Yadava et al., 1987)</w:t>
      </w:r>
      <w:r w:rsidR="00422845" w:rsidRPr="00770477">
        <w:rPr>
          <w:rFonts w:cs="Times New Roman"/>
        </w:rPr>
        <w:fldChar w:fldCharType="end"/>
      </w:r>
      <w:r w:rsidR="0094769A" w:rsidRPr="00770477">
        <w:rPr>
          <w:rFonts w:cs="Times New Roman"/>
        </w:rPr>
        <w:t xml:space="preserve"> or</w:t>
      </w:r>
      <w:r w:rsidR="00422845" w:rsidRPr="00770477">
        <w:rPr>
          <w:rFonts w:cs="Times New Roman"/>
        </w:rPr>
        <w:t xml:space="preserve"> </w:t>
      </w:r>
      <w:r w:rsidR="000B2295" w:rsidRPr="00770477">
        <w:rPr>
          <w:rFonts w:cs="Times New Roman"/>
        </w:rPr>
        <w:t xml:space="preserve">diffusion </w:t>
      </w:r>
      <w:r w:rsidR="000B2295" w:rsidRPr="00770477">
        <w:rPr>
          <w:rFonts w:cs="Times New Roman"/>
        </w:rPr>
        <w:fldChar w:fldCharType="begin"/>
      </w:r>
      <w:r w:rsidR="002074AD">
        <w:rPr>
          <w:rFonts w:cs="Times New Roman"/>
        </w:rPr>
        <w:instrText xml:space="preserve"> ADDIN ZOTERO_ITEM CSL_CITATION {"citationID":"5MEQRzni","properties":{"formattedCitation":"(Lin &amp; Chang, 2001)","plainCitation":"(Lin &amp; Chang, 2001)","noteIndex":0},"citationItems":[{"id":676,"uris":["http://zotero.org/users/8423188/items/4S6UUC7R"],"itemData":{"id":676,"type":"article-journal","container-title":"Chemosphere","DOI":"10.1016/S0045-6535(00)00494-X","ISSN":"00456535","issue":"5","journalAbbreviation":"Chemosphere","language":"en","page":"1185-1192","source":"DOI.org (Crossref)","title":"Effect of fly ash characteristics on the removal of Cu(II) from aqueous solution","volume":"44","author":[{"family":"Lin","given":"Chien-Jung"},{"family":"Chang","given":"Juu-En"}],"issued":{"date-parts":[["2001",8]]}}}],"schema":"https://github.com/citation-style-language/schema/raw/master/csl-citation.json"} </w:instrText>
      </w:r>
      <w:r w:rsidR="000B2295" w:rsidRPr="00770477">
        <w:rPr>
          <w:rFonts w:cs="Times New Roman"/>
        </w:rPr>
        <w:fldChar w:fldCharType="separate"/>
      </w:r>
      <w:r w:rsidR="00E11E17" w:rsidRPr="00770477">
        <w:rPr>
          <w:rFonts w:cs="Times New Roman"/>
        </w:rPr>
        <w:t>(Lin &amp; Chang, 2001)</w:t>
      </w:r>
      <w:r w:rsidR="000B2295" w:rsidRPr="00770477">
        <w:rPr>
          <w:rFonts w:cs="Times New Roman"/>
        </w:rPr>
        <w:fldChar w:fldCharType="end"/>
      </w:r>
      <w:r w:rsidR="00D132D1" w:rsidRPr="00770477">
        <w:rPr>
          <w:rFonts w:cs="Times New Roman"/>
        </w:rPr>
        <w:t xml:space="preserve"> the limiting factors</w:t>
      </w:r>
      <w:r w:rsidR="0094769A" w:rsidRPr="00770477">
        <w:rPr>
          <w:rFonts w:cs="Times New Roman"/>
        </w:rPr>
        <w:t xml:space="preserve">. </w:t>
      </w:r>
      <w:r w:rsidR="00C634AB" w:rsidRPr="00770477">
        <w:rPr>
          <w:rFonts w:cs="Times New Roman"/>
        </w:rPr>
        <w:t>As shown in</w:t>
      </w:r>
      <w:r w:rsidR="00061096">
        <w:rPr>
          <w:rFonts w:cs="Times New Roman"/>
        </w:rPr>
        <w:t xml:space="preserve"> </w:t>
      </w:r>
      <w:r w:rsidR="00061096">
        <w:rPr>
          <w:rFonts w:cs="Times New Roman"/>
        </w:rPr>
        <w:fldChar w:fldCharType="begin"/>
      </w:r>
      <w:r w:rsidR="00061096">
        <w:rPr>
          <w:rFonts w:cs="Times New Roman"/>
        </w:rPr>
        <w:instrText xml:space="preserve"> REF _Ref121497216 \h </w:instrText>
      </w:r>
      <w:r w:rsidR="00061096">
        <w:rPr>
          <w:rFonts w:cs="Times New Roman"/>
        </w:rPr>
      </w:r>
      <w:r w:rsidR="00061096">
        <w:rPr>
          <w:rFonts w:cs="Times New Roman"/>
        </w:rPr>
        <w:fldChar w:fldCharType="separate"/>
      </w:r>
      <w:r w:rsidR="00061096">
        <w:t xml:space="preserve">Table </w:t>
      </w:r>
      <w:r w:rsidR="00061096">
        <w:rPr>
          <w:noProof/>
        </w:rPr>
        <w:t>1</w:t>
      </w:r>
      <w:r w:rsidR="00061096">
        <w:noBreakHyphen/>
      </w:r>
      <w:r w:rsidR="00061096">
        <w:rPr>
          <w:noProof/>
        </w:rPr>
        <w:t>5</w:t>
      </w:r>
      <w:r w:rsidR="00061096">
        <w:rPr>
          <w:rFonts w:cs="Times New Roman"/>
        </w:rPr>
        <w:fldChar w:fldCharType="end"/>
      </w:r>
      <w:r w:rsidR="00C634AB" w:rsidRPr="00770477">
        <w:rPr>
          <w:rFonts w:cs="Times New Roman"/>
        </w:rPr>
        <w:t xml:space="preserve">, fly ash has been studied to be effective in the removal of </w:t>
      </w:r>
      <w:r w:rsidR="009E21D7" w:rsidRPr="00770477">
        <w:rPr>
          <w:rFonts w:cs="Times New Roman"/>
        </w:rPr>
        <w:t xml:space="preserve">Cd(II) </w:t>
      </w:r>
      <w:r w:rsidR="009E21D7" w:rsidRPr="00770477">
        <w:rPr>
          <w:rFonts w:cs="Times New Roman"/>
        </w:rPr>
        <w:fldChar w:fldCharType="begin"/>
      </w:r>
      <w:r w:rsidR="002074AD">
        <w:rPr>
          <w:rFonts w:cs="Times New Roman"/>
        </w:rPr>
        <w:instrText xml:space="preserve"> ADDIN ZOTERO_ITEM CSL_CITATION {"citationID":"Yfbzxazs","properties":{"formattedCitation":"(Apak et al., 1998; Ayala et al., 1998; Bayat, 2002a, 2002b; V. K. Gupta et al., 2003)","plainCitation":"(Apak et al., 1998; Ayala et al., 1998; Bayat, 2002a, 2002b; V. K. Gupta et al., 2003)","noteIndex":0},"citationItems":[{"id":681,"uris":["http://zotero.org/users/8423188/items/8P7SBUYM"],"itemData":{"id":681,"type":"article-journal","container-title":"Water Research","DOI":"10.1016/S0043-1354(97)00204-2","ISSN":"00431354","issue":"2","journalAbbreviation":"Water Research","language":"en","page":"430-440","source":"DOI.org (Crossref)","title":"Heavy metal cation retention by unconventional sorbents (red muds and fly ashes)","volume":"32","author":[{"family":"Apak","given":"Reşat"},{"family":"Tütem","given":"Esma"},{"family":"Hügül","given":"Mehmet"},{"family":"Hizal","given":"Jülide"}],"issued":{"date-parts":[["1998",2]]}}},{"id":673,"uris":["http://zotero.org/users/8423188/items/ZQG4XPRJ"],"itemData":{"id":673,"type":"article-journal","container-title":"Fuel","DOI":"10.1016/S0016-2361(98)00027-1","ISSN":"00162361","issue":"11","journalAbbreviation":"Fuel","language":"en","page":"1147-1154","source":"DOI.org (Crossref)","title":"Asturian fly ash as a heavy metals removal material","volume":"77","author":[{"family":"Ayala","given":"Julia"},{"family":"Blanco","given":"Francisco"},{"family":"García","given":"Purificación"},{"family":"Rodriguez","given":"Penelope"},{"family":"Sancho","given":"José"}],"issued":{"date-parts":[["1998",9]]}}},{"id":672,"uris":["http://zotero.org/users/8423188/items/U5UEU9Y2"],"itemData":{"id":672,"type":"article-journal","abstract":"The aim of this work is the investigation of possible use of ﬂy ash in the removal of zinc (Zn2+) and cadmium (Cd2+) contained in aqueous solutions. Batch adsorption experiments were performed in order to evaluate the removal efﬁciency of lignite-based ﬂy ash. The parameters studied include contact time, pH, temperature, initial concentration of the adsorbate and ﬂy ash dosage. The contact time necessary to attain equilibrium was found to be two hours. Maximum adsorption occurred in the pH range of 7.0 to 7.5. The percent adsorption of Zn2+ and Cd2+ increased with an increase in concentration of Zn2+ and Cd2+, dosage of ﬂy ash and temperature. The applicability of Langmuir isotherm suggests the formation of monolayer coverage Zn2+ and Cd2+ ions at the outer surface of the adsorbent. Thermodynamic parameters suggested the endothermic nature of the adsorption process. The ﬂy ash was found to be an metal adsorbent as effective as activated carbon.","container-title":"Water, Air and Soil Pollution","language":"en","page":"69-92","source":"Zotero","title":"Combined Removal of Zinc (II) and Cadmium (II) from Aqueous Solutions by Adsorption onto High-Calcium Turkish Fly Ash","volume":"136","author":[{"family":"Bayat","given":"Belgin"}],"issued":{"date-parts":[["2002",1]]}}},{"id":680,"uris":["http://zotero.org/users/8423188/items/RQX89T3T"],"itemData":{"id":680,"type":"article-journal","container-title":"Journal of Hazardous Materials","DOI":"10.1016/S0304-3894(02)00141-3","ISSN":"03043894","issue":"3","journalAbbreviation":"Journal of Hazardous Materials","language":"en","page":"275-290","source":"DOI.org (Crossref)","title":"Comparative study of adsorption properties of Turkish fly ashes","volume":"95","author":[{"family":"Bayat","given":"Belgin"}],"issued":{"date-parts":[["2002",12]]}}},{"id":666,"uris":["http://zotero.org/users/8423188/items/H4PN2JFD"],"itemData":{"id":666,"type":"article-journal","container-title":"Water Research","DOI":"10.1016/S0043-1354(03)00292-6","ISSN":"00431354","issue":"16","journalAbbreviation":"Water Research","language":"en","page":"4038-4044","source":"DOI.org (Crossref)","title":"Removal of cadmium and nickel from wastewater using bagasse fly ash—a sugar industry waste","volume":"37","author":[{"family":"Gupta","given":"Vinod K."},{"family":"Jain","given":"C.K."},{"family":"Ali","given":"Imran"},{"family":"Sharma","given":"M."},{"family":"Saini","given":"V.K."}],"issued":{"date-parts":[["2003",9]]}}}],"schema":"https://github.com/citation-style-language/schema/raw/master/csl-citation.json"} </w:instrText>
      </w:r>
      <w:r w:rsidR="009E21D7" w:rsidRPr="00770477">
        <w:rPr>
          <w:rFonts w:cs="Times New Roman"/>
        </w:rPr>
        <w:fldChar w:fldCharType="separate"/>
      </w:r>
      <w:r w:rsidR="00E11E17" w:rsidRPr="00770477">
        <w:rPr>
          <w:rFonts w:cs="Times New Roman"/>
        </w:rPr>
        <w:t>(Apak et al., 1998; Ayala et al., 1998; Bayat, 2002a, 2002b; V. K. Gupta et al., 2003)</w:t>
      </w:r>
      <w:r w:rsidR="009E21D7" w:rsidRPr="00770477">
        <w:rPr>
          <w:rFonts w:cs="Times New Roman"/>
        </w:rPr>
        <w:fldChar w:fldCharType="end"/>
      </w:r>
      <w:r w:rsidR="00BD01F6" w:rsidRPr="00770477">
        <w:rPr>
          <w:rFonts w:cs="Times New Roman"/>
        </w:rPr>
        <w:t xml:space="preserve">, Cu(II) </w:t>
      </w:r>
      <w:r w:rsidR="00BD01F6" w:rsidRPr="00770477">
        <w:rPr>
          <w:rFonts w:cs="Times New Roman"/>
        </w:rPr>
        <w:fldChar w:fldCharType="begin"/>
      </w:r>
      <w:r w:rsidR="002074AD">
        <w:rPr>
          <w:rFonts w:cs="Times New Roman"/>
        </w:rPr>
        <w:instrText xml:space="preserve"> ADDIN ZOTERO_ITEM CSL_CITATION {"citationID":"Lc5KQmAq","properties":{"formattedCitation":"(Apak et al., 1998; Ayala et al., 1998; V. K. Gupta &amp; Ali, 2000; V. K. Gupta &amp; Sharma, 2003; Hsu et al., 2008; Lin &amp; Chang, 2001; Rao et al., 2003; S. Wang et al., 2008)","plainCitation":"(Apak et al., 1998; Ayala et al., 1998; V. K. Gupta &amp; Ali, 2000; V. K. Gupta &amp; Sharma, 2003; Hsu et al., 2008; Lin &amp; Chang, 2001; Rao et al., 2003; S. Wang et al., 2008)","noteIndex":0},"citationItems":[{"id":681,"uris":["http://zotero.org/users/8423188/items/8P7SBUYM"],"itemData":{"id":681,"type":"article-journal","container-title":"Water Research","DOI":"10.1016/S0043-1354(97)00204-2","ISSN":"00431354","issue":"2","journalAbbreviation":"Water Research","language":"en","page":"430-440","source":"DOI.org (Crossref)","title":"Heavy metal cation retention by unconventional sorbents (red muds and fly ashes)","volume":"32","author":[{"family":"Apak","given":"Reşat"},{"family":"Tütem","given":"Esma"},{"family":"Hügül","given":"Mehmet"},{"family":"Hizal","given":"Jülide"}],"issued":{"date-parts":[["1998",2]]}}},{"id":673,"uris":["http://zotero.org/users/8423188/items/ZQG4XPRJ"],"itemData":{"id":673,"type":"article-journal","container-title":"Fuel","DOI":"10.1016/S0016-2361(98)00027-1","ISSN":"00162361","issue":"11","journalAbbreviation":"Fuel","language":"en","page":"1147-1154","source":"DOI.org (Crossref)","title":"Asturian fly ash as a heavy metals removal material","volume":"77","author":[{"family":"Ayala","given":"Julia"},{"family":"Blanco","given":"Francisco"},{"family":"García","given":"Purificación"},{"family":"Rodriguez","given":"Penelope"},{"family":"Sancho","given":"José"}],"issued":{"date-parts":[["1998",9]]}}},{"id":668,"uris":["http://zotero.org/users/8423188/items/X8XGLQ48"],"itemData":{"id":668,"type":"article-journal","container-title":"Separation and Purification Technology","DOI":"10.1016/S1383-5866(99)00058-1","ISSN":"13835866","issue":"2","journalAbbreviation":"Separation and Purification Technology","language":"en","page":"131-140","source":"DOI.org (Crossref)","title":"Utilisation of bagasse fly ash (a sugar industry waste) for the removal of copper and zinc from wastewater","volume":"18","author":[{"family":"Gupta","given":"Vinod K."},{"family":"Ali","given":"Imran"}],"issued":{"date-parts":[["2000",3]]}}},{"id":667,"uris":["http://zotero.org/users/8423188/items/VNXC8IQ4"],"itemData":{"id":667,"type":"article-journal","container-title":"Industrial &amp; Engineering Chemistry Research","DOI":"10.1021/ie0303146","ISSN":"0888-5885, 1520-5045","issue":"25","journalAbbreviation":"Ind. Eng. Chem. Res.","language":"en","page":"6619-6624","source":"DOI.org (Crossref)","title":"Removal of Zinc from Aqueous Solutions Using Bagasse Fly Ash − a Low Cost Adsorbent","volume":"42","author":[{"family":"Gupta","given":"Vinod K."},{"family":"Sharma","given":"Saurabh"}],"issued":{"date-parts":[["2003",12,1]]}}},{"id":675,"uris":["http://zotero.org/users/8423188/items/DNXKSMZZ"],"itemData":{"id":675,"type":"article-journal","container-title":"Fuel","DOI":"10.1016/j.fuel.2007.05.055","ISSN":"00162361","issue":"7","journalAbbreviation":"Fuel","language":"en","page":"1355-1359","source":"DOI.org (Crossref)","title":"Adsorption of Cu2+ from water using raw and modified coal fly ashes","volume":"87","author":[{"family":"Hsu","given":"Ting-Chu"},{"family":"Yu","given":"Chung-Chin"},{"family":"Yeh","given":"Chin-Ming"}],"issued":{"date-parts":[["2008",6]]}}},{"id":676,"uris":["http://zotero.org/users/8423188/items/4S6UUC7R"],"itemData":{"id":676,"type":"article-journal","container-title":"Chemosphere","DOI":"10.1016/S0045-6535(00)00494-X","ISSN":"00456535","issue":"5","journalAbbreviation":"Chemosphere","language":"en","page":"1185-1192","source":"DOI.org (Crossref)","title":"Effect of fly ash characteristics on the removal of Cu(II) from aqueous solution","volume":"44","author":[{"family":"Lin","given":"Chien-Jung"},{"family":"Chang","given":"Juu-En"}],"issued":{"date-parts":[["2001",8]]}}},{"id":661,"uris":["http://zotero.org/users/8423188/items/WKXYX3XE"],"itemData":{"id":661,"type":"article-journal","container-title":"Journal of Water Supply: Research and Technology-Aqua","DOI":"10.2166/aqua.2003.0005","ISSN":"0003-7214, 1605-3974","issue":"1","language":"en","page":"49-58","source":"DOI.org (Crossref)","title":"Performance of low-cost adsorbents for the removal of copper and lead","volume":"52","author":[{"family":"Rao","given":"M."},{"family":"Parwate","given":"A. V."},{"family":"Kadu","given":"P. A."},{"family":"Bhole","given":"A. G."}],"issued":{"date-parts":[["2003",2]]}}},{"id":674,"uris":["http://zotero.org/users/8423188/items/BJ4R2TNP"],"itemData":{"id":674,"type":"article-journal","container-title":"Separation and Purification Technology","DOI":"10.1016/j.seppur.2007.05.009","ISSN":"13835866","issue":"3","journalAbbreviation":"Separation and Purification Technology","language":"en","page":"353-358","source":"DOI.org (Crossref)","title":"Single and co-adsorption of heavy metals and humic acid on fly ash","volume":"58","author":[{"family":"Wang","given":"Shaobin"},{"family":"Terdkiatburana","given":"T."},{"family":"Tadé","given":"M.O."}],"issued":{"date-parts":[["2008",1]]}}}],"schema":"https://github.com/citation-style-language/schema/raw/master/csl-citation.json"} </w:instrText>
      </w:r>
      <w:r w:rsidR="00BD01F6" w:rsidRPr="00770477">
        <w:rPr>
          <w:rFonts w:cs="Times New Roman"/>
        </w:rPr>
        <w:fldChar w:fldCharType="separate"/>
      </w:r>
      <w:r w:rsidR="00E11E17" w:rsidRPr="00770477">
        <w:rPr>
          <w:rFonts w:cs="Times New Roman"/>
        </w:rPr>
        <w:t>(Apak et al., 1998; Ayala et al., 1998; V. K. Gupta &amp; Ali, 2000; V. K. Gupta &amp; Sharma, 2003; Hsu et al., 2008; Lin &amp; Chang, 2001; Rao et al., 2003; S. Wang et al., 2008)</w:t>
      </w:r>
      <w:r w:rsidR="00BD01F6" w:rsidRPr="00770477">
        <w:rPr>
          <w:rFonts w:cs="Times New Roman"/>
        </w:rPr>
        <w:fldChar w:fldCharType="end"/>
      </w:r>
      <w:r w:rsidR="00AA731E" w:rsidRPr="00770477">
        <w:rPr>
          <w:rFonts w:cs="Times New Roman"/>
        </w:rPr>
        <w:t xml:space="preserve">, </w:t>
      </w:r>
      <w:r w:rsidR="00AD7EE8" w:rsidRPr="00770477">
        <w:rPr>
          <w:rFonts w:cs="Times New Roman"/>
        </w:rPr>
        <w:t xml:space="preserve">Pb(II) </w:t>
      </w:r>
      <w:r w:rsidR="00AD7EE8" w:rsidRPr="00770477">
        <w:rPr>
          <w:rFonts w:cs="Times New Roman"/>
        </w:rPr>
        <w:fldChar w:fldCharType="begin"/>
      </w:r>
      <w:r w:rsidR="002074AD">
        <w:rPr>
          <w:rFonts w:cs="Times New Roman"/>
        </w:rPr>
        <w:instrText xml:space="preserve"> ADDIN ZOTERO_ITEM CSL_CITATION {"citationID":"wCLoGAZw","properties":{"formattedCitation":"(Apak et al., 1998; G. Gupta &amp; Torres, 1998; Rao et al., 2003; Rio et al., 2002; S. Wang et al., 2008)","plainCitation":"(Apak et al., 1998; G. Gupta &amp; Torres, 1998; Rao et al., 2003; Rio et al., 2002; S. Wang et al., 2008)","noteIndex":0},"citationItems":[{"id":681,"uris":["http://zotero.org/users/8423188/items/8P7SBUYM"],"itemData":{"id":681,"type":"article-journal","container-title":"Water Research","DOI":"10.1016/S0043-1354(97)00204-2","ISSN":"00431354","issue":"2","journalAbbreviation":"Water Research","language":"en","page":"430-440","source":"DOI.org (Crossref)","title":"Heavy metal cation retention by unconventional sorbents (red muds and fly ashes)","volume":"32","author":[{"family":"Apak","given":"Reşat"},{"family":"Tütem","given":"Esma"},{"family":"Hügül","given":"Mehmet"},{"family":"Hizal","given":"Jülide"}],"issued":{"date-parts":[["1998",2]]}}},{"id":671,"uris":["http://zotero.org/users/8423188/items/S4E7P38U"],"itemData":{"id":671,"type":"article-journal","container-title":"Journal of Hazardous Materials","DOI":"10.1016/S0304-3894(97)00093-9","ISSN":"03043894","issue":"1-3","journalAbbreviation":"Journal of Hazardous Materials","language":"en","page":"243-248","source":"DOI.org (Crossref)","title":"Use of fly ash in reducing toxicity of and heavy metals in wastewater effluent","volume":"57","author":[{"family":"Gupta","given":"Gian"},{"family":"Torres","given":"Norca"}],"issued":{"date-parts":[["1998",1]]}}},{"id":661,"uris":["http://zotero.org/users/8423188/items/WKXYX3XE"],"itemData":{"id":661,"type":"article-journal","container-title":"Journal of Water Supply: Research and Technology-Aqua","DOI":"10.2166/aqua.2003.0005","ISSN":"0003-7214, 1605-3974","issue":"1","language":"en","page":"49-58","source":"DOI.org (Crossref)","title":"Performance of low-cost adsorbents for the removal of copper and lead","volume":"52","author":[{"family":"Rao","given":"M."},{"family":"Parwate","given":"A. V."},{"family":"Kadu","given":"P. A."},{"family":"Bhole","given":"A. G."}],"issued":{"date-parts":[["2003",2]]}}},{"id":670,"uris":["http://zotero.org/users/8423188/items/GS52TV7S"],"itemData":{"id":670,"type":"article-journal","container-title":"Journal of Chemical Technology &amp; Biotechnology","DOI":"10.1002/jctb.573","ISSN":"02682575","issue":"3","journalAbbreviation":"J. Chem. Technol. Biotechnol.","language":"en","page":"382-388","source":"DOI.org (Crossref)","title":"Metallic ion removal from aqueous solutions by fly ashes: multicomponent studies: Metallic ion removal from aqueous solutions by fly ashes","title-short":"Metallic ion removal from aqueous solutions by fly ashes","volume":"77","author":[{"family":"Rio","given":"Sébastien"},{"family":"Delebarre","given":"Arnaud"},{"family":"Héquet","given":"Valérie"},{"family":"Cloirec","given":"Pierre Le"},{"family":"Blondin","given":"Jacques"}],"issued":{"date-parts":[["2002",3]]}}},{"id":674,"uris":["http://zotero.org/users/8423188/items/BJ4R2TNP"],"itemData":{"id":674,"type":"article-journal","container-title":"Separation and Purification Technology","DOI":"10.1016/j.seppur.2007.05.009","ISSN":"13835866","issue":"3","journalAbbreviation":"Separation and Purification Technology","language":"en","page":"353-358","source":"DOI.org (Crossref)","title":"Single and co-adsorption of heavy metals and humic acid on fly ash","volume":"58","author":[{"family":"Wang","given":"Shaobin"},{"family":"Terdkiatburana","given":"T."},{"family":"Tadé","given":"M.O."}],"issued":{"date-parts":[["2008",1]]}}}],"schema":"https://github.com/citation-style-language/schema/raw/master/csl-citation.json"} </w:instrText>
      </w:r>
      <w:r w:rsidR="00AD7EE8" w:rsidRPr="00770477">
        <w:rPr>
          <w:rFonts w:cs="Times New Roman"/>
        </w:rPr>
        <w:fldChar w:fldCharType="separate"/>
      </w:r>
      <w:r w:rsidR="00E11E17" w:rsidRPr="00770477">
        <w:rPr>
          <w:rFonts w:cs="Times New Roman"/>
        </w:rPr>
        <w:t>(Apak et al., 1998; G. Gupta &amp; Torres, 1998; Rao et al., 2003; Rio et al., 2002; S. Wang et al., 2008)</w:t>
      </w:r>
      <w:r w:rsidR="00AD7EE8" w:rsidRPr="00770477">
        <w:rPr>
          <w:rFonts w:cs="Times New Roman"/>
        </w:rPr>
        <w:fldChar w:fldCharType="end"/>
      </w:r>
      <w:r w:rsidR="00C951DD" w:rsidRPr="00770477">
        <w:rPr>
          <w:rFonts w:cs="Times New Roman"/>
        </w:rPr>
        <w:t>, Zn(II)</w:t>
      </w:r>
      <w:r w:rsidR="00EC3852" w:rsidRPr="00770477">
        <w:rPr>
          <w:rFonts w:cs="Times New Roman"/>
        </w:rPr>
        <w:t xml:space="preserve"> </w:t>
      </w:r>
      <w:r w:rsidR="00EC3852" w:rsidRPr="00770477">
        <w:rPr>
          <w:rFonts w:cs="Times New Roman"/>
        </w:rPr>
        <w:fldChar w:fldCharType="begin"/>
      </w:r>
      <w:r w:rsidR="002074AD">
        <w:rPr>
          <w:rFonts w:cs="Times New Roman"/>
        </w:rPr>
        <w:instrText xml:space="preserve"> ADDIN ZOTERO_ITEM CSL_CITATION {"citationID":"hNfFZ4Cw","properties":{"formattedCitation":"(Bayat, 2002a; V. K. Gupta &amp; Ali, 2000; V. K. Gupta &amp; Sharma, 2003; Rio et al., 2002)","plainCitation":"(Bayat, 2002a; V. K. Gupta &amp; Ali, 2000; V. K. Gupta &amp; Sharma, 2003; Rio et al., 2002)","noteIndex":0},"citationItems":[{"id":672,"uris":["http://zotero.org/users/8423188/items/U5UEU9Y2"],"itemData":{"id":672,"type":"article-journal","abstract":"The aim of this work is the investigation of possible use of ﬂy ash in the removal of zinc (Zn2+) and cadmium (Cd2+) contained in aqueous solutions. Batch adsorption experiments were performed in order to evaluate the removal efﬁciency of lignite-based ﬂy ash. The parameters studied include contact time, pH, temperature, initial concentration of the adsorbate and ﬂy ash dosage. The contact time necessary to attain equilibrium was found to be two hours. Maximum adsorption occurred in the pH range of 7.0 to 7.5. The percent adsorption of Zn2+ and Cd2+ increased with an increase in concentration of Zn2+ and Cd2+, dosage of ﬂy ash and temperature. The applicability of Langmuir isotherm suggests the formation of monolayer coverage Zn2+ and Cd2+ ions at the outer surface of the adsorbent. Thermodynamic parameters suggested the endothermic nature of the adsorption process. The ﬂy ash was found to be an metal adsorbent as effective as activated carbon.","container-title":"Water, Air and Soil Pollution","language":"en","page":"69-92","source":"Zotero","title":"Combined Removal of Zinc (II) and Cadmium (II) from Aqueous Solutions by Adsorption onto High-Calcium Turkish Fly Ash","volume":"136","author":[{"family":"Bayat","given":"Belgin"}],"issued":{"date-parts":[["2002",1]]}}},{"id":668,"uris":["http://zotero.org/users/8423188/items/X8XGLQ48"],"itemData":{"id":668,"type":"article-journal","container-title":"Separation and Purification Technology","DOI":"10.1016/S1383-5866(99)00058-1","ISSN":"13835866","issue":"2","journalAbbreviation":"Separation and Purification Technology","language":"en","page":"131-140","source":"DOI.org (Crossref)","title":"Utilisation of bagasse fly ash (a sugar industry waste) for the removal of copper and zinc from wastewater","volume":"18","author":[{"family":"Gupta","given":"Vinod K."},{"family":"Ali","given":"Imran"}],"issued":{"date-parts":[["2000",3]]}}},{"id":667,"uris":["http://zotero.org/users/8423188/items/VNXC8IQ4"],"itemData":{"id":667,"type":"article-journal","container-title":"Industrial &amp; Engineering Chemistry Research","DOI":"10.1021/ie0303146","ISSN":"0888-5885, 1520-5045","issue":"25","journalAbbreviation":"Ind. Eng. Chem. Res.","language":"en","page":"6619-6624","source":"DOI.org (Crossref)","title":"Removal of Zinc from Aqueous Solutions Using Bagasse Fly Ash − a Low Cost Adsorbent","volume":"42","author":[{"family":"Gupta","given":"Vinod K."},{"family":"Sharma","given":"Saurabh"}],"issued":{"date-parts":[["2003",12,1]]}}},{"id":670,"uris":["http://zotero.org/users/8423188/items/GS52TV7S"],"itemData":{"id":670,"type":"article-journal","container-title":"Journal of Chemical Technology &amp; Biotechnology","DOI":"10.1002/jctb.573","ISSN":"02682575","issue":"3","journalAbbreviation":"J. Chem. Technol. Biotechnol.","language":"en","page":"382-388","source":"DOI.org (Crossref)","title":"Metallic ion removal from aqueous solutions by fly ashes: multicomponent studies: Metallic ion removal from aqueous solutions by fly ashes","title-short":"Metallic ion removal from aqueous solutions by fly ashes","volume":"77","author":[{"family":"Rio","given":"Sébastien"},{"family":"Delebarre","given":"Arnaud"},{"family":"Héquet","given":"Valérie"},{"family":"Cloirec","given":"Pierre Le"},{"family":"Blondin","given":"Jacques"}],"issued":{"date-parts":[["2002",3]]}}}],"schema":"https://github.com/citation-style-language/schema/raw/master/csl-citation.json"} </w:instrText>
      </w:r>
      <w:r w:rsidR="00EC3852" w:rsidRPr="00770477">
        <w:rPr>
          <w:rFonts w:cs="Times New Roman"/>
        </w:rPr>
        <w:fldChar w:fldCharType="separate"/>
      </w:r>
      <w:r w:rsidR="00E11E17" w:rsidRPr="00770477">
        <w:rPr>
          <w:rFonts w:cs="Times New Roman"/>
        </w:rPr>
        <w:t>(Bayat, 2002a; V. K. Gupta &amp; Ali, 2000; V. K. Gupta &amp; Sharma, 2003; Rio et al., 2002)</w:t>
      </w:r>
      <w:r w:rsidR="00EC3852" w:rsidRPr="00770477">
        <w:rPr>
          <w:rFonts w:cs="Times New Roman"/>
        </w:rPr>
        <w:fldChar w:fldCharType="end"/>
      </w:r>
      <w:r w:rsidR="005A3C04" w:rsidRPr="00770477">
        <w:rPr>
          <w:rFonts w:cs="Times New Roman"/>
        </w:rPr>
        <w:t>, Cr(VI)</w:t>
      </w:r>
      <w:r w:rsidR="005D6F99" w:rsidRPr="00770477">
        <w:rPr>
          <w:rFonts w:cs="Times New Roman"/>
        </w:rPr>
        <w:t>, and Cr(III)</w:t>
      </w:r>
      <w:r w:rsidR="005A3C04" w:rsidRPr="00770477">
        <w:rPr>
          <w:rFonts w:cs="Times New Roman"/>
        </w:rPr>
        <w:t xml:space="preserve"> </w:t>
      </w:r>
      <w:r w:rsidR="005A3C04" w:rsidRPr="00770477">
        <w:rPr>
          <w:rFonts w:cs="Times New Roman"/>
        </w:rPr>
        <w:fldChar w:fldCharType="begin"/>
      </w:r>
      <w:r w:rsidR="002074AD">
        <w:rPr>
          <w:rFonts w:cs="Times New Roman"/>
        </w:rPr>
        <w:instrText xml:space="preserve"> ADDIN ZOTERO_ITEM CSL_CITATION {"citationID":"KP3cMW9h","properties":{"formattedCitation":"(Rio et al., 2002)","plainCitation":"(Rio et al., 2002)","noteIndex":0},"citationItems":[{"id":670,"uris":["http://zotero.org/users/8423188/items/GS52TV7S"],"itemData":{"id":670,"type":"article-journal","container-title":"Journal of Chemical Technology &amp; Biotechnology","DOI":"10.1002/jctb.573","ISSN":"02682575","issue":"3","journalAbbreviation":"J. Chem. Technol. Biotechnol.","language":"en","page":"382-388","source":"DOI.org (Crossref)","title":"Metallic ion removal from aqueous solutions by fly ashes: multicomponent studies: Metallic ion removal from aqueous solutions by fly ashes","title-short":"Metallic ion removal from aqueous solutions by fly ashes","volume":"77","author":[{"family":"Rio","given":"Sébastien"},{"family":"Delebarre","given":"Arnaud"},{"family":"Héquet","given":"Valérie"},{"family":"Cloirec","given":"Pierre Le"},{"family":"Blondin","given":"Jacques"}],"issued":{"date-parts":[["2002",3]]}}}],"schema":"https://github.com/citation-style-language/schema/raw/master/csl-citation.json"} </w:instrText>
      </w:r>
      <w:r w:rsidR="005A3C04" w:rsidRPr="00770477">
        <w:rPr>
          <w:rFonts w:cs="Times New Roman"/>
        </w:rPr>
        <w:fldChar w:fldCharType="separate"/>
      </w:r>
      <w:r w:rsidR="00E11E17" w:rsidRPr="00770477">
        <w:rPr>
          <w:rFonts w:cs="Times New Roman"/>
        </w:rPr>
        <w:t>(Rio et al., 2002)</w:t>
      </w:r>
      <w:r w:rsidR="005A3C04" w:rsidRPr="00770477">
        <w:rPr>
          <w:rFonts w:cs="Times New Roman"/>
        </w:rPr>
        <w:fldChar w:fldCharType="end"/>
      </w:r>
      <w:r w:rsidR="005D6F99" w:rsidRPr="00770477">
        <w:rPr>
          <w:rFonts w:cs="Times New Roman"/>
        </w:rPr>
        <w:t xml:space="preserve">. </w:t>
      </w:r>
    </w:p>
    <w:p w14:paraId="3E1CD8A2" w14:textId="6E0BE540" w:rsidR="00114273" w:rsidRPr="00770477" w:rsidRDefault="009A21DE" w:rsidP="00FE5B25">
      <w:pPr>
        <w:ind w:firstLine="720"/>
        <w:rPr>
          <w:rFonts w:cs="Times New Roman"/>
          <w:i/>
          <w:iCs/>
          <w:color w:val="44546A" w:themeColor="text2"/>
          <w:sz w:val="18"/>
          <w:szCs w:val="18"/>
        </w:rPr>
      </w:pPr>
      <w:r w:rsidRPr="00770477">
        <w:rPr>
          <w:rFonts w:cs="Times New Roman"/>
        </w:rPr>
        <w:t>F</w:t>
      </w:r>
      <w:r w:rsidR="00337A77" w:rsidRPr="00770477">
        <w:rPr>
          <w:rFonts w:cs="Times New Roman"/>
        </w:rPr>
        <w:t>ly ash has</w:t>
      </w:r>
      <w:r w:rsidRPr="00770477">
        <w:rPr>
          <w:rFonts w:cs="Times New Roman"/>
        </w:rPr>
        <w:t xml:space="preserve"> also</w:t>
      </w:r>
      <w:r w:rsidR="00337A77" w:rsidRPr="00770477">
        <w:rPr>
          <w:rFonts w:cs="Times New Roman"/>
        </w:rPr>
        <w:t xml:space="preserve"> been found to be a good source for </w:t>
      </w:r>
      <w:r w:rsidRPr="00770477">
        <w:rPr>
          <w:rFonts w:cs="Times New Roman"/>
        </w:rPr>
        <w:t xml:space="preserve">P removal. Though not </w:t>
      </w:r>
      <w:r w:rsidR="00C4681C" w:rsidRPr="00770477">
        <w:rPr>
          <w:rFonts w:cs="Times New Roman"/>
        </w:rPr>
        <w:t>studied as thoroughly as metals</w:t>
      </w:r>
      <w:r w:rsidRPr="00770477">
        <w:rPr>
          <w:rFonts w:cs="Times New Roman"/>
        </w:rPr>
        <w:t xml:space="preserve">, P seems to </w:t>
      </w:r>
      <w:r w:rsidR="00E922D6" w:rsidRPr="00770477">
        <w:rPr>
          <w:rFonts w:cs="Times New Roman"/>
        </w:rPr>
        <w:t xml:space="preserve">have an affinity to bind with </w:t>
      </w:r>
      <w:r w:rsidR="0063398B">
        <w:rPr>
          <w:rFonts w:cs="Times New Roman"/>
        </w:rPr>
        <w:t>Ca</w:t>
      </w:r>
      <w:r w:rsidR="0063398B" w:rsidRPr="00CB02A7">
        <w:rPr>
          <w:rFonts w:cs="Times New Roman"/>
          <w:vertAlign w:val="superscript"/>
        </w:rPr>
        <w:t>+2</w:t>
      </w:r>
      <w:r w:rsidR="00E922D6" w:rsidRPr="00770477">
        <w:rPr>
          <w:rFonts w:cs="Times New Roman"/>
        </w:rPr>
        <w:t xml:space="preserve"> ions</w:t>
      </w:r>
      <w:r w:rsidR="000838D7" w:rsidRPr="00770477">
        <w:rPr>
          <w:rFonts w:cs="Times New Roman"/>
        </w:rPr>
        <w:t xml:space="preserve"> forming calcium phosphates and</w:t>
      </w:r>
      <w:r w:rsidR="00EB4381" w:rsidRPr="00770477">
        <w:rPr>
          <w:rFonts w:cs="Times New Roman"/>
        </w:rPr>
        <w:t xml:space="preserve"> precipitating out of solution or creating weak Ca-P bonds in the case of sorption </w:t>
      </w:r>
      <w:r w:rsidR="00EB4381" w:rsidRPr="00770477">
        <w:rPr>
          <w:rFonts w:cs="Times New Roman"/>
        </w:rPr>
        <w:fldChar w:fldCharType="begin"/>
      </w:r>
      <w:r w:rsidR="002074AD">
        <w:rPr>
          <w:rFonts w:cs="Times New Roman"/>
        </w:rPr>
        <w:instrText xml:space="preserve"> ADDIN ZOTERO_ITEM CSL_CITATION {"citationID":"3CVszXJU","properties":{"formattedCitation":"(Chen et al., 2007; Cheung &amp; Venkitachalam, 2000; S. Li et al., 2017; Qin et al., 2018; Tsitouridou &amp; Georgiou, 1988; Ugurlu &amp; Salam, 1998; Vordonis et al., 1988; W. Zhang et al., 2008)","plainCitation":"(Chen et al., 2007; Cheung &amp; Venkitachalam, 2000; S. Li et al., 2017; Qin et al., 2018; Tsitouridou &amp; Georgiou, 1988; Ugurlu &amp; Salam, 1998; Vordonis et al., 1988; W. Zhang et al., 2008)","noteIndex":0},"citationItems":[{"id":654,"uris":["http://zotero.org/users/8423188/items/FW47RZKX"],"itemData":{"id":654,"type":"article-journal","container-title":"Journal of Hazardous Materials","DOI":"10.1016/j.jhazmat.2006.06.034","ISSN":"03043894","issue":"2","journalAbbreviation":"Journal of Hazardous Materials","language":"en","page":"293-300","source":"DOI.org (Crossref)","title":"Phosphate immobilization from aqueous solution by fly ashes in relation to their composition","volume":"139","author":[{"family":"Chen","given":"Jiangang"},{"family":"Kong","given":"Hainan"},{"family":"Wu","given":"Deyi"},{"family":"Chen","given":"Xuechu"},{"family":"Zhang","given":"Dalei"},{"family":"Sun","given":"Zhenhua"}],"issued":{"date-parts":[["2007",1]]}}},{"id":656,"uris":["http://zotero.org/users/8423188/items/C7UQB7F3"],"itemData":{"id":656,"type":"article-journal","container-title":"Chemosphere","DOI":"10.1016/S0045-6535(99)00417-8","ISSN":"00456535","issue":"1-2","journalAbbreviation":"Chemosphere","language":"en","page":"243-249","source":"DOI.org (Crossref)","title":"Improving phosphate removal of sand infiltration system using alkaline fly ash","volume":"41","author":[{"family":"Cheung","given":"K.C"},{"family":"Venkitachalam","given":"T.H"}],"issued":{"date-parts":[["2000",7]]}}},{"id":79,"uris":["http://zotero.org/users/8423188/items/XEE9RAIE"],"itemData":{"id":79,"type":"article-journal","abstract":"Phosphorus has been recognized as a leading pollutant for surface water quality deterioration. In the Midwestern USA, subsurface drainage not only provides a pathway for excess water to leave the ﬁeld but it also drains out nutrients like nitrogen (N) and phosphorus (P). Fly ash has been identiﬁed as one of the viable materials for phosphorus removal from contaminated waters. In this study, a ceramic pellet was manufactured using ﬂy ash for P absorption. Three types of pellet with varying lime and clay proportions by weight (type 1: 10% lime þ 30% clay, type 2: 20% lime þ 20% clay, and type 3: 30% lime þ 10% clay) were characterized and evaluated for absorption efﬁciency. The result showed that type 3 pellet (60% ﬂy ash with 30% lime and 10% clay) had the highest porosity (14%) and absorption efﬁciency and saturated absorption capacity (1.98 mg P/g pellet) compared to type 1 and 2 pellets. The heavy metal leaching was the least (30 mg/L of chromium after 5 h) for type 3 pellet compared to other two. The microcosmic structure of pellet from scanning electron microscope showed the type 3 pellet had the better distribution of aluminum and iron oxide on the surface compared other two pellets. This result indicates that addition of lime and clay can improve P absorption capacity of ﬂy ash while reducing the potential to reduce chromium leaching.","container-title":"Journal of Environmental Management","DOI":"10.1016/j.jenvman.2016.12.042","ISSN":"03014797","journalAbbreviation":"Journal of Environmental Management","language":"en","page":"67-74","source":"DOI.org (Crossref)","title":"Characterization of fly ash ceramic pellet for phosphorus removal","volume":"189","author":[{"family":"Li","given":"Shiyang"},{"family":"Cooke","given":"Richard A."},{"family":"Wang","given":"Li"},{"family":"Ma","given":"Fang"},{"family":"Bhattarai","given":"Rabin"}],"issued":{"date-parts":[["2017",3]]}}},{"id":250,"uris":["http://zotero.org/users/8423188/items/L2UI4H3R"],"itemData":{"id":250,"type":"article-journal","abstract":"Stormwater filters are a structural best management practice designed to reduce dissolved P losses from runoff. Various industrial byproducts are suitable for use as P sorbing materials (PSMs) for the treatment of drainage water; P sorption by PSMs varies with material physical and chemical properties. Previously, P removal capacity by PSMs was estimated using chemical extractions. We determined the speciation of P when reacted with various PSMs using X-ray absorption near edge structure (XANES) spectroscopy. Twelve PSMs were reacted with P solution in the laboratory under batch or flow-through conditions. In addition, three slag materials were collected from working stormwater filtration structures. Phosphorus K-edge XANES spectra were collected on each reacted PSM and compared with spectra of 22 known P standards using linear combination fitting in Athena. We found evidence of formation of a variety of Ca-, Al-, and/or Fe-phosphate minerals and sorbed phases on the reacted PSMs, with the exact speciation influenced by the chemical properties of the original unreacted PSMs. We grouped PSMs into three general categories based on the dominant P removal mechanism: (i) Fe- and Al-mediated removal [i.e., adsorption of P to Fe- or Al-(hydro-)oxide minerals and/or precipitation of Fe- or Alphosphate minerals]; (ii) Ca-mediated removal (i.e., precipitation of Ca-phosphate mineral); and (iii) both mechanisms. We recommend the use of Fe/Al sorbing PSMs for use in stormwater filtration structures where stormwater retention time is limited because reaction of P with Fe or Al generally occurs more quickly than Ca-P precipitation.","container-title":"Journal of Environmental Quality","DOI":"10.2134/jeq2018.02.0064","ISSN":"0047-2425, 1537-2537","issue":"5","journalAbbreviation":"J. environ. qual.","language":"en","page":"1232-1241","source":"DOI.org (Crossref)","title":"Mechanisms of Phosphorus Removal by Phosphorus Sorbing Materials","volume":"47","author":[{"family":"Qin","given":"Zhixuan"},{"family":"Shober","given":"Amy L."},{"family":"Scheckel","given":"Kirk G."},{"family":"Penn","given":"Chad J."},{"family":"Turner","given":"Kathryn C."}],"issued":{"date-parts":[["2018",9]]}}},{"id":658,"uris":["http://zotero.org/users/8423188/items/77HDDQ9V"],"itemData":{"id":658,"type":"article-journal","container-title":"Toxicological &amp; Environmental Chemistry","DOI":"10.1080/02772248809357285","ISSN":"0277-2248, 1029-0486","issue":"2","journalAbbreviation":"Toxicological &amp; Environmental Chemistry","language":"en","page":"129-138","source":"DOI.org (Crossref)","title":"A contribution to the study of phosphate sorption by three Greek fly ashes","volume":"17","author":[{"family":"Tsitouridou","given":"R."},{"family":"Georgiou","given":"J."}],"issued":{"date-parts":[["1988",4]]}}},{"id":659,"uris":["http://zotero.org/users/8423188/items/HX28Q94S"],"itemData":{"id":659,"type":"article-journal","container-title":"Environment International","DOI":"10.1016/S0160-4120(98)00079-8","ISSN":"01604120","issue":"8","journalAbbreviation":"Environment International","language":"en","page":"911-918","source":"DOI.org (Crossref)","title":"Phosphorus removal by fly ash","volume":"24","author":[{"family":"Ugurlu","given":"A"},{"family":"Salam","given":"B"}],"issued":{"date-parts":[["1998",11]]}}},{"id":657,"uris":["http://zotero.org/users/8423188/items/GRXHCR6Q"],"itemData":{"id":657,"type":"article-journal","container-title":"Colloids and Surfaces","DOI":"10.1016/0166-6622(88)80081-7","ISSN":"01666622","issue":"1","journalAbbreviation":"Colloids and Surfaces","language":"en","page":"55-68","source":"DOI.org (Crossref)","title":"Uptake of inorganic orthophosphate by greek fly ashes characterized using various techniques","volume":"34","author":[{"family":"Vordonis","given":"L."},{"family":"Koutsoukos","given":"P.G."},{"family":"Tzannini","given":"A."},{"family":"Lycourghiotis","given":"A."}],"issued":{"date-parts":[["1988",1]]}}},{"id":85,"uris":["http://zotero.org/users/8423188/items/DFEUEDT5"],"itemData":{"id":85,"type":"article-journal","container-title":"Water Environment Research","DOI":"10.2175/106143008X266823","ISSN":"10614303","issue":"6","journalAbbreviation":"Water Environment Research","language":"en","page":"507-516","source":"DOI.org (Crossref)","title":"Fly-Ash-Amended Sand as Filter Media in Bioretention Cells to Improve Phosphorus Removal","volume":"80","author":[{"family":"Zhang","given":"Wei"},{"family":"Brown","given":"Glenn O."},{"family":"Storm","given":"Daniel E."},{"family":"Zhang","given":"Hailin"}],"issued":{"date-parts":[["2008",6]]}}}],"schema":"https://github.com/citation-style-language/schema/raw/master/csl-citation.json"} </w:instrText>
      </w:r>
      <w:r w:rsidR="00EB4381" w:rsidRPr="00770477">
        <w:rPr>
          <w:rFonts w:cs="Times New Roman"/>
        </w:rPr>
        <w:fldChar w:fldCharType="separate"/>
      </w:r>
      <w:r w:rsidR="00E11E17" w:rsidRPr="00770477">
        <w:rPr>
          <w:rFonts w:cs="Times New Roman"/>
        </w:rPr>
        <w:t>(Chen et al., 2007; Cheung &amp; Venkitachalam, 2000; S. Li et al., 2017; Qin et al., 2018; Tsitouridou &amp; Georgiou, 1988; Ugurlu &amp; Salam, 1998; Vordonis et al., 1988; W. Zhang et al., 2008)</w:t>
      </w:r>
      <w:r w:rsidR="00EB4381" w:rsidRPr="00770477">
        <w:rPr>
          <w:rFonts w:cs="Times New Roman"/>
        </w:rPr>
        <w:fldChar w:fldCharType="end"/>
      </w:r>
      <w:r w:rsidR="009C1C2C" w:rsidRPr="00770477">
        <w:rPr>
          <w:rFonts w:cs="Times New Roman"/>
        </w:rPr>
        <w:t xml:space="preserve">. </w:t>
      </w:r>
      <w:r w:rsidR="00505645" w:rsidRPr="00770477">
        <w:rPr>
          <w:rFonts w:cs="Times New Roman"/>
        </w:rPr>
        <w:fldChar w:fldCharType="begin"/>
      </w:r>
      <w:r w:rsidR="002074AD">
        <w:rPr>
          <w:rFonts w:cs="Times New Roman"/>
        </w:rPr>
        <w:instrText xml:space="preserve"> ADDIN ZOTERO_ITEM CSL_CITATION {"citationID":"WaTJQbCs","properties":{"formattedCitation":"(Chen et al., 2007)","plainCitation":"(Chen et al., 2007)","dontUpdate":true,"noteIndex":0},"citationItems":[{"id":654,"uris":["http://zotero.org/users/8423188/items/FW47RZKX"],"itemData":{"id":654,"type":"article-journal","container-title":"Journal of Hazardous Materials","DOI":"10.1016/j.jhazmat.2006.06.034","ISSN":"03043894","issue":"2","journalAbbreviation":"Journal of Hazardous Materials","language":"en","page":"293-300","source":"DOI.org (Crossref)","title":"Phosphate immobilization from aqueous solution by fly ashes in relation to their composition","volume":"139","author":[{"family":"Chen","given":"Jiangang"},{"family":"Kong","given":"Hainan"},{"family":"Wu","given":"Deyi"},{"family":"Chen","given":"Xuechu"},{"family":"Zhang","given":"Dalei"},{"family":"Sun","given":"Zhenhua"}],"issued":{"date-parts":[["2007",1]]}}}],"schema":"https://github.com/citation-style-language/schema/raw/master/csl-citation.json"} </w:instrText>
      </w:r>
      <w:r w:rsidR="00505645" w:rsidRPr="00770477">
        <w:rPr>
          <w:rFonts w:cs="Times New Roman"/>
        </w:rPr>
        <w:fldChar w:fldCharType="separate"/>
      </w:r>
      <w:r w:rsidR="00505645" w:rsidRPr="00770477">
        <w:rPr>
          <w:rFonts w:cs="Times New Roman"/>
        </w:rPr>
        <w:t xml:space="preserve">Chen et al. </w:t>
      </w:r>
      <w:r w:rsidR="008D6344" w:rsidRPr="00770477">
        <w:rPr>
          <w:rFonts w:cs="Times New Roman"/>
        </w:rPr>
        <w:t>(</w:t>
      </w:r>
      <w:r w:rsidR="00505645" w:rsidRPr="00770477">
        <w:rPr>
          <w:rFonts w:cs="Times New Roman"/>
        </w:rPr>
        <w:t>2007)</w:t>
      </w:r>
      <w:r w:rsidR="00505645" w:rsidRPr="00770477">
        <w:rPr>
          <w:rFonts w:cs="Times New Roman"/>
        </w:rPr>
        <w:fldChar w:fldCharType="end"/>
      </w:r>
      <w:r w:rsidR="008D6344" w:rsidRPr="00770477">
        <w:rPr>
          <w:rFonts w:cs="Times New Roman"/>
        </w:rPr>
        <w:t xml:space="preserve"> calculated a maximum sorption capacity of P onto </w:t>
      </w:r>
      <w:r w:rsidR="00965323" w:rsidRPr="00770477">
        <w:rPr>
          <w:rFonts w:cs="Times New Roman"/>
        </w:rPr>
        <w:t>fly ash to be between 5.51 to 42.55 mg</w:t>
      </w:r>
      <w:r w:rsidR="00B84517">
        <w:rPr>
          <w:rFonts w:cs="Times New Roman"/>
        </w:rPr>
        <w:t xml:space="preserve"> </w:t>
      </w:r>
      <w:r w:rsidR="00965323" w:rsidRPr="00770477">
        <w:rPr>
          <w:rFonts w:cs="Times New Roman"/>
        </w:rPr>
        <w:t>g</w:t>
      </w:r>
      <w:r w:rsidR="00B84517">
        <w:rPr>
          <w:rFonts w:cs="Times New Roman"/>
          <w:vertAlign w:val="superscript"/>
        </w:rPr>
        <w:t>-1</w:t>
      </w:r>
      <w:r w:rsidR="00965323" w:rsidRPr="00770477">
        <w:rPr>
          <w:rFonts w:cs="Times New Roman"/>
        </w:rPr>
        <w:t xml:space="preserve"> and correlated very strongly</w:t>
      </w:r>
      <w:r w:rsidR="00564AE8" w:rsidRPr="00770477">
        <w:rPr>
          <w:rFonts w:cs="Times New Roman"/>
        </w:rPr>
        <w:t xml:space="preserve"> and positively</w:t>
      </w:r>
      <w:r w:rsidR="00965323" w:rsidRPr="00770477">
        <w:rPr>
          <w:rFonts w:cs="Times New Roman"/>
        </w:rPr>
        <w:t xml:space="preserve"> with Ca </w:t>
      </w:r>
      <w:r w:rsidR="00FD5D58" w:rsidRPr="00770477">
        <w:rPr>
          <w:rFonts w:cs="Times New Roman"/>
        </w:rPr>
        <w:t>and Fe content (r = 0.9836 and 0.8049, respectively)</w:t>
      </w:r>
      <w:r w:rsidR="00564AE8" w:rsidRPr="00770477">
        <w:rPr>
          <w:rFonts w:cs="Times New Roman"/>
        </w:rPr>
        <w:t xml:space="preserve"> and negatively with Al and Si content. </w:t>
      </w:r>
      <w:r w:rsidR="59B7A7A4" w:rsidRPr="00770477">
        <w:rPr>
          <w:rFonts w:cs="Times New Roman"/>
        </w:rPr>
        <w:t xml:space="preserve">Increasing </w:t>
      </w:r>
      <w:r w:rsidR="00AE1DFC" w:rsidRPr="00770477">
        <w:rPr>
          <w:rFonts w:cs="Times New Roman"/>
        </w:rPr>
        <w:t xml:space="preserve">pH also </w:t>
      </w:r>
      <w:r w:rsidR="4D941817" w:rsidRPr="00770477">
        <w:rPr>
          <w:rFonts w:cs="Times New Roman"/>
        </w:rPr>
        <w:t>favor</w:t>
      </w:r>
      <w:r w:rsidR="7BFE002B" w:rsidRPr="00770477">
        <w:rPr>
          <w:rFonts w:cs="Times New Roman"/>
        </w:rPr>
        <w:t>s</w:t>
      </w:r>
      <w:r w:rsidR="75CC1F33" w:rsidRPr="00770477">
        <w:rPr>
          <w:rFonts w:cs="Times New Roman"/>
        </w:rPr>
        <w:t xml:space="preserve"> the</w:t>
      </w:r>
      <w:r w:rsidR="4D941817" w:rsidRPr="00770477">
        <w:rPr>
          <w:rFonts w:cs="Times New Roman"/>
        </w:rPr>
        <w:t xml:space="preserve"> removal </w:t>
      </w:r>
      <w:r w:rsidR="4D1BC4D4" w:rsidRPr="00770477">
        <w:rPr>
          <w:rFonts w:cs="Times New Roman"/>
        </w:rPr>
        <w:t>of P</w:t>
      </w:r>
      <w:r w:rsidR="00817E41" w:rsidRPr="00770477">
        <w:rPr>
          <w:rFonts w:cs="Times New Roman"/>
        </w:rPr>
        <w:t xml:space="preserve"> via the Ca-P reactions </w:t>
      </w:r>
      <w:r w:rsidR="00817E41" w:rsidRPr="00770477">
        <w:rPr>
          <w:rFonts w:cs="Times New Roman"/>
        </w:rPr>
        <w:fldChar w:fldCharType="begin"/>
      </w:r>
      <w:r w:rsidR="002074AD">
        <w:rPr>
          <w:rFonts w:cs="Times New Roman"/>
        </w:rPr>
        <w:instrText xml:space="preserve"> ADDIN ZOTERO_ITEM CSL_CITATION {"citationID":"5b26Yhqb","properties":{"formattedCitation":"(Chen et al., 2007)","plainCitation":"(Chen et al., 2007)","noteIndex":0},"citationItems":[{"id":654,"uris":["http://zotero.org/users/8423188/items/FW47RZKX"],"itemData":{"id":654,"type":"article-journal","container-title":"Journal of Hazardous Materials","DOI":"10.1016/j.jhazmat.2006.06.034","ISSN":"03043894","issue":"2","journalAbbreviation":"Journal of Hazardous Materials","language":"en","page":"293-300","source":"DOI.org (Crossref)","title":"Phosphate immobilization from aqueous solution by fly ashes in relation to their composition","volume":"139","author":[{"family":"Chen","given":"Jiangang"},{"family":"Kong","given":"Hainan"},{"family":"Wu","given":"Deyi"},{"family":"Chen","given":"Xuechu"},{"family":"Zhang","given":"Dalei"},{"family":"Sun","given":"Zhenhua"}],"issued":{"date-parts":[["2007",1]]}}}],"schema":"https://github.com/citation-style-language/schema/raw/master/csl-citation.json"} </w:instrText>
      </w:r>
      <w:r w:rsidR="00817E41" w:rsidRPr="00770477">
        <w:rPr>
          <w:rFonts w:cs="Times New Roman"/>
        </w:rPr>
        <w:fldChar w:fldCharType="separate"/>
      </w:r>
      <w:r w:rsidR="00E11E17" w:rsidRPr="00770477">
        <w:rPr>
          <w:rFonts w:cs="Times New Roman"/>
        </w:rPr>
        <w:t>(Chen et al., 2007)</w:t>
      </w:r>
      <w:r w:rsidR="00817E41" w:rsidRPr="00770477">
        <w:rPr>
          <w:rFonts w:cs="Times New Roman"/>
        </w:rPr>
        <w:fldChar w:fldCharType="end"/>
      </w:r>
      <w:r w:rsidR="00BA3431" w:rsidRPr="00770477">
        <w:rPr>
          <w:rFonts w:cs="Times New Roman"/>
        </w:rPr>
        <w:t xml:space="preserve">. </w:t>
      </w:r>
      <w:r w:rsidR="724240EC" w:rsidRPr="00770477">
        <w:rPr>
          <w:rFonts w:cs="Times New Roman"/>
        </w:rPr>
        <w:t>P</w:t>
      </w:r>
      <w:r w:rsidR="4F3B3707" w:rsidRPr="00770477">
        <w:rPr>
          <w:rFonts w:cs="Times New Roman"/>
        </w:rPr>
        <w:t>hosphorous</w:t>
      </w:r>
      <w:r w:rsidR="00BA3431" w:rsidRPr="00770477">
        <w:rPr>
          <w:rFonts w:cs="Times New Roman"/>
        </w:rPr>
        <w:t xml:space="preserve"> removal </w:t>
      </w:r>
      <w:r w:rsidR="003D5F74" w:rsidRPr="00770477">
        <w:rPr>
          <w:rFonts w:cs="Times New Roman"/>
        </w:rPr>
        <w:t xml:space="preserve">for low-Ca fly ash was more favorable at more neutral pH likely due to </w:t>
      </w:r>
      <w:r w:rsidR="00DD2C74" w:rsidRPr="00770477">
        <w:rPr>
          <w:rFonts w:cs="Times New Roman"/>
        </w:rPr>
        <w:t xml:space="preserve">P </w:t>
      </w:r>
      <w:r w:rsidR="00041454" w:rsidRPr="00770477">
        <w:rPr>
          <w:rFonts w:cs="Times New Roman"/>
        </w:rPr>
        <w:t xml:space="preserve">preferring to bond with Al- and Fe-oxides </w:t>
      </w:r>
      <w:r w:rsidR="00D670BD" w:rsidRPr="00770477">
        <w:rPr>
          <w:rFonts w:cs="Times New Roman"/>
        </w:rPr>
        <w:fldChar w:fldCharType="begin"/>
      </w:r>
      <w:r w:rsidR="002074AD">
        <w:rPr>
          <w:rFonts w:cs="Times New Roman"/>
        </w:rPr>
        <w:instrText xml:space="preserve"> ADDIN ZOTERO_ITEM CSL_CITATION {"citationID":"uWFVjzGe","properties":{"formattedCitation":"(Qin et al., 2018; W. Zhang et al., 2008)","plainCitation":"(Qin et al., 2018; W. Zhang et al., 2008)","noteIndex":0},"citationItems":[{"id":250,"uris":["http://zotero.org/users/8423188/items/L2UI4H3R"],"itemData":{"id":250,"type":"article-journal","abstract":"Stormwater filters are a structural best management practice designed to reduce dissolved P losses from runoff. Various industrial byproducts are suitable for use as P sorbing materials (PSMs) for the treatment of drainage water; P sorption by PSMs varies with material physical and chemical properties. Previously, P removal capacity by PSMs was estimated using chemical extractions. We determined the speciation of P when reacted with various PSMs using X-ray absorption near edge structure (XANES) spectroscopy. Twelve PSMs were reacted with P solution in the laboratory under batch or flow-through conditions. In addition, three slag materials were collected from working stormwater filtration structures. Phosphorus K-edge XANES spectra were collected on each reacted PSM and compared with spectra of 22 known P standards using linear combination fitting in Athena. We found evidence of formation of a variety of Ca-, Al-, and/or Fe-phosphate minerals and sorbed phases on the reacted PSMs, with the exact speciation influenced by the chemical properties of the original unreacted PSMs. We grouped PSMs into three general categories based on the dominant P removal mechanism: (i) Fe- and Al-mediated removal [i.e., adsorption of P to Fe- or Al-(hydro-)oxide minerals and/or precipitation of Fe- or Alphosphate minerals]; (ii) Ca-mediated removal (i.e., precipitation of Ca-phosphate mineral); and (iii) both mechanisms. We recommend the use of Fe/Al sorbing PSMs for use in stormwater filtration structures where stormwater retention time is limited because reaction of P with Fe or Al generally occurs more quickly than Ca-P precipitation.","container-title":"Journal of Environmental Quality","DOI":"10.2134/jeq2018.02.0064","ISSN":"0047-2425, 1537-2537","issue":"5","journalAbbreviation":"J. environ. qual.","language":"en","page":"1232-1241","source":"DOI.org (Crossref)","title":"Mechanisms of Phosphorus Removal by Phosphorus Sorbing Materials","volume":"47","author":[{"family":"Qin","given":"Zhixuan"},{"family":"Shober","given":"Amy L."},{"family":"Scheckel","given":"Kirk G."},{"family":"Penn","given":"Chad J."},{"family":"Turner","given":"Kathryn C."}],"issued":{"date-parts":[["2018",9]]}}},{"id":85,"uris":["http://zotero.org/users/8423188/items/DFEUEDT5"],"itemData":{"id":85,"type":"article-journal","container-title":"Water Environment Research","DOI":"10.2175/106143008X266823","ISSN":"10614303","issue":"6","journalAbbreviation":"Water Environment Research","language":"en","page":"507-516","source":"DOI.org (Crossref)","title":"Fly-Ash-Amended Sand as Filter Media in Bioretention Cells to Improve Phosphorus Removal","volume":"80","author":[{"family":"Zhang","given":"Wei"},{"family":"Brown","given":"Glenn O."},{"family":"Storm","given":"Daniel E."},{"family":"Zhang","given":"Hailin"}],"issued":{"date-parts":[["2008",6]]}}}],"schema":"https://github.com/citation-style-language/schema/raw/master/csl-citation.json"} </w:instrText>
      </w:r>
      <w:r w:rsidR="00D670BD" w:rsidRPr="00770477">
        <w:rPr>
          <w:rFonts w:cs="Times New Roman"/>
        </w:rPr>
        <w:fldChar w:fldCharType="separate"/>
      </w:r>
      <w:r w:rsidR="00E11E17" w:rsidRPr="00770477">
        <w:rPr>
          <w:rFonts w:cs="Times New Roman"/>
        </w:rPr>
        <w:t>(Qin et al., 2018; W. Zhang et al., 2008)</w:t>
      </w:r>
      <w:r w:rsidR="00D670BD" w:rsidRPr="00770477">
        <w:rPr>
          <w:rFonts w:cs="Times New Roman"/>
        </w:rPr>
        <w:fldChar w:fldCharType="end"/>
      </w:r>
      <w:r w:rsidR="00D670BD" w:rsidRPr="00770477">
        <w:rPr>
          <w:rFonts w:cs="Times New Roman"/>
        </w:rPr>
        <w:t xml:space="preserve">. </w:t>
      </w:r>
      <w:r w:rsidR="00260BD4" w:rsidRPr="00770477">
        <w:rPr>
          <w:rFonts w:cs="Times New Roman"/>
        </w:rPr>
        <w:fldChar w:fldCharType="begin"/>
      </w:r>
      <w:r w:rsidR="002074AD">
        <w:rPr>
          <w:rFonts w:cs="Times New Roman"/>
        </w:rPr>
        <w:instrText xml:space="preserve"> ADDIN ZOTERO_ITEM CSL_CITATION {"citationID":"D9qW2SvS","properties":{"formattedCitation":"(Zhang et al., 2008)","plainCitation":"(Zhang et al., 2008)","dontUpdate":true,"noteIndex":0},"citationItems":[{"id":85,"uris":["http://zotero.org/users/8423188/items/DFEUEDT5"],"itemData":{"id":85,"type":"article-journal","container-title":"Water Environment Research","DOI":"10.2175/106143008X266823","ISSN":"10614303","issue":"6","journalAbbreviation":"Water Environment Research","language":"en","page":"507-516","source":"DOI.org (Crossref)","title":"Fly-Ash-Amended Sand as Filter Media in Bioretention Cells to Improve Phosphorus Removal","volume":"80","author":[{"family":"Zhang","given":"Wei"},{"family":"Brown","given":"Glenn O."},{"family":"Storm","given":"Daniel E."},{"family":"Zhang","given":"Hailin"}],"issued":{"date-parts":[["2008",6]]}}}],"schema":"https://github.com/citation-style-language/schema/raw/master/csl-citation.json"} </w:instrText>
      </w:r>
      <w:r w:rsidR="00260BD4" w:rsidRPr="00770477">
        <w:rPr>
          <w:rFonts w:cs="Times New Roman"/>
        </w:rPr>
        <w:fldChar w:fldCharType="separate"/>
      </w:r>
      <w:r w:rsidR="00260BD4" w:rsidRPr="00770477">
        <w:rPr>
          <w:rFonts w:cs="Times New Roman"/>
        </w:rPr>
        <w:t xml:space="preserve">Zhang et al. </w:t>
      </w:r>
      <w:r w:rsidR="00880B15" w:rsidRPr="00770477">
        <w:rPr>
          <w:rFonts w:cs="Times New Roman"/>
        </w:rPr>
        <w:t>(</w:t>
      </w:r>
      <w:r w:rsidR="00260BD4" w:rsidRPr="00770477">
        <w:rPr>
          <w:rFonts w:cs="Times New Roman"/>
        </w:rPr>
        <w:t>2008)</w:t>
      </w:r>
      <w:r w:rsidR="00260BD4" w:rsidRPr="00770477">
        <w:rPr>
          <w:rFonts w:cs="Times New Roman"/>
        </w:rPr>
        <w:fldChar w:fldCharType="end"/>
      </w:r>
      <w:r w:rsidR="00880B15" w:rsidRPr="00770477">
        <w:rPr>
          <w:rFonts w:cs="Times New Roman"/>
        </w:rPr>
        <w:t xml:space="preserve"> points out that</w:t>
      </w:r>
      <w:r w:rsidR="11546DC8" w:rsidRPr="00770477">
        <w:rPr>
          <w:rFonts w:cs="Times New Roman"/>
        </w:rPr>
        <w:t xml:space="preserve"> </w:t>
      </w:r>
      <w:r w:rsidR="002748C1" w:rsidRPr="00770477">
        <w:rPr>
          <w:rFonts w:cs="Times New Roman"/>
        </w:rPr>
        <w:t>at</w:t>
      </w:r>
      <w:r w:rsidR="00880B15" w:rsidRPr="00770477">
        <w:rPr>
          <w:rFonts w:cs="Times New Roman"/>
        </w:rPr>
        <w:t xml:space="preserve"> higher</w:t>
      </w:r>
      <w:r w:rsidR="002748C1" w:rsidRPr="00770477">
        <w:rPr>
          <w:rFonts w:cs="Times New Roman"/>
        </w:rPr>
        <w:t xml:space="preserve"> solution</w:t>
      </w:r>
      <w:r w:rsidR="00880B15" w:rsidRPr="00770477">
        <w:rPr>
          <w:rFonts w:cs="Times New Roman"/>
        </w:rPr>
        <w:t xml:space="preserve"> pH</w:t>
      </w:r>
      <w:r w:rsidR="00007F7F" w:rsidRPr="00770477">
        <w:rPr>
          <w:rFonts w:cs="Times New Roman"/>
        </w:rPr>
        <w:t xml:space="preserve"> </w:t>
      </w:r>
      <w:r w:rsidR="0053059A" w:rsidRPr="00770477">
        <w:rPr>
          <w:rFonts w:cs="Times New Roman"/>
        </w:rPr>
        <w:t>(</w:t>
      </w:r>
      <w:r w:rsidR="00007F7F" w:rsidRPr="00770477">
        <w:rPr>
          <w:rFonts w:cs="Times New Roman"/>
        </w:rPr>
        <w:t>which</w:t>
      </w:r>
      <w:r w:rsidR="00880B15" w:rsidRPr="00770477">
        <w:rPr>
          <w:rFonts w:cs="Times New Roman"/>
        </w:rPr>
        <w:t xml:space="preserve"> is the more likely </w:t>
      </w:r>
      <w:r w:rsidR="00007F7F" w:rsidRPr="00770477">
        <w:rPr>
          <w:rFonts w:cs="Times New Roman"/>
        </w:rPr>
        <w:t xml:space="preserve">resulting </w:t>
      </w:r>
      <w:r w:rsidR="00880B15" w:rsidRPr="00770477">
        <w:rPr>
          <w:rFonts w:cs="Times New Roman"/>
        </w:rPr>
        <w:t xml:space="preserve">condition to find when water </w:t>
      </w:r>
      <w:r w:rsidR="00E767C7" w:rsidRPr="00770477">
        <w:rPr>
          <w:rFonts w:cs="Times New Roman"/>
        </w:rPr>
        <w:t>interacts with</w:t>
      </w:r>
      <w:r w:rsidR="00880B15" w:rsidRPr="00770477">
        <w:rPr>
          <w:rFonts w:cs="Times New Roman"/>
        </w:rPr>
        <w:t xml:space="preserve"> fly ash</w:t>
      </w:r>
      <w:r w:rsidR="0053059A" w:rsidRPr="00770477">
        <w:rPr>
          <w:rFonts w:cs="Times New Roman"/>
        </w:rPr>
        <w:t>),</w:t>
      </w:r>
      <w:r w:rsidR="00444A2B" w:rsidRPr="00770477">
        <w:rPr>
          <w:rFonts w:cs="Times New Roman"/>
        </w:rPr>
        <w:t xml:space="preserve"> the Al- and Fe-oxide </w:t>
      </w:r>
      <w:r w:rsidR="00444A2B" w:rsidRPr="00770477">
        <w:rPr>
          <w:rFonts w:cs="Times New Roman"/>
        </w:rPr>
        <w:lastRenderedPageBreak/>
        <w:t xml:space="preserve">reactions are not likely to </w:t>
      </w:r>
      <w:r w:rsidR="006D2DF6" w:rsidRPr="00770477">
        <w:rPr>
          <w:rFonts w:cs="Times New Roman"/>
        </w:rPr>
        <w:t xml:space="preserve">be the primary driver of P removal. </w:t>
      </w:r>
      <w:r w:rsidR="00FD0A8D" w:rsidRPr="00770477">
        <w:rPr>
          <w:rFonts w:cs="Times New Roman"/>
        </w:rPr>
        <w:t xml:space="preserve">However, the authors do mention </w:t>
      </w:r>
      <w:r w:rsidR="00153FBC" w:rsidRPr="00770477">
        <w:rPr>
          <w:rFonts w:cs="Times New Roman"/>
        </w:rPr>
        <w:t xml:space="preserve">that P removal via bonding with Al- and Fe-oxides </w:t>
      </w:r>
      <w:r w:rsidR="00CA038C" w:rsidRPr="00770477">
        <w:rPr>
          <w:rFonts w:cs="Times New Roman"/>
        </w:rPr>
        <w:t>is still</w:t>
      </w:r>
      <w:r w:rsidR="00FD0A8D" w:rsidRPr="00770477">
        <w:rPr>
          <w:rFonts w:cs="Times New Roman"/>
        </w:rPr>
        <w:t xml:space="preserve"> likely at more neutral pH and </w:t>
      </w:r>
      <w:r w:rsidR="00FD0A8D" w:rsidRPr="00770477">
        <w:rPr>
          <w:rFonts w:cs="Times New Roman"/>
        </w:rPr>
        <w:fldChar w:fldCharType="begin"/>
      </w:r>
      <w:r w:rsidR="002074AD">
        <w:rPr>
          <w:rFonts w:cs="Times New Roman"/>
        </w:rPr>
        <w:instrText xml:space="preserve"> ADDIN ZOTERO_ITEM CSL_CITATION {"citationID":"1s0DmkqV","properties":{"formattedCitation":"(Qin et al., 2018)","plainCitation":"(Qin et al., 2018)","dontUpdate":true,"noteIndex":0},"citationItems":[{"id":250,"uris":["http://zotero.org/users/8423188/items/L2UI4H3R"],"itemData":{"id":250,"type":"article-journal","abstract":"Stormwater filters are a structural best management practice designed to reduce dissolved P losses from runoff. Various industrial byproducts are suitable for use as P sorbing materials (PSMs) for the treatment of drainage water; P sorption by PSMs varies with material physical and chemical properties. Previously, P removal capacity by PSMs was estimated using chemical extractions. We determined the speciation of P when reacted with various PSMs using X-ray absorption near edge structure (XANES) spectroscopy. Twelve PSMs were reacted with P solution in the laboratory under batch or flow-through conditions. In addition, three slag materials were collected from working stormwater filtration structures. Phosphorus K-edge XANES spectra were collected on each reacted PSM and compared with spectra of 22 known P standards using linear combination fitting in Athena. We found evidence of formation of a variety of Ca-, Al-, and/or Fe-phosphate minerals and sorbed phases on the reacted PSMs, with the exact speciation influenced by the chemical properties of the original unreacted PSMs. We grouped PSMs into three general categories based on the dominant P removal mechanism: (i) Fe- and Al-mediated removal [i.e., adsorption of P to Fe- or Al-(hydro-)oxide minerals and/or precipitation of Fe- or Alphosphate minerals]; (ii) Ca-mediated removal (i.e., precipitation of Ca-phosphate mineral); and (iii) both mechanisms. We recommend the use of Fe/Al sorbing PSMs for use in stormwater filtration structures where stormwater retention time is limited because reaction of P with Fe or Al generally occurs more quickly than Ca-P precipitation.","container-title":"Journal of Environmental Quality","DOI":"10.2134/jeq2018.02.0064","ISSN":"0047-2425, 1537-2537","issue":"5","journalAbbreviation":"J. environ. qual.","language":"en","page":"1232-1241","source":"DOI.org (Crossref)","title":"Mechanisms of Phosphorus Removal by Phosphorus Sorbing Materials","volume":"47","author":[{"family":"Qin","given":"Zhixuan"},{"family":"Shober","given":"Amy L."},{"family":"Scheckel","given":"Kirk G."},{"family":"Penn","given":"Chad J."},{"family":"Turner","given":"Kathryn C."}],"issued":{"date-parts":[["2018",9]]}}}],"schema":"https://github.com/citation-style-language/schema/raw/master/csl-citation.json"} </w:instrText>
      </w:r>
      <w:r w:rsidR="00FD0A8D" w:rsidRPr="00770477">
        <w:rPr>
          <w:rFonts w:cs="Times New Roman"/>
        </w:rPr>
        <w:fldChar w:fldCharType="separate"/>
      </w:r>
      <w:r w:rsidR="00FD0A8D" w:rsidRPr="00770477">
        <w:rPr>
          <w:rFonts w:cs="Times New Roman"/>
        </w:rPr>
        <w:t>Qin et al. (2018)</w:t>
      </w:r>
      <w:r w:rsidR="00FD0A8D" w:rsidRPr="00770477">
        <w:rPr>
          <w:rFonts w:cs="Times New Roman"/>
        </w:rPr>
        <w:fldChar w:fldCharType="end"/>
      </w:r>
      <w:r w:rsidR="00ED5470" w:rsidRPr="00770477">
        <w:rPr>
          <w:rFonts w:cs="Times New Roman"/>
        </w:rPr>
        <w:t xml:space="preserve"> goes into greater depth of this reaction as a primary sink for P out of solution.</w:t>
      </w:r>
    </w:p>
    <w:p w14:paraId="3C5B9F87" w14:textId="11AD3720" w:rsidR="007144FE" w:rsidRPr="00770477" w:rsidRDefault="00236A65" w:rsidP="005A395F">
      <w:pPr>
        <w:ind w:firstLine="720"/>
        <w:rPr>
          <w:rFonts w:cs="Times New Roman"/>
        </w:rPr>
      </w:pPr>
      <w:r w:rsidRPr="00770477">
        <w:rPr>
          <w:rFonts w:cs="Times New Roman"/>
        </w:rPr>
        <w:t xml:space="preserve">No literature was found which studied the efficacy of fly ash in treating </w:t>
      </w:r>
      <w:r w:rsidR="00EB3E23" w:rsidRPr="00770477">
        <w:rPr>
          <w:rFonts w:cs="Times New Roman"/>
        </w:rPr>
        <w:t xml:space="preserve">aqueous </w:t>
      </w:r>
      <w:r w:rsidRPr="00770477">
        <w:rPr>
          <w:rFonts w:cs="Times New Roman"/>
        </w:rPr>
        <w:t>neonicotinoid pesticides</w:t>
      </w:r>
      <w:r w:rsidR="00EB3E23" w:rsidRPr="00770477">
        <w:rPr>
          <w:rFonts w:cs="Times New Roman"/>
        </w:rPr>
        <w:t xml:space="preserve">. However, fly ash has been studied for the removal of </w:t>
      </w:r>
      <w:r w:rsidR="00EB2EDA" w:rsidRPr="00770477">
        <w:rPr>
          <w:rFonts w:cs="Times New Roman"/>
        </w:rPr>
        <w:t>DDD [2,2-bis(4chlorophenyl)-1,1-dichloroethane] and DDE [2,2-bis(4-chlorophenyl)-1,1-</w:t>
      </w:r>
      <w:r w:rsidR="00D0622A" w:rsidRPr="00770477">
        <w:rPr>
          <w:rFonts w:cs="Times New Roman"/>
        </w:rPr>
        <w:t xml:space="preserve">dichloroethene] </w:t>
      </w:r>
      <w:r w:rsidR="006A3CF7" w:rsidRPr="00770477">
        <w:rPr>
          <w:rFonts w:cs="Times New Roman"/>
        </w:rPr>
        <w:fldChar w:fldCharType="begin"/>
      </w:r>
      <w:r w:rsidR="002074AD">
        <w:rPr>
          <w:rFonts w:cs="Times New Roman"/>
        </w:rPr>
        <w:instrText xml:space="preserve"> ADDIN ZOTERO_ITEM CSL_CITATION {"citationID":"9Oa3kLmg","properties":{"formattedCitation":"(V. K. Gupta &amp; Ali, 2001)","plainCitation":"(V. K. Gupta &amp; Ali, 2001)","noteIndex":0},"citationItems":[{"id":76,"uris":["http://zotero.org/users/8423188/items/DELGJMQQ"],"itemData":{"id":76,"type":"article-journal","container-title":"Water Research","DOI":"10.1016/S0043-1354(00)00232-3","ISSN":"00431354","issue":"1","journalAbbreviation":"Water Research","language":"en","page":"33-40","source":"DOI.org (Crossref)","title":"Removal of DDD and DDE from wastewater using bagasse fly ash, a sugar industry waste","volume":"35","author":[{"family":"Gupta","given":"Vinod K."},{"family":"Ali","given":"Imran"}],"issued":{"date-parts":[["2001",1]]}}}],"schema":"https://github.com/citation-style-language/schema/raw/master/csl-citation.json"} </w:instrText>
      </w:r>
      <w:r w:rsidR="006A3CF7" w:rsidRPr="00770477">
        <w:rPr>
          <w:rFonts w:cs="Times New Roman"/>
        </w:rPr>
        <w:fldChar w:fldCharType="separate"/>
      </w:r>
      <w:r w:rsidR="00E11E17" w:rsidRPr="00770477">
        <w:rPr>
          <w:rFonts w:cs="Times New Roman"/>
        </w:rPr>
        <w:t>(V. K. Gupta &amp; Ali, 2001)</w:t>
      </w:r>
      <w:r w:rsidR="006A3CF7" w:rsidRPr="00770477">
        <w:rPr>
          <w:rFonts w:cs="Times New Roman"/>
        </w:rPr>
        <w:fldChar w:fldCharType="end"/>
      </w:r>
      <w:r w:rsidR="00D0622A" w:rsidRPr="00770477">
        <w:rPr>
          <w:rFonts w:cs="Times New Roman"/>
        </w:rPr>
        <w:t xml:space="preserve">, lindane and malathion </w:t>
      </w:r>
      <w:r w:rsidR="000A4A35" w:rsidRPr="00770477">
        <w:rPr>
          <w:rFonts w:cs="Times New Roman"/>
        </w:rPr>
        <w:fldChar w:fldCharType="begin"/>
      </w:r>
      <w:r w:rsidR="002074AD">
        <w:rPr>
          <w:rFonts w:cs="Times New Roman"/>
        </w:rPr>
        <w:instrText xml:space="preserve"> ADDIN ZOTERO_ITEM CSL_CITATION {"citationID":"Te7GYe5R","properties":{"formattedCitation":"(V. Gupta et al., 2002)","plainCitation":"(V. Gupta et al., 2002)","noteIndex":0},"citationItems":[{"id":652,"uris":["http://zotero.org/users/8423188/items/WX6FME8B"],"itemData":{"id":652,"type":"article-journal","container-title":"Water Research","DOI":"10.1016/S0043-1354(01)00474-2","ISSN":"00431354","issue":"10","page":"2483-2490","source":"DOI.org (Crossref)","title":"Removal of lindane and malathion from wastewater using bagasse fly ash—a sugar industry waste","volume":"36","author":[{"family":"Gupta","given":"V"},{"family":"Jain","given":"C.K."},{"family":"Ali","given":"Imran"},{"family":"Chandra","given":"S."},{"family":"Agarwal","given":"S."}],"issued":{"date-parts":[["2002",5]]}}}],"schema":"https://github.com/citation-style-language/schema/raw/master/csl-citation.json"} </w:instrText>
      </w:r>
      <w:r w:rsidR="000A4A35" w:rsidRPr="00770477">
        <w:rPr>
          <w:rFonts w:cs="Times New Roman"/>
        </w:rPr>
        <w:fldChar w:fldCharType="separate"/>
      </w:r>
      <w:r w:rsidR="00E11E17" w:rsidRPr="00770477">
        <w:rPr>
          <w:rFonts w:cs="Times New Roman"/>
        </w:rPr>
        <w:t>(V. Gupta et al., 2002)</w:t>
      </w:r>
      <w:r w:rsidR="000A4A35" w:rsidRPr="00770477">
        <w:rPr>
          <w:rFonts w:cs="Times New Roman"/>
        </w:rPr>
        <w:fldChar w:fldCharType="end"/>
      </w:r>
      <w:r w:rsidR="00492399" w:rsidRPr="00770477">
        <w:rPr>
          <w:rFonts w:cs="Times New Roman"/>
        </w:rPr>
        <w:t xml:space="preserve">, carbofuran </w:t>
      </w:r>
      <w:r w:rsidR="00A51547" w:rsidRPr="00770477">
        <w:rPr>
          <w:rFonts w:cs="Times New Roman"/>
        </w:rPr>
        <w:fldChar w:fldCharType="begin"/>
      </w:r>
      <w:r w:rsidR="002074AD">
        <w:rPr>
          <w:rFonts w:cs="Times New Roman"/>
        </w:rPr>
        <w:instrText xml:space="preserve"> ADDIN ZOTERO_ITEM CSL_CITATION {"citationID":"OiKE3jnJ","properties":{"formattedCitation":"(Kumari et al., 1988)","plainCitation":"(Kumari et al., 1988)","noteIndex":0},"citationItems":[{"id":651,"uris":["http://zotero.org/users/8423188/items/5B3LWML7"],"itemData":{"id":651,"type":"article-journal","container-title":"Colloids and Surfaces","DOI":"10.1016/0166-6622(88)80048-9","ISSN":"01666622","journalAbbreviation":"Colloids and Surfaces","language":"en","page":"55-61","source":"DOI.org (Crossref)","title":"Adsorption thermodynamics of carbofuran on fly ash","volume":"33","author":[{"family":"Kumari","given":"K."},{"family":"Singh","given":"R.P."},{"family":"Saxena","given":"S.K."}],"issued":{"date-parts":[["1988",1]]}}}],"schema":"https://github.com/citation-style-language/schema/raw/master/csl-citation.json"} </w:instrText>
      </w:r>
      <w:r w:rsidR="00A51547" w:rsidRPr="00770477">
        <w:rPr>
          <w:rFonts w:cs="Times New Roman"/>
        </w:rPr>
        <w:fldChar w:fldCharType="separate"/>
      </w:r>
      <w:r w:rsidR="00E11E17" w:rsidRPr="00770477">
        <w:rPr>
          <w:rFonts w:cs="Times New Roman"/>
        </w:rPr>
        <w:t>(Kumari et al., 1988)</w:t>
      </w:r>
      <w:r w:rsidR="00A51547" w:rsidRPr="00770477">
        <w:rPr>
          <w:rFonts w:cs="Times New Roman"/>
        </w:rPr>
        <w:fldChar w:fldCharType="end"/>
      </w:r>
      <w:r w:rsidR="00492399" w:rsidRPr="00770477">
        <w:rPr>
          <w:rFonts w:cs="Times New Roman"/>
        </w:rPr>
        <w:t>,</w:t>
      </w:r>
      <w:r w:rsidR="00D50453" w:rsidRPr="00770477">
        <w:rPr>
          <w:rFonts w:cs="Times New Roman"/>
        </w:rPr>
        <w:t xml:space="preserve"> </w:t>
      </w:r>
      <w:r w:rsidR="00DE26E4" w:rsidRPr="00770477">
        <w:rPr>
          <w:rFonts w:cs="Times New Roman"/>
        </w:rPr>
        <w:t xml:space="preserve">and TCB and </w:t>
      </w:r>
      <w:proofErr w:type="spellStart"/>
      <w:r w:rsidR="00DE26E4" w:rsidRPr="00770477">
        <w:rPr>
          <w:rFonts w:cs="Times New Roman"/>
        </w:rPr>
        <w:t>HeCB</w:t>
      </w:r>
      <w:proofErr w:type="spellEnd"/>
      <w:r w:rsidR="00CA34F7" w:rsidRPr="00770477">
        <w:rPr>
          <w:rFonts w:cs="Times New Roman"/>
        </w:rPr>
        <w:t xml:space="preserve"> </w:t>
      </w:r>
      <w:r w:rsidR="007770B8" w:rsidRPr="00770477">
        <w:rPr>
          <w:rFonts w:cs="Times New Roman"/>
        </w:rPr>
        <w:fldChar w:fldCharType="begin"/>
      </w:r>
      <w:r w:rsidR="002074AD">
        <w:rPr>
          <w:rFonts w:cs="Times New Roman"/>
        </w:rPr>
        <w:instrText xml:space="preserve"> ADDIN ZOTERO_ITEM CSL_CITATION {"citationID":"ZsQBYoTw","properties":{"formattedCitation":"(Nollet et al., 2003)","plainCitation":"(Nollet et al., 2003)","noteIndex":0},"citationItems":[{"id":650,"uris":["http://zotero.org/users/8423188/items/GQLCH4ZF"],"itemData":{"id":650,"type":"article-journal","container-title":"Chemosphere","DOI":"10.1016/S0045-6535(03)00517-4","ISSN":"00456535","issue":"6","journalAbbreviation":"Chemosphere","language":"en","page":"655-665","source":"DOI.org (Crossref)","title":"Removal of PCBs from wastewater using fly ash","volume":"53","author":[{"family":"Nollet","given":"Hendrik"},{"family":"Roels","given":"Murielle"},{"family":"Lutgen","given":"Pierre"},{"family":"Van der Meeren","given":"Paul"},{"family":"Verstraete","given":"Willy"}],"issued":{"date-parts":[["2003",11]]}}}],"schema":"https://github.com/citation-style-language/schema/raw/master/csl-citation.json"} </w:instrText>
      </w:r>
      <w:r w:rsidR="007770B8" w:rsidRPr="00770477">
        <w:rPr>
          <w:rFonts w:cs="Times New Roman"/>
        </w:rPr>
        <w:fldChar w:fldCharType="separate"/>
      </w:r>
      <w:r w:rsidR="00E11E17" w:rsidRPr="00770477">
        <w:rPr>
          <w:rFonts w:cs="Times New Roman"/>
        </w:rPr>
        <w:t>(Nollet et al., 2003)</w:t>
      </w:r>
      <w:r w:rsidR="007770B8" w:rsidRPr="00770477">
        <w:rPr>
          <w:rFonts w:cs="Times New Roman"/>
        </w:rPr>
        <w:fldChar w:fldCharType="end"/>
      </w:r>
      <w:r w:rsidR="00D4769D" w:rsidRPr="00770477">
        <w:rPr>
          <w:rFonts w:cs="Times New Roman"/>
        </w:rPr>
        <w:t>. DDD</w:t>
      </w:r>
      <w:r w:rsidR="00977D75" w:rsidRPr="00770477">
        <w:rPr>
          <w:rFonts w:cs="Times New Roman"/>
        </w:rPr>
        <w:t xml:space="preserve"> and DDE</w:t>
      </w:r>
      <w:r w:rsidR="00D4769D" w:rsidRPr="00770477">
        <w:rPr>
          <w:rFonts w:cs="Times New Roman"/>
        </w:rPr>
        <w:t xml:space="preserve"> </w:t>
      </w:r>
      <w:r w:rsidR="00E94A80" w:rsidRPr="00770477">
        <w:rPr>
          <w:rFonts w:cs="Times New Roman"/>
        </w:rPr>
        <w:t>were</w:t>
      </w:r>
      <w:r w:rsidR="00D4769D" w:rsidRPr="00770477">
        <w:rPr>
          <w:rFonts w:cs="Times New Roman"/>
        </w:rPr>
        <w:t xml:space="preserve"> removed</w:t>
      </w:r>
      <w:r w:rsidR="0053059A" w:rsidRPr="00770477">
        <w:rPr>
          <w:rFonts w:cs="Times New Roman"/>
        </w:rPr>
        <w:t xml:space="preserve"> from an aqueous solution</w:t>
      </w:r>
      <w:r w:rsidR="00D4769D" w:rsidRPr="00770477">
        <w:rPr>
          <w:rFonts w:cs="Times New Roman"/>
        </w:rPr>
        <w:t xml:space="preserve"> </w:t>
      </w:r>
      <w:r w:rsidR="00977D75" w:rsidRPr="00770477">
        <w:rPr>
          <w:rFonts w:cs="Times New Roman"/>
        </w:rPr>
        <w:t xml:space="preserve">between 93-98% </w:t>
      </w:r>
      <w:r w:rsidR="00C414D3" w:rsidRPr="00770477">
        <w:rPr>
          <w:rFonts w:cs="Times New Roman"/>
        </w:rPr>
        <w:fldChar w:fldCharType="begin"/>
      </w:r>
      <w:r w:rsidR="002074AD">
        <w:rPr>
          <w:rFonts w:cs="Times New Roman"/>
        </w:rPr>
        <w:instrText xml:space="preserve"> ADDIN ZOTERO_ITEM CSL_CITATION {"citationID":"PWmEaiXI","properties":{"formattedCitation":"(V. K. Gupta &amp; Ali, 2001)","plainCitation":"(V. K. Gupta &amp; Ali, 2001)","noteIndex":0},"citationItems":[{"id":76,"uris":["http://zotero.org/users/8423188/items/DELGJMQQ"],"itemData":{"id":76,"type":"article-journal","container-title":"Water Research","DOI":"10.1016/S0043-1354(00)00232-3","ISSN":"00431354","issue":"1","journalAbbreviation":"Water Research","language":"en","page":"33-40","source":"DOI.org (Crossref)","title":"Removal of DDD and DDE from wastewater using bagasse fly ash, a sugar industry waste","volume":"35","author":[{"family":"Gupta","given":"Vinod K."},{"family":"Ali","given":"Imran"}],"issued":{"date-parts":[["2001",1]]}}}],"schema":"https://github.com/citation-style-language/schema/raw/master/csl-citation.json"} </w:instrText>
      </w:r>
      <w:r w:rsidR="00C414D3" w:rsidRPr="00770477">
        <w:rPr>
          <w:rFonts w:cs="Times New Roman"/>
        </w:rPr>
        <w:fldChar w:fldCharType="separate"/>
      </w:r>
      <w:r w:rsidR="00E11E17" w:rsidRPr="00770477">
        <w:rPr>
          <w:rFonts w:cs="Times New Roman"/>
        </w:rPr>
        <w:t>(V. K. Gupta &amp; Ali, 2001)</w:t>
      </w:r>
      <w:r w:rsidR="00C414D3" w:rsidRPr="00770477">
        <w:rPr>
          <w:rFonts w:cs="Times New Roman"/>
        </w:rPr>
        <w:fldChar w:fldCharType="end"/>
      </w:r>
      <w:r w:rsidR="00977D75" w:rsidRPr="00770477">
        <w:rPr>
          <w:rFonts w:cs="Times New Roman"/>
        </w:rPr>
        <w:t>, lindane and malathion was removed</w:t>
      </w:r>
      <w:r w:rsidR="000A5BA4" w:rsidRPr="00770477">
        <w:rPr>
          <w:rFonts w:cs="Times New Roman"/>
        </w:rPr>
        <w:t xml:space="preserve"> from solution</w:t>
      </w:r>
      <w:r w:rsidR="00DA3C22" w:rsidRPr="00770477">
        <w:rPr>
          <w:rFonts w:cs="Times New Roman"/>
        </w:rPr>
        <w:t xml:space="preserve"> between </w:t>
      </w:r>
      <w:r w:rsidR="0077563F" w:rsidRPr="00770477">
        <w:rPr>
          <w:rFonts w:cs="Times New Roman"/>
        </w:rPr>
        <w:t>97 and 98%</w:t>
      </w:r>
      <w:r w:rsidR="00DA3C22" w:rsidRPr="00770477">
        <w:rPr>
          <w:rFonts w:cs="Times New Roman"/>
        </w:rPr>
        <w:t xml:space="preserve"> </w:t>
      </w:r>
      <w:r w:rsidR="003D7708" w:rsidRPr="00770477">
        <w:rPr>
          <w:rFonts w:cs="Times New Roman"/>
        </w:rPr>
        <w:fldChar w:fldCharType="begin"/>
      </w:r>
      <w:r w:rsidR="002074AD">
        <w:rPr>
          <w:rFonts w:cs="Times New Roman"/>
        </w:rPr>
        <w:instrText xml:space="preserve"> ADDIN ZOTERO_ITEM CSL_CITATION {"citationID":"QTuPOvm1","properties":{"formattedCitation":"(V. Gupta et al., 2002)","plainCitation":"(V. Gupta et al., 2002)","noteIndex":0},"citationItems":[{"id":652,"uris":["http://zotero.org/users/8423188/items/WX6FME8B"],"itemData":{"id":652,"type":"article-journal","container-title":"Water Research","DOI":"10.1016/S0043-1354(01)00474-2","ISSN":"00431354","issue":"10","page":"2483-2490","source":"DOI.org (Crossref)","title":"Removal of lindane and malathion from wastewater using bagasse fly ash—a sugar industry waste","volume":"36","author":[{"family":"Gupta","given":"V"},{"family":"Jain","given":"C.K."},{"family":"Ali","given":"Imran"},{"family":"Chandra","given":"S."},{"family":"Agarwal","given":"S."}],"issued":{"date-parts":[["2002",5]]}}}],"schema":"https://github.com/citation-style-language/schema/raw/master/csl-citation.json"} </w:instrText>
      </w:r>
      <w:r w:rsidR="003D7708" w:rsidRPr="00770477">
        <w:rPr>
          <w:rFonts w:cs="Times New Roman"/>
        </w:rPr>
        <w:fldChar w:fldCharType="separate"/>
      </w:r>
      <w:r w:rsidR="00E11E17" w:rsidRPr="00770477">
        <w:rPr>
          <w:rFonts w:cs="Times New Roman"/>
        </w:rPr>
        <w:t>(V. Gupta et al., 2002)</w:t>
      </w:r>
      <w:r w:rsidR="003D7708" w:rsidRPr="00770477">
        <w:rPr>
          <w:rFonts w:cs="Times New Roman"/>
        </w:rPr>
        <w:fldChar w:fldCharType="end"/>
      </w:r>
      <w:r w:rsidR="000B32F0" w:rsidRPr="00770477">
        <w:rPr>
          <w:rFonts w:cs="Times New Roman"/>
        </w:rPr>
        <w:t>,</w:t>
      </w:r>
      <w:r w:rsidR="00F360C9" w:rsidRPr="00770477">
        <w:rPr>
          <w:rFonts w:cs="Times New Roman"/>
        </w:rPr>
        <w:t xml:space="preserve"> and</w:t>
      </w:r>
      <w:r w:rsidR="000B32F0" w:rsidRPr="00770477">
        <w:rPr>
          <w:rFonts w:cs="Times New Roman"/>
        </w:rPr>
        <w:t xml:space="preserve"> </w:t>
      </w:r>
      <w:r w:rsidR="00F86727" w:rsidRPr="00770477">
        <w:rPr>
          <w:rFonts w:cs="Times New Roman"/>
        </w:rPr>
        <w:t xml:space="preserve">TCB and </w:t>
      </w:r>
      <w:proofErr w:type="spellStart"/>
      <w:r w:rsidR="00F86727" w:rsidRPr="00770477">
        <w:rPr>
          <w:rFonts w:cs="Times New Roman"/>
        </w:rPr>
        <w:t>HeCB</w:t>
      </w:r>
      <w:proofErr w:type="spellEnd"/>
      <w:r w:rsidR="00F86727" w:rsidRPr="00770477">
        <w:rPr>
          <w:rFonts w:cs="Times New Roman"/>
        </w:rPr>
        <w:t xml:space="preserve"> </w:t>
      </w:r>
      <w:r w:rsidR="00F360C9" w:rsidRPr="00770477">
        <w:rPr>
          <w:rFonts w:cs="Times New Roman"/>
        </w:rPr>
        <w:t>was removed</w:t>
      </w:r>
      <w:r w:rsidR="000A5BA4" w:rsidRPr="00770477">
        <w:rPr>
          <w:rFonts w:cs="Times New Roman"/>
        </w:rPr>
        <w:t xml:space="preserve"> from solution</w:t>
      </w:r>
      <w:r w:rsidR="001F73C0" w:rsidRPr="00770477">
        <w:rPr>
          <w:rFonts w:cs="Times New Roman"/>
        </w:rPr>
        <w:t xml:space="preserve"> up to </w:t>
      </w:r>
      <w:r w:rsidR="00F86727" w:rsidRPr="00770477">
        <w:rPr>
          <w:rFonts w:cs="Times New Roman"/>
        </w:rPr>
        <w:t>97%</w:t>
      </w:r>
      <w:r w:rsidR="00F360C9" w:rsidRPr="00770477">
        <w:rPr>
          <w:rFonts w:cs="Times New Roman"/>
        </w:rPr>
        <w:t xml:space="preserve"> </w:t>
      </w:r>
      <w:r w:rsidR="00F360C9" w:rsidRPr="00770477">
        <w:rPr>
          <w:rFonts w:cs="Times New Roman"/>
        </w:rPr>
        <w:fldChar w:fldCharType="begin"/>
      </w:r>
      <w:r w:rsidR="002074AD">
        <w:rPr>
          <w:rFonts w:cs="Times New Roman"/>
        </w:rPr>
        <w:instrText xml:space="preserve"> ADDIN ZOTERO_ITEM CSL_CITATION {"citationID":"yfHn2XnV","properties":{"formattedCitation":"(Nollet et al., 2003)","plainCitation":"(Nollet et al., 2003)","noteIndex":0},"citationItems":[{"id":650,"uris":["http://zotero.org/users/8423188/items/GQLCH4ZF"],"itemData":{"id":650,"type":"article-journal","container-title":"Chemosphere","DOI":"10.1016/S0045-6535(03)00517-4","ISSN":"00456535","issue":"6","journalAbbreviation":"Chemosphere","language":"en","page":"655-665","source":"DOI.org (Crossref)","title":"Removal of PCBs from wastewater using fly ash","volume":"53","author":[{"family":"Nollet","given":"Hendrik"},{"family":"Roels","given":"Murielle"},{"family":"Lutgen","given":"Pierre"},{"family":"Van der Meeren","given":"Paul"},{"family":"Verstraete","given":"Willy"}],"issued":{"date-parts":[["2003",11]]}}}],"schema":"https://github.com/citation-style-language/schema/raw/master/csl-citation.json"} </w:instrText>
      </w:r>
      <w:r w:rsidR="00F360C9" w:rsidRPr="00770477">
        <w:rPr>
          <w:rFonts w:cs="Times New Roman"/>
        </w:rPr>
        <w:fldChar w:fldCharType="separate"/>
      </w:r>
      <w:r w:rsidR="00E11E17" w:rsidRPr="00770477">
        <w:rPr>
          <w:rFonts w:cs="Times New Roman"/>
        </w:rPr>
        <w:t>(Nollet et al., 2003)</w:t>
      </w:r>
      <w:r w:rsidR="00F360C9" w:rsidRPr="00770477">
        <w:rPr>
          <w:rFonts w:cs="Times New Roman"/>
        </w:rPr>
        <w:fldChar w:fldCharType="end"/>
      </w:r>
      <w:r w:rsidR="00F360C9" w:rsidRPr="00770477">
        <w:rPr>
          <w:rFonts w:cs="Times New Roman"/>
        </w:rPr>
        <w:t>.</w:t>
      </w:r>
    </w:p>
    <w:p w14:paraId="5CE3A1BA" w14:textId="77777777" w:rsidR="00660EB0" w:rsidRPr="00770477" w:rsidRDefault="00660EB0" w:rsidP="000E6A8D">
      <w:pPr>
        <w:rPr>
          <w:rFonts w:cs="Times New Roman"/>
        </w:rPr>
      </w:pPr>
    </w:p>
    <w:p w14:paraId="3DDB556E" w14:textId="0FF2CC2E" w:rsidR="005B1A35" w:rsidRPr="00770477" w:rsidRDefault="00484AEE" w:rsidP="00A80CF0">
      <w:pPr>
        <w:pStyle w:val="Heading3"/>
        <w:rPr>
          <w:rFonts w:cs="Times New Roman"/>
        </w:rPr>
      </w:pPr>
      <w:bookmarkStart w:id="18" w:name="_Toc121495974"/>
      <w:r w:rsidRPr="00770477">
        <w:rPr>
          <w:rFonts w:cs="Times New Roman"/>
        </w:rPr>
        <w:t>Steel</w:t>
      </w:r>
      <w:r w:rsidR="005B1A35" w:rsidRPr="00770477">
        <w:rPr>
          <w:rFonts w:cs="Times New Roman"/>
        </w:rPr>
        <w:t xml:space="preserve"> Slag</w:t>
      </w:r>
      <w:bookmarkEnd w:id="18"/>
    </w:p>
    <w:p w14:paraId="2FE00659" w14:textId="25A41F3C" w:rsidR="005A395F" w:rsidRPr="00770477" w:rsidRDefault="00561D1E" w:rsidP="00AC1A23">
      <w:pPr>
        <w:ind w:firstLine="720"/>
        <w:rPr>
          <w:rFonts w:cs="Times New Roman"/>
        </w:rPr>
      </w:pPr>
      <w:r w:rsidRPr="00770477">
        <w:rPr>
          <w:rFonts w:cs="Times New Roman"/>
        </w:rPr>
        <w:t xml:space="preserve">Slag is </w:t>
      </w:r>
      <w:r w:rsidR="00A56C3C" w:rsidRPr="00770477">
        <w:rPr>
          <w:rFonts w:cs="Times New Roman"/>
        </w:rPr>
        <w:t xml:space="preserve">a </w:t>
      </w:r>
      <w:r w:rsidR="00C71767" w:rsidRPr="00770477">
        <w:rPr>
          <w:rFonts w:cs="Times New Roman"/>
        </w:rPr>
        <w:t>byproduct</w:t>
      </w:r>
      <w:r w:rsidR="00A56C3C" w:rsidRPr="00770477">
        <w:rPr>
          <w:rFonts w:cs="Times New Roman"/>
        </w:rPr>
        <w:t xml:space="preserve"> from the </w:t>
      </w:r>
      <w:r w:rsidR="00AE44B7" w:rsidRPr="00770477">
        <w:rPr>
          <w:rFonts w:cs="Times New Roman"/>
        </w:rPr>
        <w:t>manufacturing</w:t>
      </w:r>
      <w:r w:rsidR="00A56C3C" w:rsidRPr="00770477">
        <w:rPr>
          <w:rFonts w:cs="Times New Roman"/>
        </w:rPr>
        <w:t xml:space="preserve"> of steel either by blast furnace</w:t>
      </w:r>
      <w:r w:rsidR="00DE5A38" w:rsidRPr="00770477">
        <w:rPr>
          <w:rFonts w:cs="Times New Roman"/>
        </w:rPr>
        <w:t xml:space="preserve"> (iron slag)</w:t>
      </w:r>
      <w:r w:rsidR="006D0C46" w:rsidRPr="00770477">
        <w:rPr>
          <w:rFonts w:cs="Times New Roman"/>
        </w:rPr>
        <w:t xml:space="preserve">, basic oxygen furnace, or electric arc furnace </w:t>
      </w:r>
      <w:r w:rsidR="00AE44B7" w:rsidRPr="00770477">
        <w:rPr>
          <w:rFonts w:cs="Times New Roman"/>
        </w:rPr>
        <w:t>steel generation</w:t>
      </w:r>
      <w:r w:rsidR="00DE5A38" w:rsidRPr="00770477">
        <w:rPr>
          <w:rFonts w:cs="Times New Roman"/>
        </w:rPr>
        <w:t xml:space="preserve"> (</w:t>
      </w:r>
      <w:r w:rsidR="00787284" w:rsidRPr="00770477">
        <w:rPr>
          <w:rFonts w:cs="Times New Roman"/>
        </w:rPr>
        <w:t>steel slag)</w:t>
      </w:r>
      <w:r w:rsidR="00AE44B7" w:rsidRPr="00770477">
        <w:rPr>
          <w:rFonts w:cs="Times New Roman"/>
        </w:rPr>
        <w:t xml:space="preserve">. </w:t>
      </w:r>
      <w:r w:rsidR="00395130" w:rsidRPr="00770477">
        <w:rPr>
          <w:rFonts w:cs="Times New Roman"/>
        </w:rPr>
        <w:t>For every ton of steel produced</w:t>
      </w:r>
      <w:r w:rsidR="00B84A71" w:rsidRPr="00770477">
        <w:rPr>
          <w:rFonts w:cs="Times New Roman"/>
        </w:rPr>
        <w:t>, between one half and one ton of slag is produced</w:t>
      </w:r>
      <w:r w:rsidR="008A7802" w:rsidRPr="00770477">
        <w:rPr>
          <w:rFonts w:cs="Times New Roman"/>
        </w:rPr>
        <w:t xml:space="preserve"> </w:t>
      </w:r>
      <w:r w:rsidR="002426E1" w:rsidRPr="00770477">
        <w:rPr>
          <w:rFonts w:cs="Times New Roman"/>
        </w:rPr>
        <w:fldChar w:fldCharType="begin"/>
      </w:r>
      <w:r w:rsidR="002074AD">
        <w:rPr>
          <w:rFonts w:cs="Times New Roman"/>
        </w:rPr>
        <w:instrText xml:space="preserve"> ADDIN ZOTERO_ITEM CSL_CITATION {"citationID":"dEoL2I5r","properties":{"formattedCitation":"(Lobato et al., 2015)","plainCitation":"(Lobato et al., 2015)","noteIndex":0},"citationItems":[{"id":797,"uris":["http://zotero.org/users/8423188/items/9W4UEQFA"],"itemData":{"id":797,"type":"article-journal","container-title":"Resources, Conservation and Recycling","DOI":"10.1016/j.resconrec.2015.05.025","ISSN":"09213449","journalAbbreviation":"Resources, Conservation and Recycling","language":"en","page":"49-57","source":"DOI.org (Crossref)","title":"Management of solid wastes from steelmaking and galvanizing processes: A brief review","title-short":"Management of solid wastes from steelmaking and galvanizing processes","volume":"102","author":[{"family":"Lobato","given":"Natália Cristina Candian"},{"family":"Villegas","given":"Edwin Auza"},{"family":"Mansur","given":"Marcelo Borges"}],"issued":{"date-parts":[["2015",9]]}}}],"schema":"https://github.com/citation-style-language/schema/raw/master/csl-citation.json"} </w:instrText>
      </w:r>
      <w:r w:rsidR="002426E1" w:rsidRPr="00770477">
        <w:rPr>
          <w:rFonts w:cs="Times New Roman"/>
        </w:rPr>
        <w:fldChar w:fldCharType="separate"/>
      </w:r>
      <w:r w:rsidR="00E11E17" w:rsidRPr="00770477">
        <w:rPr>
          <w:rFonts w:cs="Times New Roman"/>
        </w:rPr>
        <w:t>(Lobato et al., 2015)</w:t>
      </w:r>
      <w:r w:rsidR="002426E1" w:rsidRPr="00770477">
        <w:rPr>
          <w:rFonts w:cs="Times New Roman"/>
        </w:rPr>
        <w:fldChar w:fldCharType="end"/>
      </w:r>
      <w:r w:rsidR="00F57BCC" w:rsidRPr="00770477">
        <w:rPr>
          <w:rFonts w:cs="Times New Roman"/>
        </w:rPr>
        <w:t xml:space="preserve">. </w:t>
      </w:r>
      <w:r w:rsidR="0082783F" w:rsidRPr="00770477">
        <w:rPr>
          <w:rFonts w:cs="Times New Roman"/>
        </w:rPr>
        <w:t>In 20</w:t>
      </w:r>
      <w:r w:rsidR="008422F6" w:rsidRPr="00770477">
        <w:rPr>
          <w:rFonts w:cs="Times New Roman"/>
        </w:rPr>
        <w:t>21</w:t>
      </w:r>
      <w:r w:rsidR="0082783F" w:rsidRPr="00770477">
        <w:rPr>
          <w:rFonts w:cs="Times New Roman"/>
        </w:rPr>
        <w:t xml:space="preserve">, </w:t>
      </w:r>
      <w:r w:rsidR="00A609FD" w:rsidRPr="00770477">
        <w:rPr>
          <w:rFonts w:cs="Times New Roman"/>
        </w:rPr>
        <w:t>nearly 1.9</w:t>
      </w:r>
      <w:r w:rsidR="008047F6" w:rsidRPr="00770477">
        <w:rPr>
          <w:rFonts w:cs="Times New Roman"/>
        </w:rPr>
        <w:t>5</w:t>
      </w:r>
      <w:r w:rsidR="00A609FD" w:rsidRPr="00770477">
        <w:rPr>
          <w:rFonts w:cs="Times New Roman"/>
        </w:rPr>
        <w:t xml:space="preserve"> billion tons of steel was produced</w:t>
      </w:r>
      <w:r w:rsidR="00B57852" w:rsidRPr="00770477">
        <w:rPr>
          <w:rFonts w:cs="Times New Roman"/>
        </w:rPr>
        <w:t xml:space="preserve"> globally</w:t>
      </w:r>
      <w:r w:rsidR="00A609FD" w:rsidRPr="00770477">
        <w:rPr>
          <w:rFonts w:cs="Times New Roman"/>
        </w:rPr>
        <w:t xml:space="preserve">, therefore by the estimations proposed by </w:t>
      </w:r>
      <w:r w:rsidR="00F034C1" w:rsidRPr="00770477">
        <w:rPr>
          <w:rFonts w:cs="Times New Roman"/>
        </w:rPr>
        <w:fldChar w:fldCharType="begin"/>
      </w:r>
      <w:r w:rsidR="002074AD">
        <w:rPr>
          <w:rFonts w:cs="Times New Roman"/>
        </w:rPr>
        <w:instrText xml:space="preserve"> ADDIN ZOTERO_ITEM CSL_CITATION {"citationID":"h6iEmWAF","properties":{"formattedCitation":"(Lobato et al., 2015)","plainCitation":"(Lobato et al., 2015)","dontUpdate":true,"noteIndex":0},"citationItems":[{"id":797,"uris":["http://zotero.org/users/8423188/items/9W4UEQFA"],"itemData":{"id":797,"type":"article-journal","container-title":"Resources, Conservation and Recycling","DOI":"10.1016/j.resconrec.2015.05.025","ISSN":"09213449","journalAbbreviation":"Resources, Conservation and Recycling","language":"en","page":"49-57","source":"DOI.org (Crossref)","title":"Management of solid wastes from steelmaking and galvanizing processes: A brief review","title-short":"Management of solid wastes from steelmaking and galvanizing processes","volume":"102","author":[{"family":"Lobato","given":"Natália Cristina Candian"},{"family":"Villegas","given":"Edwin Auza"},{"family":"Mansur","given":"Marcelo Borges"}],"issued":{"date-parts":[["2015",9]]}}}],"schema":"https://github.com/citation-style-language/schema/raw/master/csl-citation.json"} </w:instrText>
      </w:r>
      <w:r w:rsidR="00F034C1" w:rsidRPr="00770477">
        <w:rPr>
          <w:rFonts w:cs="Times New Roman"/>
        </w:rPr>
        <w:fldChar w:fldCharType="separate"/>
      </w:r>
      <w:r w:rsidR="00F034C1" w:rsidRPr="00770477">
        <w:rPr>
          <w:rFonts w:cs="Times New Roman"/>
        </w:rPr>
        <w:t>Lobato et al. (2015)</w:t>
      </w:r>
      <w:r w:rsidR="00F034C1" w:rsidRPr="00770477">
        <w:rPr>
          <w:rFonts w:cs="Times New Roman"/>
        </w:rPr>
        <w:fldChar w:fldCharType="end"/>
      </w:r>
      <w:r w:rsidR="00594026" w:rsidRPr="00770477">
        <w:rPr>
          <w:rFonts w:cs="Times New Roman"/>
        </w:rPr>
        <w:t>, slag production should be between 8.5 and 1.9</w:t>
      </w:r>
      <w:r w:rsidR="00286A63" w:rsidRPr="00770477">
        <w:rPr>
          <w:rFonts w:cs="Times New Roman"/>
        </w:rPr>
        <w:t>5</w:t>
      </w:r>
      <w:r w:rsidR="00594026" w:rsidRPr="00770477">
        <w:rPr>
          <w:rFonts w:cs="Times New Roman"/>
        </w:rPr>
        <w:t xml:space="preserve"> billion tons </w:t>
      </w:r>
      <w:r w:rsidR="00286A63" w:rsidRPr="00770477">
        <w:rPr>
          <w:rFonts w:cs="Times New Roman"/>
        </w:rPr>
        <w:fldChar w:fldCharType="begin"/>
      </w:r>
      <w:r w:rsidR="002074AD">
        <w:rPr>
          <w:rFonts w:cs="Times New Roman"/>
        </w:rPr>
        <w:instrText xml:space="preserve"> ADDIN ZOTERO_ITEM CSL_CITATION {"citationID":"1ondvrkT","properties":{"formattedCitation":"(\\uc0\\u8220{}2021 Global Steel Production,\\uc0\\u8221{} n.d.)","plainCitation":"(“2021 Global Steel Production,” n.d.)","noteIndex":0},"citationItems":[{"id":798,"uris":["http://zotero.org/users/8423188/items/3BLHJP8G"],"itemData":{"id":798,"type":"post-weblog","abstract":"World crude steel production for the 64 countries reporting to the World Steel Association (worldsteel) was 158.7 million tonnes (Mt) in December 2021, a 3.0% decrease compared to December 2020.","container-title":"worldsteel.org","language":"en-US","title":"December 2021 crude steel production and 2021 global crude steel production totals","title-short":"2021 Global Steel Production","URL":"https://worldsteel.org/media-centre/press-releases/2022/december-2021-crude-steel-production-and-2021-global-totals/","accessed":{"date-parts":[["2022",9,1]]}}}],"schema":"https://github.com/citation-style-language/schema/raw/master/csl-citation.json"} </w:instrText>
      </w:r>
      <w:r w:rsidR="00286A63" w:rsidRPr="00770477">
        <w:rPr>
          <w:rFonts w:cs="Times New Roman"/>
        </w:rPr>
        <w:fldChar w:fldCharType="separate"/>
      </w:r>
      <w:r w:rsidR="00E11E17" w:rsidRPr="00770477">
        <w:rPr>
          <w:rFonts w:cs="Times New Roman"/>
        </w:rPr>
        <w:t>(“2021 Global Steel Production,” n.d.)</w:t>
      </w:r>
      <w:r w:rsidR="00286A63" w:rsidRPr="00770477">
        <w:rPr>
          <w:rFonts w:cs="Times New Roman"/>
        </w:rPr>
        <w:fldChar w:fldCharType="end"/>
      </w:r>
      <w:r w:rsidR="00B57852" w:rsidRPr="00770477">
        <w:rPr>
          <w:rFonts w:cs="Times New Roman"/>
        </w:rPr>
        <w:t xml:space="preserve">. </w:t>
      </w:r>
      <w:r w:rsidR="00EA4F70" w:rsidRPr="00770477">
        <w:rPr>
          <w:rFonts w:cs="Times New Roman"/>
        </w:rPr>
        <w:t xml:space="preserve">There are many identified uses for slag, however, the </w:t>
      </w:r>
      <w:r w:rsidR="005C34C0" w:rsidRPr="00770477">
        <w:rPr>
          <w:rFonts w:cs="Times New Roman"/>
        </w:rPr>
        <w:t xml:space="preserve">simplest and most common disposal is into landfill </w:t>
      </w:r>
      <w:r w:rsidR="005C34C0" w:rsidRPr="00770477">
        <w:rPr>
          <w:rFonts w:cs="Times New Roman"/>
        </w:rPr>
        <w:fldChar w:fldCharType="begin"/>
      </w:r>
      <w:r w:rsidR="002074AD">
        <w:rPr>
          <w:rFonts w:cs="Times New Roman"/>
        </w:rPr>
        <w:instrText xml:space="preserve"> ADDIN ZOTERO_ITEM CSL_CITATION {"citationID":"yz2A21pq","properties":{"formattedCitation":"(X. Zhang et al., 2020)","plainCitation":"(X. Zhang et al., 2020)","noteIndex":0},"citationItems":[{"id":754,"uris":["http://zotero.org/users/8423188/items/LPU5MIDI"],"itemData":{"id":754,"type":"article-journal","abstract":"Along with iron and steel production, large amount of slag is generated. Proper management on the iron- and steelmaking slag is highly demanded due to the high cost of direct disposal of the slag to landﬁll, which is the most adopted management approach. In this article, the potential application of iron- and steelmaking slag has been reviewed, which included the slag utilization in construction as cement and sand, in water, soil, and gas treatment, as well as in value material recovery. In addition, the challenge and required effort to be made in iron- and steelmaking slag management have been discussed.","container-title":"Environ Geochem Health","DOI":"https://doi.org/10.1007/s10653-019-00419-y","language":"en","page":"1321-1334","source":"Zotero","title":"The potential utilization of slag generated from iron- and steelmaking industries: a review","volume":"42","author":[{"family":"Zhang","given":"Xiaolei"},{"family":"Chen","given":"Jiaxin"},{"family":"Jiang","given":"JingJing"},{"family":"Li","given":"Ji"},{"family":"Tyagi","given":"R.D."},{"family":"Surampalli","given":"Rao Y."}],"issued":{"date-parts":[["2020"]]}}}],"schema":"https://github.com/citation-style-language/schema/raw/master/csl-citation.json"} </w:instrText>
      </w:r>
      <w:r w:rsidR="005C34C0" w:rsidRPr="00770477">
        <w:rPr>
          <w:rFonts w:cs="Times New Roman"/>
        </w:rPr>
        <w:fldChar w:fldCharType="separate"/>
      </w:r>
      <w:r w:rsidR="00E11E17" w:rsidRPr="00770477">
        <w:rPr>
          <w:rFonts w:cs="Times New Roman"/>
        </w:rPr>
        <w:t>(X. Zhang et al., 2020)</w:t>
      </w:r>
      <w:r w:rsidR="005C34C0" w:rsidRPr="00770477">
        <w:rPr>
          <w:rFonts w:cs="Times New Roman"/>
        </w:rPr>
        <w:fldChar w:fldCharType="end"/>
      </w:r>
      <w:r w:rsidR="00D25E9B" w:rsidRPr="00770477">
        <w:rPr>
          <w:rFonts w:cs="Times New Roman"/>
        </w:rPr>
        <w:t xml:space="preserve">. Other </w:t>
      </w:r>
      <w:r w:rsidR="00181C0A" w:rsidRPr="00770477">
        <w:rPr>
          <w:rFonts w:cs="Times New Roman"/>
        </w:rPr>
        <w:t xml:space="preserve">uses include bases for various construction </w:t>
      </w:r>
      <w:r w:rsidR="00421A3F" w:rsidRPr="00770477">
        <w:rPr>
          <w:rFonts w:cs="Times New Roman"/>
        </w:rPr>
        <w:t>applications</w:t>
      </w:r>
      <w:r w:rsidR="008674DF" w:rsidRPr="00770477">
        <w:rPr>
          <w:rFonts w:cs="Times New Roman"/>
        </w:rPr>
        <w:t xml:space="preserve"> </w:t>
      </w:r>
      <w:r w:rsidR="00806DD1" w:rsidRPr="00770477">
        <w:rPr>
          <w:rFonts w:cs="Times New Roman"/>
        </w:rPr>
        <w:fldChar w:fldCharType="begin"/>
      </w:r>
      <w:r w:rsidR="002074AD">
        <w:rPr>
          <w:rFonts w:cs="Times New Roman"/>
        </w:rPr>
        <w:instrText xml:space="preserve"> ADDIN ZOTERO_ITEM CSL_CITATION {"citationID":"tSEYCsag","properties":{"formattedCitation":"(Biskri et al., 2017; Ferreira et al., 2016; Pasetto et al., 2017; Vijayaraghavan et al., 2017)","plainCitation":"(Biskri et al., 2017; Ferreira et al., 2016; Pasetto et al., 2017; Vijayaraghavan et al., 2017)","noteIndex":0},"citationItems":[{"id":851,"uris":["http://zotero.org/users/8423188/items/3VY82DRS"],"itemData":{"id":851,"type":"article-journal","container-title":"Construction and Building Materials","DOI":"10.1016/j.conbuildmat.2017.05.083","ISSN":"09500618","journalAbbreviation":"Construction and Building Materials","language":"en","page":"167-178","source":"DOI.org (Crossref)","title":"Mechanical and durability characteristics of High Performance Concrete containing steel slag and crystalized slag as aggregates","volume":"150","author":[{"family":"Biskri","given":"Yasmina"},{"family":"Achoura","given":"Djamel"},{"family":"Chelghoum","given":"Nourredine"},{"family":"Mouret","given":"Michel"}],"issued":{"date-parts":[["2017",9]]}}},{"id":852,"uris":["http://zotero.org/users/8423188/items/S8U5C8L8"],"itemData":{"id":852,"type":"article-journal","container-title":"Journal of Cleaner Production","DOI":"10.1016/j.jclepro.2015.08.094","ISSN":"09596526","journalAbbreviation":"Journal of Cleaner Production","language":"en","page":"175-186","source":"DOI.org (Crossref)","title":"Evaluation of the steel slag incorporation as coarse aggregate for road construction: technical requirements and environmental impact assessment","title-short":"Evaluation of the steel slag incorporation as coarse aggregate for road construction","volume":"130","author":[{"family":"Ferreira","given":"Victor J."},{"family":"Sáez-De-Guinoa Vilaplana","given":"Aitana"},{"family":"García-Armingol","given":"Tatiana"},{"family":"Aranda-Usón","given":"Alfonso"},{"family":"Lausín-González","given":"Cristina"},{"family":"López-Sabirón","given":"Ana M."},{"family":"Ferreira","given":"Germán"}],"issued":{"date-parts":[["2016",9]]}}},{"id":853,"uris":["http://zotero.org/users/8423188/items/N2FMZKZH"],"itemData":{"id":853,"type":"article-journal","container-title":"Journal of Cleaner Production","DOI":"10.1016/j.jclepro.2017.07.212","ISSN":"09596526","journalAbbreviation":"Journal of Cleaner Production","language":"en","page":"835-843","source":"DOI.org (Crossref)","title":"Sustainable solutions for road pavements: A multi-scale characterization of warm mix asphalts containing steel slags","title-short":"Sustainable solutions for road pavements","volume":"166","author":[{"family":"Pasetto","given":"M."},{"family":"Baliello","given":"A."},{"family":"Giacomello","given":"G."},{"family":"Pasquini","given":"E."}],"issued":{"date-parts":[["2017",11]]}}},{"id":854,"uris":["http://zotero.org/users/8423188/items/WVS6F9PW"],"itemData":{"id":854,"type":"article-journal","container-title":"Resources Policy","DOI":"10.1016/j.resourpol.2017.06.012","ISSN":"03014207","journalAbbreviation":"Resources Policy","language":"en","page":"219-225","source":"DOI.org (Crossref)","title":"Effect of copper slag, iron slag and recycled concrete aggregate on the mechanical properties of concrete","volume":"53","author":[{"family":"Vijayaraghavan","given":"J."},{"family":"Jude","given":"A. Belin"},{"family":"Thivya","given":"J."}],"issued":{"date-parts":[["2017",9]]}}}],"schema":"https://github.com/citation-style-language/schema/raw/master/csl-citation.json"} </w:instrText>
      </w:r>
      <w:r w:rsidR="00806DD1" w:rsidRPr="00770477">
        <w:rPr>
          <w:rFonts w:cs="Times New Roman"/>
        </w:rPr>
        <w:fldChar w:fldCharType="separate"/>
      </w:r>
      <w:r w:rsidR="00E11E17" w:rsidRPr="00770477">
        <w:rPr>
          <w:rFonts w:cs="Times New Roman"/>
        </w:rPr>
        <w:t>(Biskri et al., 2017; Ferreira et al., 2016; Pasetto et al., 2017; Vijayaraghavan et al., 2017)</w:t>
      </w:r>
      <w:r w:rsidR="00806DD1" w:rsidRPr="00770477">
        <w:rPr>
          <w:rFonts w:cs="Times New Roman"/>
        </w:rPr>
        <w:fldChar w:fldCharType="end"/>
      </w:r>
      <w:r w:rsidR="00455937" w:rsidRPr="00770477">
        <w:rPr>
          <w:rFonts w:cs="Times New Roman"/>
        </w:rPr>
        <w:t>, fertilizers and soil conditioning</w:t>
      </w:r>
      <w:r w:rsidR="000561A0" w:rsidRPr="00770477">
        <w:rPr>
          <w:rFonts w:cs="Times New Roman"/>
        </w:rPr>
        <w:t xml:space="preserve"> </w:t>
      </w:r>
      <w:r w:rsidR="000561A0" w:rsidRPr="00770477">
        <w:rPr>
          <w:rFonts w:cs="Times New Roman"/>
        </w:rPr>
        <w:fldChar w:fldCharType="begin"/>
      </w:r>
      <w:r w:rsidR="002074AD">
        <w:rPr>
          <w:rFonts w:cs="Times New Roman"/>
        </w:rPr>
        <w:instrText xml:space="preserve"> ADDIN ZOTERO_ITEM CSL_CITATION {"citationID":"Tlkk21Ol","properties":{"formattedCitation":"(Ali &amp; Shahram, 2007; Y. Li &amp; Dai, 2018; X. Wang &amp; Cai, 2006)","plainCitation":"(Ali &amp; Shahram, 2007; Y. Li &amp; Dai, 2018; X. Wang &amp; Cai, 2006)","noteIndex":0},"citationItems":[{"id":855,"uris":["http://zotero.org/users/8423188/items/9LMAP7MZ"],"itemData":{"id":855,"type":"article-journal","abstract":"Amelioration of acid soils with liming materials is a common practice. Some industrial byproducts are also being used as liming agent. The most important byproduct in amending acid soils is steelmaking basic slag. In this research, the possibility of using converter slag, as a soil amendment was investigated in three acid soils. Slag compound contains 52.8% CaO and 2.2% MgO plus large amounts of other elements such as Fe, P, Si, and Mn. First stage was incubation phase and treatments were 0, 0.5, 1, 2, 4, 8 and 16% (w/w) of converter slag kg-1 soil and soil moisture content was adjusted closer to field capacity. The changes in pH, EC and AB-DTPA-extractable Fe, Mn, Zn, P and K were determined after 1, 10, 30 and 60 days. Second phase was a greenhouse study that treatments with due attention to incubation results were determined on maize. Treatments were 0, 0.5, 1 and 2% w/w and 0, 1, 2 and 4% w/w of slag in rice field and tea orchard soils, respectively. Slag increased soil pH and the rate of increase was proportional to the amount of slag used. The slag decreased Fe availability at pH range of 7.4 8.5 but increased at higher pH, while use of slag proportionately increased the P and Mn availability. In greenhouse studies the application of 1 and 2% (w/w) of slag in tea garden soil and 0.5, 1 and 2% slag in rice field soil increased plant shoot dry yield and P and Mn uptake. Fe and K uptake increased in rice field, K uptake decreased in tea garden soil and Fe uptake was not changed. In conclusion, the converter slag was a suitable amendment for acid soils.","issue":"5","language":"en","page":"7","source":"Zotero","title":"Converter Slag as a Liming Agent in the Amelioration of Acidic Soils","volume":"9","author":[{"family":"Ali","given":"Mohammadi Torkashvand"},{"family":"Shahram","given":"Sedaghat Hoor"}],"issued":{"date-parts":[["2007"]]}}},{"id":857,"uris":["http://zotero.org/users/8423188/items/H5QJQKJ4"],"itemData":{"id":857,"type":"article-journal","container-title":"Journal of Cleaner Production","DOI":"10.1016/j.jclepro.2017.11.171","ISSN":"09596526","journalAbbreviation":"Journal of Cleaner Production","language":"en","page":"176-189","source":"DOI.org (Crossref)","title":"Modifying hot slag and converting it into value-added materials: A review","title-short":"Modifying hot slag and converting it into value-added materials","volume":"175","author":[{"family":"Li","given":"Yu"},{"family":"Dai","given":"Wen-Bin"}],"issued":{"date-parts":[["2018",2]]}}},{"id":858,"uris":["http://zotero.org/users/8423188/items/Q3NQL7XN"],"itemData":{"id":858,"type":"article-journal","container-title":"Pedosphere","DOI":"10.1016/S1002-0160(06)60083-0","ISSN":"10020160","issue":"4","journalAbbreviation":"Pedosphere","language":"en","page":"519-524","source":"DOI.org (Crossref)","title":"Steel Slag as an Iron Fertilizer for Corn Growth and Soil Improvement in a Pot Experiment","volume":"16","author":[{"family":"Wang","given":"Xian"},{"family":"Cai","given":"Qing-Sheng"}],"issued":{"date-parts":[["2006",8]]}}}],"schema":"https://github.com/citation-style-language/schema/raw/master/csl-citation.json"} </w:instrText>
      </w:r>
      <w:r w:rsidR="000561A0" w:rsidRPr="00770477">
        <w:rPr>
          <w:rFonts w:cs="Times New Roman"/>
        </w:rPr>
        <w:fldChar w:fldCharType="separate"/>
      </w:r>
      <w:r w:rsidR="00E11E17" w:rsidRPr="00770477">
        <w:rPr>
          <w:rFonts w:cs="Times New Roman"/>
        </w:rPr>
        <w:t>(Ali &amp; Shahram, 2007; Y. Li &amp; Dai, 2018; X. Wang &amp; Cai, 2006)</w:t>
      </w:r>
      <w:r w:rsidR="000561A0" w:rsidRPr="00770477">
        <w:rPr>
          <w:rFonts w:cs="Times New Roman"/>
        </w:rPr>
        <w:fldChar w:fldCharType="end"/>
      </w:r>
      <w:r w:rsidR="00455937" w:rsidRPr="00770477">
        <w:rPr>
          <w:rFonts w:cs="Times New Roman"/>
        </w:rPr>
        <w:t xml:space="preserve">, </w:t>
      </w:r>
      <w:r w:rsidR="00C6356A" w:rsidRPr="00770477">
        <w:rPr>
          <w:rFonts w:cs="Times New Roman"/>
        </w:rPr>
        <w:t xml:space="preserve">removal of </w:t>
      </w:r>
      <w:r w:rsidR="00455937" w:rsidRPr="00770477">
        <w:rPr>
          <w:rFonts w:cs="Times New Roman"/>
        </w:rPr>
        <w:t>heavy metal</w:t>
      </w:r>
      <w:r w:rsidR="00C6356A" w:rsidRPr="00770477">
        <w:rPr>
          <w:rFonts w:cs="Times New Roman"/>
        </w:rPr>
        <w:t>s</w:t>
      </w:r>
      <w:r w:rsidR="00455937" w:rsidRPr="00770477">
        <w:rPr>
          <w:rFonts w:cs="Times New Roman"/>
        </w:rPr>
        <w:t xml:space="preserve"> and phosphorus</w:t>
      </w:r>
      <w:r w:rsidR="00F866E3" w:rsidRPr="00770477">
        <w:rPr>
          <w:rFonts w:cs="Times New Roman"/>
        </w:rPr>
        <w:t xml:space="preserve"> from water</w:t>
      </w:r>
      <w:r w:rsidR="00C6356A" w:rsidRPr="00770477">
        <w:rPr>
          <w:rFonts w:cs="Times New Roman"/>
        </w:rPr>
        <w:t xml:space="preserve"> </w:t>
      </w:r>
      <w:r w:rsidR="004C233C" w:rsidRPr="00770477">
        <w:rPr>
          <w:rFonts w:cs="Times New Roman"/>
        </w:rPr>
        <w:fldChar w:fldCharType="begin"/>
      </w:r>
      <w:r w:rsidR="002074AD">
        <w:rPr>
          <w:rFonts w:cs="Times New Roman"/>
        </w:rPr>
        <w:instrText xml:space="preserve"> ADDIN ZOTERO_ITEM CSL_CITATION {"citationID":"uVLlTTMi","properties":{"formattedCitation":"(Kim et al., 2008; Piatak et al., 2019; Scott &amp; Penn, 2021; X. Wang &amp; Cai, 2006; Wu et al., 2014; F.-S. Zhang &amp; Itoh, 2006)","plainCitation":"(Kim et al., 2008; Piatak et al., 2019; Scott &amp; Penn, 2021; X. Wang &amp; Cai, 2006; Wu et al., 2014; F.-S. Zhang &amp; Itoh, 2006)","noteIndex":0},"citationItems":[{"id":810,"uris":["http://zotero.org/users/8423188/items/FBWVBIR8"],"itemData":{"id":810,"type":"article-journal","abstract":"Slag, which consists of calcium oxide, aluminium oxide, and other metal oxides, is an abundant by-product in steel-making process. It has been used as adsorbents to remove various heavy metals and the major removal mechanisms are precipitation and adsorption on the surface of metal oxide. However, the relative contribution of two removal mechanisms has not reported. In this study, the removal characteristics of copper were investigated in terms of sorption kinetics and sorption isotherms. As initial pH of solution increased, the sorption capacity of slags increased dramatically. We evaluated the relative contribution of two mechanisms in the copper removal by steel-making slag. At above pH 3.0, contribution of adsorption to overall removal of copper was less than 12%. As a result, most of copper was removed by slag as a form or copper hydroxide.","container-title":"Desalination","DOI":"10.1016/j.desal.2007.01.226","ISSN":"00119164","issue":"1-3","journalAbbreviation":"Desalination","language":"en","page":"283-289","source":"DOI.org (Crossref)","title":"Removal mechanisms of copper using steel-making slag: adsorption and precipitation","title-short":"Removal mechanisms of copper using steel-making slag","volume":"223","author":[{"family":"Kim","given":"Do-Hyung"},{"family":"Shin","given":"Min-Chul"},{"family":"Choi","given":"Hyun-Doc"},{"family":"Seo","given":"Chang-Il"},{"family":"Baek","given":"Kitae"}],"issued":{"date-parts":[["2008",3]]}}},{"id":806,"uris":["http://zotero.org/users/8423188/items/VVSD27TR"],"itemData":{"id":806,"type":"article-journal","abstract":"Iron and steel slags from legacy and modern operations in the Chicago-Gary area of Illinois and Indiana, USA, are predominantly composed of Ca (10–44 wt. % CaO), Fe (0.3–28 wt. % FeO), and Si (10–44 wt. % SiO2), with generally lesser amounts of Al (&lt;1–15 wt. % Al2O3), Mg (2–11 wt. % MgO), and Mn (0.3–9 wt. % MnO). Mineralogy is dominated by Ca ± Mg ± Al silicates, Fe ± Ca oxides, Ca-carbonates, and high-temperature SiO2 phases. Chromium and Mn concentrations in most samples may be environmentally signiﬁcant based on comparison with generic soil contaminant guidelines. However, simulated weathering tests suggest these elements are present in generally insoluble phases making their use in water treatment applications possible; however, the generation of high pH and alkaline solutions may be an issue. As for possible water treatment applications, batch and ﬂow-through experiments document eﬀective removal of phosphate from synthetic solutions for nearly all slag samples. Air-cooled ﬁne fractions (&lt;10 mm) of modern slag were most eﬀective; other types, including modern granulated, modern air-cooled coarse fractions (&gt;10 mm), and legacy slag removed phosphate, but to a lesser degree. An additional water treatment application is the use of slag to neutralize acidic waters. Most slag samples are extremely alkaline and have high net neutralization potentials (NNP) (400–830 kg CaCO3/t), with the highest approximately equivalent to 80% of the neutralization potential of calcite. Overall, phosphate removal capacity and NNP correlate positively with total Ca content and the dissolution of Ca minerals facilitates secondary Ca phosphate formation and consumes acid during hydrolysis. Utilizing locally available slag to treat waste or agricultural waters in this region may be a higher value alternative than use in construction, potentially oﬀsetting restoration costs to degraded legacy areas and decreasing steel manufacturers’ current waste footprint.","container-title":"Minerals","DOI":"10.3390/min9080468","ISSN":"2075-163X","issue":"8","journalAbbreviation":"Minerals","language":"en","page":"468","source":"DOI.org (Crossref)","title":"Geochemical Characterization of Iron and Steel Slag and Its Potential to Remove Phosphate and Neutralize Acid","volume":"9","author":[{"literal":"Piatak"},{"literal":"Ii"},{"literal":"Hoppe"},{"literal":"Green"},{"literal":"Buszka"}],"issued":{"date-parts":[["2019",7,31]]}}},{"id":331,"uris":["http://zotero.org/users/8423188/items/CSHY3DJB"],"itemData":{"id":331,"type":"article-journal","abstract":"Steel slag has been proven to be an effective phosphorus (P) removal media, and a potential aid to mitigate point and nonpoint P pollution in freshwater systems. However, the behavior of steel slag as a P sorption material (PSM) is often oversimpliﬁed through the generalization of its chemical and physical properties, preventing proper design of P removal structures. In this work, we tested eighteen steel slag samples from different batches, production processes, and steel-making plants, for the purpose of relating slag origin and chemical and physical properties to P removal ability, under two different ﬂow regimes. Slag samples were also coated with aluminum (Al) and tested for P removal. Characterization included elemental composition, particle density, buffer capacity, and P removal ability. There was great variability in the evaluated properties across slag sources and origin, compelling the individual characterization of steel slag samples, since their intrinsic characteristics were key variables in determining their potential P removal capacity. Speciﬁcally, electrical conductivity (EC), bulk density, particle density and magnesium (Mg) content could explain around 70% of the variability of P removal by uncoated steel slags. Increasing residence time (RT) always increased P removal for uncoated slags. Steel slags showed a high variability in their P removal ability, but such variability was considerably decreased by coating the slags with Al. Additionally, the Al-coating process signiﬁcantly improved P removal performance under more rapid ﬂows (lower RT).","container-title":"Chemosphere","DOI":"10.1016/j.chemosphere.2021.130205","ISSN":"00456535","journalAbbreviation":"Chemosphere","language":"en","page":"130205","source":"DOI.org (Crossref)","title":"Estimating the variability of steel slag properties and their influence in phosphorus removal ability","volume":"276","author":[{"family":"Scott","given":"Isis S.P.C."},{"family":"Penn","given":"Chad J."}],"issued":{"date-parts":[["2021",8]]}}},{"id":858,"uris":["http://zotero.org/users/8423188/items/Q3NQL7XN"],"itemData":{"id":858,"type":"article-journal","container-title":"Pedosphere","DOI":"10.1016/S1002-0160(06)60083-0","ISSN":"10020160","issue":"4","journalAbbreviation":"Pedosphere","language":"en","page":"519-524","source":"DOI.org (Crossref)","title":"Steel Slag as an Iron Fertilizer for Corn Growth and Soil Improvement in a Pot Experiment","volume":"16","author":[{"family":"Wang","given":"Xian"},{"family":"Cai","given":"Qing-Sheng"}],"issued":{"date-parts":[["2006",8]]}}},{"id":808,"uris":["http://zotero.org/users/8423188/items/PZWUBFQL"],"itemData":{"id":808,"type":"article-journal","container-title":"Applied Surface Science","DOI":"10.1016/j.apsusc.2014.06.154","ISSN":"01694332","journalAbbreviation":"Applied Surface Science","language":"en","page":"129-137","source":"DOI.org (Crossref)","title":"Pb(II) removal from aqueous solution by a low-cost adsorbent dry desulfurization slag","volume":"314","author":[{"family":"Wu","given":"Qiong"},{"family":"You","given":"Ruirong"},{"family":"Clark","given":"Malcolm"},{"family":"Yu","given":"Yan"}],"issued":{"date-parts":[["2014",9]]}}},{"id":807,"uris":["http://zotero.org/users/8423188/items/GFQI8RRA"],"itemData":{"id":807,"type":"article-journal","abstract":"Photocatalytic oxidation of arsenite and simultaneous removal of the generated arsenate from aqueous solution were investigated. The whole process was performed using an adsorbent developed by loading iron oxide and TiO2 on municipal solid waste melted slag. The loading was carried out through chemical reactions and high-temperature process. In the removal process, arsenite was ﬁrst oxidized to arsenate, and then was removed by adsorption. The oxidation of arsenite was rapid, but the adsorption of the generated arsenate was slow. A concentration of 100 mg lÀ1 arsenite could be entirely oxidized to arsenate within 3 h in the presence of the adsorbent and under UV-light irradiation, but the equilibrium adsorption of the generated arsenate needed 10 h. Arsenite could also be oxidized to arsenate only by UV-light, but the reaction rate was approximately 1/3 of that of the photocatalyzed reaction. Both acidic and alkaline conditions were favorable for the oxidation reaction, and the optimum pH value for the oxidation and adsorption was proposed to be around 3. To oxidize and remove original 20 mg lÀ1 or 50 mg lÀ1 arsenite from aqueous solution, the necessary adsorbent amount was 2 g lÀ1 or 5 g lÀ1, respectively. Furthermore, the surface properties of the adsorbent were examined and the oxidation mechanism of arsenite was discussed. It is believed that the adsorbent developed in this study is eﬃcient, cost-eﬀective and environment-friendly for application in arsenic-contaminated wastewater treatment.","container-title":"Chemosphere","DOI":"10.1016/j.chemosphere.2006.02.027","ISSN":"00456535","issue":"1","journalAbbreviation":"Chemosphere","language":"en","page":"125-131","source":"DOI.org (Crossref)","title":"Photocatalytic oxidation and removal of arsenite from water using slag-iron oxide-TiO2 adsorbent","volume":"65","author":[{"family":"Zhang","given":"Fu-Shen"},{"family":"Itoh","given":"Hideaki"}],"issued":{"date-parts":[["2006",9]]}}}],"schema":"https://github.com/citation-style-language/schema/raw/master/csl-citation.json"} </w:instrText>
      </w:r>
      <w:r w:rsidR="004C233C" w:rsidRPr="00770477">
        <w:rPr>
          <w:rFonts w:cs="Times New Roman"/>
        </w:rPr>
        <w:fldChar w:fldCharType="separate"/>
      </w:r>
      <w:r w:rsidR="00E11E17" w:rsidRPr="00770477">
        <w:rPr>
          <w:rFonts w:cs="Times New Roman"/>
        </w:rPr>
        <w:t xml:space="preserve">(Kim et al., 2008; Piatak et al., 2019; Scott </w:t>
      </w:r>
      <w:r w:rsidR="00E11E17" w:rsidRPr="00770477">
        <w:rPr>
          <w:rFonts w:cs="Times New Roman"/>
        </w:rPr>
        <w:lastRenderedPageBreak/>
        <w:t>&amp; Penn, 2021; X. Wang &amp; Cai, 2006; Wu et al., 2014; F.-S. Zhang &amp; Itoh, 2006)</w:t>
      </w:r>
      <w:r w:rsidR="004C233C" w:rsidRPr="00770477">
        <w:rPr>
          <w:rFonts w:cs="Times New Roman"/>
        </w:rPr>
        <w:fldChar w:fldCharType="end"/>
      </w:r>
      <w:r w:rsidR="00F866E3" w:rsidRPr="00770477">
        <w:rPr>
          <w:rFonts w:cs="Times New Roman"/>
        </w:rPr>
        <w:t>, as a neutralizing agent for acid mine drainage</w:t>
      </w:r>
      <w:r w:rsidR="00CF687D" w:rsidRPr="00770477">
        <w:rPr>
          <w:rFonts w:cs="Times New Roman"/>
        </w:rPr>
        <w:t xml:space="preserve"> </w:t>
      </w:r>
      <w:r w:rsidR="00CF687D" w:rsidRPr="00770477">
        <w:rPr>
          <w:rFonts w:cs="Times New Roman"/>
        </w:rPr>
        <w:fldChar w:fldCharType="begin"/>
      </w:r>
      <w:r w:rsidR="002074AD">
        <w:rPr>
          <w:rFonts w:cs="Times New Roman"/>
        </w:rPr>
        <w:instrText xml:space="preserve"> ADDIN ZOTERO_ITEM CSL_CITATION {"citationID":"sgjd5WXr","properties":{"formattedCitation":"(Goetz &amp; Riefler, 2014; Moodley et al., 2018)","plainCitation":"(Goetz &amp; Riefler, 2014; Moodley et al., 2018)","noteIndex":0},"citationItems":[{"id":859,"uris":["http://zotero.org/users/8423188/items/EF8L7SA3"],"itemData":{"id":859,"type":"article-journal","container-title":"Chemical Engineering Journal","DOI":"10.1016/j.cej.2013.10.080","ISSN":"13858947","journalAbbreviation":"Chemical Engineering Journal","language":"en","page":"579-588","source":"DOI.org (Crossref)","title":"Performance of steel slag leach beds in acid mine drainage treatment","volume":"240","author":[{"family":"Goetz","given":"Elaine R."},{"family":"Riefler","given":"R. Guy"}],"issued":{"date-parts":[["2014",3]]}}},{"id":860,"uris":["http://zotero.org/users/8423188/items/AGSQ7CTW"],"itemData":{"id":860,"type":"article-journal","container-title":"Minerals Engineering","DOI":"10.1016/j.mineng.2017.08.008","ISSN":"08926875","journalAbbreviation":"Minerals Engineering","language":"en","page":"207-220","source":"DOI.org (Crossref)","title":"Environmentally sustainable acid mine drainage remediation: Research developments with a focus on waste/by-products","title-short":"Environmentally sustainable acid mine drainage remediation","volume":"126","author":[{"family":"Moodley","given":"I."},{"family":"Sheridan","given":"C.M."},{"family":"Kappelmeyer","given":"U."},{"family":"Akcil","given":"A."}],"issued":{"date-parts":[["2018",9]]}}}],"schema":"https://github.com/citation-style-language/schema/raw/master/csl-citation.json"} </w:instrText>
      </w:r>
      <w:r w:rsidR="00CF687D" w:rsidRPr="00770477">
        <w:rPr>
          <w:rFonts w:cs="Times New Roman"/>
        </w:rPr>
        <w:fldChar w:fldCharType="separate"/>
      </w:r>
      <w:r w:rsidR="00E11E17" w:rsidRPr="00770477">
        <w:rPr>
          <w:rFonts w:cs="Times New Roman"/>
        </w:rPr>
        <w:t>(Goetz &amp; Riefler, 2014; Moodley et al., 2018)</w:t>
      </w:r>
      <w:r w:rsidR="00CF687D" w:rsidRPr="00770477">
        <w:rPr>
          <w:rFonts w:cs="Times New Roman"/>
        </w:rPr>
        <w:fldChar w:fldCharType="end"/>
      </w:r>
      <w:r w:rsidR="00F866E3" w:rsidRPr="00770477">
        <w:rPr>
          <w:rFonts w:cs="Times New Roman"/>
        </w:rPr>
        <w:t>, and for carbon dioxide fixation</w:t>
      </w:r>
      <w:r w:rsidR="00CC0FFE" w:rsidRPr="00770477">
        <w:rPr>
          <w:rFonts w:cs="Times New Roman"/>
        </w:rPr>
        <w:t xml:space="preserve"> </w:t>
      </w:r>
      <w:r w:rsidR="00423D2B" w:rsidRPr="00770477">
        <w:rPr>
          <w:rFonts w:cs="Times New Roman"/>
        </w:rPr>
        <w:fldChar w:fldCharType="begin"/>
      </w:r>
      <w:r w:rsidR="002074AD">
        <w:rPr>
          <w:rFonts w:cs="Times New Roman"/>
        </w:rPr>
        <w:instrText xml:space="preserve"> ADDIN ZOTERO_ITEM CSL_CITATION {"citationID":"FI4Yq6eK","properties":{"formattedCitation":"(S.-Y. Pan et al., 2016)","plainCitation":"(S.-Y. Pan et al., 2016)","noteIndex":0},"citationItems":[{"id":861,"uris":["http://zotero.org/users/8423188/items/D7E9BQYD"],"itemData":{"id":861,"type":"article-journal","container-title":"Journal of Cleaner Production","DOI":"10.1016/j.jclepro.2016.07.112","ISSN":"09596526","journalAbbreviation":"Journal of Cleaner Production","language":"en","page":"617-631","source":"DOI.org (Crossref)","title":"Integrated and innovative steel slag utilization for iron reclamation, green material production and CO2 fixation via accelerated carbonation","volume":"137","author":[{"family":"Pan","given":"Shu-Yuan"},{"family":"Adhikari","given":"Rahul"},{"family":"Chen","given":"Yi-Hung"},{"family":"Li","given":"Ping"},{"family":"Chiang","given":"Pen-Chi"}],"issued":{"date-parts":[["2016",11]]}}}],"schema":"https://github.com/citation-style-language/schema/raw/master/csl-citation.json"} </w:instrText>
      </w:r>
      <w:r w:rsidR="00423D2B" w:rsidRPr="00770477">
        <w:rPr>
          <w:rFonts w:cs="Times New Roman"/>
        </w:rPr>
        <w:fldChar w:fldCharType="separate"/>
      </w:r>
      <w:r w:rsidR="00E11E17" w:rsidRPr="00770477">
        <w:rPr>
          <w:rFonts w:cs="Times New Roman"/>
        </w:rPr>
        <w:t>(S.-Y. Pan et al., 2016)</w:t>
      </w:r>
      <w:r w:rsidR="00423D2B" w:rsidRPr="00770477">
        <w:rPr>
          <w:rFonts w:cs="Times New Roman"/>
        </w:rPr>
        <w:fldChar w:fldCharType="end"/>
      </w:r>
      <w:r w:rsidR="00F866E3" w:rsidRPr="00770477">
        <w:rPr>
          <w:rFonts w:cs="Times New Roman"/>
        </w:rPr>
        <w:t xml:space="preserve">. </w:t>
      </w:r>
      <w:r w:rsidR="005756AD" w:rsidRPr="00770477">
        <w:rPr>
          <w:rFonts w:cs="Times New Roman"/>
        </w:rPr>
        <w:t xml:space="preserve">Additionally, </w:t>
      </w:r>
      <w:r w:rsidR="00DE5A38" w:rsidRPr="00770477">
        <w:rPr>
          <w:rFonts w:cs="Times New Roman"/>
        </w:rPr>
        <w:t xml:space="preserve">reclaiming elements from the slag itself </w:t>
      </w:r>
      <w:r w:rsidR="00787284" w:rsidRPr="00770477">
        <w:rPr>
          <w:rFonts w:cs="Times New Roman"/>
        </w:rPr>
        <w:t>to be re-used in the steel-making process</w:t>
      </w:r>
      <w:r w:rsidR="002465C2" w:rsidRPr="00770477">
        <w:rPr>
          <w:rFonts w:cs="Times New Roman"/>
        </w:rPr>
        <w:t xml:space="preserve"> is seen as a potential use or reuse of </w:t>
      </w:r>
      <w:r w:rsidR="008A162C" w:rsidRPr="00770477">
        <w:rPr>
          <w:rFonts w:cs="Times New Roman"/>
        </w:rPr>
        <w:t>iron slag</w:t>
      </w:r>
      <w:r w:rsidR="006A442C" w:rsidRPr="00770477">
        <w:rPr>
          <w:rFonts w:cs="Times New Roman"/>
        </w:rPr>
        <w:t xml:space="preserve"> </w:t>
      </w:r>
      <w:r w:rsidR="006A442C" w:rsidRPr="00770477">
        <w:rPr>
          <w:rFonts w:cs="Times New Roman"/>
        </w:rPr>
        <w:fldChar w:fldCharType="begin"/>
      </w:r>
      <w:r w:rsidR="002074AD">
        <w:rPr>
          <w:rFonts w:cs="Times New Roman"/>
        </w:rPr>
        <w:instrText xml:space="preserve"> ADDIN ZOTERO_ITEM CSL_CITATION {"citationID":"LOm3kadW","properties":{"formattedCitation":"(Lan et al., 2017)","plainCitation":"(Lan et al., 2017)","noteIndex":0},"citationItems":[{"id":862,"uris":["http://zotero.org/users/8423188/items/3P9B3JRS"],"itemData":{"id":862,"type":"article-journal","container-title":"Journal of Iron and Steel Research International","DOI":"10.1016/S1006-706X(17)30023-7","ISSN":"1006-706X, 2210-3988","issue":"2","journalAbbreviation":"J. Iron Steel Res. Int.","language":"en","page":"165-170","source":"DOI.org (Crossref)","title":"Optimization of magnetic separation process for iron recovery from steel slag","volume":"24","author":[{"family":"Lan","given":"Yuan-pei"},{"family":"Liu","given":"Qing-cai"},{"family":"Meng","given":"Fei"},{"family":"Niu","given":"De-liang"},{"family":"Zhao","given":"Heng"}],"issued":{"date-parts":[["2017",2]]}}}],"schema":"https://github.com/citation-style-language/schema/raw/master/csl-citation.json"} </w:instrText>
      </w:r>
      <w:r w:rsidR="006A442C" w:rsidRPr="00770477">
        <w:rPr>
          <w:rFonts w:cs="Times New Roman"/>
        </w:rPr>
        <w:fldChar w:fldCharType="separate"/>
      </w:r>
      <w:r w:rsidR="00E11E17" w:rsidRPr="00770477">
        <w:rPr>
          <w:rFonts w:cs="Times New Roman"/>
        </w:rPr>
        <w:t>(Lan et al., 2017)</w:t>
      </w:r>
      <w:r w:rsidR="006A442C" w:rsidRPr="00770477">
        <w:rPr>
          <w:rFonts w:cs="Times New Roman"/>
        </w:rPr>
        <w:fldChar w:fldCharType="end"/>
      </w:r>
      <w:r w:rsidR="00EE11BF" w:rsidRPr="00770477">
        <w:rPr>
          <w:rFonts w:cs="Times New Roman"/>
        </w:rPr>
        <w:t xml:space="preserve">. </w:t>
      </w:r>
      <w:r w:rsidR="00330CDA" w:rsidRPr="00770477">
        <w:rPr>
          <w:rFonts w:cs="Times New Roman"/>
        </w:rPr>
        <w:t>Reclaiming elements from slag</w:t>
      </w:r>
      <w:r w:rsidR="00EE11BF" w:rsidRPr="00770477">
        <w:rPr>
          <w:rFonts w:cs="Times New Roman"/>
        </w:rPr>
        <w:t xml:space="preserve"> usually requires </w:t>
      </w:r>
      <w:r w:rsidR="001E2BDF" w:rsidRPr="00770477">
        <w:rPr>
          <w:rFonts w:cs="Times New Roman"/>
        </w:rPr>
        <w:t>pre-treatment which can release not only the desired metals, but other toxic metals</w:t>
      </w:r>
      <w:r w:rsidR="008C0A03" w:rsidRPr="00770477">
        <w:rPr>
          <w:rFonts w:cs="Times New Roman"/>
        </w:rPr>
        <w:t>,</w:t>
      </w:r>
      <w:r w:rsidR="001F1A82" w:rsidRPr="00770477">
        <w:rPr>
          <w:rFonts w:cs="Times New Roman"/>
        </w:rPr>
        <w:t xml:space="preserve"> </w:t>
      </w:r>
      <w:r w:rsidR="007D4E4D" w:rsidRPr="00770477">
        <w:rPr>
          <w:rFonts w:cs="Times New Roman"/>
        </w:rPr>
        <w:t xml:space="preserve">creating an environmental concern </w:t>
      </w:r>
      <w:r w:rsidR="0060255C" w:rsidRPr="00770477">
        <w:rPr>
          <w:rFonts w:cs="Times New Roman"/>
        </w:rPr>
        <w:fldChar w:fldCharType="begin"/>
      </w:r>
      <w:r w:rsidR="002074AD">
        <w:rPr>
          <w:rFonts w:cs="Times New Roman"/>
        </w:rPr>
        <w:instrText xml:space="preserve"> ADDIN ZOTERO_ITEM CSL_CITATION {"citationID":"ouNtu46X","properties":{"formattedCitation":"(Baciocchi et al., 2015; Gomes &amp; Pinto, 2006)","plainCitation":"(Baciocchi et al., 2015; Gomes &amp; Pinto, 2006)","noteIndex":0},"citationItems":[{"id":863,"uris":["http://zotero.org/users/8423188/items/CLMY5663"],"itemData":{"id":863,"type":"article-journal","container-title":"Journal of Hazardous Materials","DOI":"10.1016/j.jhazmat.2014.12.059","ISSN":"03043894","journalAbbreviation":"Journal of Hazardous Materials","language":"en","page":"369-378","source":"DOI.org (Crossref)","title":"Effects of thin-film accelerated carbonation on steel slag leaching","volume":"286","author":[{"family":"Baciocchi","given":"R."},{"family":"Costa","given":"G."},{"family":"Polettini","given":"A."},{"family":"Pomi","given":"R."}],"issued":{"date-parts":[["2015",4]]}}},{"id":864,"uris":["http://zotero.org/users/8423188/items/YFF8GH7J"],"itemData":{"id":864,"type":"article-journal","container-title":"Revista de Metalurgia","DOI":"10.3989/revmetalm.2006.v42.i6.39","ISSN":"1988-4222, 0034-8570","issue":"6","journalAbbreviation":"Rev. metal.","language":"en","page":"409-416","source":"DOI.org (Crossref)","title":"Leaching of heavy metals from steelmaking slags","volume":"42","author":[{"family":"Gomes","given":"J. F. P"},{"family":"Pinto","given":"C. G."}],"issued":{"date-parts":[["2006",12,30]]}}}],"schema":"https://github.com/citation-style-language/schema/raw/master/csl-citation.json"} </w:instrText>
      </w:r>
      <w:r w:rsidR="0060255C" w:rsidRPr="00770477">
        <w:rPr>
          <w:rFonts w:cs="Times New Roman"/>
        </w:rPr>
        <w:fldChar w:fldCharType="separate"/>
      </w:r>
      <w:r w:rsidR="00E11E17" w:rsidRPr="00770477">
        <w:rPr>
          <w:rFonts w:cs="Times New Roman"/>
        </w:rPr>
        <w:t>(Baciocchi et al., 2015; Gomes &amp; Pinto, 2006)</w:t>
      </w:r>
      <w:r w:rsidR="0060255C" w:rsidRPr="00770477">
        <w:rPr>
          <w:rFonts w:cs="Times New Roman"/>
        </w:rPr>
        <w:fldChar w:fldCharType="end"/>
      </w:r>
      <w:r w:rsidR="00C02450" w:rsidRPr="00770477">
        <w:rPr>
          <w:rFonts w:cs="Times New Roman"/>
        </w:rPr>
        <w:t xml:space="preserve">. </w:t>
      </w:r>
      <w:r w:rsidR="00E20266" w:rsidRPr="00770477">
        <w:rPr>
          <w:rFonts w:cs="Times New Roman"/>
        </w:rPr>
        <w:fldChar w:fldCharType="begin"/>
      </w:r>
      <w:r w:rsidR="002074AD">
        <w:rPr>
          <w:rFonts w:cs="Times New Roman"/>
        </w:rPr>
        <w:instrText xml:space="preserve"> ADDIN ZOTERO_ITEM CSL_CITATION {"citationID":"3IliBIM9","properties":{"formattedCitation":"(Piatak et al., 2019)","plainCitation":"(Piatak et al., 2019)","dontUpdate":true,"noteIndex":0},"citationItems":[{"id":806,"uris":["http://zotero.org/users/8423188/items/VVSD27TR"],"itemData":{"id":806,"type":"article-journal","abstract":"Iron and steel slags from legacy and modern operations in the Chicago-Gary area of Illinois and Indiana, USA, are predominantly composed of Ca (10–44 wt. % CaO), Fe (0.3–28 wt. % FeO), and Si (10–44 wt. % SiO2), with generally lesser amounts of Al (&lt;1–15 wt. % Al2O3), Mg (2–11 wt. % MgO), and Mn (0.3–9 wt. % MnO). Mineralogy is dominated by Ca ± Mg ± Al silicates, Fe ± Ca oxides, Ca-carbonates, and high-temperature SiO2 phases. Chromium and Mn concentrations in most samples may be environmentally signiﬁcant based on comparison with generic soil contaminant guidelines. However, simulated weathering tests suggest these elements are present in generally insoluble phases making their use in water treatment applications possible; however, the generation of high pH and alkaline solutions may be an issue. As for possible water treatment applications, batch and ﬂow-through experiments document eﬀective removal of phosphate from synthetic solutions for nearly all slag samples. Air-cooled ﬁne fractions (&lt;10 mm) of modern slag were most eﬀective; other types, including modern granulated, modern air-cooled coarse fractions (&gt;10 mm), and legacy slag removed phosphate, but to a lesser degree. An additional water treatment application is the use of slag to neutralize acidic waters. Most slag samples are extremely alkaline and have high net neutralization potentials (NNP) (400–830 kg CaCO3/t), with the highest approximately equivalent to 80% of the neutralization potential of calcite. Overall, phosphate removal capacity and NNP correlate positively with total Ca content and the dissolution of Ca minerals facilitates secondary Ca phosphate formation and consumes acid during hydrolysis. Utilizing locally available slag to treat waste or agricultural waters in this region may be a higher value alternative than use in construction, potentially oﬀsetting restoration costs to degraded legacy areas and decreasing steel manufacturers’ current waste footprint.","container-title":"Minerals","DOI":"10.3390/min9080468","ISSN":"2075-163X","issue":"8","journalAbbreviation":"Minerals","language":"en","page":"468","source":"DOI.org (Crossref)","title":"Geochemical Characterization of Iron and Steel Slag and Its Potential to Remove Phosphate and Neutralize Acid","volume":"9","author":[{"literal":"Piatak"},{"literal":"Ii"},{"literal":"Hoppe"},{"literal":"Green"},{"literal":"Buszka"}],"issued":{"date-parts":[["2019",7,31]]}}}],"schema":"https://github.com/citation-style-language/schema/raw/master/csl-citation.json"} </w:instrText>
      </w:r>
      <w:r w:rsidR="00E20266" w:rsidRPr="00770477">
        <w:rPr>
          <w:rFonts w:cs="Times New Roman"/>
        </w:rPr>
        <w:fldChar w:fldCharType="separate"/>
      </w:r>
      <w:r w:rsidR="00E20266" w:rsidRPr="00770477">
        <w:rPr>
          <w:rFonts w:cs="Times New Roman"/>
        </w:rPr>
        <w:t xml:space="preserve">Piatak et al. </w:t>
      </w:r>
      <w:r w:rsidR="00CA1DBB" w:rsidRPr="00770477">
        <w:rPr>
          <w:rFonts w:cs="Times New Roman"/>
        </w:rPr>
        <w:t>(</w:t>
      </w:r>
      <w:r w:rsidR="00E20266" w:rsidRPr="00770477">
        <w:rPr>
          <w:rFonts w:cs="Times New Roman"/>
        </w:rPr>
        <w:t>2019)</w:t>
      </w:r>
      <w:r w:rsidR="00E20266" w:rsidRPr="00770477">
        <w:rPr>
          <w:rFonts w:cs="Times New Roman"/>
        </w:rPr>
        <w:fldChar w:fldCharType="end"/>
      </w:r>
      <w:r w:rsidR="008C0A03" w:rsidRPr="00770477">
        <w:rPr>
          <w:rFonts w:cs="Times New Roman"/>
        </w:rPr>
        <w:t xml:space="preserve"> shows</w:t>
      </w:r>
      <w:r w:rsidR="00505F59" w:rsidRPr="00770477">
        <w:rPr>
          <w:rFonts w:cs="Times New Roman"/>
        </w:rPr>
        <w:t xml:space="preserve">, however, that </w:t>
      </w:r>
      <w:r w:rsidR="006B3B0E" w:rsidRPr="00770477">
        <w:rPr>
          <w:rFonts w:cs="Times New Roman"/>
        </w:rPr>
        <w:t xml:space="preserve">ferrous slag, compared to non-ferrous slag </w:t>
      </w:r>
      <w:r w:rsidR="005C1F4B" w:rsidRPr="00770477">
        <w:rPr>
          <w:rFonts w:cs="Times New Roman"/>
        </w:rPr>
        <w:t>is</w:t>
      </w:r>
      <w:r w:rsidR="006B3B0E" w:rsidRPr="00770477">
        <w:rPr>
          <w:rFonts w:cs="Times New Roman"/>
        </w:rPr>
        <w:t xml:space="preserve"> more environmentally safe for different forms of reuse. </w:t>
      </w:r>
      <w:r w:rsidR="00DB6D3F" w:rsidRPr="00770477">
        <w:rPr>
          <w:rFonts w:cs="Times New Roman"/>
        </w:rPr>
        <w:fldChar w:fldCharType="begin"/>
      </w:r>
      <w:r w:rsidR="00DB6D3F" w:rsidRPr="00770477">
        <w:rPr>
          <w:rFonts w:cs="Times New Roman"/>
        </w:rPr>
        <w:instrText xml:space="preserve"> REF _Ref115195519 \h </w:instrText>
      </w:r>
      <w:r w:rsidR="00770477">
        <w:rPr>
          <w:rFonts w:cs="Times New Roman"/>
        </w:rPr>
        <w:instrText xml:space="preserve"> \* MERGEFORMAT </w:instrText>
      </w:r>
      <w:r w:rsidR="00DB6D3F" w:rsidRPr="00770477">
        <w:rPr>
          <w:rFonts w:cs="Times New Roman"/>
        </w:rPr>
      </w:r>
      <w:r w:rsidR="00DB6D3F" w:rsidRPr="00770477">
        <w:rPr>
          <w:rFonts w:cs="Times New Roman"/>
        </w:rPr>
        <w:fldChar w:fldCharType="separate"/>
      </w:r>
      <w:r w:rsidR="00061096" w:rsidRPr="00770477">
        <w:rPr>
          <w:rFonts w:cs="Times New Roman"/>
        </w:rPr>
        <w:t xml:space="preserve">Table </w:t>
      </w:r>
      <w:r w:rsidR="00061096">
        <w:rPr>
          <w:rFonts w:cs="Times New Roman"/>
          <w:noProof/>
        </w:rPr>
        <w:t>1</w:t>
      </w:r>
      <w:r w:rsidR="00061096">
        <w:rPr>
          <w:rFonts w:cs="Times New Roman"/>
          <w:noProof/>
        </w:rPr>
        <w:noBreakHyphen/>
        <w:t>6</w:t>
      </w:r>
      <w:r w:rsidR="00DB6D3F" w:rsidRPr="00770477">
        <w:rPr>
          <w:rFonts w:cs="Times New Roman"/>
        </w:rPr>
        <w:fldChar w:fldCharType="end"/>
      </w:r>
      <w:r w:rsidR="00DB6D3F" w:rsidRPr="00770477">
        <w:rPr>
          <w:rFonts w:cs="Times New Roman"/>
        </w:rPr>
        <w:t xml:space="preserve"> </w:t>
      </w:r>
      <w:r w:rsidR="000B5172" w:rsidRPr="00770477">
        <w:rPr>
          <w:rFonts w:cs="Times New Roman"/>
        </w:rPr>
        <w:t xml:space="preserve">taken from </w:t>
      </w:r>
      <w:r w:rsidR="00D35CD7" w:rsidRPr="00770477">
        <w:rPr>
          <w:rFonts w:cs="Times New Roman"/>
        </w:rPr>
        <w:fldChar w:fldCharType="begin"/>
      </w:r>
      <w:r w:rsidR="002074AD">
        <w:rPr>
          <w:rFonts w:cs="Times New Roman"/>
        </w:rPr>
        <w:instrText xml:space="preserve"> ADDIN ZOTERO_ITEM CSL_CITATION {"citationID":"kycaJrLg","properties":{"formattedCitation":"(X. Zhang et al., 2020)","plainCitation":"(X. Zhang et al., 2020)","dontUpdate":true,"noteIndex":0},"citationItems":[{"id":754,"uris":["http://zotero.org/users/8423188/items/LPU5MIDI"],"itemData":{"id":754,"type":"article-journal","abstract":"Along with iron and steel production, large amount of slag is generated. Proper management on the iron- and steelmaking slag is highly demanded due to the high cost of direct disposal of the slag to landﬁll, which is the most adopted management approach. In this article, the potential application of iron- and steelmaking slag has been reviewed, which included the slag utilization in construction as cement and sand, in water, soil, and gas treatment, as well as in value material recovery. In addition, the challenge and required effort to be made in iron- and steelmaking slag management have been discussed.","container-title":"Environ Geochem Health","DOI":"https://doi.org/10.1007/s10653-019-00419-y","language":"en","page":"1321-1334","source":"Zotero","title":"The potential utilization of slag generated from iron- and steelmaking industries: a review","volume":"42","author":[{"family":"Zhang","given":"Xiaolei"},{"family":"Chen","given":"Jiaxin"},{"family":"Jiang","given":"JingJing"},{"family":"Li","given":"Ji"},{"family":"Tyagi","given":"R.D."},{"family":"Surampalli","given":"Rao Y."}],"issued":{"date-parts":[["2020"]]}}}],"schema":"https://github.com/citation-style-language/schema/raw/master/csl-citation.json"} </w:instrText>
      </w:r>
      <w:r w:rsidR="00D35CD7" w:rsidRPr="00770477">
        <w:rPr>
          <w:rFonts w:cs="Times New Roman"/>
        </w:rPr>
        <w:fldChar w:fldCharType="separate"/>
      </w:r>
      <w:r w:rsidR="00D35CD7" w:rsidRPr="00770477">
        <w:rPr>
          <w:rFonts w:cs="Times New Roman"/>
        </w:rPr>
        <w:t>X. Zhang et al. (2020)</w:t>
      </w:r>
      <w:r w:rsidR="00D35CD7" w:rsidRPr="00770477">
        <w:rPr>
          <w:rFonts w:cs="Times New Roman"/>
        </w:rPr>
        <w:fldChar w:fldCharType="end"/>
      </w:r>
      <w:r w:rsidR="00D35CD7" w:rsidRPr="00770477">
        <w:rPr>
          <w:rFonts w:cs="Times New Roman"/>
        </w:rPr>
        <w:t xml:space="preserve"> shows the compositional breakdown of the two major types of </w:t>
      </w:r>
      <w:r w:rsidR="00CB4FC4" w:rsidRPr="00770477">
        <w:rPr>
          <w:rFonts w:cs="Times New Roman"/>
        </w:rPr>
        <w:t>slag.</w:t>
      </w:r>
    </w:p>
    <w:p w14:paraId="1380B3C3" w14:textId="15492971" w:rsidR="005B1A35" w:rsidRPr="00770477" w:rsidRDefault="005A395F" w:rsidP="005A395F">
      <w:pPr>
        <w:spacing w:line="240" w:lineRule="auto"/>
        <w:rPr>
          <w:rFonts w:cs="Times New Roman"/>
        </w:rPr>
      </w:pPr>
      <w:r w:rsidRPr="00770477">
        <w:rPr>
          <w:rFonts w:cs="Times New Roman"/>
        </w:rPr>
        <w:br w:type="page"/>
      </w:r>
    </w:p>
    <w:p w14:paraId="0C5E56AE" w14:textId="424CC59C" w:rsidR="00217702" w:rsidRPr="00770477" w:rsidRDefault="00217702" w:rsidP="00217702">
      <w:pPr>
        <w:pStyle w:val="Caption"/>
        <w:keepNext/>
        <w:rPr>
          <w:rFonts w:cs="Times New Roman"/>
        </w:rPr>
      </w:pPr>
      <w:bookmarkStart w:id="19" w:name="_Ref115195519"/>
      <w:bookmarkStart w:id="20" w:name="_Toc121495929"/>
      <w:r w:rsidRPr="00770477">
        <w:rPr>
          <w:rFonts w:cs="Times New Roman"/>
        </w:rPr>
        <w:lastRenderedPageBreak/>
        <w:t xml:space="preserve">Table </w:t>
      </w:r>
      <w:r w:rsidR="00B26DDF">
        <w:rPr>
          <w:rFonts w:cs="Times New Roman"/>
        </w:rPr>
        <w:fldChar w:fldCharType="begin"/>
      </w:r>
      <w:r w:rsidR="00B26DDF">
        <w:rPr>
          <w:rFonts w:cs="Times New Roman"/>
        </w:rPr>
        <w:instrText xml:space="preserve"> STYLEREF 1 \s </w:instrText>
      </w:r>
      <w:r w:rsidR="00B26DDF">
        <w:rPr>
          <w:rFonts w:cs="Times New Roman"/>
        </w:rPr>
        <w:fldChar w:fldCharType="separate"/>
      </w:r>
      <w:r w:rsidR="00061096">
        <w:rPr>
          <w:rFonts w:cs="Times New Roman"/>
          <w:noProof/>
        </w:rPr>
        <w:t>1</w:t>
      </w:r>
      <w:r w:rsidR="00B26DDF">
        <w:rPr>
          <w:rFonts w:cs="Times New Roman"/>
        </w:rPr>
        <w:fldChar w:fldCharType="end"/>
      </w:r>
      <w:r w:rsidR="00B26DDF">
        <w:rPr>
          <w:rFonts w:cs="Times New Roman"/>
        </w:rPr>
        <w:noBreakHyphen/>
      </w:r>
      <w:r w:rsidR="00B26DDF">
        <w:rPr>
          <w:rFonts w:cs="Times New Roman"/>
        </w:rPr>
        <w:fldChar w:fldCharType="begin"/>
      </w:r>
      <w:r w:rsidR="00B26DDF">
        <w:rPr>
          <w:rFonts w:cs="Times New Roman"/>
        </w:rPr>
        <w:instrText xml:space="preserve"> SEQ Table \* ARABIC \s 1 </w:instrText>
      </w:r>
      <w:r w:rsidR="00B26DDF">
        <w:rPr>
          <w:rFonts w:cs="Times New Roman"/>
        </w:rPr>
        <w:fldChar w:fldCharType="separate"/>
      </w:r>
      <w:r w:rsidR="00061096">
        <w:rPr>
          <w:rFonts w:cs="Times New Roman"/>
          <w:noProof/>
        </w:rPr>
        <w:t>6</w:t>
      </w:r>
      <w:r w:rsidR="00B26DDF">
        <w:rPr>
          <w:rFonts w:cs="Times New Roman"/>
        </w:rPr>
        <w:fldChar w:fldCharType="end"/>
      </w:r>
      <w:bookmarkEnd w:id="19"/>
      <w:r w:rsidRPr="00770477">
        <w:rPr>
          <w:rFonts w:cs="Times New Roman"/>
        </w:rPr>
        <w:t xml:space="preserve"> </w:t>
      </w:r>
      <w:r w:rsidR="00284B9F">
        <w:rPr>
          <w:rFonts w:cs="Times New Roman"/>
        </w:rPr>
        <w:t>General c</w:t>
      </w:r>
      <w:r w:rsidRPr="00770477">
        <w:rPr>
          <w:rFonts w:cs="Times New Roman"/>
        </w:rPr>
        <w:t>omposition of</w:t>
      </w:r>
      <w:r w:rsidR="00284B9F">
        <w:rPr>
          <w:rFonts w:cs="Times New Roman"/>
        </w:rPr>
        <w:t xml:space="preserve"> i</w:t>
      </w:r>
      <w:r w:rsidRPr="00770477">
        <w:rPr>
          <w:rFonts w:cs="Times New Roman"/>
        </w:rPr>
        <w:t>ron and steel slags (X. Zhang et al., 2020).</w:t>
      </w:r>
      <w:bookmarkEnd w:id="20"/>
    </w:p>
    <w:tbl>
      <w:tblPr>
        <w:tblStyle w:val="PlainTable5"/>
        <w:tblW w:w="0" w:type="auto"/>
        <w:tblLook w:val="04A0" w:firstRow="1" w:lastRow="0" w:firstColumn="1" w:lastColumn="0" w:noHBand="0" w:noVBand="1"/>
      </w:tblPr>
      <w:tblGrid>
        <w:gridCol w:w="3120"/>
        <w:gridCol w:w="3120"/>
        <w:gridCol w:w="3120"/>
      </w:tblGrid>
      <w:tr w:rsidR="00B03EE5" w:rsidRPr="00770477" w14:paraId="6A840CB9" w14:textId="77777777" w:rsidTr="00C57F55">
        <w:trPr>
          <w:cnfStyle w:val="100000000000" w:firstRow="1" w:lastRow="0" w:firstColumn="0" w:lastColumn="0" w:oddVBand="0" w:evenVBand="0" w:oddHBand="0" w:evenHBand="0" w:firstRowFirstColumn="0" w:firstRowLastColumn="0" w:lastRowFirstColumn="0" w:lastRowLastColumn="0"/>
          <w:trHeight w:val="360"/>
        </w:trPr>
        <w:tc>
          <w:tcPr>
            <w:cnfStyle w:val="001000000100" w:firstRow="0" w:lastRow="0" w:firstColumn="1" w:lastColumn="0" w:oddVBand="0" w:evenVBand="0" w:oddHBand="0" w:evenHBand="0" w:firstRowFirstColumn="1" w:firstRowLastColumn="0" w:lastRowFirstColumn="0" w:lastRowLastColumn="0"/>
            <w:tcW w:w="3120" w:type="dxa"/>
          </w:tcPr>
          <w:p w14:paraId="05CEEF3C" w14:textId="5B7FEA26" w:rsidR="00B03EE5" w:rsidRPr="00770477" w:rsidRDefault="00B03EE5" w:rsidP="00C364B6">
            <w:pPr>
              <w:spacing w:line="240" w:lineRule="auto"/>
              <w:rPr>
                <w:rFonts w:cs="Times New Roman"/>
              </w:rPr>
            </w:pPr>
            <w:r w:rsidRPr="00770477">
              <w:rPr>
                <w:rFonts w:cs="Times New Roman"/>
              </w:rPr>
              <w:t>Composition</w:t>
            </w:r>
          </w:p>
        </w:tc>
        <w:tc>
          <w:tcPr>
            <w:tcW w:w="3120" w:type="dxa"/>
          </w:tcPr>
          <w:p w14:paraId="6EBC74AF" w14:textId="47CCF597" w:rsidR="00B03EE5" w:rsidRPr="00770477" w:rsidRDefault="00B03EE5" w:rsidP="00284B9F">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70477">
              <w:rPr>
                <w:rFonts w:cs="Times New Roman"/>
              </w:rPr>
              <w:t>Iron slag (</w:t>
            </w:r>
            <w:proofErr w:type="spellStart"/>
            <w:r w:rsidR="004B5FE5">
              <w:rPr>
                <w:rFonts w:cs="Times New Roman"/>
              </w:rPr>
              <w:t>wt</w:t>
            </w:r>
            <w:proofErr w:type="spellEnd"/>
            <w:r w:rsidRPr="00770477">
              <w:rPr>
                <w:rFonts w:cs="Times New Roman"/>
              </w:rPr>
              <w:t>%)</w:t>
            </w:r>
          </w:p>
        </w:tc>
        <w:tc>
          <w:tcPr>
            <w:tcW w:w="3120" w:type="dxa"/>
          </w:tcPr>
          <w:p w14:paraId="4ED55E00" w14:textId="44E584CA" w:rsidR="00B03EE5" w:rsidRPr="00770477" w:rsidRDefault="00B03EE5" w:rsidP="00284B9F">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70477">
              <w:rPr>
                <w:rFonts w:cs="Times New Roman"/>
              </w:rPr>
              <w:t>Steel slag (</w:t>
            </w:r>
            <w:proofErr w:type="spellStart"/>
            <w:r w:rsidR="004B5FE5">
              <w:rPr>
                <w:rFonts w:cs="Times New Roman"/>
              </w:rPr>
              <w:t>wt</w:t>
            </w:r>
            <w:proofErr w:type="spellEnd"/>
            <w:r w:rsidRPr="00770477">
              <w:rPr>
                <w:rFonts w:cs="Times New Roman"/>
              </w:rPr>
              <w:t>%)</w:t>
            </w:r>
          </w:p>
        </w:tc>
      </w:tr>
      <w:tr w:rsidR="00B03EE5" w:rsidRPr="00770477" w14:paraId="347861B2" w14:textId="77777777" w:rsidTr="00C57F5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120" w:type="dxa"/>
          </w:tcPr>
          <w:p w14:paraId="66E91688" w14:textId="6F162F92" w:rsidR="00B03EE5" w:rsidRPr="00770477" w:rsidRDefault="00B03EE5" w:rsidP="00C364B6">
            <w:pPr>
              <w:spacing w:line="240" w:lineRule="auto"/>
              <w:rPr>
                <w:rFonts w:cs="Times New Roman"/>
              </w:rPr>
            </w:pPr>
            <w:r w:rsidRPr="00770477">
              <w:rPr>
                <w:rFonts w:cs="Times New Roman"/>
              </w:rPr>
              <w:t>Calcium (</w:t>
            </w:r>
            <w:proofErr w:type="spellStart"/>
            <w:r w:rsidRPr="00770477">
              <w:rPr>
                <w:rFonts w:cs="Times New Roman"/>
              </w:rPr>
              <w:t>CaO</w:t>
            </w:r>
            <w:proofErr w:type="spellEnd"/>
            <w:r w:rsidRPr="00770477">
              <w:rPr>
                <w:rFonts w:cs="Times New Roman"/>
              </w:rPr>
              <w:t>)</w:t>
            </w:r>
          </w:p>
        </w:tc>
        <w:tc>
          <w:tcPr>
            <w:tcW w:w="3120" w:type="dxa"/>
          </w:tcPr>
          <w:p w14:paraId="17124CE1" w14:textId="42F4AED9" w:rsidR="00B03EE5" w:rsidRPr="00770477" w:rsidRDefault="00B05BC3" w:rsidP="00284B9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30-50</w:t>
            </w:r>
          </w:p>
        </w:tc>
        <w:tc>
          <w:tcPr>
            <w:tcW w:w="3120" w:type="dxa"/>
          </w:tcPr>
          <w:p w14:paraId="341C15AD" w14:textId="0F1A8169" w:rsidR="00B03EE5" w:rsidRPr="00770477" w:rsidRDefault="00B05BC3" w:rsidP="00284B9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30-60</w:t>
            </w:r>
          </w:p>
        </w:tc>
      </w:tr>
      <w:tr w:rsidR="00B03EE5" w:rsidRPr="00770477" w14:paraId="241577DE" w14:textId="77777777" w:rsidTr="00C57F55">
        <w:trPr>
          <w:trHeight w:val="360"/>
        </w:trPr>
        <w:tc>
          <w:tcPr>
            <w:cnfStyle w:val="001000000000" w:firstRow="0" w:lastRow="0" w:firstColumn="1" w:lastColumn="0" w:oddVBand="0" w:evenVBand="0" w:oddHBand="0" w:evenHBand="0" w:firstRowFirstColumn="0" w:firstRowLastColumn="0" w:lastRowFirstColumn="0" w:lastRowLastColumn="0"/>
            <w:tcW w:w="3120" w:type="dxa"/>
          </w:tcPr>
          <w:p w14:paraId="0948A6F6" w14:textId="67D9F724" w:rsidR="00B03EE5" w:rsidRPr="00770477" w:rsidRDefault="00B05BC3" w:rsidP="00C364B6">
            <w:pPr>
              <w:spacing w:line="240" w:lineRule="auto"/>
              <w:rPr>
                <w:rFonts w:cs="Times New Roman"/>
              </w:rPr>
            </w:pPr>
            <w:r w:rsidRPr="00770477">
              <w:rPr>
                <w:rFonts w:cs="Times New Roman"/>
              </w:rPr>
              <w:t>Silica (SiO</w:t>
            </w:r>
            <w:r w:rsidRPr="00770477">
              <w:rPr>
                <w:rFonts w:cs="Times New Roman"/>
                <w:vertAlign w:val="subscript"/>
              </w:rPr>
              <w:t>2</w:t>
            </w:r>
            <w:r w:rsidRPr="00770477">
              <w:rPr>
                <w:rFonts w:cs="Times New Roman"/>
              </w:rPr>
              <w:t>)</w:t>
            </w:r>
          </w:p>
        </w:tc>
        <w:tc>
          <w:tcPr>
            <w:tcW w:w="3120" w:type="dxa"/>
          </w:tcPr>
          <w:p w14:paraId="4339CECF" w14:textId="12B89AE4" w:rsidR="00B03EE5" w:rsidRPr="00770477" w:rsidRDefault="00B05BC3" w:rsidP="00284B9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25-45</w:t>
            </w:r>
          </w:p>
        </w:tc>
        <w:tc>
          <w:tcPr>
            <w:tcW w:w="3120" w:type="dxa"/>
          </w:tcPr>
          <w:p w14:paraId="1BBFB1D2" w14:textId="6DA867E0" w:rsidR="00B03EE5" w:rsidRPr="00770477" w:rsidRDefault="00B05BC3" w:rsidP="00284B9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10-45</w:t>
            </w:r>
          </w:p>
        </w:tc>
      </w:tr>
      <w:tr w:rsidR="00B03EE5" w:rsidRPr="00770477" w14:paraId="4468AA49" w14:textId="77777777" w:rsidTr="00C57F5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120" w:type="dxa"/>
          </w:tcPr>
          <w:p w14:paraId="66A44A6D" w14:textId="2399AE60" w:rsidR="00B03EE5" w:rsidRPr="00770477" w:rsidRDefault="00B05BC3" w:rsidP="00C364B6">
            <w:pPr>
              <w:spacing w:line="240" w:lineRule="auto"/>
              <w:rPr>
                <w:rFonts w:cs="Times New Roman"/>
              </w:rPr>
            </w:pPr>
            <w:r w:rsidRPr="00770477">
              <w:rPr>
                <w:rFonts w:cs="Times New Roman"/>
              </w:rPr>
              <w:t>Aluminum (Al</w:t>
            </w:r>
            <w:r w:rsidRPr="00770477">
              <w:rPr>
                <w:rFonts w:cs="Times New Roman"/>
                <w:vertAlign w:val="subscript"/>
              </w:rPr>
              <w:t>2</w:t>
            </w:r>
            <w:r w:rsidRPr="00770477">
              <w:rPr>
                <w:rFonts w:cs="Times New Roman"/>
              </w:rPr>
              <w:t>O</w:t>
            </w:r>
            <w:r w:rsidRPr="00770477">
              <w:rPr>
                <w:rFonts w:cs="Times New Roman"/>
                <w:vertAlign w:val="subscript"/>
              </w:rPr>
              <w:t>3</w:t>
            </w:r>
            <w:r w:rsidRPr="00770477">
              <w:rPr>
                <w:rFonts w:cs="Times New Roman"/>
              </w:rPr>
              <w:t>)</w:t>
            </w:r>
          </w:p>
        </w:tc>
        <w:tc>
          <w:tcPr>
            <w:tcW w:w="3120" w:type="dxa"/>
          </w:tcPr>
          <w:p w14:paraId="47C81C14" w14:textId="2D2F9E71" w:rsidR="00B03EE5" w:rsidRPr="00770477" w:rsidRDefault="003415E1" w:rsidP="00284B9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0-10</w:t>
            </w:r>
          </w:p>
        </w:tc>
        <w:tc>
          <w:tcPr>
            <w:tcW w:w="3120" w:type="dxa"/>
          </w:tcPr>
          <w:p w14:paraId="62E9F4FE" w14:textId="77DFDB10" w:rsidR="00B03EE5" w:rsidRPr="00770477" w:rsidRDefault="003415E1" w:rsidP="00284B9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0-15</w:t>
            </w:r>
          </w:p>
        </w:tc>
      </w:tr>
      <w:tr w:rsidR="00B03EE5" w:rsidRPr="00770477" w14:paraId="513D31FC" w14:textId="77777777" w:rsidTr="00C57F55">
        <w:trPr>
          <w:trHeight w:val="360"/>
        </w:trPr>
        <w:tc>
          <w:tcPr>
            <w:cnfStyle w:val="001000000000" w:firstRow="0" w:lastRow="0" w:firstColumn="1" w:lastColumn="0" w:oddVBand="0" w:evenVBand="0" w:oddHBand="0" w:evenHBand="0" w:firstRowFirstColumn="0" w:firstRowLastColumn="0" w:lastRowFirstColumn="0" w:lastRowLastColumn="0"/>
            <w:tcW w:w="3120" w:type="dxa"/>
          </w:tcPr>
          <w:p w14:paraId="7E598F94" w14:textId="03E05C59" w:rsidR="00B03EE5" w:rsidRPr="00770477" w:rsidRDefault="003415E1" w:rsidP="00C364B6">
            <w:pPr>
              <w:spacing w:line="240" w:lineRule="auto"/>
              <w:rPr>
                <w:rFonts w:cs="Times New Roman"/>
              </w:rPr>
            </w:pPr>
            <w:r w:rsidRPr="00770477">
              <w:rPr>
                <w:rFonts w:cs="Times New Roman"/>
              </w:rPr>
              <w:t>Magnesium (MgO)</w:t>
            </w:r>
          </w:p>
        </w:tc>
        <w:tc>
          <w:tcPr>
            <w:tcW w:w="3120" w:type="dxa"/>
          </w:tcPr>
          <w:p w14:paraId="4CE61188" w14:textId="656376A9" w:rsidR="00B03EE5" w:rsidRPr="00770477" w:rsidRDefault="003415E1" w:rsidP="00284B9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3.5-15</w:t>
            </w:r>
          </w:p>
        </w:tc>
        <w:tc>
          <w:tcPr>
            <w:tcW w:w="3120" w:type="dxa"/>
          </w:tcPr>
          <w:p w14:paraId="313B767C" w14:textId="725CEC2D" w:rsidR="00B03EE5" w:rsidRPr="00770477" w:rsidRDefault="003415E1" w:rsidP="00284B9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5-20</w:t>
            </w:r>
          </w:p>
        </w:tc>
      </w:tr>
      <w:tr w:rsidR="00B03EE5" w:rsidRPr="00770477" w14:paraId="27A1638E" w14:textId="77777777" w:rsidTr="00C57F5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120" w:type="dxa"/>
          </w:tcPr>
          <w:p w14:paraId="33B38091" w14:textId="4898B4BB" w:rsidR="00B03EE5" w:rsidRPr="00770477" w:rsidRDefault="003415E1" w:rsidP="00C364B6">
            <w:pPr>
              <w:spacing w:line="240" w:lineRule="auto"/>
              <w:rPr>
                <w:rFonts w:cs="Times New Roman"/>
              </w:rPr>
            </w:pPr>
            <w:r w:rsidRPr="00770477">
              <w:rPr>
                <w:rFonts w:cs="Times New Roman"/>
              </w:rPr>
              <w:t>Iron (</w:t>
            </w:r>
            <w:proofErr w:type="spellStart"/>
            <w:r w:rsidRPr="00770477">
              <w:rPr>
                <w:rFonts w:cs="Times New Roman"/>
              </w:rPr>
              <w:t>FeO</w:t>
            </w:r>
            <w:proofErr w:type="spellEnd"/>
            <w:r w:rsidRPr="00770477">
              <w:rPr>
                <w:rFonts w:cs="Times New Roman"/>
              </w:rPr>
              <w:t xml:space="preserve"> and Fe</w:t>
            </w:r>
            <w:r w:rsidRPr="00770477">
              <w:rPr>
                <w:rFonts w:cs="Times New Roman"/>
                <w:vertAlign w:val="subscript"/>
              </w:rPr>
              <w:t>2</w:t>
            </w:r>
            <w:r w:rsidRPr="00770477">
              <w:rPr>
                <w:rFonts w:cs="Times New Roman"/>
              </w:rPr>
              <w:t>O</w:t>
            </w:r>
            <w:r w:rsidRPr="00770477">
              <w:rPr>
                <w:rFonts w:cs="Times New Roman"/>
                <w:vertAlign w:val="subscript"/>
              </w:rPr>
              <w:t>3</w:t>
            </w:r>
            <w:r w:rsidRPr="00770477">
              <w:rPr>
                <w:rFonts w:cs="Times New Roman"/>
              </w:rPr>
              <w:t>)</w:t>
            </w:r>
          </w:p>
        </w:tc>
        <w:tc>
          <w:tcPr>
            <w:tcW w:w="3120" w:type="dxa"/>
          </w:tcPr>
          <w:p w14:paraId="0858035C" w14:textId="6D1F2DAE" w:rsidR="00B03EE5" w:rsidRPr="00770477" w:rsidRDefault="003415E1" w:rsidP="00284B9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10-30</w:t>
            </w:r>
          </w:p>
        </w:tc>
        <w:tc>
          <w:tcPr>
            <w:tcW w:w="3120" w:type="dxa"/>
          </w:tcPr>
          <w:p w14:paraId="33859B3E" w14:textId="34A2BF66" w:rsidR="00B03EE5" w:rsidRPr="00770477" w:rsidRDefault="003415E1" w:rsidP="00284B9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0.1-3.6</w:t>
            </w:r>
          </w:p>
        </w:tc>
      </w:tr>
      <w:tr w:rsidR="00B03EE5" w:rsidRPr="00770477" w14:paraId="4C222582" w14:textId="77777777" w:rsidTr="00C57F55">
        <w:trPr>
          <w:trHeight w:val="360"/>
        </w:trPr>
        <w:tc>
          <w:tcPr>
            <w:cnfStyle w:val="001000000000" w:firstRow="0" w:lastRow="0" w:firstColumn="1" w:lastColumn="0" w:oddVBand="0" w:evenVBand="0" w:oddHBand="0" w:evenHBand="0" w:firstRowFirstColumn="0" w:firstRowLastColumn="0" w:lastRowFirstColumn="0" w:lastRowLastColumn="0"/>
            <w:tcW w:w="3120" w:type="dxa"/>
          </w:tcPr>
          <w:p w14:paraId="757503BE" w14:textId="219F246B" w:rsidR="00B03EE5" w:rsidRPr="00770477" w:rsidRDefault="003415E1" w:rsidP="00C364B6">
            <w:pPr>
              <w:spacing w:line="240" w:lineRule="auto"/>
              <w:rPr>
                <w:rFonts w:cs="Times New Roman"/>
              </w:rPr>
            </w:pPr>
            <w:r w:rsidRPr="00770477">
              <w:rPr>
                <w:rFonts w:cs="Times New Roman"/>
              </w:rPr>
              <w:t>Others (P, S, other metals)</w:t>
            </w:r>
          </w:p>
        </w:tc>
        <w:tc>
          <w:tcPr>
            <w:tcW w:w="3120" w:type="dxa"/>
          </w:tcPr>
          <w:p w14:paraId="251D82F7" w14:textId="085F9EBC" w:rsidR="00B03EE5" w:rsidRPr="00770477" w:rsidRDefault="003415E1" w:rsidP="00284B9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&lt;5%</w:t>
            </w:r>
          </w:p>
        </w:tc>
        <w:tc>
          <w:tcPr>
            <w:tcW w:w="3120" w:type="dxa"/>
          </w:tcPr>
          <w:p w14:paraId="783609C8" w14:textId="325CD276" w:rsidR="00B03EE5" w:rsidRPr="00770477" w:rsidRDefault="003415E1" w:rsidP="00284B9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&lt;5%</w:t>
            </w:r>
          </w:p>
        </w:tc>
      </w:tr>
    </w:tbl>
    <w:p w14:paraId="677C592C" w14:textId="424D8AE9" w:rsidR="00CB4FC4" w:rsidRPr="00770477" w:rsidRDefault="00CB4FC4" w:rsidP="00A80CF0">
      <w:pPr>
        <w:rPr>
          <w:rFonts w:cs="Times New Roman"/>
        </w:rPr>
      </w:pPr>
    </w:p>
    <w:p w14:paraId="29DDB321" w14:textId="4786770E" w:rsidR="00E120F1" w:rsidRPr="00770477" w:rsidRDefault="008177A0" w:rsidP="002D33D6">
      <w:pPr>
        <w:spacing w:before="240"/>
        <w:rPr>
          <w:rFonts w:cs="Times New Roman"/>
        </w:rPr>
      </w:pPr>
      <w:r w:rsidRPr="00770477">
        <w:rPr>
          <w:rFonts w:cs="Times New Roman"/>
        </w:rPr>
        <w:fldChar w:fldCharType="begin"/>
      </w:r>
      <w:r w:rsidR="002074AD">
        <w:rPr>
          <w:rFonts w:cs="Times New Roman"/>
        </w:rPr>
        <w:instrText xml:space="preserve"> ADDIN ZOTERO_ITEM CSL_CITATION {"citationID":"BjbwtKlt","properties":{"formattedCitation":"(Kim et al., 2008)","plainCitation":"(Kim et al., 2008)","dontUpdate":true,"noteIndex":0},"citationItems":[{"id":810,"uris":["http://zotero.org/users/8423188/items/FBWVBIR8"],"itemData":{"id":810,"type":"article-journal","abstract":"Slag, which consists of calcium oxide, aluminium oxide, and other metal oxides, is an abundant by-product in steel-making process. It has been used as adsorbents to remove various heavy metals and the major removal mechanisms are precipitation and adsorption on the surface of metal oxide. However, the relative contribution of two removal mechanisms has not reported. In this study, the removal characteristics of copper were investigated in terms of sorption kinetics and sorption isotherms. As initial pH of solution increased, the sorption capacity of slags increased dramatically. We evaluated the relative contribution of two mechanisms in the copper removal by steel-making slag. At above pH 3.0, contribution of adsorption to overall removal of copper was less than 12%. As a result, most of copper was removed by slag as a form or copper hydroxide.","container-title":"Desalination","DOI":"10.1016/j.desal.2007.01.226","ISSN":"00119164","issue":"1-3","journalAbbreviation":"Desalination","language":"en","page":"283-289","source":"DOI.org (Crossref)","title":"Removal mechanisms of copper using steel-making slag: adsorption and precipitation","title-short":"Removal mechanisms of copper using steel-making slag","volume":"223","author":[{"family":"Kim","given":"Do-Hyung"},{"family":"Shin","given":"Min-Chul"},{"family":"Choi","given":"Hyun-Doc"},{"family":"Seo","given":"Chang-Il"},{"family":"Baek","given":"Kitae"}],"issued":{"date-parts":[["2008",3]]}}}],"schema":"https://github.com/citation-style-language/schema/raw/master/csl-citation.json"} </w:instrText>
      </w:r>
      <w:r w:rsidRPr="00770477">
        <w:rPr>
          <w:rFonts w:cs="Times New Roman"/>
        </w:rPr>
        <w:fldChar w:fldCharType="separate"/>
      </w:r>
      <w:r w:rsidRPr="00770477">
        <w:rPr>
          <w:rFonts w:cs="Times New Roman"/>
        </w:rPr>
        <w:t xml:space="preserve">Kim et al. </w:t>
      </w:r>
      <w:r w:rsidR="00471F54" w:rsidRPr="00770477">
        <w:rPr>
          <w:rFonts w:cs="Times New Roman"/>
        </w:rPr>
        <w:t>(</w:t>
      </w:r>
      <w:r w:rsidRPr="00770477">
        <w:rPr>
          <w:rFonts w:cs="Times New Roman"/>
        </w:rPr>
        <w:t>2008)</w:t>
      </w:r>
      <w:r w:rsidRPr="00770477">
        <w:rPr>
          <w:rFonts w:cs="Times New Roman"/>
        </w:rPr>
        <w:fldChar w:fldCharType="end"/>
      </w:r>
      <w:r w:rsidR="00471F54" w:rsidRPr="00770477">
        <w:rPr>
          <w:rFonts w:cs="Times New Roman"/>
        </w:rPr>
        <w:t xml:space="preserve"> performed batch experiments looking at </w:t>
      </w:r>
      <w:r w:rsidR="006E3B06" w:rsidRPr="00770477">
        <w:rPr>
          <w:rFonts w:cs="Times New Roman"/>
        </w:rPr>
        <w:t xml:space="preserve">the removal of </w:t>
      </w:r>
      <w:r w:rsidR="0ABFEF3B" w:rsidRPr="00770477">
        <w:rPr>
          <w:rFonts w:cs="Times New Roman"/>
        </w:rPr>
        <w:t>cop</w:t>
      </w:r>
      <w:r w:rsidR="64D880C8" w:rsidRPr="00770477">
        <w:rPr>
          <w:rFonts w:cs="Times New Roman"/>
        </w:rPr>
        <w:t>p</w:t>
      </w:r>
      <w:r w:rsidR="0ABFEF3B" w:rsidRPr="00770477">
        <w:rPr>
          <w:rFonts w:cs="Times New Roman"/>
        </w:rPr>
        <w:t>er</w:t>
      </w:r>
      <w:r w:rsidR="006E3B06" w:rsidRPr="00770477">
        <w:rPr>
          <w:rFonts w:cs="Times New Roman"/>
        </w:rPr>
        <w:t xml:space="preserve"> using three different slags</w:t>
      </w:r>
      <w:r w:rsidR="00DD7E13" w:rsidRPr="00770477">
        <w:rPr>
          <w:rFonts w:cs="Times New Roman"/>
        </w:rPr>
        <w:t xml:space="preserve"> at varying pH</w:t>
      </w:r>
      <w:r w:rsidR="001A138B" w:rsidRPr="00770477">
        <w:rPr>
          <w:rFonts w:cs="Times New Roman"/>
        </w:rPr>
        <w:t xml:space="preserve">. Each slag varied in its proportion of </w:t>
      </w:r>
      <w:proofErr w:type="spellStart"/>
      <w:r w:rsidR="001A138B" w:rsidRPr="00770477">
        <w:rPr>
          <w:rFonts w:cs="Times New Roman"/>
        </w:rPr>
        <w:t>CaO</w:t>
      </w:r>
      <w:proofErr w:type="spellEnd"/>
      <w:r w:rsidR="001A138B" w:rsidRPr="00770477">
        <w:rPr>
          <w:rFonts w:cs="Times New Roman"/>
        </w:rPr>
        <w:t>, SiO</w:t>
      </w:r>
      <w:r w:rsidR="001A138B" w:rsidRPr="00770477">
        <w:rPr>
          <w:rFonts w:cs="Times New Roman"/>
          <w:vertAlign w:val="subscript"/>
        </w:rPr>
        <w:t>2</w:t>
      </w:r>
      <w:r w:rsidR="001A138B" w:rsidRPr="00770477">
        <w:rPr>
          <w:rFonts w:cs="Times New Roman"/>
        </w:rPr>
        <w:t xml:space="preserve"> Al</w:t>
      </w:r>
      <w:r w:rsidR="001A138B" w:rsidRPr="00770477">
        <w:rPr>
          <w:rFonts w:cs="Times New Roman"/>
        </w:rPr>
        <w:softHyphen/>
      </w:r>
      <w:r w:rsidR="001A138B" w:rsidRPr="00770477">
        <w:rPr>
          <w:rFonts w:cs="Times New Roman"/>
          <w:vertAlign w:val="subscript"/>
        </w:rPr>
        <w:t>2</w:t>
      </w:r>
      <w:r w:rsidR="001A138B" w:rsidRPr="00770477">
        <w:rPr>
          <w:rFonts w:cs="Times New Roman"/>
        </w:rPr>
        <w:t>O</w:t>
      </w:r>
      <w:r w:rsidR="001A138B" w:rsidRPr="00770477">
        <w:rPr>
          <w:rFonts w:cs="Times New Roman"/>
          <w:vertAlign w:val="subscript"/>
        </w:rPr>
        <w:t>3</w:t>
      </w:r>
      <w:r w:rsidR="001A138B" w:rsidRPr="00770477">
        <w:rPr>
          <w:rFonts w:cs="Times New Roman"/>
        </w:rPr>
        <w:t xml:space="preserve">, MgO, </w:t>
      </w:r>
      <w:proofErr w:type="spellStart"/>
      <w:r w:rsidR="001A138B" w:rsidRPr="00770477">
        <w:rPr>
          <w:rFonts w:cs="Times New Roman"/>
        </w:rPr>
        <w:t>MnO</w:t>
      </w:r>
      <w:proofErr w:type="spellEnd"/>
      <w:r w:rsidR="001A138B" w:rsidRPr="00770477">
        <w:rPr>
          <w:rFonts w:cs="Times New Roman"/>
        </w:rPr>
        <w:t xml:space="preserve">, and total Fe. </w:t>
      </w:r>
      <w:r w:rsidR="00427E47" w:rsidRPr="00770477">
        <w:rPr>
          <w:rFonts w:cs="Times New Roman"/>
        </w:rPr>
        <w:t>S</w:t>
      </w:r>
      <w:r w:rsidR="0067467F" w:rsidRPr="00770477">
        <w:rPr>
          <w:rFonts w:cs="Times New Roman"/>
        </w:rPr>
        <w:t>orption</w:t>
      </w:r>
      <w:r w:rsidR="00427E47" w:rsidRPr="00770477">
        <w:rPr>
          <w:rFonts w:cs="Times New Roman"/>
        </w:rPr>
        <w:t xml:space="preserve"> </w:t>
      </w:r>
      <w:r w:rsidR="0049698F" w:rsidRPr="00770477">
        <w:rPr>
          <w:rFonts w:cs="Times New Roman"/>
        </w:rPr>
        <w:t>was found to be likely in slags with high calcium oxide, magnesium oxide, and aluminum silicates</w:t>
      </w:r>
      <w:r w:rsidR="00D652C8" w:rsidRPr="00770477">
        <w:rPr>
          <w:rFonts w:cs="Times New Roman"/>
        </w:rPr>
        <w:t xml:space="preserve">. </w:t>
      </w:r>
      <w:r w:rsidR="00716277" w:rsidRPr="00770477">
        <w:rPr>
          <w:rFonts w:cs="Times New Roman"/>
        </w:rPr>
        <w:t>However,</w:t>
      </w:r>
      <w:r w:rsidR="0049698F" w:rsidRPr="00770477">
        <w:rPr>
          <w:rFonts w:cs="Times New Roman"/>
        </w:rPr>
        <w:t xml:space="preserve"> results showed that </w:t>
      </w:r>
      <w:r w:rsidR="00C47BE2" w:rsidRPr="00770477">
        <w:rPr>
          <w:rFonts w:cs="Times New Roman"/>
        </w:rPr>
        <w:t xml:space="preserve">when pH was above 3.0, sorption only contributed to 12% of the total Cu removed from solution. </w:t>
      </w:r>
      <w:r w:rsidR="00760D12" w:rsidRPr="00770477">
        <w:rPr>
          <w:rFonts w:cs="Times New Roman"/>
        </w:rPr>
        <w:t>As</w:t>
      </w:r>
      <w:r w:rsidR="00C14A1F" w:rsidRPr="00770477">
        <w:rPr>
          <w:rFonts w:cs="Times New Roman"/>
        </w:rPr>
        <w:t xml:space="preserve"> pH increased, the potential </w:t>
      </w:r>
      <w:r w:rsidR="004A29E4" w:rsidRPr="00770477">
        <w:rPr>
          <w:rFonts w:cs="Times New Roman"/>
        </w:rPr>
        <w:t xml:space="preserve">for </w:t>
      </w:r>
      <w:r w:rsidR="00C14A1F" w:rsidRPr="00770477">
        <w:rPr>
          <w:rFonts w:cs="Times New Roman"/>
        </w:rPr>
        <w:t xml:space="preserve">the formation </w:t>
      </w:r>
      <w:r w:rsidR="004A29E4" w:rsidRPr="00770477">
        <w:rPr>
          <w:rFonts w:cs="Times New Roman"/>
        </w:rPr>
        <w:t>of</w:t>
      </w:r>
      <w:r w:rsidR="00C14A1F" w:rsidRPr="00770477">
        <w:rPr>
          <w:rFonts w:cs="Times New Roman"/>
        </w:rPr>
        <w:t xml:space="preserve"> </w:t>
      </w:r>
      <w:r w:rsidR="00471E8C" w:rsidRPr="00770477">
        <w:rPr>
          <w:rFonts w:cs="Times New Roman"/>
        </w:rPr>
        <w:t xml:space="preserve">metal hydroxides </w:t>
      </w:r>
      <w:r w:rsidR="004A29E4" w:rsidRPr="00770477">
        <w:rPr>
          <w:rFonts w:cs="Times New Roman"/>
        </w:rPr>
        <w:t xml:space="preserve">increased. </w:t>
      </w:r>
      <w:r w:rsidR="00990B51" w:rsidRPr="00770477">
        <w:rPr>
          <w:rFonts w:cs="Times New Roman"/>
        </w:rPr>
        <w:t>This mechanism</w:t>
      </w:r>
      <w:r w:rsidR="00471E8C" w:rsidRPr="00770477">
        <w:rPr>
          <w:rFonts w:cs="Times New Roman"/>
        </w:rPr>
        <w:t xml:space="preserve"> successfully precipitated </w:t>
      </w:r>
      <w:r w:rsidR="00587D80" w:rsidRPr="00770477">
        <w:rPr>
          <w:rFonts w:cs="Times New Roman"/>
        </w:rPr>
        <w:t xml:space="preserve">copper out of solution. </w:t>
      </w:r>
      <w:r w:rsidR="000404F9" w:rsidRPr="00770477">
        <w:rPr>
          <w:rFonts w:cs="Times New Roman"/>
        </w:rPr>
        <w:t>Though</w:t>
      </w:r>
      <w:r w:rsidR="00587D80" w:rsidRPr="00770477">
        <w:rPr>
          <w:rFonts w:cs="Times New Roman"/>
        </w:rPr>
        <w:t xml:space="preserve"> not</w:t>
      </w:r>
      <w:r w:rsidR="000404F9" w:rsidRPr="00770477">
        <w:rPr>
          <w:rFonts w:cs="Times New Roman"/>
        </w:rPr>
        <w:t xml:space="preserve"> </w:t>
      </w:r>
      <w:r w:rsidR="00587D80" w:rsidRPr="00770477">
        <w:rPr>
          <w:rFonts w:cs="Times New Roman"/>
        </w:rPr>
        <w:t xml:space="preserve">the primary mechanism of removal, </w:t>
      </w:r>
      <w:r w:rsidR="00370F9A" w:rsidRPr="00770477">
        <w:rPr>
          <w:rFonts w:cs="Times New Roman"/>
        </w:rPr>
        <w:t>copper sorption onto the three slags were 17.4 mg</w:t>
      </w:r>
      <w:r w:rsidR="004B5FE5">
        <w:rPr>
          <w:rFonts w:cs="Times New Roman"/>
        </w:rPr>
        <w:t xml:space="preserve"> </w:t>
      </w:r>
      <w:r w:rsidR="00370F9A" w:rsidRPr="00770477">
        <w:rPr>
          <w:rFonts w:cs="Times New Roman"/>
        </w:rPr>
        <w:t>g</w:t>
      </w:r>
      <w:r w:rsidR="004B5FE5">
        <w:rPr>
          <w:rFonts w:cs="Times New Roman"/>
          <w:vertAlign w:val="superscript"/>
        </w:rPr>
        <w:t>-1</w:t>
      </w:r>
      <w:r w:rsidR="00370F9A" w:rsidRPr="00770477">
        <w:rPr>
          <w:rFonts w:cs="Times New Roman"/>
        </w:rPr>
        <w:t xml:space="preserve">, 7.2 </w:t>
      </w:r>
      <w:r w:rsidR="004B5FE5" w:rsidRPr="00770477">
        <w:rPr>
          <w:rFonts w:cs="Times New Roman"/>
        </w:rPr>
        <w:t>mg</w:t>
      </w:r>
      <w:r w:rsidR="004B5FE5">
        <w:rPr>
          <w:rFonts w:cs="Times New Roman"/>
        </w:rPr>
        <w:t xml:space="preserve"> </w:t>
      </w:r>
      <w:r w:rsidR="004B5FE5" w:rsidRPr="00770477">
        <w:rPr>
          <w:rFonts w:cs="Times New Roman"/>
        </w:rPr>
        <w:t>g</w:t>
      </w:r>
      <w:r w:rsidR="004B5FE5">
        <w:rPr>
          <w:rFonts w:cs="Times New Roman"/>
          <w:vertAlign w:val="superscript"/>
        </w:rPr>
        <w:t>-1</w:t>
      </w:r>
      <w:r w:rsidR="00370F9A" w:rsidRPr="00770477">
        <w:rPr>
          <w:rFonts w:cs="Times New Roman"/>
        </w:rPr>
        <w:t xml:space="preserve">, and 6.2 </w:t>
      </w:r>
      <w:r w:rsidR="004B5FE5" w:rsidRPr="00770477">
        <w:rPr>
          <w:rFonts w:cs="Times New Roman"/>
        </w:rPr>
        <w:t>mg</w:t>
      </w:r>
      <w:r w:rsidR="004B5FE5">
        <w:rPr>
          <w:rFonts w:cs="Times New Roman"/>
        </w:rPr>
        <w:t xml:space="preserve"> </w:t>
      </w:r>
      <w:r w:rsidR="004B5FE5" w:rsidRPr="00770477">
        <w:rPr>
          <w:rFonts w:cs="Times New Roman"/>
        </w:rPr>
        <w:t>g</w:t>
      </w:r>
      <w:r w:rsidR="004B5FE5">
        <w:rPr>
          <w:rFonts w:cs="Times New Roman"/>
          <w:vertAlign w:val="superscript"/>
        </w:rPr>
        <w:t>-1</w:t>
      </w:r>
      <w:r w:rsidR="00370F9A" w:rsidRPr="00770477">
        <w:rPr>
          <w:rFonts w:cs="Times New Roman"/>
        </w:rPr>
        <w:t xml:space="preserve">. </w:t>
      </w:r>
      <w:r w:rsidR="00DA35A0" w:rsidRPr="00770477">
        <w:rPr>
          <w:rFonts w:cs="Times New Roman"/>
        </w:rPr>
        <w:t xml:space="preserve">Another study performed by </w:t>
      </w:r>
      <w:r w:rsidR="00DA35A0" w:rsidRPr="00770477">
        <w:rPr>
          <w:rFonts w:cs="Times New Roman"/>
        </w:rPr>
        <w:fldChar w:fldCharType="begin"/>
      </w:r>
      <w:r w:rsidR="002074AD">
        <w:rPr>
          <w:rFonts w:cs="Times New Roman"/>
        </w:rPr>
        <w:instrText xml:space="preserve"> ADDIN ZOTERO_ITEM CSL_CITATION {"citationID":"ICXxSBnU","properties":{"formattedCitation":"(Wu et al., 2014)","plainCitation":"(Wu et al., 2014)","dontUpdate":true,"noteIndex":0},"citationItems":[{"id":808,"uris":["http://zotero.org/users/8423188/items/PZWUBFQL"],"itemData":{"id":808,"type":"article-journal","container-title":"Applied Surface Science","DOI":"10.1016/j.apsusc.2014.06.154","ISSN":"01694332","journalAbbreviation":"Applied Surface Science","language":"en","page":"129-137","source":"DOI.org (Crossref)","title":"Pb(II) removal from aqueous solution by a low-cost adsorbent dry desulfurization slag","volume":"314","author":[{"family":"Wu","given":"Qiong"},{"family":"You","given":"Ruirong"},{"family":"Clark","given":"Malcolm"},{"family":"Yu","given":"Yan"}],"issued":{"date-parts":[["2014",9]]}}}],"schema":"https://github.com/citation-style-language/schema/raw/master/csl-citation.json"} </w:instrText>
      </w:r>
      <w:r w:rsidR="00DA35A0" w:rsidRPr="00770477">
        <w:rPr>
          <w:rFonts w:cs="Times New Roman"/>
        </w:rPr>
        <w:fldChar w:fldCharType="separate"/>
      </w:r>
      <w:r w:rsidR="00DA35A0" w:rsidRPr="00770477">
        <w:rPr>
          <w:rFonts w:cs="Times New Roman"/>
        </w:rPr>
        <w:t xml:space="preserve">Wu et al. </w:t>
      </w:r>
      <w:r w:rsidR="008A76BA" w:rsidRPr="00770477">
        <w:rPr>
          <w:rFonts w:cs="Times New Roman"/>
        </w:rPr>
        <w:t>(</w:t>
      </w:r>
      <w:r w:rsidR="00DA35A0" w:rsidRPr="00770477">
        <w:rPr>
          <w:rFonts w:cs="Times New Roman"/>
        </w:rPr>
        <w:t>2014)</w:t>
      </w:r>
      <w:r w:rsidR="00DA35A0" w:rsidRPr="00770477">
        <w:rPr>
          <w:rFonts w:cs="Times New Roman"/>
        </w:rPr>
        <w:fldChar w:fldCharType="end"/>
      </w:r>
      <w:r w:rsidR="008A76BA" w:rsidRPr="00770477">
        <w:rPr>
          <w:rFonts w:cs="Times New Roman"/>
        </w:rPr>
        <w:t xml:space="preserve"> looked at removing </w:t>
      </w:r>
      <w:r w:rsidR="008A76BA" w:rsidRPr="00DF1445">
        <w:rPr>
          <w:rFonts w:cs="Times New Roman"/>
          <w:vertAlign w:val="superscript"/>
        </w:rPr>
        <w:t>Pb</w:t>
      </w:r>
      <w:r w:rsidR="00DF1445">
        <w:rPr>
          <w:rFonts w:cs="Times New Roman"/>
          <w:vertAlign w:val="superscript"/>
        </w:rPr>
        <w:t xml:space="preserve">+2 </w:t>
      </w:r>
      <w:r w:rsidR="008A76BA" w:rsidRPr="00DF1445">
        <w:rPr>
          <w:rFonts w:cs="Times New Roman"/>
        </w:rPr>
        <w:t>from</w:t>
      </w:r>
      <w:r w:rsidR="008A76BA" w:rsidRPr="00770477">
        <w:rPr>
          <w:rFonts w:cs="Times New Roman"/>
        </w:rPr>
        <w:t xml:space="preserve"> a prep</w:t>
      </w:r>
      <w:r w:rsidR="00AE344E" w:rsidRPr="00770477">
        <w:rPr>
          <w:rFonts w:cs="Times New Roman"/>
        </w:rPr>
        <w:t>repared aqueous solution by using dry desulfurization slag</w:t>
      </w:r>
      <w:r w:rsidR="00723739" w:rsidRPr="00770477">
        <w:rPr>
          <w:rFonts w:cs="Times New Roman"/>
        </w:rPr>
        <w:t xml:space="preserve">. This slag </w:t>
      </w:r>
      <w:r w:rsidR="00553CF0" w:rsidRPr="00770477">
        <w:rPr>
          <w:rFonts w:cs="Times New Roman"/>
        </w:rPr>
        <w:t xml:space="preserve">had a high </w:t>
      </w:r>
      <w:r w:rsidR="00DD7B3D" w:rsidRPr="00770477">
        <w:rPr>
          <w:rFonts w:cs="Times New Roman"/>
        </w:rPr>
        <w:t>proportion</w:t>
      </w:r>
      <w:r w:rsidR="00553CF0" w:rsidRPr="00770477">
        <w:rPr>
          <w:rFonts w:cs="Times New Roman"/>
        </w:rPr>
        <w:t xml:space="preserve"> of </w:t>
      </w:r>
      <w:proofErr w:type="spellStart"/>
      <w:r w:rsidR="00553CF0" w:rsidRPr="00770477">
        <w:rPr>
          <w:rFonts w:cs="Times New Roman"/>
        </w:rPr>
        <w:t>CaO</w:t>
      </w:r>
      <w:proofErr w:type="spellEnd"/>
      <w:r w:rsidR="00553CF0" w:rsidRPr="00770477">
        <w:rPr>
          <w:rFonts w:cs="Times New Roman"/>
        </w:rPr>
        <w:t xml:space="preserve"> and S</w:t>
      </w:r>
      <w:r w:rsidR="005F2EDA" w:rsidRPr="00770477">
        <w:rPr>
          <w:rFonts w:cs="Times New Roman"/>
        </w:rPr>
        <w:t>O</w:t>
      </w:r>
      <w:r w:rsidR="005F2EDA" w:rsidRPr="00770477">
        <w:rPr>
          <w:rFonts w:cs="Times New Roman"/>
          <w:vertAlign w:val="subscript"/>
        </w:rPr>
        <w:t>2</w:t>
      </w:r>
      <w:r w:rsidR="005F2EDA" w:rsidRPr="00770477">
        <w:rPr>
          <w:rFonts w:cs="Times New Roman"/>
        </w:rPr>
        <w:t xml:space="preserve"> as opposed to other slags which are </w:t>
      </w:r>
      <w:r w:rsidR="00367D11" w:rsidRPr="00770477">
        <w:rPr>
          <w:rFonts w:cs="Times New Roman"/>
        </w:rPr>
        <w:t xml:space="preserve">higher in </w:t>
      </w:r>
      <w:r w:rsidR="00810CE2" w:rsidRPr="00770477">
        <w:rPr>
          <w:rFonts w:cs="Times New Roman"/>
        </w:rPr>
        <w:t>Si</w:t>
      </w:r>
      <w:r w:rsidR="00367D11" w:rsidRPr="00770477">
        <w:rPr>
          <w:rFonts w:cs="Times New Roman"/>
        </w:rPr>
        <w:t xml:space="preserve">-, </w:t>
      </w:r>
      <w:r w:rsidR="00810CE2" w:rsidRPr="00770477">
        <w:rPr>
          <w:rFonts w:cs="Times New Roman"/>
        </w:rPr>
        <w:t>Al</w:t>
      </w:r>
      <w:r w:rsidR="00367D11" w:rsidRPr="00770477">
        <w:rPr>
          <w:rFonts w:cs="Times New Roman"/>
        </w:rPr>
        <w:t xml:space="preserve">-, </w:t>
      </w:r>
      <w:r w:rsidR="00810CE2" w:rsidRPr="00770477">
        <w:rPr>
          <w:rFonts w:cs="Times New Roman"/>
        </w:rPr>
        <w:t>Mn</w:t>
      </w:r>
      <w:r w:rsidR="00367D11" w:rsidRPr="00770477">
        <w:rPr>
          <w:rFonts w:cs="Times New Roman"/>
        </w:rPr>
        <w:t xml:space="preserve">-, and </w:t>
      </w:r>
      <w:r w:rsidR="00810CE2" w:rsidRPr="00770477">
        <w:rPr>
          <w:rFonts w:cs="Times New Roman"/>
        </w:rPr>
        <w:t>Fe</w:t>
      </w:r>
      <w:r w:rsidR="00367D11" w:rsidRPr="00770477">
        <w:rPr>
          <w:rFonts w:cs="Times New Roman"/>
        </w:rPr>
        <w:t xml:space="preserve">-oxides. </w:t>
      </w:r>
      <w:r w:rsidR="00AA3312" w:rsidRPr="00770477">
        <w:rPr>
          <w:rFonts w:cs="Times New Roman"/>
        </w:rPr>
        <w:t>Results showed great promise for this slag to remove wastewater Pb</w:t>
      </w:r>
      <w:r w:rsidR="00DF1445">
        <w:rPr>
          <w:rFonts w:cs="Times New Roman"/>
          <w:vertAlign w:val="superscript"/>
        </w:rPr>
        <w:t>+2</w:t>
      </w:r>
      <w:r w:rsidR="00AA3312" w:rsidRPr="00770477">
        <w:rPr>
          <w:rFonts w:cs="Times New Roman"/>
        </w:rPr>
        <w:t xml:space="preserve">. </w:t>
      </w:r>
      <w:r w:rsidR="003D4C71" w:rsidRPr="00770477">
        <w:rPr>
          <w:rFonts w:cs="Times New Roman"/>
        </w:rPr>
        <w:t xml:space="preserve">As was seen with </w:t>
      </w:r>
      <w:proofErr w:type="gramStart"/>
      <w:r w:rsidR="003D4C71" w:rsidRPr="00770477">
        <w:rPr>
          <w:rFonts w:cs="Times New Roman"/>
        </w:rPr>
        <w:t>Cu(</w:t>
      </w:r>
      <w:proofErr w:type="gramEnd"/>
      <w:r w:rsidR="003D4C71" w:rsidRPr="00770477">
        <w:rPr>
          <w:rFonts w:cs="Times New Roman"/>
        </w:rPr>
        <w:t>II), removal was highly dependent on pH</w:t>
      </w:r>
      <w:r w:rsidR="00A21E4A" w:rsidRPr="00770477">
        <w:rPr>
          <w:rFonts w:cs="Times New Roman"/>
        </w:rPr>
        <w:t>.</w:t>
      </w:r>
      <w:r w:rsidR="003D4C71" w:rsidRPr="00770477">
        <w:rPr>
          <w:rFonts w:cs="Times New Roman"/>
        </w:rPr>
        <w:t xml:space="preserve"> </w:t>
      </w:r>
      <w:r w:rsidR="00A21E4A" w:rsidRPr="00770477">
        <w:rPr>
          <w:rFonts w:cs="Times New Roman"/>
        </w:rPr>
        <w:t>G</w:t>
      </w:r>
      <w:r w:rsidR="00C13E93" w:rsidRPr="00770477">
        <w:rPr>
          <w:rFonts w:cs="Times New Roman"/>
        </w:rPr>
        <w:t>enerally</w:t>
      </w:r>
      <w:r w:rsidR="00A21E4A" w:rsidRPr="00770477">
        <w:rPr>
          <w:rFonts w:cs="Times New Roman"/>
        </w:rPr>
        <w:t>,</w:t>
      </w:r>
      <w:r w:rsidR="00C13E93" w:rsidRPr="00770477">
        <w:rPr>
          <w:rFonts w:cs="Times New Roman"/>
        </w:rPr>
        <w:t xml:space="preserve"> </w:t>
      </w:r>
      <w:r w:rsidR="003D4C71" w:rsidRPr="00770477">
        <w:rPr>
          <w:rFonts w:cs="Times New Roman"/>
        </w:rPr>
        <w:t>higher removal efficiency</w:t>
      </w:r>
      <w:r w:rsidR="00A21E4A" w:rsidRPr="00770477">
        <w:rPr>
          <w:rFonts w:cs="Times New Roman"/>
        </w:rPr>
        <w:t xml:space="preserve"> was observed</w:t>
      </w:r>
      <w:r w:rsidR="003D4C71" w:rsidRPr="00770477">
        <w:rPr>
          <w:rFonts w:cs="Times New Roman"/>
        </w:rPr>
        <w:t xml:space="preserve"> at higher pH, </w:t>
      </w:r>
      <w:r w:rsidR="00A21E4A" w:rsidRPr="00770477">
        <w:rPr>
          <w:rFonts w:cs="Times New Roman"/>
        </w:rPr>
        <w:t xml:space="preserve">however </w:t>
      </w:r>
      <w:r w:rsidR="00C13E93" w:rsidRPr="00770477">
        <w:rPr>
          <w:rFonts w:cs="Times New Roman"/>
        </w:rPr>
        <w:t>the optimal</w:t>
      </w:r>
      <w:r w:rsidR="003D4C71" w:rsidRPr="00770477">
        <w:rPr>
          <w:rFonts w:cs="Times New Roman"/>
        </w:rPr>
        <w:t xml:space="preserve"> efficiency </w:t>
      </w:r>
      <w:r w:rsidR="00C13E93" w:rsidRPr="00770477">
        <w:rPr>
          <w:rFonts w:cs="Times New Roman"/>
        </w:rPr>
        <w:t xml:space="preserve">observed </w:t>
      </w:r>
      <w:r w:rsidR="003D4C71" w:rsidRPr="00770477">
        <w:rPr>
          <w:rFonts w:cs="Times New Roman"/>
        </w:rPr>
        <w:t xml:space="preserve">at pH 6. </w:t>
      </w:r>
      <w:r w:rsidR="00320385" w:rsidRPr="00770477">
        <w:rPr>
          <w:rFonts w:cs="Times New Roman"/>
        </w:rPr>
        <w:t xml:space="preserve">The maximum sorption capacity was found to be 130.2 </w:t>
      </w:r>
      <w:r w:rsidR="004B5FE5" w:rsidRPr="00770477">
        <w:rPr>
          <w:rFonts w:cs="Times New Roman"/>
        </w:rPr>
        <w:t>mg</w:t>
      </w:r>
      <w:r w:rsidR="004B5FE5">
        <w:rPr>
          <w:rFonts w:cs="Times New Roman"/>
        </w:rPr>
        <w:t xml:space="preserve"> </w:t>
      </w:r>
      <w:r w:rsidR="004B5FE5" w:rsidRPr="00770477">
        <w:rPr>
          <w:rFonts w:cs="Times New Roman"/>
        </w:rPr>
        <w:t>g</w:t>
      </w:r>
      <w:r w:rsidR="004B5FE5">
        <w:rPr>
          <w:rFonts w:cs="Times New Roman"/>
          <w:vertAlign w:val="superscript"/>
        </w:rPr>
        <w:t>-1</w:t>
      </w:r>
      <w:r w:rsidR="00320385" w:rsidRPr="00770477">
        <w:rPr>
          <w:rFonts w:cs="Times New Roman"/>
        </w:rPr>
        <w:t>.</w:t>
      </w:r>
      <w:r w:rsidR="00C974FE" w:rsidRPr="00770477">
        <w:rPr>
          <w:rFonts w:cs="Times New Roman"/>
        </w:rPr>
        <w:t xml:space="preserve"> </w:t>
      </w:r>
      <w:r w:rsidR="00B76682" w:rsidRPr="00770477">
        <w:rPr>
          <w:rFonts w:cs="Times New Roman"/>
        </w:rPr>
        <w:t>In a study</w:t>
      </w:r>
      <w:r w:rsidR="00784E3F" w:rsidRPr="00770477">
        <w:rPr>
          <w:rFonts w:cs="Times New Roman"/>
        </w:rPr>
        <w:t xml:space="preserve"> conducted with </w:t>
      </w:r>
      <w:r w:rsidR="00EA71D9" w:rsidRPr="00770477">
        <w:rPr>
          <w:rFonts w:cs="Times New Roman"/>
        </w:rPr>
        <w:t xml:space="preserve">washed and unwashed steel slags, </w:t>
      </w:r>
      <w:r w:rsidR="00EA71D9" w:rsidRPr="00770477">
        <w:rPr>
          <w:rFonts w:cs="Times New Roman"/>
        </w:rPr>
        <w:fldChar w:fldCharType="begin"/>
      </w:r>
      <w:r w:rsidR="002074AD">
        <w:rPr>
          <w:rFonts w:cs="Times New Roman"/>
        </w:rPr>
        <w:instrText xml:space="preserve"> ADDIN ZOTERO_ITEM CSL_CITATION {"citationID":"a2qp8qqubnh","properties":{"formattedCitation":"\\uldash{(Liem-Nguyen et al., 2020)}","plainCitation":"(Liem-Nguyen et al., 2020)","dontUpdate":true,"noteIndex":0},"citationItems":[{"id":1172,"uris":["http://zotero.org/users/8423188/items/827S7YGI"],"itemData":{"id":1172,"type":"article-journal","abstract":"With this study, the removal mechanisms of arsenate by steel slag and its potential for treatment of contaminated water were elucidated. While original slag showed a poor ﬁt to the Langmuir equation (R2 = 0.960), washed slag (the original slag is washed by low pH water solutions to remove readily soluble oxides) conformed better (R2 = 0.995). An initial pH of 2.0 give optimal adsorption, with a strong impact from the chemical speciation observed with highest eﬃciency for the fully protonated (OH)3AsO form. Adsorption capacity of the slag is 4.0 mg g−1, while together with precipitation the retention capacity reaches 13.7 mg g−1. However, removal by precipitation is a non-steady process due to re-dissolution of Ca3(AsO4)2(s). The washed slag shows a similar adsorption capacity to the original one but has not as strong alkaline properties. Batch experiment shows fast adsorption kinetics and column loading tests indicate an instant adsorption kinetics with 80 % As(V) removal for a 10 mg L−1 As(V) solution by 1.0 g of washed slag using a solution ﬂowrate of 1 mL min−1. Common ions like sulfate, carbonate, chloride, iron(III), humic acid and fulvic acid do not signiﬁcantly interfere with the removal eﬃciency. In combination with limited hazardous metals leaching, the slag is thus appropriate for use as a ﬁlter material for treatment of contaminated water and it has been successfully applied as ﬁlter material for treatment of arsenate spiked natural water sample with average removal eﬃciency of 84 % (solid to liquid ratio of 200).","container-title":"Journal of Environmental Chemical Engineering","DOI":"10.1016/j.jece.2020.103833","ISSN":"22133437","issue":"4","journalAbbreviation":"Journal of Environmental Chemical Engineering","language":"en","page":"103833","source":"DOI.org (Crossref)","title":"Removal mechanism of arsenic (V) by stainless steel slags obtained from scrap metal recycling","volume":"8","author":[{"family":"Liem-Nguyen","given":"Van"},{"family":"Sjöberg","given":"Viktor"},{"family":"Dinh","given":"Ngoc Phuoc"},{"family":"Huy","given":"Duong Huu"},{"family":"Karlsson","given":"Stefan"}],"issued":{"date-parts":[["2020",8]]}}}],"schema":"https://github.com/citation-style-language/schema/raw/master/csl-citation.json"} </w:instrText>
      </w:r>
      <w:r w:rsidR="00EA71D9" w:rsidRPr="00770477">
        <w:rPr>
          <w:rFonts w:cs="Times New Roman"/>
        </w:rPr>
        <w:fldChar w:fldCharType="separate"/>
      </w:r>
      <w:r w:rsidR="00212F84" w:rsidRPr="00770477">
        <w:rPr>
          <w:rFonts w:cs="Times New Roman"/>
          <w:u w:val="dash"/>
        </w:rPr>
        <w:t>Liem-Nguyen et al. (2020)</w:t>
      </w:r>
      <w:r w:rsidR="00EA71D9" w:rsidRPr="00770477">
        <w:rPr>
          <w:rFonts w:cs="Times New Roman"/>
        </w:rPr>
        <w:fldChar w:fldCharType="end"/>
      </w:r>
      <w:r w:rsidR="00212F84" w:rsidRPr="00770477">
        <w:rPr>
          <w:rFonts w:cs="Times New Roman"/>
        </w:rPr>
        <w:t xml:space="preserve"> demonstrated both slags to be effective at removing ars</w:t>
      </w:r>
      <w:r w:rsidR="00B11372" w:rsidRPr="00770477">
        <w:rPr>
          <w:rFonts w:cs="Times New Roman"/>
        </w:rPr>
        <w:t>enate (As</w:t>
      </w:r>
      <w:r w:rsidR="00B11372" w:rsidRPr="00770477">
        <w:rPr>
          <w:rFonts w:cs="Times New Roman"/>
          <w:vertAlign w:val="superscript"/>
        </w:rPr>
        <w:t>+5</w:t>
      </w:r>
      <w:r w:rsidR="00B11372" w:rsidRPr="00770477">
        <w:rPr>
          <w:rFonts w:cs="Times New Roman"/>
        </w:rPr>
        <w:t xml:space="preserve">) from solution. </w:t>
      </w:r>
      <w:r w:rsidR="00533438" w:rsidRPr="00770477">
        <w:rPr>
          <w:rFonts w:cs="Times New Roman"/>
        </w:rPr>
        <w:t>Adsorption alone was reported to account for 4.0 mg g</w:t>
      </w:r>
      <w:r w:rsidR="004D5145" w:rsidRPr="00770477">
        <w:rPr>
          <w:rFonts w:cs="Times New Roman"/>
          <w:vertAlign w:val="superscript"/>
        </w:rPr>
        <w:t>-1</w:t>
      </w:r>
      <w:r w:rsidR="004D5145" w:rsidRPr="00770477">
        <w:rPr>
          <w:rFonts w:cs="Times New Roman"/>
        </w:rPr>
        <w:t xml:space="preserve"> of </w:t>
      </w:r>
      <w:proofErr w:type="gramStart"/>
      <w:r w:rsidR="004D5145" w:rsidRPr="00770477">
        <w:rPr>
          <w:rFonts w:cs="Times New Roman"/>
        </w:rPr>
        <w:t>As</w:t>
      </w:r>
      <w:proofErr w:type="gramEnd"/>
      <w:r w:rsidR="004D5145" w:rsidRPr="00770477">
        <w:rPr>
          <w:rFonts w:cs="Times New Roman"/>
          <w:vertAlign w:val="superscript"/>
        </w:rPr>
        <w:t>+5</w:t>
      </w:r>
      <w:r w:rsidR="004D5145" w:rsidRPr="00770477">
        <w:rPr>
          <w:rFonts w:cs="Times New Roman"/>
        </w:rPr>
        <w:t xml:space="preserve"> removal </w:t>
      </w:r>
      <w:r w:rsidR="004D5145" w:rsidRPr="00770477">
        <w:rPr>
          <w:rFonts w:cs="Times New Roman"/>
        </w:rPr>
        <w:lastRenderedPageBreak/>
        <w:t>from solution, however when adsorption and precipitation combined, the retention capacity jumps to 13.7 mg g</w:t>
      </w:r>
      <w:r w:rsidR="004D5145" w:rsidRPr="00770477">
        <w:rPr>
          <w:rFonts w:cs="Times New Roman"/>
          <w:vertAlign w:val="superscript"/>
        </w:rPr>
        <w:t>-1</w:t>
      </w:r>
      <w:r w:rsidR="004D5145" w:rsidRPr="00770477">
        <w:rPr>
          <w:rFonts w:cs="Times New Roman"/>
        </w:rPr>
        <w:t xml:space="preserve">. </w:t>
      </w:r>
      <w:r w:rsidR="00E65C3A" w:rsidRPr="00770477">
        <w:rPr>
          <w:rFonts w:cs="Times New Roman"/>
        </w:rPr>
        <w:t>An initial solu</w:t>
      </w:r>
      <w:r w:rsidR="003F2C8A" w:rsidRPr="00770477">
        <w:rPr>
          <w:rFonts w:cs="Times New Roman"/>
        </w:rPr>
        <w:t>tion</w:t>
      </w:r>
      <w:r w:rsidR="00E65C3A" w:rsidRPr="00770477">
        <w:rPr>
          <w:rFonts w:cs="Times New Roman"/>
        </w:rPr>
        <w:t xml:space="preserve"> pH </w:t>
      </w:r>
      <w:r w:rsidR="00287490" w:rsidRPr="00770477">
        <w:rPr>
          <w:rFonts w:cs="Times New Roman"/>
        </w:rPr>
        <w:t xml:space="preserve">helps to optimize the removal of </w:t>
      </w:r>
      <w:r w:rsidR="00EE5CE9" w:rsidRPr="00770477">
        <w:rPr>
          <w:rFonts w:cs="Times New Roman"/>
        </w:rPr>
        <w:t>arsenate and</w:t>
      </w:r>
      <w:r w:rsidR="00287490" w:rsidRPr="00770477">
        <w:rPr>
          <w:rFonts w:cs="Times New Roman"/>
        </w:rPr>
        <w:t xml:space="preserve"> washing the steel slag with a low pH solution prior to use helps to get a more uniform fit to the Langmuir equation</w:t>
      </w:r>
      <w:r w:rsidR="007E1A84" w:rsidRPr="00770477">
        <w:rPr>
          <w:rFonts w:cs="Times New Roman"/>
        </w:rPr>
        <w:t>, representing a more uniform removal behavior. The authors also note that adsorption kinetics are instant</w:t>
      </w:r>
      <w:r w:rsidR="00020981" w:rsidRPr="00770477">
        <w:rPr>
          <w:rFonts w:cs="Times New Roman"/>
        </w:rPr>
        <w:t xml:space="preserve"> and</w:t>
      </w:r>
      <w:r w:rsidR="000E43E6" w:rsidRPr="00770477">
        <w:rPr>
          <w:rFonts w:cs="Times New Roman"/>
        </w:rPr>
        <w:t xml:space="preserve"> adsorption is not </w:t>
      </w:r>
      <w:r w:rsidR="00F81735">
        <w:rPr>
          <w:rFonts w:cs="Times New Roman"/>
        </w:rPr>
        <w:t>noticeably</w:t>
      </w:r>
      <w:r w:rsidR="000E43E6" w:rsidRPr="00770477">
        <w:rPr>
          <w:rFonts w:cs="Times New Roman"/>
        </w:rPr>
        <w:t xml:space="preserve"> affected by common ions </w:t>
      </w:r>
      <w:r w:rsidR="003F2C8A" w:rsidRPr="00770477">
        <w:rPr>
          <w:rFonts w:cs="Times New Roman"/>
        </w:rPr>
        <w:t xml:space="preserve">also in solution such as sulfate, carbonate, chloride, iron(III) and organic matter. </w:t>
      </w:r>
      <w:r w:rsidR="00C974FE" w:rsidRPr="00770477">
        <w:rPr>
          <w:rFonts w:cs="Times New Roman"/>
        </w:rPr>
        <w:fldChar w:fldCharType="begin"/>
      </w:r>
      <w:r w:rsidR="002074AD">
        <w:rPr>
          <w:rFonts w:cs="Times New Roman"/>
        </w:rPr>
        <w:instrText xml:space="preserve"> ADDIN ZOTERO_ITEM CSL_CITATION {"citationID":"JsZ7CMqz","properties":{"formattedCitation":"(Scott &amp; Penn, 2021)","plainCitation":"(Scott &amp; Penn, 2021)","dontUpdate":true,"noteIndex":0},"citationItems":[{"id":331,"uris":["http://zotero.org/users/8423188/items/CSHY3DJB"],"itemData":{"id":331,"type":"article-journal","abstract":"Steel slag has been proven to be an effective phosphorus (P) removal media, and a potential aid to mitigate point and nonpoint P pollution in freshwater systems. However, the behavior of steel slag as a P sorption material (PSM) is often oversimpliﬁed through the generalization of its chemical and physical properties, preventing proper design of P removal structures. In this work, we tested eighteen steel slag samples from different batches, production processes, and steel-making plants, for the purpose of relating slag origin and chemical and physical properties to P removal ability, under two different ﬂow regimes. Slag samples were also coated with aluminum (Al) and tested for P removal. Characterization included elemental composition, particle density, buffer capacity, and P removal ability. There was great variability in the evaluated properties across slag sources and origin, compelling the individual characterization of steel slag samples, since their intrinsic characteristics were key variables in determining their potential P removal capacity. Speciﬁcally, electrical conductivity (EC), bulk density, particle density and magnesium (Mg) content could explain around 70% of the variability of P removal by uncoated steel slags. Increasing residence time (RT) always increased P removal for uncoated slags. Steel slags showed a high variability in their P removal ability, but such variability was considerably decreased by coating the slags with Al. Additionally, the Al-coating process signiﬁcantly improved P removal performance under more rapid ﬂows (lower RT).","container-title":"Chemosphere","DOI":"10.1016/j.chemosphere.2021.130205","ISSN":"00456535","journalAbbreviation":"Chemosphere","language":"en","page":"130205","source":"DOI.org (Crossref)","title":"Estimating the variability of steel slag properties and their influence in phosphorus removal ability","volume":"276","author":[{"family":"Scott","given":"Isis S.P.C."},{"family":"Penn","given":"Chad J."}],"issued":{"date-parts":[["2021",8]]}}}],"schema":"https://github.com/citation-style-language/schema/raw/master/csl-citation.json"} </w:instrText>
      </w:r>
      <w:r w:rsidR="00C974FE" w:rsidRPr="00770477">
        <w:rPr>
          <w:rFonts w:cs="Times New Roman"/>
        </w:rPr>
        <w:fldChar w:fldCharType="separate"/>
      </w:r>
      <w:r w:rsidR="00C974FE" w:rsidRPr="00770477">
        <w:rPr>
          <w:rFonts w:cs="Times New Roman"/>
        </w:rPr>
        <w:t>Scott &amp; Penn (2021)</w:t>
      </w:r>
      <w:r w:rsidR="00C974FE" w:rsidRPr="00770477">
        <w:rPr>
          <w:rFonts w:cs="Times New Roman"/>
        </w:rPr>
        <w:fldChar w:fldCharType="end"/>
      </w:r>
      <w:r w:rsidR="00C974FE" w:rsidRPr="00770477">
        <w:rPr>
          <w:rFonts w:cs="Times New Roman"/>
        </w:rPr>
        <w:t xml:space="preserve"> explain the removal of P from solution </w:t>
      </w:r>
      <w:r w:rsidR="00E120F1" w:rsidRPr="00770477">
        <w:rPr>
          <w:rFonts w:cs="Times New Roman"/>
        </w:rPr>
        <w:t>as shown in equations (1) and (2):</w:t>
      </w:r>
    </w:p>
    <w:p w14:paraId="505C1645" w14:textId="543D9D79" w:rsidR="00AC1A23" w:rsidRPr="00770477" w:rsidRDefault="00AC1A23" w:rsidP="00AC29EC">
      <w:pPr>
        <w:spacing w:line="240" w:lineRule="auto"/>
        <w:jc w:val="left"/>
        <w:rPr>
          <w:rFonts w:cs="Times New Roman"/>
        </w:rPr>
      </w:pPr>
    </w:p>
    <w:p w14:paraId="04B2E7F7" w14:textId="0A810A9A" w:rsidR="00AC1A23" w:rsidRPr="00770477" w:rsidRDefault="00AC1A23" w:rsidP="00AC1A23">
      <w:pPr>
        <w:pStyle w:val="Caption"/>
        <w:rPr>
          <w:rFonts w:cs="Times New Roman"/>
        </w:rPr>
      </w:pPr>
      <w:bookmarkStart w:id="21" w:name="_Toc121486640"/>
      <w:r w:rsidRPr="00770477">
        <w:rPr>
          <w:rFonts w:cs="Times New Roman"/>
        </w:rPr>
        <w:t xml:space="preserve">Equation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1</w:t>
      </w:r>
      <w:r w:rsidRPr="00770477">
        <w:rPr>
          <w:rFonts w:cs="Times New Roman"/>
          <w:noProof/>
        </w:rPr>
        <w:fldChar w:fldCharType="end"/>
      </w:r>
      <w:r w:rsidR="008B1ECE" w:rsidRPr="00770477">
        <w:rPr>
          <w:rFonts w:cs="Times New Roman"/>
        </w:rPr>
        <w:noBreakHyphen/>
      </w:r>
      <w:r w:rsidRPr="00770477">
        <w:rPr>
          <w:rFonts w:cs="Times New Roman"/>
        </w:rPr>
        <w:fldChar w:fldCharType="begin"/>
      </w:r>
      <w:r w:rsidRPr="00770477">
        <w:rPr>
          <w:rFonts w:cs="Times New Roman"/>
        </w:rPr>
        <w:instrText xml:space="preserve"> SEQ Equation \* ARABIC \s 1 </w:instrText>
      </w:r>
      <w:r w:rsidRPr="00770477">
        <w:rPr>
          <w:rFonts w:cs="Times New Roman"/>
        </w:rPr>
        <w:fldChar w:fldCharType="separate"/>
      </w:r>
      <w:r w:rsidR="00061096">
        <w:rPr>
          <w:rFonts w:cs="Times New Roman"/>
          <w:noProof/>
        </w:rPr>
        <w:t>1</w:t>
      </w:r>
      <w:r w:rsidRPr="00770477">
        <w:rPr>
          <w:rFonts w:cs="Times New Roman"/>
          <w:noProof/>
        </w:rPr>
        <w:fldChar w:fldCharType="end"/>
      </w:r>
      <w:r w:rsidRPr="00770477">
        <w:rPr>
          <w:rFonts w:cs="Times New Roman"/>
        </w:rPr>
        <w:t xml:space="preserve">  Phosphorus removal reactions in calcium rich materials </w:t>
      </w:r>
      <w:r w:rsidRPr="00770477">
        <w:rPr>
          <w:rFonts w:cs="Times New Roman"/>
        </w:rPr>
        <w:fldChar w:fldCharType="begin"/>
      </w:r>
      <w:r w:rsidR="002074AD">
        <w:rPr>
          <w:rFonts w:cs="Times New Roman"/>
        </w:rPr>
        <w:instrText xml:space="preserve"> ADDIN ZOTERO_ITEM CSL_CITATION {"citationID":"29ZzIOrg","properties":{"formattedCitation":"(Scott &amp; Penn, 2021)","plainCitation":"(Scott &amp; Penn, 2021)","noteIndex":0},"citationItems":[{"id":331,"uris":["http://zotero.org/users/8423188/items/CSHY3DJB"],"itemData":{"id":331,"type":"article-journal","abstract":"Steel slag has been proven to be an effective phosphorus (P) removal media, and a potential aid to mitigate point and nonpoint P pollution in freshwater systems. However, the behavior of steel slag as a P sorption material (PSM) is often oversimpliﬁed through the generalization of its chemical and physical properties, preventing proper design of P removal structures. In this work, we tested eighteen steel slag samples from different batches, production processes, and steel-making plants, for the purpose of relating slag origin and chemical and physical properties to P removal ability, under two different ﬂow regimes. Slag samples were also coated with aluminum (Al) and tested for P removal. Characterization included elemental composition, particle density, buffer capacity, and P removal ability. There was great variability in the evaluated properties across slag sources and origin, compelling the individual characterization of steel slag samples, since their intrinsic characteristics were key variables in determining their potential P removal capacity. Speciﬁcally, electrical conductivity (EC), bulk density, particle density and magnesium (Mg) content could explain around 70% of the variability of P removal by uncoated steel slags. Increasing residence time (RT) always increased P removal for uncoated slags. Steel slags showed a high variability in their P removal ability, but such variability was considerably decreased by coating the slags with Al. Additionally, the Al-coating process signiﬁcantly improved P removal performance under more rapid ﬂows (lower RT).","container-title":"Chemosphere","DOI":"10.1016/j.chemosphere.2021.130205","ISSN":"00456535","journalAbbreviation":"Chemosphere","language":"en","page":"130205","source":"DOI.org (Crossref)","title":"Estimating the variability of steel slag properties and their influence in phosphorus removal ability","volume":"276","author":[{"family":"Scott","given":"Isis S.P.C."},{"family":"Penn","given":"Chad J."}],"issued":{"date-parts":[["2021",8]]}}}],"schema":"https://github.com/citation-style-language/schema/raw/master/csl-citation.json"} </w:instrText>
      </w:r>
      <w:r w:rsidRPr="00770477">
        <w:rPr>
          <w:rFonts w:cs="Times New Roman"/>
        </w:rPr>
        <w:fldChar w:fldCharType="separate"/>
      </w:r>
      <w:r w:rsidRPr="00770477">
        <w:rPr>
          <w:rFonts w:cs="Times New Roman"/>
        </w:rPr>
        <w:t>(Scott &amp; Penn, 2021)</w:t>
      </w:r>
      <w:bookmarkEnd w:id="21"/>
      <w:r w:rsidRPr="00770477">
        <w:rPr>
          <w:rFonts w:cs="Times New Roman"/>
        </w:rPr>
        <w:fldChar w:fldCharType="end"/>
      </w:r>
    </w:p>
    <w:p w14:paraId="2D6E2728" w14:textId="67FAD05C" w:rsidR="00E120F1" w:rsidRPr="00770477" w:rsidRDefault="00E120F1" w:rsidP="002D33D6">
      <w:pPr>
        <w:spacing w:before="240"/>
        <w:rPr>
          <w:rFonts w:eastAsiaTheme="minorEastAsia" w:cs="Times New Roman"/>
        </w:rPr>
      </w:pPr>
      <m:oMathPara>
        <m:oMath>
          <m:r>
            <w:rPr>
              <w:rFonts w:ascii="Cambria Math" w:hAnsi="Cambria Math" w:cs="Times New Roman"/>
            </w:rPr>
            <m:t>C</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m:t>
              </m:r>
            </m:sub>
          </m:sSub>
          <m:r>
            <w:rPr>
              <w:rFonts w:ascii="Cambria Math" w:hAnsi="Cambria Math" w:cs="Times New Roman"/>
            </w:rPr>
            <m:t>Si</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r>
            <w:rPr>
              <w:rFonts w:ascii="Cambria Math" w:hAnsi="Cambria Math" w:cs="Times New Roman"/>
            </w:rPr>
            <m:t>+4</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→2C</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r>
            <w:rPr>
              <w:rFonts w:ascii="Cambria Math" w:hAnsi="Cambria Math" w:cs="Times New Roman"/>
            </w:rPr>
            <m:t>+2</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O+Si</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2</m:t>
              </m:r>
            </m:sub>
          </m:sSub>
        </m:oMath>
      </m:oMathPara>
    </w:p>
    <w:p w14:paraId="6FEBFAD5" w14:textId="79A3BE5F" w:rsidR="00E120F1" w:rsidRPr="00770477" w:rsidRDefault="00D22327" w:rsidP="002D33D6">
      <w:pPr>
        <w:spacing w:before="240"/>
        <w:rPr>
          <w:rFonts w:eastAsiaTheme="minorEastAsia" w:cs="Times New Roman"/>
        </w:rPr>
      </w:pPr>
      <m:oMathPara>
        <m:oMath>
          <m:r>
            <w:rPr>
              <w:rFonts w:ascii="Cambria Math" w:eastAsiaTheme="minorEastAsia" w:hAnsi="Cambria Math" w:cs="Times New Roman"/>
            </w:rPr>
            <m:t>C</m:t>
          </m:r>
          <m:sSup>
            <m:sSupPr>
              <m:ctrlPr>
                <w:rPr>
                  <w:rFonts w:ascii="Cambria Math" w:eastAsiaTheme="minorEastAsia" w:hAnsi="Cambria Math" w:cs="Times New Roman"/>
                  <w:i/>
                </w:rPr>
              </m:ctrlPr>
            </m:sSupPr>
            <m:e>
              <m:r>
                <w:rPr>
                  <w:rFonts w:ascii="Cambria Math" w:eastAsiaTheme="minorEastAsia" w:hAnsi="Cambria Math" w:cs="Times New Roman"/>
                </w:rPr>
                <m:t>a</m:t>
              </m:r>
            </m:e>
            <m:sup>
              <m:r>
                <w:rPr>
                  <w:rFonts w:ascii="Cambria Math" w:eastAsiaTheme="minorEastAsia" w:hAnsi="Cambria Math" w:cs="Times New Roman"/>
                </w:rPr>
                <m:t>2+</m:t>
              </m:r>
            </m:sup>
          </m:sSup>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x</m:t>
              </m:r>
            </m:sub>
          </m:sSub>
          <m:r>
            <w:rPr>
              <w:rFonts w:ascii="Cambria Math" w:eastAsiaTheme="minorEastAsia" w:hAnsi="Cambria Math" w:cs="Times New Roman"/>
            </w:rPr>
            <m:t>P</m:t>
          </m:r>
          <m:sSubSup>
            <m:sSubSupPr>
              <m:ctrlPr>
                <w:rPr>
                  <w:rFonts w:ascii="Cambria Math" w:eastAsiaTheme="minorEastAsia" w:hAnsi="Cambria Math" w:cs="Times New Roman"/>
                  <w:i/>
                </w:rPr>
              </m:ctrlPr>
            </m:sSubSupPr>
            <m:e>
              <m:r>
                <w:rPr>
                  <w:rFonts w:ascii="Cambria Math" w:eastAsiaTheme="minorEastAsia" w:hAnsi="Cambria Math" w:cs="Times New Roman"/>
                </w:rPr>
                <m:t>O</m:t>
              </m:r>
            </m:e>
            <m:sub>
              <m:r>
                <w:rPr>
                  <w:rFonts w:ascii="Cambria Math" w:eastAsiaTheme="minorEastAsia" w:hAnsi="Cambria Math" w:cs="Times New Roman"/>
                </w:rPr>
                <m:t>4</m:t>
              </m:r>
            </m:sub>
            <m:sup>
              <m:r>
                <w:rPr>
                  <w:rFonts w:ascii="Cambria Math" w:eastAsiaTheme="minorEastAsia" w:hAnsi="Cambria Math" w:cs="Times New Roman"/>
                </w:rPr>
                <m:t>x-3</m:t>
              </m:r>
            </m:sup>
          </m:sSubSup>
          <m:r>
            <w:rPr>
              <w:rFonts w:ascii="Cambria Math" w:eastAsiaTheme="minorEastAsia" w:hAnsi="Cambria Math" w:cs="Times New Roman"/>
            </w:rPr>
            <m:t>→Ca</m:t>
          </m:r>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x</m:t>
              </m:r>
            </m:sub>
          </m:sSub>
          <m:r>
            <w:rPr>
              <w:rFonts w:ascii="Cambria Math" w:eastAsiaTheme="minorEastAsia" w:hAnsi="Cambria Math" w:cs="Times New Roman"/>
            </w:rPr>
            <m:t>P</m:t>
          </m:r>
          <m:sSubSup>
            <m:sSubSupPr>
              <m:ctrlPr>
                <w:rPr>
                  <w:rFonts w:ascii="Cambria Math" w:eastAsiaTheme="minorEastAsia" w:hAnsi="Cambria Math" w:cs="Times New Roman"/>
                  <w:i/>
                </w:rPr>
              </m:ctrlPr>
            </m:sSubSupPr>
            <m:e>
              <m:r>
                <w:rPr>
                  <w:rFonts w:ascii="Cambria Math" w:eastAsiaTheme="minorEastAsia" w:hAnsi="Cambria Math" w:cs="Times New Roman"/>
                </w:rPr>
                <m:t>O</m:t>
              </m:r>
            </m:e>
            <m:sub>
              <m:r>
                <w:rPr>
                  <w:rFonts w:ascii="Cambria Math" w:eastAsiaTheme="minorEastAsia" w:hAnsi="Cambria Math" w:cs="Times New Roman"/>
                </w:rPr>
                <m:t>4</m:t>
              </m:r>
            </m:sub>
            <m:sup>
              <m:r>
                <w:rPr>
                  <w:rFonts w:ascii="Cambria Math" w:eastAsiaTheme="minorEastAsia" w:hAnsi="Cambria Math" w:cs="Times New Roman"/>
                </w:rPr>
                <m:t>x-1</m:t>
              </m:r>
            </m:sup>
          </m:sSubSup>
          <m:r>
            <w:rPr>
              <w:rFonts w:ascii="Cambria Math" w:eastAsiaTheme="minorEastAsia" w:hAnsi="Cambria Math" w:cs="Times New Roman"/>
            </w:rPr>
            <m:t xml:space="preserve">   with 0&lt;x&lt;2</m:t>
          </m:r>
        </m:oMath>
      </m:oMathPara>
    </w:p>
    <w:p w14:paraId="667B6888" w14:textId="4C50E4FF" w:rsidR="000C7A56" w:rsidRPr="00770477" w:rsidRDefault="00B824CB" w:rsidP="002D33D6">
      <w:pPr>
        <w:spacing w:before="240"/>
        <w:rPr>
          <w:rFonts w:cs="Times New Roman"/>
        </w:rPr>
      </w:pPr>
      <w:r w:rsidRPr="00770477">
        <w:rPr>
          <w:rFonts w:cs="Times New Roman"/>
        </w:rPr>
        <w:t xml:space="preserve">This equation is further backed by </w:t>
      </w:r>
      <w:r w:rsidR="00181295" w:rsidRPr="00770477">
        <w:rPr>
          <w:rFonts w:cs="Times New Roman"/>
        </w:rPr>
        <w:fldChar w:fldCharType="begin"/>
      </w:r>
      <w:r w:rsidR="002074AD">
        <w:rPr>
          <w:rFonts w:cs="Times New Roman"/>
        </w:rPr>
        <w:instrText xml:space="preserve"> ADDIN ZOTERO_ITEM CSL_CITATION {"citationID":"9vTNHENA","properties":{"formattedCitation":"(Piatak et al., 2019)","plainCitation":"(Piatak et al., 2019)","dontUpdate":true,"noteIndex":0},"citationItems":[{"id":806,"uris":["http://zotero.org/users/8423188/items/VVSD27TR"],"itemData":{"id":806,"type":"article-journal","abstract":"Iron and steel slags from legacy and modern operations in the Chicago-Gary area of Illinois and Indiana, USA, are predominantly composed of Ca (10–44 wt. % CaO), Fe (0.3–28 wt. % FeO), and Si (10–44 wt. % SiO2), with generally lesser amounts of Al (&lt;1–15 wt. % Al2O3), Mg (2–11 wt. % MgO), and Mn (0.3–9 wt. % MnO). Mineralogy is dominated by Ca ± Mg ± Al silicates, Fe ± Ca oxides, Ca-carbonates, and high-temperature SiO2 phases. Chromium and Mn concentrations in most samples may be environmentally signiﬁcant based on comparison with generic soil contaminant guidelines. However, simulated weathering tests suggest these elements are present in generally insoluble phases making their use in water treatment applications possible; however, the generation of high pH and alkaline solutions may be an issue. As for possible water treatment applications, batch and ﬂow-through experiments document eﬀective removal of phosphate from synthetic solutions for nearly all slag samples. Air-cooled ﬁne fractions (&lt;10 mm) of modern slag were most eﬀective; other types, including modern granulated, modern air-cooled coarse fractions (&gt;10 mm), and legacy slag removed phosphate, but to a lesser degree. An additional water treatment application is the use of slag to neutralize acidic waters. Most slag samples are extremely alkaline and have high net neutralization potentials (NNP) (400–830 kg CaCO3/t), with the highest approximately equivalent to 80% of the neutralization potential of calcite. Overall, phosphate removal capacity and NNP correlate positively with total Ca content and the dissolution of Ca minerals facilitates secondary Ca phosphate formation and consumes acid during hydrolysis. Utilizing locally available slag to treat waste or agricultural waters in this region may be a higher value alternative than use in construction, potentially oﬀsetting restoration costs to degraded legacy areas and decreasing steel manufacturers’ current waste footprint.","container-title":"Minerals","DOI":"10.3390/min9080468","ISSN":"2075-163X","issue":"8","journalAbbreviation":"Minerals","language":"en","page":"468","source":"DOI.org (Crossref)","title":"Geochemical Characterization of Iron and Steel Slag and Its Potential to Remove Phosphate and Neutralize Acid","volume":"9","author":[{"literal":"Piatak"},{"literal":"Ii"},{"literal":"Hoppe"},{"literal":"Green"},{"literal":"Buszka"}],"issued":{"date-parts":[["2019",7,31]]}}}],"schema":"https://github.com/citation-style-language/schema/raw/master/csl-citation.json"} </w:instrText>
      </w:r>
      <w:r w:rsidR="00181295" w:rsidRPr="00770477">
        <w:rPr>
          <w:rFonts w:cs="Times New Roman"/>
        </w:rPr>
        <w:fldChar w:fldCharType="separate"/>
      </w:r>
      <w:r w:rsidR="00181295" w:rsidRPr="00770477">
        <w:rPr>
          <w:rFonts w:cs="Times New Roman"/>
        </w:rPr>
        <w:t xml:space="preserve">Piatak et al. </w:t>
      </w:r>
      <w:r w:rsidR="001E065B" w:rsidRPr="00770477">
        <w:rPr>
          <w:rFonts w:cs="Times New Roman"/>
        </w:rPr>
        <w:t>(</w:t>
      </w:r>
      <w:r w:rsidR="00181295" w:rsidRPr="00770477">
        <w:rPr>
          <w:rFonts w:cs="Times New Roman"/>
        </w:rPr>
        <w:t>2019)</w:t>
      </w:r>
      <w:r w:rsidR="00181295" w:rsidRPr="00770477">
        <w:rPr>
          <w:rFonts w:cs="Times New Roman"/>
        </w:rPr>
        <w:fldChar w:fldCharType="end"/>
      </w:r>
      <w:r w:rsidRPr="00770477">
        <w:rPr>
          <w:rFonts w:cs="Times New Roman"/>
        </w:rPr>
        <w:t xml:space="preserve"> where experiments </w:t>
      </w:r>
      <w:r w:rsidR="00443773" w:rsidRPr="00770477">
        <w:rPr>
          <w:rFonts w:cs="Times New Roman"/>
        </w:rPr>
        <w:t>showed a positive linear correlation (R</w:t>
      </w:r>
      <w:r w:rsidR="00443773" w:rsidRPr="00770477">
        <w:rPr>
          <w:rFonts w:cs="Times New Roman"/>
          <w:vertAlign w:val="superscript"/>
        </w:rPr>
        <w:t>2</w:t>
      </w:r>
      <w:r w:rsidR="00443773" w:rsidRPr="00770477">
        <w:rPr>
          <w:rFonts w:cs="Times New Roman"/>
        </w:rPr>
        <w:t xml:space="preserve"> = 0.5, n = 12) </w:t>
      </w:r>
      <w:r w:rsidR="00527ACF" w:rsidRPr="00770477">
        <w:rPr>
          <w:rFonts w:cs="Times New Roman"/>
        </w:rPr>
        <w:t>between P removal capacity and Ca content.</w:t>
      </w:r>
      <w:r w:rsidR="00774D52" w:rsidRPr="00770477">
        <w:rPr>
          <w:rFonts w:cs="Times New Roman"/>
        </w:rPr>
        <w:t xml:space="preserve"> </w:t>
      </w:r>
      <w:r w:rsidR="1602E5FF" w:rsidRPr="00770477">
        <w:rPr>
          <w:rFonts w:cs="Times New Roman"/>
        </w:rPr>
        <w:t>Silicate</w:t>
      </w:r>
      <w:r w:rsidR="00774D52" w:rsidRPr="00770477">
        <w:rPr>
          <w:rFonts w:cs="Times New Roman"/>
        </w:rPr>
        <w:t xml:space="preserve"> dissolution </w:t>
      </w:r>
      <w:r w:rsidR="00103032" w:rsidRPr="00770477">
        <w:rPr>
          <w:rFonts w:cs="Times New Roman"/>
        </w:rPr>
        <w:fldChar w:fldCharType="begin"/>
      </w:r>
      <w:r w:rsidR="002074AD">
        <w:rPr>
          <w:rFonts w:cs="Times New Roman"/>
        </w:rPr>
        <w:instrText xml:space="preserve"> ADDIN ZOTERO_ITEM CSL_CITATION {"citationID":"VluHty72","properties":{"formattedCitation":"(Zuo et al., 2018)","plainCitation":"(Zuo et al., 2018)","noteIndex":0},"citationItems":[{"id":805,"uris":["http://zotero.org/users/8423188/items/EZ57DZCJ"],"itemData":{"id":805,"type":"article-journal","container-title":"Journal of Water Process Engineering","DOI":"10.1016/j.jwpe.2018.07.003","ISSN":"22147144","journalAbbreviation":"Journal of Water Process Engineering","language":"en","page":"105-112","source":"DOI.org (Crossref)","title":"Phosphorus removal by slag depends on its mineralogical composition: A comparative study of AOD and EAF slags","title-short":"Phosphorus removal by slag depends on its mineralogical composition","volume":"25","author":[{"family":"Zuo","given":"Minyu"},{"family":"Renman","given":"Gunno"},{"family":"Gustafsson","given":"Jon Petter"},{"family":"Klysubun","given":"Wantana"}],"issued":{"date-parts":[["2018",10]]}}}],"schema":"https://github.com/citation-style-language/schema/raw/master/csl-citation.json"} </w:instrText>
      </w:r>
      <w:r w:rsidR="00103032" w:rsidRPr="00770477">
        <w:rPr>
          <w:rFonts w:cs="Times New Roman"/>
        </w:rPr>
        <w:fldChar w:fldCharType="separate"/>
      </w:r>
      <w:r w:rsidR="00E11E17" w:rsidRPr="00770477">
        <w:rPr>
          <w:rFonts w:cs="Times New Roman"/>
        </w:rPr>
        <w:t>(Zuo et al., 2018)</w:t>
      </w:r>
      <w:r w:rsidR="00103032" w:rsidRPr="00770477">
        <w:rPr>
          <w:rFonts w:cs="Times New Roman"/>
        </w:rPr>
        <w:fldChar w:fldCharType="end"/>
      </w:r>
      <w:r w:rsidR="00774D52" w:rsidRPr="00770477">
        <w:rPr>
          <w:rFonts w:cs="Times New Roman"/>
        </w:rPr>
        <w:t xml:space="preserve">, </w:t>
      </w:r>
      <w:r w:rsidR="006A1821" w:rsidRPr="00770477">
        <w:rPr>
          <w:rFonts w:cs="Times New Roman"/>
        </w:rPr>
        <w:t>pH and initial P concentrations</w:t>
      </w:r>
      <w:r w:rsidR="00214FB9" w:rsidRPr="00770477">
        <w:rPr>
          <w:rFonts w:cs="Times New Roman"/>
        </w:rPr>
        <w:t xml:space="preserve"> </w:t>
      </w:r>
      <w:r w:rsidR="00A77851" w:rsidRPr="00770477">
        <w:rPr>
          <w:rFonts w:cs="Times New Roman"/>
        </w:rPr>
        <w:fldChar w:fldCharType="begin"/>
      </w:r>
      <w:r w:rsidR="002074AD">
        <w:rPr>
          <w:rFonts w:cs="Times New Roman"/>
        </w:rPr>
        <w:instrText xml:space="preserve"> ADDIN ZOTERO_ITEM CSL_CITATION {"citationID":"MGLV3BAV","properties":{"formattedCitation":"(Bowden et al., 2009)","plainCitation":"(Bowden et al., 2009)","noteIndex":0},"citationItems":[{"id":803,"uris":["http://zotero.org/users/8423188/items/22CF23P4"],"itemData":{"id":803,"type":"article-journal","container-title":"Environmental Science &amp; Technology","DOI":"10.1021/es801626d","ISSN":"0013-936X, 1520-5851","issue":"7","journalAbbreviation":"Environ. Sci. Technol.","language":"en","page":"2476-2481","source":"DOI.org (Crossref)","title":"Phosphorus Removal from Waste Waters Using Basic Oxygen Steel Slag","volume":"43","author":[{"family":"Bowden","given":"Lawrence I."},{"family":"Jarvis","given":"Adam P."},{"family":"Younger","given":"Paul L."},{"family":"Johnson","given":"Karen L."}],"issued":{"date-parts":[["2009",4,1]]}}}],"schema":"https://github.com/citation-style-language/schema/raw/master/csl-citation.json"} </w:instrText>
      </w:r>
      <w:r w:rsidR="00A77851" w:rsidRPr="00770477">
        <w:rPr>
          <w:rFonts w:cs="Times New Roman"/>
        </w:rPr>
        <w:fldChar w:fldCharType="separate"/>
      </w:r>
      <w:r w:rsidR="00E11E17" w:rsidRPr="00770477">
        <w:rPr>
          <w:rFonts w:cs="Times New Roman"/>
        </w:rPr>
        <w:t>(Bowden et al., 2009)</w:t>
      </w:r>
      <w:r w:rsidR="00A77851" w:rsidRPr="00770477">
        <w:rPr>
          <w:rFonts w:cs="Times New Roman"/>
        </w:rPr>
        <w:fldChar w:fldCharType="end"/>
      </w:r>
      <w:r w:rsidR="00214FB9" w:rsidRPr="00770477">
        <w:rPr>
          <w:rFonts w:cs="Times New Roman"/>
        </w:rPr>
        <w:t>,</w:t>
      </w:r>
      <w:r w:rsidR="006A1821" w:rsidRPr="00770477">
        <w:rPr>
          <w:rFonts w:cs="Times New Roman"/>
        </w:rPr>
        <w:t xml:space="preserve"> and residence time </w:t>
      </w:r>
      <w:r w:rsidR="00EE071B" w:rsidRPr="00770477">
        <w:rPr>
          <w:rFonts w:cs="Times New Roman"/>
        </w:rPr>
        <w:fldChar w:fldCharType="begin"/>
      </w:r>
      <w:r w:rsidR="002074AD">
        <w:rPr>
          <w:rFonts w:cs="Times New Roman"/>
        </w:rPr>
        <w:instrText xml:space="preserve"> ADDIN ZOTERO_ITEM CSL_CITATION {"citationID":"qJ0iazLC","properties":{"formattedCitation":"(Drizo et al., 2006; Scott &amp; Penn, 2021)","plainCitation":"(Drizo et al., 2006; Scott &amp; Penn, 2021)","noteIndex":0},"citationItems":[{"id":804,"uris":["http://zotero.org/users/8423188/items/DPAV8W6W"],"itemData":{"id":804,"type":"article-journal","container-title":"Water Research","DOI":"10.1016/j.watres.2006.02.001","ISSN":"00431354","issue":"8","journalAbbreviation":"Water Research","language":"en","page":"1547-1554","source":"DOI.org (Crossref)","title":"Phosphorus removal by electric arc furnace steel slag and serpentinite","volume":"40","author":[{"family":"Drizo","given":"Aleksandra"},{"family":"Forget","given":"Christiane"},{"family":"Chapuis","given":"Robert P."},{"family":"Comeau","given":"Yves"}],"issued":{"date-parts":[["2006",5]]}}},{"id":331,"uris":["http://zotero.org/users/8423188/items/CSHY3DJB"],"itemData":{"id":331,"type":"article-journal","abstract":"Steel slag has been proven to be an effective phosphorus (P) removal media, and a potential aid to mitigate point and nonpoint P pollution in freshwater systems. However, the behavior of steel slag as a P sorption material (PSM) is often oversimpliﬁed through the generalization of its chemical and physical properties, preventing proper design of P removal structures. In this work, we tested eighteen steel slag samples from different batches, production processes, and steel-making plants, for the purpose of relating slag origin and chemical and physical properties to P removal ability, under two different ﬂow regimes. Slag samples were also coated with aluminum (Al) and tested for P removal. Characterization included elemental composition, particle density, buffer capacity, and P removal ability. There was great variability in the evaluated properties across slag sources and origin, compelling the individual characterization of steel slag samples, since their intrinsic characteristics were key variables in determining their potential P removal capacity. Speciﬁcally, electrical conductivity (EC), bulk density, particle density and magnesium (Mg) content could explain around 70% of the variability of P removal by uncoated steel slags. Increasing residence time (RT) always increased P removal for uncoated slags. Steel slags showed a high variability in their P removal ability, but such variability was considerably decreased by coating the slags with Al. Additionally, the Al-coating process signiﬁcantly improved P removal performance under more rapid ﬂows (lower RT).","container-title":"Chemosphere","DOI":"10.1016/j.chemosphere.2021.130205","ISSN":"00456535","journalAbbreviation":"Chemosphere","language":"en","page":"130205","source":"DOI.org (Crossref)","title":"Estimating the variability of steel slag properties and their influence in phosphorus removal ability","volume":"276","author":[{"family":"Scott","given":"Isis S.P.C."},{"family":"Penn","given":"Chad J."}],"issued":{"date-parts":[["2021",8]]}}}],"schema":"https://github.com/citation-style-language/schema/raw/master/csl-citation.json"} </w:instrText>
      </w:r>
      <w:r w:rsidR="00EE071B" w:rsidRPr="00770477">
        <w:rPr>
          <w:rFonts w:cs="Times New Roman"/>
        </w:rPr>
        <w:fldChar w:fldCharType="separate"/>
      </w:r>
      <w:r w:rsidR="00E11E17" w:rsidRPr="00770477">
        <w:rPr>
          <w:rFonts w:cs="Times New Roman"/>
        </w:rPr>
        <w:t>(Drizo et al., 2006; Scott &amp; Penn, 2021)</w:t>
      </w:r>
      <w:r w:rsidR="00EE071B" w:rsidRPr="00770477">
        <w:rPr>
          <w:rFonts w:cs="Times New Roman"/>
        </w:rPr>
        <w:fldChar w:fldCharType="end"/>
      </w:r>
      <w:r w:rsidR="00214FB9" w:rsidRPr="00770477">
        <w:rPr>
          <w:rFonts w:cs="Times New Roman"/>
        </w:rPr>
        <w:t xml:space="preserve"> </w:t>
      </w:r>
      <w:r w:rsidR="000C082C" w:rsidRPr="00770477">
        <w:rPr>
          <w:rFonts w:cs="Times New Roman"/>
        </w:rPr>
        <w:t>also are shown to have strong correlations with dissolved P removal.</w:t>
      </w:r>
      <w:r w:rsidR="00320385" w:rsidRPr="00770477">
        <w:rPr>
          <w:rFonts w:cs="Times New Roman"/>
        </w:rPr>
        <w:t xml:space="preserve"> </w:t>
      </w:r>
      <w:r w:rsidR="00466FCB" w:rsidRPr="00770477">
        <w:rPr>
          <w:rFonts w:cs="Times New Roman"/>
        </w:rPr>
        <w:fldChar w:fldCharType="begin"/>
      </w:r>
      <w:r w:rsidR="002074AD">
        <w:rPr>
          <w:rFonts w:cs="Times New Roman"/>
        </w:rPr>
        <w:instrText xml:space="preserve"> ADDIN ZOTERO_ITEM CSL_CITATION {"citationID":"QV49CtT8","properties":{"formattedCitation":"(Qin et al., 2018)","plainCitation":"(Qin et al., 2018)","dontUpdate":true,"noteIndex":0},"citationItems":[{"id":250,"uris":["http://zotero.org/users/8423188/items/L2UI4H3R"],"itemData":{"id":250,"type":"article-journal","abstract":"Stormwater filters are a structural best management practice designed to reduce dissolved P losses from runoff. Various industrial byproducts are suitable for use as P sorbing materials (PSMs) for the treatment of drainage water; P sorption by PSMs varies with material physical and chemical properties. Previously, P removal capacity by PSMs was estimated using chemical extractions. We determined the speciation of P when reacted with various PSMs using X-ray absorption near edge structure (XANES) spectroscopy. Twelve PSMs were reacted with P solution in the laboratory under batch or flow-through conditions. In addition, three slag materials were collected from working stormwater filtration structures. Phosphorus K-edge XANES spectra were collected on each reacted PSM and compared with spectra of 22 known P standards using linear combination fitting in Athena. We found evidence of formation of a variety of Ca-, Al-, and/or Fe-phosphate minerals and sorbed phases on the reacted PSMs, with the exact speciation influenced by the chemical properties of the original unreacted PSMs. We grouped PSMs into three general categories based on the dominant P removal mechanism: (i) Fe- and Al-mediated removal [i.e., adsorption of P to Fe- or Al-(hydro-)oxide minerals and/or precipitation of Fe- or Alphosphate minerals]; (ii) Ca-mediated removal (i.e., precipitation of Ca-phosphate mineral); and (iii) both mechanisms. We recommend the use of Fe/Al sorbing PSMs for use in stormwater filtration structures where stormwater retention time is limited because reaction of P with Fe or Al generally occurs more quickly than Ca-P precipitation.","container-title":"Journal of Environmental Quality","DOI":"10.2134/jeq2018.02.0064","ISSN":"0047-2425, 1537-2537","issue":"5","journalAbbreviation":"J. environ. qual.","language":"en","page":"1232-1241","source":"DOI.org (Crossref)","title":"Mechanisms of Phosphorus Removal by Phosphorus Sorbing Materials","volume":"47","author":[{"family":"Qin","given":"Zhixuan"},{"family":"Shober","given":"Amy L."},{"family":"Scheckel","given":"Kirk G."},{"family":"Penn","given":"Chad J."},{"family":"Turner","given":"Kathryn C."}],"issued":{"date-parts":[["2018",9]]}}}],"schema":"https://github.com/citation-style-language/schema/raw/master/csl-citation.json"} </w:instrText>
      </w:r>
      <w:r w:rsidR="00466FCB" w:rsidRPr="00770477">
        <w:rPr>
          <w:rFonts w:cs="Times New Roman"/>
        </w:rPr>
        <w:fldChar w:fldCharType="separate"/>
      </w:r>
      <w:r w:rsidR="00C974FE" w:rsidRPr="00770477">
        <w:rPr>
          <w:rFonts w:cs="Times New Roman"/>
        </w:rPr>
        <w:t>Qin et al. (2018)</w:t>
      </w:r>
      <w:r w:rsidR="00466FCB" w:rsidRPr="00770477">
        <w:rPr>
          <w:rFonts w:cs="Times New Roman"/>
        </w:rPr>
        <w:fldChar w:fldCharType="end"/>
      </w:r>
      <w:r w:rsidR="00E53A2F" w:rsidRPr="00770477">
        <w:rPr>
          <w:rFonts w:cs="Times New Roman"/>
        </w:rPr>
        <w:t xml:space="preserve"> investigated phosphorus removal using, amongst other materials, four different slags.</w:t>
      </w:r>
      <w:r w:rsidR="00C362B6" w:rsidRPr="00770477">
        <w:rPr>
          <w:rFonts w:cs="Times New Roman"/>
        </w:rPr>
        <w:t xml:space="preserve"> The authors reported slag </w:t>
      </w:r>
      <w:r w:rsidR="00F64471" w:rsidRPr="00770477">
        <w:rPr>
          <w:rFonts w:cs="Times New Roman"/>
        </w:rPr>
        <w:t>composition</w:t>
      </w:r>
      <w:r w:rsidR="00C362B6" w:rsidRPr="00770477">
        <w:rPr>
          <w:rFonts w:cs="Times New Roman"/>
        </w:rPr>
        <w:t xml:space="preserve"> in </w:t>
      </w:r>
      <w:r w:rsidR="00F64471" w:rsidRPr="00770477">
        <w:rPr>
          <w:rFonts w:cs="Times New Roman"/>
        </w:rPr>
        <w:t xml:space="preserve">“total” Ca, Al, and Fe, although from other studies we can assume these are largely in the </w:t>
      </w:r>
      <w:r w:rsidR="009A57E7" w:rsidRPr="00770477">
        <w:rPr>
          <w:rFonts w:cs="Times New Roman"/>
        </w:rPr>
        <w:t>–(</w:t>
      </w:r>
      <w:proofErr w:type="spellStart"/>
      <w:r w:rsidR="009A57E7" w:rsidRPr="00770477">
        <w:rPr>
          <w:rFonts w:cs="Times New Roman"/>
        </w:rPr>
        <w:t>hydr</w:t>
      </w:r>
      <w:proofErr w:type="spellEnd"/>
      <w:r w:rsidR="009A57E7" w:rsidRPr="00770477">
        <w:rPr>
          <w:rFonts w:cs="Times New Roman"/>
        </w:rPr>
        <w:t>)</w:t>
      </w:r>
      <w:r w:rsidR="2E7D7FC5" w:rsidRPr="00770477">
        <w:rPr>
          <w:rFonts w:cs="Times New Roman"/>
        </w:rPr>
        <w:t>oxide</w:t>
      </w:r>
      <w:r w:rsidR="00F64471" w:rsidRPr="00770477">
        <w:rPr>
          <w:rFonts w:cs="Times New Roman"/>
        </w:rPr>
        <w:t xml:space="preserve"> form. </w:t>
      </w:r>
      <w:r w:rsidR="001E0BC7" w:rsidRPr="00770477">
        <w:rPr>
          <w:rFonts w:cs="Times New Roman"/>
        </w:rPr>
        <w:t>One</w:t>
      </w:r>
      <w:r w:rsidR="004016A9" w:rsidRPr="00770477">
        <w:rPr>
          <w:rFonts w:cs="Times New Roman"/>
        </w:rPr>
        <w:t xml:space="preserve"> of the slags </w:t>
      </w:r>
      <w:r w:rsidR="00CE112C" w:rsidRPr="00770477">
        <w:rPr>
          <w:rFonts w:cs="Times New Roman"/>
        </w:rPr>
        <w:t>was a</w:t>
      </w:r>
      <w:r w:rsidR="004016A9" w:rsidRPr="00770477">
        <w:rPr>
          <w:rFonts w:cs="Times New Roman"/>
        </w:rPr>
        <w:t xml:space="preserve"> </w:t>
      </w:r>
      <w:r w:rsidR="00EE1E35" w:rsidRPr="00770477">
        <w:rPr>
          <w:rFonts w:cs="Times New Roman"/>
        </w:rPr>
        <w:t xml:space="preserve">recovered slag that </w:t>
      </w:r>
      <w:r w:rsidR="00CE112C" w:rsidRPr="00770477">
        <w:rPr>
          <w:rFonts w:cs="Times New Roman"/>
        </w:rPr>
        <w:t>was</w:t>
      </w:r>
      <w:r w:rsidR="00EE1E35" w:rsidRPr="00770477">
        <w:rPr>
          <w:rFonts w:cs="Times New Roman"/>
        </w:rPr>
        <w:t xml:space="preserve"> rejuvenated by treating it with Al-</w:t>
      </w:r>
      <w:r w:rsidR="003706D4" w:rsidRPr="00770477">
        <w:rPr>
          <w:rFonts w:cs="Times New Roman"/>
        </w:rPr>
        <w:t xml:space="preserve">sulfate. </w:t>
      </w:r>
      <w:r w:rsidR="001E0BC7" w:rsidRPr="00770477">
        <w:rPr>
          <w:rFonts w:cs="Times New Roman"/>
        </w:rPr>
        <w:t>P</w:t>
      </w:r>
      <w:r w:rsidR="00AB1A56" w:rsidRPr="00770477">
        <w:rPr>
          <w:rFonts w:cs="Times New Roman"/>
        </w:rPr>
        <w:t>hosphorus</w:t>
      </w:r>
      <w:r w:rsidR="001E0BC7" w:rsidRPr="00770477">
        <w:rPr>
          <w:rFonts w:cs="Times New Roman"/>
        </w:rPr>
        <w:t xml:space="preserve"> was shown to be removed via a mix of sorption and precipitation. </w:t>
      </w:r>
      <w:bookmarkStart w:id="22" w:name="_Hlk112945773"/>
      <w:r w:rsidR="00D3112B" w:rsidRPr="00770477">
        <w:rPr>
          <w:rFonts w:cs="Times New Roman"/>
        </w:rPr>
        <w:t xml:space="preserve">Overall, the slags were all found to remove 98% of total P from solution. </w:t>
      </w:r>
      <w:r w:rsidR="00044626" w:rsidRPr="00770477">
        <w:rPr>
          <w:rFonts w:cs="Times New Roman"/>
        </w:rPr>
        <w:t>Hydroxyapatite</w:t>
      </w:r>
      <w:r w:rsidR="002D33D6" w:rsidRPr="00770477">
        <w:rPr>
          <w:rFonts w:cs="Times New Roman"/>
        </w:rPr>
        <w:t xml:space="preserve"> (Ca</w:t>
      </w:r>
      <w:r w:rsidR="002D33D6" w:rsidRPr="00770477">
        <w:rPr>
          <w:rFonts w:cs="Times New Roman"/>
          <w:vertAlign w:val="subscript"/>
        </w:rPr>
        <w:t>10</w:t>
      </w:r>
      <w:r w:rsidR="002D33D6" w:rsidRPr="00770477">
        <w:rPr>
          <w:rFonts w:cs="Times New Roman"/>
        </w:rPr>
        <w:t>(PO</w:t>
      </w:r>
      <w:r w:rsidR="002D33D6" w:rsidRPr="00770477">
        <w:rPr>
          <w:rFonts w:cs="Times New Roman"/>
          <w:vertAlign w:val="subscript"/>
        </w:rPr>
        <w:t>4</w:t>
      </w:r>
      <w:r w:rsidR="002D33D6" w:rsidRPr="00770477">
        <w:rPr>
          <w:rFonts w:cs="Times New Roman"/>
        </w:rPr>
        <w:t>)</w:t>
      </w:r>
      <w:r w:rsidR="002D33D6" w:rsidRPr="00770477">
        <w:rPr>
          <w:rFonts w:cs="Times New Roman"/>
          <w:vertAlign w:val="subscript"/>
        </w:rPr>
        <w:t>6</w:t>
      </w:r>
      <w:r w:rsidR="002D33D6" w:rsidRPr="00770477">
        <w:rPr>
          <w:rFonts w:cs="Times New Roman"/>
        </w:rPr>
        <w:t>(OH)</w:t>
      </w:r>
      <w:r w:rsidR="002D33D6" w:rsidRPr="00770477">
        <w:rPr>
          <w:rFonts w:cs="Times New Roman"/>
          <w:vertAlign w:val="subscript"/>
        </w:rPr>
        <w:t>2</w:t>
      </w:r>
      <w:r w:rsidR="002D33D6" w:rsidRPr="00770477">
        <w:rPr>
          <w:rFonts w:cs="Times New Roman"/>
        </w:rPr>
        <w:t>)</w:t>
      </w:r>
      <w:bookmarkEnd w:id="22"/>
      <w:r w:rsidR="00163F95" w:rsidRPr="00770477">
        <w:rPr>
          <w:rFonts w:cs="Times New Roman"/>
        </w:rPr>
        <w:t xml:space="preserve"> was found to precipitate out 37-87% of total P in solution with the </w:t>
      </w:r>
      <w:r w:rsidR="00070BB4" w:rsidRPr="00770477">
        <w:rPr>
          <w:rFonts w:cs="Times New Roman"/>
        </w:rPr>
        <w:t>remaining</w:t>
      </w:r>
      <w:r w:rsidR="00243EBF" w:rsidRPr="00770477">
        <w:rPr>
          <w:rFonts w:cs="Times New Roman"/>
        </w:rPr>
        <w:t xml:space="preserve"> fraction</w:t>
      </w:r>
      <w:r w:rsidR="00C17B8F" w:rsidRPr="00770477">
        <w:rPr>
          <w:rFonts w:cs="Times New Roman"/>
        </w:rPr>
        <w:t xml:space="preserve"> (11-61%)</w:t>
      </w:r>
      <w:r w:rsidR="00243EBF" w:rsidRPr="00770477">
        <w:rPr>
          <w:rFonts w:cs="Times New Roman"/>
        </w:rPr>
        <w:t xml:space="preserve"> accounted</w:t>
      </w:r>
      <w:r w:rsidR="00C17B8F" w:rsidRPr="00770477">
        <w:rPr>
          <w:rFonts w:cs="Times New Roman"/>
        </w:rPr>
        <w:t xml:space="preserve"> for</w:t>
      </w:r>
      <w:r w:rsidR="00243EBF" w:rsidRPr="00770477">
        <w:rPr>
          <w:rFonts w:cs="Times New Roman"/>
        </w:rPr>
        <w:t xml:space="preserve"> by the formation of Al-</w:t>
      </w:r>
      <w:r w:rsidR="00BB6321" w:rsidRPr="00770477">
        <w:rPr>
          <w:rFonts w:cs="Times New Roman"/>
        </w:rPr>
        <w:t xml:space="preserve"> and Fe-phosphates. </w:t>
      </w:r>
      <w:r w:rsidR="00AF3856" w:rsidRPr="00770477">
        <w:rPr>
          <w:rFonts w:cs="Times New Roman"/>
        </w:rPr>
        <w:t xml:space="preserve">Another study conducted by </w:t>
      </w:r>
      <w:r w:rsidR="00AF3856" w:rsidRPr="00770477">
        <w:rPr>
          <w:rFonts w:cs="Times New Roman"/>
        </w:rPr>
        <w:fldChar w:fldCharType="begin"/>
      </w:r>
      <w:r w:rsidR="002074AD">
        <w:rPr>
          <w:rFonts w:cs="Times New Roman"/>
        </w:rPr>
        <w:instrText xml:space="preserve"> ADDIN ZOTERO_ITEM CSL_CITATION {"citationID":"lRMgW6z9","properties":{"formattedCitation":"(Scott &amp; Penn, 2021)","plainCitation":"(Scott &amp; Penn, 2021)","dontUpdate":true,"noteIndex":0},"citationItems":[{"id":331,"uris":["http://zotero.org/users/8423188/items/CSHY3DJB"],"itemData":{"id":331,"type":"article-journal","abstract":"Steel slag has been proven to be an effective phosphorus (P) removal media, and a potential aid to mitigate point and nonpoint P pollution in freshwater systems. However, the behavior of steel slag as a P sorption material (PSM) is often oversimpliﬁed through the generalization of its chemical and physical properties, preventing proper design of P removal structures. In this work, we tested eighteen steel slag samples from different batches, production processes, and steel-making plants, for the purpose of relating slag origin and chemical and physical properties to P removal ability, under two different ﬂow regimes. Slag samples were also coated with aluminum (Al) and tested for P removal. Characterization included elemental composition, particle density, buffer capacity, and P removal ability. There was great variability in the evaluated properties across slag sources and origin, compelling the individual characterization of steel slag samples, since their intrinsic characteristics were key variables in determining their potential P removal capacity. Speciﬁcally, electrical conductivity (EC), bulk density, particle density and magnesium (Mg) content could explain around 70% of the variability of P removal by uncoated steel slags. Increasing residence time (RT) always increased P removal for uncoated slags. Steel slags showed a high variability in their P removal ability, but such variability was considerably decreased by coating the slags with Al. Additionally, the Al-coating process signiﬁcantly improved P removal performance under more rapid ﬂows (lower RT).","container-title":"Chemosphere","DOI":"10.1016/j.chemosphere.2021.130205","ISSN":"00456535","journalAbbreviation":"Chemosphere","language":"en","page":"130205","source":"DOI.org (Crossref)","title":"Estimating the variability of steel slag properties and their influence in phosphorus removal ability","volume":"276","author":[{"family":"Scott","given":"Isis S.P.C."},{"family":"Penn","given":"Chad J."}],"issued":{"date-parts":[["2021",8]]}}}],"schema":"https://github.com/citation-style-language/schema/raw/master/csl-citation.json"} </w:instrText>
      </w:r>
      <w:r w:rsidR="00AF3856" w:rsidRPr="00770477">
        <w:rPr>
          <w:rFonts w:cs="Times New Roman"/>
        </w:rPr>
        <w:fldChar w:fldCharType="separate"/>
      </w:r>
      <w:r w:rsidR="00AF3856" w:rsidRPr="00770477">
        <w:rPr>
          <w:rFonts w:cs="Times New Roman"/>
        </w:rPr>
        <w:t>Scott &amp; Penn (2021)</w:t>
      </w:r>
      <w:r w:rsidR="00AF3856" w:rsidRPr="00770477">
        <w:rPr>
          <w:rFonts w:cs="Times New Roman"/>
        </w:rPr>
        <w:fldChar w:fldCharType="end"/>
      </w:r>
      <w:r w:rsidR="00AF3856" w:rsidRPr="00770477">
        <w:rPr>
          <w:rFonts w:cs="Times New Roman"/>
        </w:rPr>
        <w:t xml:space="preserve"> tested the </w:t>
      </w:r>
      <w:r w:rsidR="00B95B87" w:rsidRPr="00770477">
        <w:rPr>
          <w:rFonts w:cs="Times New Roman"/>
        </w:rPr>
        <w:t xml:space="preserve">efficacy of eighteen </w:t>
      </w:r>
      <w:r w:rsidR="00B95B87" w:rsidRPr="00770477">
        <w:rPr>
          <w:rFonts w:cs="Times New Roman"/>
        </w:rPr>
        <w:lastRenderedPageBreak/>
        <w:t>different steel slag samples at removing dissolved P from solution</w:t>
      </w:r>
      <w:r w:rsidR="00CF111F" w:rsidRPr="00770477">
        <w:rPr>
          <w:rFonts w:cs="Times New Roman"/>
        </w:rPr>
        <w:t xml:space="preserve"> in flow through experiments</w:t>
      </w:r>
      <w:r w:rsidR="00B95B87" w:rsidRPr="00770477">
        <w:rPr>
          <w:rFonts w:cs="Times New Roman"/>
        </w:rPr>
        <w:t xml:space="preserve">. </w:t>
      </w:r>
      <w:r w:rsidR="00491404" w:rsidRPr="00770477">
        <w:rPr>
          <w:rFonts w:cs="Times New Roman"/>
        </w:rPr>
        <w:t>Several of the slag samples were treated with an Al coating</w:t>
      </w:r>
      <w:r w:rsidR="00CF111F" w:rsidRPr="00770477">
        <w:rPr>
          <w:rFonts w:cs="Times New Roman"/>
        </w:rPr>
        <w:t xml:space="preserve"> and flow through velocities were varied. </w:t>
      </w:r>
      <w:r w:rsidR="00634351" w:rsidRPr="00770477">
        <w:rPr>
          <w:rFonts w:cs="Times New Roman"/>
        </w:rPr>
        <w:t xml:space="preserve">Results showed </w:t>
      </w:r>
      <w:r w:rsidR="000D68AF" w:rsidRPr="00770477">
        <w:rPr>
          <w:rFonts w:cs="Times New Roman"/>
        </w:rPr>
        <w:t>between 12% and 96% dissolved P removal wit</w:t>
      </w:r>
      <w:r w:rsidR="0010377C" w:rsidRPr="00770477">
        <w:rPr>
          <w:rFonts w:cs="Times New Roman"/>
        </w:rPr>
        <w:t>h</w:t>
      </w:r>
      <w:r w:rsidR="00A34425" w:rsidRPr="00770477">
        <w:rPr>
          <w:rFonts w:cs="Times New Roman"/>
        </w:rPr>
        <w:t xml:space="preserve"> the variability explained by</w:t>
      </w:r>
      <w:r w:rsidR="0010377C" w:rsidRPr="00770477">
        <w:rPr>
          <w:rFonts w:cs="Times New Roman"/>
        </w:rPr>
        <w:t xml:space="preserve"> differences in residence time, </w:t>
      </w:r>
      <w:r w:rsidR="003437B8" w:rsidRPr="00770477">
        <w:rPr>
          <w:rFonts w:cs="Times New Roman"/>
        </w:rPr>
        <w:t>slag source, and level of Al-coating. Additional variab</w:t>
      </w:r>
      <w:r w:rsidR="00A279BB" w:rsidRPr="00770477">
        <w:rPr>
          <w:rFonts w:cs="Times New Roman"/>
        </w:rPr>
        <w:t>les affecting P removal were</w:t>
      </w:r>
      <w:r w:rsidR="007B4360" w:rsidRPr="00770477">
        <w:rPr>
          <w:rFonts w:cs="Times New Roman"/>
        </w:rPr>
        <w:t xml:space="preserve"> pH</w:t>
      </w:r>
      <w:r w:rsidR="000B0EB2" w:rsidRPr="00770477">
        <w:rPr>
          <w:rFonts w:cs="Times New Roman"/>
        </w:rPr>
        <w:t xml:space="preserve"> buffering capacity,</w:t>
      </w:r>
      <w:r w:rsidR="00A34425" w:rsidRPr="00770477">
        <w:rPr>
          <w:rFonts w:cs="Times New Roman"/>
        </w:rPr>
        <w:t xml:space="preserve"> </w:t>
      </w:r>
      <w:r w:rsidR="00761D16" w:rsidRPr="00770477">
        <w:rPr>
          <w:rFonts w:cs="Times New Roman"/>
        </w:rPr>
        <w:t>electrical conductivity, total Mg content, particle density, and bulk density</w:t>
      </w:r>
      <w:r w:rsidR="00B967C2" w:rsidRPr="00770477">
        <w:rPr>
          <w:rFonts w:cs="Times New Roman"/>
        </w:rPr>
        <w:t xml:space="preserve">. </w:t>
      </w:r>
      <w:r w:rsidR="00A72F05" w:rsidRPr="00770477">
        <w:rPr>
          <w:rFonts w:cs="Times New Roman"/>
        </w:rPr>
        <w:t>Al coating was found to improve removal in rapid flow through conditions</w:t>
      </w:r>
      <w:r w:rsidR="00240198" w:rsidRPr="00770477">
        <w:rPr>
          <w:rFonts w:cs="Times New Roman"/>
        </w:rPr>
        <w:t xml:space="preserve"> as</w:t>
      </w:r>
      <w:r w:rsidR="00341903" w:rsidRPr="00770477">
        <w:rPr>
          <w:rFonts w:cs="Times New Roman"/>
        </w:rPr>
        <w:t xml:space="preserve"> this </w:t>
      </w:r>
      <w:r w:rsidR="00E2650A" w:rsidRPr="00770477">
        <w:rPr>
          <w:rFonts w:cs="Times New Roman"/>
        </w:rPr>
        <w:t>slag relies more on Al-phosphate reactions rather than the</w:t>
      </w:r>
      <w:r w:rsidR="00240198" w:rsidRPr="00770477">
        <w:rPr>
          <w:rFonts w:cs="Times New Roman"/>
        </w:rPr>
        <w:t xml:space="preserve"> Ca mechanism of removal</w:t>
      </w:r>
      <w:r w:rsidR="00E2650A" w:rsidRPr="00770477">
        <w:rPr>
          <w:rFonts w:cs="Times New Roman"/>
        </w:rPr>
        <w:t xml:space="preserve">, which </w:t>
      </w:r>
      <w:r w:rsidR="00240198" w:rsidRPr="00770477">
        <w:rPr>
          <w:rFonts w:cs="Times New Roman"/>
        </w:rPr>
        <w:t xml:space="preserve">is highly dependent on residence time. The authors </w:t>
      </w:r>
      <w:r w:rsidR="00481F72" w:rsidRPr="00770477">
        <w:rPr>
          <w:rFonts w:cs="Times New Roman"/>
        </w:rPr>
        <w:t xml:space="preserve">also state that their experiments showed no statistically significant connection between slag Ca content and P removal. This contradicts </w:t>
      </w:r>
      <w:r w:rsidR="0097614D" w:rsidRPr="00770477">
        <w:rPr>
          <w:rFonts w:cs="Times New Roman"/>
        </w:rPr>
        <w:t xml:space="preserve">much of the literature but is in line with the objectives of the authors’ study which was to show that </w:t>
      </w:r>
      <w:r w:rsidR="00823AEB" w:rsidRPr="00770477">
        <w:rPr>
          <w:rFonts w:cs="Times New Roman"/>
        </w:rPr>
        <w:t xml:space="preserve">P removal is dependent on a more complex </w:t>
      </w:r>
      <w:r w:rsidR="00A736EB" w:rsidRPr="00770477">
        <w:rPr>
          <w:rFonts w:cs="Times New Roman"/>
        </w:rPr>
        <w:t>combination</w:t>
      </w:r>
      <w:r w:rsidR="00823AEB" w:rsidRPr="00770477">
        <w:rPr>
          <w:rFonts w:cs="Times New Roman"/>
        </w:rPr>
        <w:t xml:space="preserve"> of slag composition and environmental conditions</w:t>
      </w:r>
      <w:r w:rsidR="00A736EB" w:rsidRPr="00770477">
        <w:rPr>
          <w:rFonts w:cs="Times New Roman"/>
        </w:rPr>
        <w:t xml:space="preserve"> rather than simply Ca content. </w:t>
      </w:r>
    </w:p>
    <w:p w14:paraId="73FDD487" w14:textId="1013AA32" w:rsidR="008177A0" w:rsidRPr="00770477" w:rsidRDefault="0032548F" w:rsidP="004A2096">
      <w:pPr>
        <w:spacing w:before="240"/>
        <w:ind w:firstLine="720"/>
        <w:rPr>
          <w:rFonts w:cs="Times New Roman"/>
        </w:rPr>
      </w:pPr>
      <w:r w:rsidRPr="00770477">
        <w:rPr>
          <w:rFonts w:cs="Times New Roman"/>
        </w:rPr>
        <w:t xml:space="preserve">Unlike metals and phosphorous, </w:t>
      </w:r>
      <w:r w:rsidR="000E2FAE" w:rsidRPr="00770477">
        <w:rPr>
          <w:rFonts w:cs="Times New Roman"/>
        </w:rPr>
        <w:t xml:space="preserve">pesticide removal using slag has largely gone unstudied. </w:t>
      </w:r>
      <w:r w:rsidR="004203AB" w:rsidRPr="00770477">
        <w:rPr>
          <w:rFonts w:cs="Times New Roman"/>
        </w:rPr>
        <w:t xml:space="preserve">While not a perfect proxy for neonicotinoids, </w:t>
      </w:r>
      <w:r w:rsidR="005470E9" w:rsidRPr="00770477">
        <w:rPr>
          <w:rFonts w:cs="Times New Roman"/>
        </w:rPr>
        <w:t>atrazine (</w:t>
      </w:r>
      <w:r w:rsidR="00FC3EE2" w:rsidRPr="00770477">
        <w:rPr>
          <w:rFonts w:cs="Times New Roman"/>
        </w:rPr>
        <w:t xml:space="preserve">a commonly used herbicide) </w:t>
      </w:r>
      <w:r w:rsidR="004325A7" w:rsidRPr="00770477">
        <w:rPr>
          <w:rFonts w:cs="Times New Roman"/>
        </w:rPr>
        <w:t xml:space="preserve">removal from water was studied using several sorbent media, including steel slag </w:t>
      </w:r>
      <w:r w:rsidR="004325A7" w:rsidRPr="00770477">
        <w:rPr>
          <w:rFonts w:cs="Times New Roman"/>
        </w:rPr>
        <w:fldChar w:fldCharType="begin"/>
      </w:r>
      <w:r w:rsidR="002074AD">
        <w:rPr>
          <w:rFonts w:cs="Times New Roman"/>
        </w:rPr>
        <w:instrText xml:space="preserve"> ADDIN ZOTERO_ITEM CSL_CITATION {"citationID":"imBDxsKq","properties":{"formattedCitation":"(Gonzalez et al., 2016)","plainCitation":"(Gonzalez et al., 2016)","noteIndex":0},"citationItems":[{"id":802,"uris":["http://zotero.org/users/8423188/items/PDY6RRBP"],"itemData":{"id":802,"type":"article-journal","abstract":"Surface inlets are installed in subsurface drainage systems to reduce ponding duration and surface runoff, but can contribute to water quality concerns by allowing water to directly enter buried drains. Blind inlets consist of perforated pipes covered with gravel and are separated from an overlying sand layer by a geotextile membrane and have been shown to be more effective in reducing losses of sediment, nutrients, and pesticides than typical tile line risers. In this study, we investigated whether the effectiveness of blind inlets to sorb pollutants, with emphasis on the herbicide atrazine, could be further improved by amended them with materials other than limestone. The media, shredded tires (tire chips), electric arc steel furnace slag (steel slag), and oak-derived biochar were chosen because they are readily available, inexpensive, and do not present environmental concerns. Kinetic sorption and isotherms were determined to ascertain atrazine sorption by these materials, in addition to testing for potential metal leaching using the Synthetic Precipitation Leaching Procedure (SPLP) and the Toxicity Characteristic Leaching Procedure (TCLP). The kinetic data were fitted using pseudo first- and second-order reaction equations and indicated that atrazine sorption rate was 38 times faster and equilibrium was reached 5 times earlier for biochar than tire chips. The 24-h sorption isotherm data were fitted to the Freundlich sorption equation. The sorption coefficient for biochar was higher than for tire chips, steel slag, and limestone. Per the SPLC and TLCP tests, there was no leaching of heavy metals at levels of environmental concern. Our results suggested that the effectiveness of blind inlets as well as other conservation practices that include filter media such as rain gardens and filter socks could be improved by incorporating more reactive materials than sand and gravel with biochar being a particularly effective alternative.","container-title":"Journal of Water Resource and Protection","DOI":"10.4236/jwarp.2016.813097","ISSN":"1945-3094, 1945-3108","issue":"13","journalAbbreviation":"JWARP","language":"en","page":"1266-1282","source":"DOI.org (Crossref)","title":"Atrazine Sorption by Biochar, Tire Chips, and Steel Slag as Media for Blind Inlets: A Kinetic and Isotherm Sorption Approach","title-short":"Atrazine Sorption by Biochar, Tire Chips, and Steel Slag as Media for Blind Inlets","volume":"08","author":[{"family":"Gonzalez","given":"Javier M."},{"family":"Shipitalo","given":"Martin J."},{"family":"Smith","given":"Douglas R."},{"family":"Warnemuende-Pappas","given":"Elizabeth"},{"family":"Livingston","given":"Stanley J."}],"issued":{"date-parts":[["2016"]]}}}],"schema":"https://github.com/citation-style-language/schema/raw/master/csl-citation.json"} </w:instrText>
      </w:r>
      <w:r w:rsidR="004325A7" w:rsidRPr="00770477">
        <w:rPr>
          <w:rFonts w:cs="Times New Roman"/>
        </w:rPr>
        <w:fldChar w:fldCharType="separate"/>
      </w:r>
      <w:r w:rsidR="00E11E17" w:rsidRPr="00770477">
        <w:rPr>
          <w:rFonts w:cs="Times New Roman"/>
        </w:rPr>
        <w:t>(Gonzalez et al., 2016)</w:t>
      </w:r>
      <w:r w:rsidR="004325A7" w:rsidRPr="00770477">
        <w:rPr>
          <w:rFonts w:cs="Times New Roman"/>
        </w:rPr>
        <w:fldChar w:fldCharType="end"/>
      </w:r>
      <w:r w:rsidR="00F97908" w:rsidRPr="00770477">
        <w:rPr>
          <w:rFonts w:cs="Times New Roman"/>
        </w:rPr>
        <w:t xml:space="preserve">. </w:t>
      </w:r>
      <w:r w:rsidR="002C212E" w:rsidRPr="00770477">
        <w:rPr>
          <w:rFonts w:cs="Times New Roman"/>
        </w:rPr>
        <w:t xml:space="preserve">Results from this study were not promising for </w:t>
      </w:r>
      <w:r w:rsidR="0001087F" w:rsidRPr="00770477">
        <w:rPr>
          <w:rFonts w:cs="Times New Roman"/>
        </w:rPr>
        <w:t>steel slag</w:t>
      </w:r>
      <w:r w:rsidR="000D0441" w:rsidRPr="00770477">
        <w:rPr>
          <w:rFonts w:cs="Times New Roman"/>
        </w:rPr>
        <w:t>,</w:t>
      </w:r>
      <w:r w:rsidR="0001087F" w:rsidRPr="00770477">
        <w:rPr>
          <w:rFonts w:cs="Times New Roman"/>
        </w:rPr>
        <w:t xml:space="preserve"> with atrazine removal at only 0.3% from solution. </w:t>
      </w:r>
      <w:r w:rsidR="00A649EC" w:rsidRPr="00770477">
        <w:rPr>
          <w:rFonts w:cs="Times New Roman"/>
        </w:rPr>
        <w:t xml:space="preserve">The authors </w:t>
      </w:r>
      <w:r w:rsidR="0096025E" w:rsidRPr="00770477">
        <w:rPr>
          <w:rFonts w:cs="Times New Roman"/>
        </w:rPr>
        <w:t>point out that sorption</w:t>
      </w:r>
      <w:r w:rsidR="00BA417E" w:rsidRPr="00770477">
        <w:rPr>
          <w:rFonts w:cs="Times New Roman"/>
        </w:rPr>
        <w:t xml:space="preserve"> by oxides</w:t>
      </w:r>
      <w:r w:rsidR="0096025E" w:rsidRPr="00770477">
        <w:rPr>
          <w:rFonts w:cs="Times New Roman"/>
        </w:rPr>
        <w:t xml:space="preserve"> is highly pH dependent with low pH favoring removal</w:t>
      </w:r>
      <w:r w:rsidR="00043954" w:rsidRPr="00770477">
        <w:rPr>
          <w:rFonts w:cs="Times New Roman"/>
        </w:rPr>
        <w:t>. This</w:t>
      </w:r>
      <w:r w:rsidR="00BA417E" w:rsidRPr="00770477">
        <w:rPr>
          <w:rFonts w:cs="Times New Roman"/>
        </w:rPr>
        <w:t xml:space="preserve"> </w:t>
      </w:r>
      <w:r w:rsidR="001C2BEE" w:rsidRPr="00770477">
        <w:rPr>
          <w:rFonts w:cs="Times New Roman"/>
        </w:rPr>
        <w:t>is</w:t>
      </w:r>
      <w:r w:rsidR="00BA417E" w:rsidRPr="00770477">
        <w:rPr>
          <w:rFonts w:cs="Times New Roman"/>
        </w:rPr>
        <w:t xml:space="preserve"> shown</w:t>
      </w:r>
      <w:r w:rsidR="001C2BEE" w:rsidRPr="00770477">
        <w:rPr>
          <w:rFonts w:cs="Times New Roman"/>
        </w:rPr>
        <w:t xml:space="preserve"> in </w:t>
      </w:r>
      <w:r w:rsidR="00BA417E" w:rsidRPr="00770477">
        <w:rPr>
          <w:rFonts w:cs="Times New Roman"/>
        </w:rPr>
        <w:t xml:space="preserve">slags </w:t>
      </w:r>
      <w:r w:rsidR="001C2BEE" w:rsidRPr="00770477">
        <w:rPr>
          <w:rFonts w:cs="Times New Roman"/>
        </w:rPr>
        <w:t xml:space="preserve">that </w:t>
      </w:r>
      <w:r w:rsidR="00BA417E" w:rsidRPr="00770477">
        <w:rPr>
          <w:rFonts w:cs="Times New Roman"/>
        </w:rPr>
        <w:t>are primarily composed of Ca-, Al-, and Fe-oxides</w:t>
      </w:r>
      <w:r w:rsidR="0096025E" w:rsidRPr="00770477">
        <w:rPr>
          <w:rFonts w:cs="Times New Roman"/>
        </w:rPr>
        <w:t>. In their experiments, the resul</w:t>
      </w:r>
      <w:r w:rsidR="000369E1" w:rsidRPr="00770477">
        <w:rPr>
          <w:rFonts w:cs="Times New Roman"/>
        </w:rPr>
        <w:t xml:space="preserve">tant pH after being treated with steel slag was 9.6 which was </w:t>
      </w:r>
      <w:r w:rsidR="00676DF4" w:rsidRPr="00770477">
        <w:rPr>
          <w:rFonts w:cs="Times New Roman"/>
        </w:rPr>
        <w:t xml:space="preserve">deemed to be the primary reason steel slag was found to not be effective for this specific herbicide removal. </w:t>
      </w:r>
      <w:r w:rsidR="00A421DA" w:rsidRPr="00770477">
        <w:rPr>
          <w:rFonts w:cs="Times New Roman"/>
        </w:rPr>
        <w:t>In another study</w:t>
      </w:r>
      <w:r w:rsidR="00744214" w:rsidRPr="00770477">
        <w:rPr>
          <w:rFonts w:cs="Times New Roman"/>
        </w:rPr>
        <w:t xml:space="preserve"> the removal of 2,4-D and carbofuran pesticides from water using a variety of sorbents </w:t>
      </w:r>
      <w:r w:rsidR="00F05B5E" w:rsidRPr="00770477">
        <w:rPr>
          <w:rFonts w:cs="Times New Roman"/>
        </w:rPr>
        <w:t xml:space="preserve">was tested </w:t>
      </w:r>
      <w:r w:rsidR="00F05B5E" w:rsidRPr="00770477">
        <w:rPr>
          <w:rFonts w:cs="Times New Roman"/>
        </w:rPr>
        <w:fldChar w:fldCharType="begin"/>
      </w:r>
      <w:r w:rsidR="002074AD">
        <w:rPr>
          <w:rFonts w:cs="Times New Roman"/>
        </w:rPr>
        <w:instrText xml:space="preserve"> ADDIN ZOTERO_ITEM CSL_CITATION {"citationID":"tdxWlYdR","properties":{"formattedCitation":"(V. K. Gupta et al., 2006)","plainCitation":"(V. K. Gupta et al., 2006)","noteIndex":0},"citationItems":[{"id":801,"uris":["http://zotero.org/users/8423188/items/XUJ6SCKK"],"itemData":{"id":801,"type":"article-journal","abstract":"The removal of 2,4-dichlorophenoxyacetic acid (2,4-D) and carbofuran from aqueous solution was studied by using fertilizer industry waste (carbon slurry) and steel industry wastes (blast furnace slag, dust, and sludge) as adsorbents in batch. Adsorption was found to be in decreasing order: carbon slurry, blast furnace sludge, dust, and slag, respectively. Carbonaceous adsorbent prepared from carbon slurry exhibited the uptake capacity of 212 and 208 mg g−1 for 2,4-D and carbofuran, respectively at 25 ◦C and pH 7.5. Adsorption equilibrium, kinetics, and thermodynamics were investigated as a function of initial pH, temperature, and pesticide concentrations. Equilibrium data ﬁtted well to the Langmuir equilibrium model in the studied concentration range of 2,4-D and carbofuran at all the temperatures studied. Two simpliﬁed models, including pseudo-ﬁrstorder and pseudo-second-order kinetic models, were used to test the adsorption kinetics. Adsorption of 2,4-D and carbofuran on carbon slurry at 25, 35, and 45 ◦C could be best ﬁtted in the pseudo-second-order kinetic model. Pore diffusion was conﬁrmed as the essential rate-controlling step with the help of Bangham’s equation.","container-title":"Journal of Colloid and Interface Science","DOI":"10.1016/j.jcis.2006.02.017","ISSN":"00219797","issue":"2","journalAbbreviation":"Journal of Colloid and Interface Science","language":"en","page":"556-563","source":"DOI.org (Crossref)","title":"Adsorption of 2,4-D and carbofuran pesticides using fertilizer and steel industry wastes","volume":"299","author":[{"family":"Gupta","given":"Vinod K."},{"family":"Ali","given":"Imran"},{"literal":"Suhas"},{"family":"Saini","given":"Vipin K."}],"issued":{"date-parts":[["2006",7]]}}}],"schema":"https://github.com/citation-style-language/schema/raw/master/csl-citation.json"} </w:instrText>
      </w:r>
      <w:r w:rsidR="00F05B5E" w:rsidRPr="00770477">
        <w:rPr>
          <w:rFonts w:cs="Times New Roman"/>
        </w:rPr>
        <w:fldChar w:fldCharType="separate"/>
      </w:r>
      <w:r w:rsidR="00E11E17" w:rsidRPr="00770477">
        <w:rPr>
          <w:rFonts w:cs="Times New Roman"/>
        </w:rPr>
        <w:t>(V. K. Gupta et al., 2006)</w:t>
      </w:r>
      <w:r w:rsidR="00F05B5E" w:rsidRPr="00770477">
        <w:rPr>
          <w:rFonts w:cs="Times New Roman"/>
        </w:rPr>
        <w:fldChar w:fldCharType="end"/>
      </w:r>
      <w:r w:rsidR="007E3F04" w:rsidRPr="00770477">
        <w:rPr>
          <w:rFonts w:cs="Times New Roman"/>
        </w:rPr>
        <w:t xml:space="preserve">. </w:t>
      </w:r>
      <w:r w:rsidR="002E0A32" w:rsidRPr="00770477">
        <w:rPr>
          <w:rFonts w:cs="Times New Roman"/>
        </w:rPr>
        <w:t>Blast furnace slag was used and was yet again found to be “negligible” in the removal of these pesticides. The authors did not</w:t>
      </w:r>
      <w:r w:rsidR="00E807CB" w:rsidRPr="00770477">
        <w:rPr>
          <w:rFonts w:cs="Times New Roman"/>
        </w:rPr>
        <w:t xml:space="preserve"> expand further </w:t>
      </w:r>
      <w:r w:rsidR="006E0814" w:rsidRPr="00770477">
        <w:rPr>
          <w:rFonts w:cs="Times New Roman"/>
        </w:rPr>
        <w:t xml:space="preserve">into the </w:t>
      </w:r>
      <w:r w:rsidR="006E0814" w:rsidRPr="00770477">
        <w:rPr>
          <w:rFonts w:cs="Times New Roman"/>
        </w:rPr>
        <w:lastRenderedPageBreak/>
        <w:t>role of blast furnace slag in removing these pesticides</w:t>
      </w:r>
      <w:r w:rsidR="002E0A32" w:rsidRPr="00770477">
        <w:rPr>
          <w:rFonts w:cs="Times New Roman"/>
        </w:rPr>
        <w:t xml:space="preserve"> </w:t>
      </w:r>
      <w:r w:rsidR="006E0814" w:rsidRPr="00770477">
        <w:rPr>
          <w:rFonts w:cs="Times New Roman"/>
        </w:rPr>
        <w:t>preferring instead to discuss</w:t>
      </w:r>
      <w:r w:rsidR="0054371F" w:rsidRPr="00770477">
        <w:rPr>
          <w:rFonts w:cs="Times New Roman"/>
        </w:rPr>
        <w:t xml:space="preserve"> </w:t>
      </w:r>
      <w:r w:rsidR="004A5279" w:rsidRPr="00770477">
        <w:rPr>
          <w:rFonts w:cs="Times New Roman"/>
        </w:rPr>
        <w:t xml:space="preserve">other materials </w:t>
      </w:r>
      <w:r w:rsidR="006E0814" w:rsidRPr="00770477">
        <w:rPr>
          <w:rFonts w:cs="Times New Roman"/>
        </w:rPr>
        <w:t xml:space="preserve">that </w:t>
      </w:r>
      <w:r w:rsidR="004A5279" w:rsidRPr="00770477">
        <w:rPr>
          <w:rFonts w:cs="Times New Roman"/>
        </w:rPr>
        <w:t xml:space="preserve">performed better. However, the study did go on to show that </w:t>
      </w:r>
      <w:r w:rsidR="00972F70" w:rsidRPr="00770477">
        <w:rPr>
          <w:rFonts w:cs="Times New Roman"/>
        </w:rPr>
        <w:t xml:space="preserve">sorption was highly dependent on pH with a </w:t>
      </w:r>
      <w:r w:rsidR="0059572D">
        <w:rPr>
          <w:rFonts w:cs="Times New Roman"/>
        </w:rPr>
        <w:t>noticeable</w:t>
      </w:r>
      <w:r w:rsidR="00972F70" w:rsidRPr="00770477">
        <w:rPr>
          <w:rFonts w:cs="Times New Roman"/>
        </w:rPr>
        <w:t xml:space="preserve"> drop off in sorption around pH 8</w:t>
      </w:r>
      <w:r w:rsidR="003A28F7" w:rsidRPr="00770477">
        <w:rPr>
          <w:rFonts w:cs="Times New Roman"/>
        </w:rPr>
        <w:t xml:space="preserve"> </w:t>
      </w:r>
      <w:r w:rsidR="00466611" w:rsidRPr="00770477">
        <w:rPr>
          <w:rFonts w:cs="Times New Roman"/>
        </w:rPr>
        <w:t>and greater</w:t>
      </w:r>
      <w:r w:rsidR="00972F70" w:rsidRPr="00770477">
        <w:rPr>
          <w:rFonts w:cs="Times New Roman"/>
        </w:rPr>
        <w:t xml:space="preserve">. </w:t>
      </w:r>
      <w:r w:rsidR="00A77106" w:rsidRPr="00770477">
        <w:rPr>
          <w:rFonts w:cs="Times New Roman"/>
        </w:rPr>
        <w:t>W</w:t>
      </w:r>
      <w:r w:rsidR="007F0A53" w:rsidRPr="00770477">
        <w:rPr>
          <w:rFonts w:cs="Times New Roman"/>
        </w:rPr>
        <w:t xml:space="preserve">ith </w:t>
      </w:r>
      <w:r w:rsidR="007F0A53" w:rsidRPr="00770477">
        <w:rPr>
          <w:rFonts w:cs="Times New Roman"/>
        </w:rPr>
        <w:fldChar w:fldCharType="begin"/>
      </w:r>
      <w:r w:rsidR="002074AD">
        <w:rPr>
          <w:rFonts w:cs="Times New Roman"/>
        </w:rPr>
        <w:instrText xml:space="preserve"> ADDIN ZOTERO_ITEM CSL_CITATION {"citationID":"gIvLGFnU","properties":{"formattedCitation":"(Gonzalez et al., 2016)","plainCitation":"(Gonzalez et al., 2016)","dontUpdate":true,"noteIndex":0},"citationItems":[{"id":802,"uris":["http://zotero.org/users/8423188/items/PDY6RRBP"],"itemData":{"id":802,"type":"article-journal","abstract":"Surface inlets are installed in subsurface drainage systems to reduce ponding duration and surface runoff, but can contribute to water quality concerns by allowing water to directly enter buried drains. Blind inlets consist of perforated pipes covered with gravel and are separated from an overlying sand layer by a geotextile membrane and have been shown to be more effective in reducing losses of sediment, nutrients, and pesticides than typical tile line risers. In this study, we investigated whether the effectiveness of blind inlets to sorb pollutants, with emphasis on the herbicide atrazine, could be further improved by amended them with materials other than limestone. The media, shredded tires (tire chips), electric arc steel furnace slag (steel slag), and oak-derived biochar were chosen because they are readily available, inexpensive, and do not present environmental concerns. Kinetic sorption and isotherms were determined to ascertain atrazine sorption by these materials, in addition to testing for potential metal leaching using the Synthetic Precipitation Leaching Procedure (SPLP) and the Toxicity Characteristic Leaching Procedure (TCLP). The kinetic data were fitted using pseudo first- and second-order reaction equations and indicated that atrazine sorption rate was 38 times faster and equilibrium was reached 5 times earlier for biochar than tire chips. The 24-h sorption isotherm data were fitted to the Freundlich sorption equation. The sorption coefficient for biochar was higher than for tire chips, steel slag, and limestone. Per the SPLC and TLCP tests, there was no leaching of heavy metals at levels of environmental concern. Our results suggested that the effectiveness of blind inlets as well as other conservation practices that include filter media such as rain gardens and filter socks could be improved by incorporating more reactive materials than sand and gravel with biochar being a particularly effective alternative.","container-title":"Journal of Water Resource and Protection","DOI":"10.4236/jwarp.2016.813097","ISSN":"1945-3094, 1945-3108","issue":"13","journalAbbreviation":"JWARP","language":"en","page":"1266-1282","source":"DOI.org (Crossref)","title":"Atrazine Sorption by Biochar, Tire Chips, and Steel Slag as Media for Blind Inlets: A Kinetic and Isotherm Sorption Approach","title-short":"Atrazine Sorption by Biochar, Tire Chips, and Steel Slag as Media for Blind Inlets","volume":"08","author":[{"family":"Gonzalez","given":"Javier M."},{"family":"Shipitalo","given":"Martin J."},{"family":"Smith","given":"Douglas R."},{"family":"Warnemuende-Pappas","given":"Elizabeth"},{"family":"Livingston","given":"Stanley J."}],"issued":{"date-parts":[["2016"]]}}}],"schema":"https://github.com/citation-style-language/schema/raw/master/csl-citation.json"} </w:instrText>
      </w:r>
      <w:r w:rsidR="007F0A53" w:rsidRPr="00770477">
        <w:rPr>
          <w:rFonts w:cs="Times New Roman"/>
        </w:rPr>
        <w:fldChar w:fldCharType="separate"/>
      </w:r>
      <w:r w:rsidR="007F0A53" w:rsidRPr="00770477">
        <w:rPr>
          <w:rFonts w:cs="Times New Roman"/>
        </w:rPr>
        <w:t>Gonzalez et al. (2016)</w:t>
      </w:r>
      <w:r w:rsidR="007F0A53" w:rsidRPr="00770477">
        <w:rPr>
          <w:rFonts w:cs="Times New Roman"/>
        </w:rPr>
        <w:fldChar w:fldCharType="end"/>
      </w:r>
      <w:r w:rsidR="007F0A53" w:rsidRPr="00770477">
        <w:rPr>
          <w:rFonts w:cs="Times New Roman"/>
        </w:rPr>
        <w:t xml:space="preserve"> the resultant pH from </w:t>
      </w:r>
      <w:r w:rsidR="00040D22" w:rsidRPr="00770477">
        <w:rPr>
          <w:rFonts w:cs="Times New Roman"/>
        </w:rPr>
        <w:t xml:space="preserve">water treated with slag is expected to be at or above pH 8, therefore </w:t>
      </w:r>
      <w:r w:rsidR="0041619D" w:rsidRPr="00770477">
        <w:rPr>
          <w:rFonts w:cs="Times New Roman"/>
        </w:rPr>
        <w:t xml:space="preserve">low sorption can </w:t>
      </w:r>
      <w:r w:rsidR="009A4CBF" w:rsidRPr="00770477">
        <w:rPr>
          <w:rFonts w:cs="Times New Roman"/>
        </w:rPr>
        <w:t xml:space="preserve">be </w:t>
      </w:r>
      <w:r w:rsidR="0041619D" w:rsidRPr="00770477">
        <w:rPr>
          <w:rFonts w:cs="Times New Roman"/>
        </w:rPr>
        <w:t xml:space="preserve">assumed to be </w:t>
      </w:r>
      <w:r w:rsidR="003A7CDF" w:rsidRPr="00770477">
        <w:rPr>
          <w:rFonts w:cs="Times New Roman"/>
        </w:rPr>
        <w:t>low</w:t>
      </w:r>
      <w:r w:rsidR="0041619D" w:rsidRPr="00770477">
        <w:rPr>
          <w:rFonts w:cs="Times New Roman"/>
        </w:rPr>
        <w:t xml:space="preserve"> largely due to pH impacts</w:t>
      </w:r>
      <w:r w:rsidR="003A7CDF" w:rsidRPr="00770477">
        <w:rPr>
          <w:rFonts w:cs="Times New Roman"/>
        </w:rPr>
        <w:t xml:space="preserve">. </w:t>
      </w:r>
      <w:r w:rsidR="00496984" w:rsidRPr="00770477">
        <w:rPr>
          <w:rFonts w:cs="Times New Roman"/>
        </w:rPr>
        <w:t xml:space="preserve">Lastly, a review of pesticide removal from drinking water </w:t>
      </w:r>
      <w:r w:rsidR="006E1D4A" w:rsidRPr="00770477">
        <w:rPr>
          <w:rFonts w:cs="Times New Roman"/>
        </w:rPr>
        <w:t xml:space="preserve">by </w:t>
      </w:r>
      <w:r w:rsidR="006E1D4A" w:rsidRPr="00770477">
        <w:rPr>
          <w:rFonts w:cs="Times New Roman"/>
        </w:rPr>
        <w:fldChar w:fldCharType="begin"/>
      </w:r>
      <w:r w:rsidR="002074AD">
        <w:rPr>
          <w:rFonts w:cs="Times New Roman"/>
        </w:rPr>
        <w:instrText xml:space="preserve"> ADDIN ZOTERO_ITEM CSL_CITATION {"citationID":"1B8w2U6Q","properties":{"formattedCitation":"(Cosgrove et al., 2019)","plainCitation":"(Cosgrove et al., 2019)","dontUpdate":true,"noteIndex":0},"citationItems":[{"id":866,"uris":["http://zotero.org/users/8423188/items/NA2DR35C"],"itemData":{"id":866,"type":"article-journal","abstract":"Pesticides are an important part of crop production worldwide, however their use poses a threat to potable water sources. Seasonal use of pesticides can cause increased concentrations to be detected at potable water abstraction sites as a shock load which can be diﬃcult for conventional treatment processes to deal with. Concentrations of pesticides above 0.1 µg/L in drinking water contravene the regulations as laid out in the Drinking Water Directive and cause signiﬁcant reputational and ﬁnancial impact to water companies. This review considers the relationships between the pesticides that have caused compliance failures and their physicochemical properties, and factors such as weather and rainfall. It was found that over 50% of the pesticide compliance failures in England and Wales were caused by the molluscicide metaldehyde and that the majority of the problematic pesticides are considered to be polar and mobile. The review looks in further detail at ﬁve diﬀerent pesticides with diﬀering physicochemical properties known to have caused compliance failures and to be of particular concern for water companies. In addition adsorption media which could be utilised in agricultural catchments were investigated to understand whether they could be applied to prevent the onward contamination of potable water sources.","container-title":"Environmental Technology Reviews","DOI":"10.1080/21622515.2019.1593514","ISSN":"2162-2515, 2162-2523","issue":"1","journalAbbreviation":"Environmental Technology Reviews","language":"en","page":"1-24","source":"DOI.org (Crossref)","title":"Pesticide removal from drinking water sources by adsorption: a review","title-short":"Pesticide removal from drinking water sources by adsorption","volume":"8","author":[{"family":"Cosgrove","given":"Stephanie"},{"family":"Jefferson","given":"Bruce"},{"family":"Jarvis","given":"Peter"}],"issued":{"date-parts":[["2019",1,1]]}}}],"schema":"https://github.com/citation-style-language/schema/raw/master/csl-citation.json"} </w:instrText>
      </w:r>
      <w:r w:rsidR="006E1D4A" w:rsidRPr="00770477">
        <w:rPr>
          <w:rFonts w:cs="Times New Roman"/>
        </w:rPr>
        <w:fldChar w:fldCharType="separate"/>
      </w:r>
      <w:r w:rsidR="006E1D4A" w:rsidRPr="00770477">
        <w:rPr>
          <w:rFonts w:cs="Times New Roman"/>
        </w:rPr>
        <w:t>Cosgrove et al., (2019)</w:t>
      </w:r>
      <w:r w:rsidR="006E1D4A" w:rsidRPr="00770477">
        <w:rPr>
          <w:rFonts w:cs="Times New Roman"/>
        </w:rPr>
        <w:fldChar w:fldCharType="end"/>
      </w:r>
      <w:r w:rsidR="006E1D4A" w:rsidRPr="00770477">
        <w:rPr>
          <w:rFonts w:cs="Times New Roman"/>
        </w:rPr>
        <w:t xml:space="preserve"> indicated steel slag as a potential source of pesticide removal, however </w:t>
      </w:r>
      <w:r w:rsidR="007278C3" w:rsidRPr="00770477">
        <w:rPr>
          <w:rFonts w:cs="Times New Roman"/>
        </w:rPr>
        <w:t>the authors did designate it as “low removal” albeit “low cost.”</w:t>
      </w:r>
    </w:p>
    <w:p w14:paraId="25817911" w14:textId="77777777" w:rsidR="004A2096" w:rsidRPr="00770477" w:rsidRDefault="004A2096" w:rsidP="004A2096">
      <w:pPr>
        <w:spacing w:before="240"/>
        <w:rPr>
          <w:rFonts w:cs="Times New Roman"/>
        </w:rPr>
      </w:pPr>
    </w:p>
    <w:p w14:paraId="4AE99F21" w14:textId="1503847B" w:rsidR="005B1A35" w:rsidRPr="00770477" w:rsidRDefault="005B1A35" w:rsidP="008E32C4">
      <w:pPr>
        <w:pStyle w:val="Heading3"/>
        <w:rPr>
          <w:rFonts w:cs="Times New Roman"/>
        </w:rPr>
      </w:pPr>
      <w:bookmarkStart w:id="23" w:name="_Toc121495975"/>
      <w:r w:rsidRPr="00770477">
        <w:rPr>
          <w:rFonts w:cs="Times New Roman"/>
        </w:rPr>
        <w:t>Biochar</w:t>
      </w:r>
      <w:bookmarkEnd w:id="23"/>
    </w:p>
    <w:p w14:paraId="04ED6B9F" w14:textId="1CF92D02" w:rsidR="00B17C2A" w:rsidRPr="00770477" w:rsidRDefault="003403ED" w:rsidP="004A2096">
      <w:pPr>
        <w:ind w:firstLine="720"/>
        <w:rPr>
          <w:rFonts w:cs="Times New Roman"/>
        </w:rPr>
      </w:pPr>
      <w:r w:rsidRPr="00770477">
        <w:rPr>
          <w:rFonts w:cs="Times New Roman"/>
        </w:rPr>
        <w:t>Biochar is a</w:t>
      </w:r>
      <w:r w:rsidR="000D6319" w:rsidRPr="00770477">
        <w:rPr>
          <w:rFonts w:cs="Times New Roman"/>
        </w:rPr>
        <w:t xml:space="preserve"> material similar to charcoal which is composed of </w:t>
      </w:r>
      <w:r w:rsidR="00D52CBE" w:rsidRPr="00770477">
        <w:rPr>
          <w:rFonts w:cs="Times New Roman"/>
        </w:rPr>
        <w:t xml:space="preserve">hard woods </w:t>
      </w:r>
      <w:r w:rsidR="00AB151D" w:rsidRPr="00770477">
        <w:rPr>
          <w:rFonts w:cs="Times New Roman"/>
        </w:rPr>
        <w:t>that underwent</w:t>
      </w:r>
      <w:r w:rsidR="00D52CBE" w:rsidRPr="00770477">
        <w:rPr>
          <w:rFonts w:cs="Times New Roman"/>
        </w:rPr>
        <w:t xml:space="preserve"> </w:t>
      </w:r>
      <w:r w:rsidR="006B62F6" w:rsidRPr="00770477">
        <w:rPr>
          <w:rFonts w:cs="Times New Roman"/>
        </w:rPr>
        <w:t>decomposition</w:t>
      </w:r>
      <w:r w:rsidR="00D52CBE" w:rsidRPr="00770477">
        <w:rPr>
          <w:rFonts w:cs="Times New Roman"/>
        </w:rPr>
        <w:t xml:space="preserve"> at high temperatures between 350-1000</w:t>
      </w:r>
      <w:r w:rsidR="00D74390" w:rsidRPr="00770477">
        <w:rPr>
          <w:rFonts w:cs="Times New Roman"/>
        </w:rPr>
        <w:t>°C</w:t>
      </w:r>
      <w:r w:rsidR="006B62F6" w:rsidRPr="00770477">
        <w:rPr>
          <w:rFonts w:cs="Times New Roman"/>
        </w:rPr>
        <w:t xml:space="preserve"> with little to no oxygen available during heating (pyrolysis)</w:t>
      </w:r>
      <w:r w:rsidR="00D74390" w:rsidRPr="00770477">
        <w:rPr>
          <w:rFonts w:cs="Times New Roman"/>
        </w:rPr>
        <w:t xml:space="preserve"> </w:t>
      </w:r>
      <w:r w:rsidR="00D74390" w:rsidRPr="00770477">
        <w:rPr>
          <w:rFonts w:cs="Times New Roman"/>
        </w:rPr>
        <w:fldChar w:fldCharType="begin"/>
      </w:r>
      <w:r w:rsidR="002074AD">
        <w:rPr>
          <w:rFonts w:cs="Times New Roman"/>
        </w:rPr>
        <w:instrText xml:space="preserve"> ADDIN ZOTERO_ITEM CSL_CITATION {"citationID":"qfDTXYky","properties":{"formattedCitation":"(Cairns et al., 2022)","plainCitation":"(Cairns et al., 2022)","noteIndex":0},"citationItems":[{"id":335,"uris":["http://zotero.org/users/8423188/items/485BYMY5"],"itemData":{"id":335,"type":"article-journal","abstract":"The pollution of aqueous environments by metals has continued to increase due to anthropogenic activities such as mining, waste disposal, industrial activities and the use of motor vehicles.\n          , \n            \n              The pollution of aqueous environments by metals has continued to increase due to anthropogenic activities such as mining, waste disposal, industrial activities and the use of motor vehicles. Globally, vehicle numbers are predicted to increase to 2.8 billion by 2050 with aqueous pollutants associated with vehicles, such as Pb, Cu, Zn and Cd, increasing alongside vehicle numbers. With these increases, methods to minimise metal pollution are important to find; one such method is wood ash amended biochar. Whilst biochar has the potential to reduce contaminated runoff, this study explores the potential for the biochar itself to leach nutrients (PO\n              4\n              3−\n              , SO\n              4\n              2−\n              and NO\n              3\n              −\n              ) which are constituent parts of its biomass and potentially harmful to the ecosystem the biochar would be deployed to remediate. Treatments such as sintering wood ash to the biochar, granulating the biochar and rinsing the biochar were studied to ascertain their impact on the retention of minerals key to immobilisation, the leaching of nutrients and the immobilisation of Pb, Cu, Zn and Cd. It was demonstrated that wood ash sintered larch biochar granulated &lt;3 mm (WASGr) retained the highest concentration of minerals associated with immobilisation, reduced leaching of nutrients to below Water Framework Directive thresholds and maintained Pb, Cu, Zn and Cd immobilisation at 97–100% once rinsed with deionised water. As a result, WASGr rinsed with deionised water, has the potential to be scaled-up and deployed to immobilise Pb, Cu, Zn and Cd from motorway runoff without a negative impact on the concentration of nutrients in the surrounding waters.","container-title":"Environmental Science: Water Research &amp; Technology","DOI":"10.1039/D1EW00962A","ISSN":"2053-1400, 2053-1419","journalAbbreviation":"Environ. Sci.: Water Res. Technol.","language":"en","page":"10.1039.D1EW00962A","source":"DOI.org (Crossref)","title":"Treatments of wood ash amended biochar to reduce nutrient leaching and immobilise lead, copper, zinc and cadmium in aqueous solution: column experiments","title-short":"Treatments of wood ash amended biochar to reduce nutrient leaching and immobilise lead, copper, zinc and cadmium in aqueous solution","author":[{"family":"Cairns","given":"Stuart"},{"family":"Robertson","given":"Iain"},{"family":"Holliman","given":"Peter"},{"family":"Street-Perrott","given":"Alayne"}],"issued":{"date-parts":[["2022"]]}}}],"schema":"https://github.com/citation-style-language/schema/raw/master/csl-citation.json"} </w:instrText>
      </w:r>
      <w:r w:rsidR="00D74390" w:rsidRPr="00770477">
        <w:rPr>
          <w:rFonts w:cs="Times New Roman"/>
        </w:rPr>
        <w:fldChar w:fldCharType="separate"/>
      </w:r>
      <w:r w:rsidR="00E11E17" w:rsidRPr="00770477">
        <w:rPr>
          <w:rFonts w:cs="Times New Roman"/>
        </w:rPr>
        <w:t>(Cairns et al., 2022)</w:t>
      </w:r>
      <w:r w:rsidR="00D74390" w:rsidRPr="00770477">
        <w:rPr>
          <w:rFonts w:cs="Times New Roman"/>
        </w:rPr>
        <w:fldChar w:fldCharType="end"/>
      </w:r>
      <w:r w:rsidR="008E32C4" w:rsidRPr="00770477">
        <w:rPr>
          <w:rFonts w:cs="Times New Roman"/>
        </w:rPr>
        <w:t xml:space="preserve">. </w:t>
      </w:r>
      <w:r w:rsidR="00857EBF" w:rsidRPr="00770477">
        <w:rPr>
          <w:rFonts w:cs="Times New Roman"/>
        </w:rPr>
        <w:t xml:space="preserve">This process develops “highly aromatic clusters” </w:t>
      </w:r>
      <w:r w:rsidR="00B076DF" w:rsidRPr="00770477">
        <w:rPr>
          <w:rFonts w:cs="Times New Roman"/>
        </w:rPr>
        <w:t xml:space="preserve">which make biochar chemically stable and highly porous </w:t>
      </w:r>
      <w:r w:rsidR="00BE1BCC" w:rsidRPr="00770477">
        <w:rPr>
          <w:rFonts w:cs="Times New Roman"/>
        </w:rPr>
        <w:fldChar w:fldCharType="begin"/>
      </w:r>
      <w:r w:rsidR="002074AD">
        <w:rPr>
          <w:rFonts w:cs="Times New Roman"/>
        </w:rPr>
        <w:instrText xml:space="preserve"> ADDIN ZOTERO_ITEM CSL_CITATION {"citationID":"X4UxODOC","properties":{"formattedCitation":"(Yang et al., 2018)","plainCitation":"(Yang et al., 2018)","noteIndex":0},"citationItems":[{"id":890,"uris":["http://zotero.org/users/8423188/items/BGZSIVBP"],"itemData":{"id":890,"type":"article-journal","container-title":"Chemosphere","DOI":"10.1016/j.chemosphere.2018.04.057","ISSN":"00456535","journalAbbreviation":"Chemosphere","language":"en","page":"310-317","source":"DOI.org (Crossref)","title":"Effect of minerals on the stability of biochar","volume":"204","author":[{"family":"Yang","given":"Yan"},{"family":"Sun","given":"Ke"},{"family":"Han","given":"Lanfang"},{"family":"Jin","given":"Jie"},{"family":"Sun","given":"Haoran"},{"family":"Yang","given":"Yu"},{"family":"Xing","given":"Baoshan"}],"issued":{"date-parts":[["2018",8]]}}}],"schema":"https://github.com/citation-style-language/schema/raw/master/csl-citation.json"} </w:instrText>
      </w:r>
      <w:r w:rsidR="00BE1BCC" w:rsidRPr="00770477">
        <w:rPr>
          <w:rFonts w:cs="Times New Roman"/>
        </w:rPr>
        <w:fldChar w:fldCharType="separate"/>
      </w:r>
      <w:r w:rsidR="00E11E17" w:rsidRPr="00770477">
        <w:rPr>
          <w:rFonts w:cs="Times New Roman"/>
        </w:rPr>
        <w:t>(Yang et al., 2018)</w:t>
      </w:r>
      <w:r w:rsidR="00BE1BCC" w:rsidRPr="00770477">
        <w:rPr>
          <w:rFonts w:cs="Times New Roman"/>
        </w:rPr>
        <w:fldChar w:fldCharType="end"/>
      </w:r>
      <w:r w:rsidR="00DD7204" w:rsidRPr="00770477">
        <w:rPr>
          <w:rFonts w:cs="Times New Roman"/>
        </w:rPr>
        <w:t xml:space="preserve">. </w:t>
      </w:r>
      <w:r w:rsidR="00BF1C43" w:rsidRPr="00770477">
        <w:rPr>
          <w:rFonts w:cs="Times New Roman"/>
        </w:rPr>
        <w:t xml:space="preserve">Different </w:t>
      </w:r>
      <w:r w:rsidR="00A544CF" w:rsidRPr="00770477">
        <w:rPr>
          <w:rFonts w:cs="Times New Roman"/>
        </w:rPr>
        <w:t xml:space="preserve">biochar sources and production methods (slow pyrolysis, fast pyrolysis, gasification, </w:t>
      </w:r>
      <w:r w:rsidR="009D3C4E" w:rsidRPr="00770477">
        <w:rPr>
          <w:rFonts w:cs="Times New Roman"/>
        </w:rPr>
        <w:t xml:space="preserve">and hydrothermal carbonization) can have </w:t>
      </w:r>
      <w:r w:rsidR="0059572D">
        <w:rPr>
          <w:rFonts w:cs="Times New Roman"/>
        </w:rPr>
        <w:t>large</w:t>
      </w:r>
      <w:r w:rsidR="009D3C4E" w:rsidRPr="00770477">
        <w:rPr>
          <w:rFonts w:cs="Times New Roman"/>
        </w:rPr>
        <w:t xml:space="preserve"> impacts on the medium’s ability to </w:t>
      </w:r>
      <w:r w:rsidR="00AA0627" w:rsidRPr="00770477">
        <w:rPr>
          <w:rFonts w:cs="Times New Roman"/>
        </w:rPr>
        <w:t xml:space="preserve">remove </w:t>
      </w:r>
      <w:r w:rsidR="009D3C4E" w:rsidRPr="00770477">
        <w:rPr>
          <w:rFonts w:cs="Times New Roman"/>
        </w:rPr>
        <w:t xml:space="preserve">contaminants </w:t>
      </w:r>
      <w:r w:rsidR="009D3C4E" w:rsidRPr="00770477">
        <w:rPr>
          <w:rFonts w:cs="Times New Roman"/>
        </w:rPr>
        <w:fldChar w:fldCharType="begin"/>
      </w:r>
      <w:r w:rsidR="002074AD">
        <w:rPr>
          <w:rFonts w:cs="Times New Roman"/>
        </w:rPr>
        <w:instrText xml:space="preserve"> ADDIN ZOTERO_ITEM CSL_CITATION {"citationID":"uuGvjRW1","properties":{"formattedCitation":"(Mohanty et al., 2018)","plainCitation":"(Mohanty et al., 2018)","noteIndex":0},"citationItems":[{"id":69,"uris":["http://zotero.org/users/8423188/items/7TBPG4T6"],"itemData":{"id":69,"type":"article-journal","abstract":"Low impact development (LID) systems are increasingly used to manage stormwater, but they have limited capacity to treat stormwater—a resource to supplement existing water supply in water-stressed urban areas. To enhance their pollutant removal capacity, inﬁltration-based LID systems can be augmented with natural or engineered geomedia that meet the following criteria: they should be economical, readily available, and have capacity to remove a wide range of stormwater pollutants in conditions expected during intermittent inﬁltration of stormwater. Biochar, a carbonaceous porous co-product of waste biomass pyrolysis/gasiﬁcation, meets all these criteria. Biochar can adsorb pollutants, improve water-retention capacity of soil, retain and slowly release nutrients for plant uptake, and help sustain microbiota in soil and plants atop; all these attributes could help improve removal of contaminants in stormwater treatment systems. This article discusses contaminant removal mechanisms by biochar, summarizes speciﬁc biochar properties that enhance targeted contaminants removal from stormwater, and identiﬁes challenges and opportunities to retroﬁt biochar in LID to optimize stormwater treatment.","container-title":"Science of The Total Environment","DOI":"10.1016/j.scitotenv.2018.01.037","ISSN":"00489697","journalAbbreviation":"Science of The Total Environment","language":"en","page":"1644-1658","source":"DOI.org (Crossref)","title":"Plenty of room for carbon on the ground: Potential applications of biochar for stormwater treatment","title-short":"Plenty of room for carbon on the ground","volume":"625","author":[{"family":"Mohanty","given":"Sanjay K."},{"family":"Valenca","given":"Renan"},{"family":"Berger","given":"Alexander W."},{"family":"Yu","given":"Iris K.M."},{"family":"Xiong","given":"Xinni"},{"family":"Saunders","given":"Trenton M."},{"family":"Tsang","given":"Daniel C.W."}],"issued":{"date-parts":[["2018",6]]}}}],"schema":"https://github.com/citation-style-language/schema/raw/master/csl-citation.json"} </w:instrText>
      </w:r>
      <w:r w:rsidR="009D3C4E" w:rsidRPr="00770477">
        <w:rPr>
          <w:rFonts w:cs="Times New Roman"/>
        </w:rPr>
        <w:fldChar w:fldCharType="separate"/>
      </w:r>
      <w:r w:rsidR="00E11E17" w:rsidRPr="00770477">
        <w:rPr>
          <w:rFonts w:cs="Times New Roman"/>
        </w:rPr>
        <w:t>(Mohanty et al., 2018)</w:t>
      </w:r>
      <w:r w:rsidR="009D3C4E" w:rsidRPr="00770477">
        <w:rPr>
          <w:rFonts w:cs="Times New Roman"/>
        </w:rPr>
        <w:fldChar w:fldCharType="end"/>
      </w:r>
      <w:r w:rsidR="006D2283" w:rsidRPr="00770477">
        <w:rPr>
          <w:rFonts w:cs="Times New Roman"/>
        </w:rPr>
        <w:t>. The most common method is slow pyrolysis which heats the source at 5-7</w:t>
      </w:r>
      <w:r w:rsidR="00B914D1" w:rsidRPr="00770477">
        <w:rPr>
          <w:rFonts w:cs="Times New Roman"/>
        </w:rPr>
        <w:t>°C</w:t>
      </w:r>
      <w:r w:rsidR="004B5FE5">
        <w:rPr>
          <w:rFonts w:cs="Times New Roman"/>
        </w:rPr>
        <w:t xml:space="preserve"> </w:t>
      </w:r>
      <w:r w:rsidR="00B914D1" w:rsidRPr="00770477">
        <w:rPr>
          <w:rFonts w:cs="Times New Roman"/>
        </w:rPr>
        <w:t>min</w:t>
      </w:r>
      <w:r w:rsidR="004B5FE5">
        <w:rPr>
          <w:rFonts w:cs="Times New Roman"/>
          <w:vertAlign w:val="superscript"/>
        </w:rPr>
        <w:t>-1</w:t>
      </w:r>
      <w:r w:rsidR="00B914D1" w:rsidRPr="00770477">
        <w:rPr>
          <w:rFonts w:cs="Times New Roman"/>
        </w:rPr>
        <w:t xml:space="preserve"> to a temperature between 300-800°C</w:t>
      </w:r>
      <w:r w:rsidR="00231F10" w:rsidRPr="00770477">
        <w:rPr>
          <w:rFonts w:cs="Times New Roman"/>
        </w:rPr>
        <w:t xml:space="preserve"> and results in less syngas (CO, CH</w:t>
      </w:r>
      <w:r w:rsidR="00231F10" w:rsidRPr="00770477">
        <w:rPr>
          <w:rFonts w:cs="Times New Roman"/>
          <w:vertAlign w:val="subscript"/>
        </w:rPr>
        <w:t>4</w:t>
      </w:r>
      <w:r w:rsidR="00231F10" w:rsidRPr="00770477">
        <w:rPr>
          <w:rFonts w:cs="Times New Roman"/>
        </w:rPr>
        <w:t>, and H</w:t>
      </w:r>
      <w:r w:rsidR="00231F10" w:rsidRPr="00770477">
        <w:rPr>
          <w:rFonts w:cs="Times New Roman"/>
          <w:vertAlign w:val="subscript"/>
        </w:rPr>
        <w:t>2</w:t>
      </w:r>
      <w:r w:rsidR="00231F10" w:rsidRPr="00770477">
        <w:rPr>
          <w:rFonts w:cs="Times New Roman"/>
        </w:rPr>
        <w:t xml:space="preserve">) production </w:t>
      </w:r>
      <w:r w:rsidR="00231F10" w:rsidRPr="00770477">
        <w:rPr>
          <w:rFonts w:cs="Times New Roman"/>
        </w:rPr>
        <w:fldChar w:fldCharType="begin"/>
      </w:r>
      <w:r w:rsidR="002074AD">
        <w:rPr>
          <w:rFonts w:cs="Times New Roman"/>
        </w:rPr>
        <w:instrText xml:space="preserve"> ADDIN ZOTERO_ITEM CSL_CITATION {"citationID":"KcQSmCUN","properties":{"formattedCitation":"(Mohanty et al., 2018)","plainCitation":"(Mohanty et al., 2018)","noteIndex":0},"citationItems":[{"id":69,"uris":["http://zotero.org/users/8423188/items/7TBPG4T6"],"itemData":{"id":69,"type":"article-journal","abstract":"Low impact development (LID) systems are increasingly used to manage stormwater, but they have limited capacity to treat stormwater—a resource to supplement existing water supply in water-stressed urban areas. To enhance their pollutant removal capacity, inﬁltration-based LID systems can be augmented with natural or engineered geomedia that meet the following criteria: they should be economical, readily available, and have capacity to remove a wide range of stormwater pollutants in conditions expected during intermittent inﬁltration of stormwater. Biochar, a carbonaceous porous co-product of waste biomass pyrolysis/gasiﬁcation, meets all these criteria. Biochar can adsorb pollutants, improve water-retention capacity of soil, retain and slowly release nutrients for plant uptake, and help sustain microbiota in soil and plants atop; all these attributes could help improve removal of contaminants in stormwater treatment systems. This article discusses contaminant removal mechanisms by biochar, summarizes speciﬁc biochar properties that enhance targeted contaminants removal from stormwater, and identiﬁes challenges and opportunities to retroﬁt biochar in LID to optimize stormwater treatment.","container-title":"Science of The Total Environment","DOI":"10.1016/j.scitotenv.2018.01.037","ISSN":"00489697","journalAbbreviation":"Science of The Total Environment","language":"en","page":"1644-1658","source":"DOI.org (Crossref)","title":"Plenty of room for carbon on the ground: Potential applications of biochar for stormwater treatment","title-short":"Plenty of room for carbon on the ground","volume":"625","author":[{"family":"Mohanty","given":"Sanjay K."},{"family":"Valenca","given":"Renan"},{"family":"Berger","given":"Alexander W."},{"family":"Yu","given":"Iris K.M."},{"family":"Xiong","given":"Xinni"},{"family":"Saunders","given":"Trenton M."},{"family":"Tsang","given":"Daniel C.W."}],"issued":{"date-parts":[["2018",6]]}}}],"schema":"https://github.com/citation-style-language/schema/raw/master/csl-citation.json"} </w:instrText>
      </w:r>
      <w:r w:rsidR="00231F10" w:rsidRPr="00770477">
        <w:rPr>
          <w:rFonts w:cs="Times New Roman"/>
        </w:rPr>
        <w:fldChar w:fldCharType="separate"/>
      </w:r>
      <w:r w:rsidR="00E11E17" w:rsidRPr="00770477">
        <w:rPr>
          <w:rFonts w:cs="Times New Roman"/>
        </w:rPr>
        <w:t>(Mohanty et al., 2018)</w:t>
      </w:r>
      <w:r w:rsidR="00231F10" w:rsidRPr="00770477">
        <w:rPr>
          <w:rFonts w:cs="Times New Roman"/>
        </w:rPr>
        <w:fldChar w:fldCharType="end"/>
      </w:r>
      <w:r w:rsidR="00437FB6" w:rsidRPr="00770477">
        <w:rPr>
          <w:rFonts w:cs="Times New Roman"/>
        </w:rPr>
        <w:t xml:space="preserve">. </w:t>
      </w:r>
    </w:p>
    <w:p w14:paraId="1B327614" w14:textId="308B85B2" w:rsidR="00572544" w:rsidRPr="00770477" w:rsidRDefault="00B17C2A" w:rsidP="004A2096">
      <w:pPr>
        <w:ind w:firstLine="720"/>
        <w:rPr>
          <w:rFonts w:cs="Times New Roman"/>
        </w:rPr>
      </w:pPr>
      <w:r w:rsidRPr="00770477">
        <w:rPr>
          <w:rFonts w:cs="Times New Roman"/>
        </w:rPr>
        <w:t xml:space="preserve">A </w:t>
      </w:r>
      <w:r w:rsidR="00AE51B5" w:rsidRPr="00770477">
        <w:rPr>
          <w:rFonts w:cs="Times New Roman"/>
        </w:rPr>
        <w:t xml:space="preserve">useful property of biochar is </w:t>
      </w:r>
      <w:r w:rsidR="00A824CA" w:rsidRPr="00770477">
        <w:rPr>
          <w:rFonts w:cs="Times New Roman"/>
        </w:rPr>
        <w:t>a</w:t>
      </w:r>
      <w:r w:rsidR="00AE51B5" w:rsidRPr="00770477">
        <w:rPr>
          <w:rFonts w:cs="Times New Roman"/>
        </w:rPr>
        <w:t xml:space="preserve"> </w:t>
      </w:r>
      <w:r w:rsidR="00D035C8" w:rsidRPr="00770477">
        <w:rPr>
          <w:rFonts w:cs="Times New Roman"/>
        </w:rPr>
        <w:t>large surface area</w:t>
      </w:r>
      <w:r w:rsidR="00A824CA" w:rsidRPr="00770477">
        <w:rPr>
          <w:rFonts w:cs="Times New Roman"/>
        </w:rPr>
        <w:t xml:space="preserve"> achieved by the media itself being highly porous, unlike fly ash and steel slag</w:t>
      </w:r>
      <w:r w:rsidR="00D035C8" w:rsidRPr="00770477">
        <w:rPr>
          <w:rFonts w:cs="Times New Roman"/>
        </w:rPr>
        <w:t xml:space="preserve">. One study by </w:t>
      </w:r>
      <w:r w:rsidR="00D035C8" w:rsidRPr="00770477">
        <w:rPr>
          <w:rFonts w:cs="Times New Roman"/>
        </w:rPr>
        <w:fldChar w:fldCharType="begin"/>
      </w:r>
      <w:r w:rsidR="002074AD">
        <w:rPr>
          <w:rFonts w:cs="Times New Roman"/>
        </w:rPr>
        <w:instrText xml:space="preserve"> ADDIN ZOTERO_ITEM CSL_CITATION {"citationID":"Zx7XGOOR","properties":{"formattedCitation":"(Tan et al., 2016)","plainCitation":"(Tan et al., 2016)","dontUpdate":true,"noteIndex":0},"citationItems":[{"id":889,"uris":["http://zotero.org/users/8423188/items/VCAD3S5Y"],"itemData":{"id":889,"type":"article-journal","abstract":"Corn straw biochar (BC) was used as a precursor to produce Na2S modiﬁed biochar (BS), KOH modiﬁed biochar (BK) and activated carbon (AC). Experiments were conducted to compare the sorption capacity of these sorbents for aqueous Hg (II) and atrazine existed alone or as a mixture. In comparison to BC, the sorption capacity of BS, BK and AC for single Hg (II) increased by 76.95%, 32.12% and 41.72%, while that for atrazine increased by 38.66%, 46.39% and 47 times, respectively. When Hg (II) and atrazine coexisted in an aqueous solution, competitive sorption was observed on all these sorbents. Sulfur impregnation was an efﬁcient way to enhance the Hg (II) removal due to the formation of HgS precipitate, and oxygen-containing functional groups on the sorbents also contributed to Hg (II) sorption. Activated carbon was the best sorbent for atrazine removal because of its extremely high speciﬁc surface area.","container-title":"Bioresource Technology","DOI":"10.1016/j.biortech.2016.03.147","ISSN":"09608524","journalAbbreviation":"Bioresource Technology","language":"en","page":"727-735","source":"DOI.org (Crossref)","title":"Sorption of mercury (II) and atrazine by biochar, modified biochars and biochar based activated carbon in aqueous solution","volume":"211","author":[{"family":"Tan","given":"Guangcai"},{"family":"Sun","given":"Weiling"},{"family":"Xu","given":"Yaru"},{"family":"Wang","given":"Hongyuan"},{"family":"Xu","given":"Nan"}],"issued":{"date-parts":[["2016",7]]}}}],"schema":"https://github.com/citation-style-language/schema/raw/master/csl-citation.json"} </w:instrText>
      </w:r>
      <w:r w:rsidR="00D035C8" w:rsidRPr="00770477">
        <w:rPr>
          <w:rFonts w:cs="Times New Roman"/>
        </w:rPr>
        <w:fldChar w:fldCharType="separate"/>
      </w:r>
      <w:r w:rsidR="00D035C8" w:rsidRPr="00770477">
        <w:rPr>
          <w:rFonts w:cs="Times New Roman"/>
        </w:rPr>
        <w:t>Tan et al. (2016)</w:t>
      </w:r>
      <w:r w:rsidR="00D035C8" w:rsidRPr="00770477">
        <w:rPr>
          <w:rFonts w:cs="Times New Roman"/>
        </w:rPr>
        <w:fldChar w:fldCharType="end"/>
      </w:r>
      <w:r w:rsidR="00D035C8" w:rsidRPr="00770477">
        <w:rPr>
          <w:rFonts w:cs="Times New Roman"/>
        </w:rPr>
        <w:t xml:space="preserve"> reported surface areas of </w:t>
      </w:r>
      <w:r w:rsidR="00F542BA" w:rsidRPr="00770477">
        <w:rPr>
          <w:rFonts w:cs="Times New Roman"/>
        </w:rPr>
        <w:t>32.85</w:t>
      </w:r>
      <w:r w:rsidR="00375D07" w:rsidRPr="00770477">
        <w:rPr>
          <w:rFonts w:cs="Times New Roman"/>
        </w:rPr>
        <w:t>, 53.58, and 59.23 m</w:t>
      </w:r>
      <w:r w:rsidR="00375D07" w:rsidRPr="00770477">
        <w:rPr>
          <w:rFonts w:cs="Times New Roman"/>
          <w:vertAlign w:val="superscript"/>
        </w:rPr>
        <w:t>2</w:t>
      </w:r>
      <w:r w:rsidR="004B5FE5">
        <w:rPr>
          <w:rFonts w:cs="Times New Roman"/>
        </w:rPr>
        <w:t xml:space="preserve"> </w:t>
      </w:r>
      <w:r w:rsidR="00375D07" w:rsidRPr="00770477">
        <w:rPr>
          <w:rFonts w:cs="Times New Roman"/>
        </w:rPr>
        <w:t>g</w:t>
      </w:r>
      <w:r w:rsidR="004B5FE5">
        <w:rPr>
          <w:rFonts w:cs="Times New Roman"/>
          <w:vertAlign w:val="superscript"/>
        </w:rPr>
        <w:t>-1</w:t>
      </w:r>
      <w:r w:rsidR="00375D07" w:rsidRPr="00770477">
        <w:rPr>
          <w:rFonts w:cs="Times New Roman"/>
        </w:rPr>
        <w:t xml:space="preserve"> for </w:t>
      </w:r>
      <w:r w:rsidR="00F47790" w:rsidRPr="00770477">
        <w:rPr>
          <w:rFonts w:cs="Times New Roman"/>
        </w:rPr>
        <w:t>pristine</w:t>
      </w:r>
      <w:r w:rsidR="00EA257A" w:rsidRPr="00770477">
        <w:rPr>
          <w:rFonts w:cs="Times New Roman"/>
        </w:rPr>
        <w:t>, slow pyrolysis</w:t>
      </w:r>
      <w:r w:rsidR="00F47790" w:rsidRPr="00770477">
        <w:rPr>
          <w:rFonts w:cs="Times New Roman"/>
        </w:rPr>
        <w:t xml:space="preserve"> biochar and two modified</w:t>
      </w:r>
      <w:r w:rsidR="00EA257A" w:rsidRPr="00770477">
        <w:rPr>
          <w:rFonts w:cs="Times New Roman"/>
        </w:rPr>
        <w:t>, slow pyrolysis</w:t>
      </w:r>
      <w:r w:rsidR="00F47790" w:rsidRPr="00770477">
        <w:rPr>
          <w:rFonts w:cs="Times New Roman"/>
        </w:rPr>
        <w:t xml:space="preserve"> biochars, respectively. </w:t>
      </w:r>
      <w:r w:rsidR="002A755C" w:rsidRPr="00770477">
        <w:rPr>
          <w:rFonts w:cs="Times New Roman"/>
        </w:rPr>
        <w:t xml:space="preserve">Source material and </w:t>
      </w:r>
      <w:r w:rsidR="00682ECC" w:rsidRPr="00770477">
        <w:rPr>
          <w:rFonts w:cs="Times New Roman"/>
        </w:rPr>
        <w:t xml:space="preserve">production type can have </w:t>
      </w:r>
      <w:r w:rsidR="00CA3ACE">
        <w:rPr>
          <w:rFonts w:cs="Times New Roman"/>
        </w:rPr>
        <w:t>large</w:t>
      </w:r>
      <w:r w:rsidR="00682ECC" w:rsidRPr="00770477">
        <w:rPr>
          <w:rFonts w:cs="Times New Roman"/>
        </w:rPr>
        <w:t xml:space="preserve"> impacts on surface area with soft woods having higher surface areas </w:t>
      </w:r>
      <w:r w:rsidR="00814F2C" w:rsidRPr="00770477">
        <w:rPr>
          <w:rFonts w:cs="Times New Roman"/>
        </w:rPr>
        <w:t xml:space="preserve">than hard woods </w:t>
      </w:r>
      <w:r w:rsidR="00814F2C" w:rsidRPr="00770477">
        <w:rPr>
          <w:rFonts w:cs="Times New Roman"/>
        </w:rPr>
        <w:fldChar w:fldCharType="begin"/>
      </w:r>
      <w:r w:rsidR="002074AD">
        <w:rPr>
          <w:rFonts w:cs="Times New Roman"/>
        </w:rPr>
        <w:instrText xml:space="preserve"> ADDIN ZOTERO_ITEM CSL_CITATION {"citationID":"KSBK8DYp","properties":{"formattedCitation":"(Mohanty et al., 2018)","plainCitation":"(Mohanty et al., 2018)","noteIndex":0},"citationItems":[{"id":69,"uris":["http://zotero.org/users/8423188/items/7TBPG4T6"],"itemData":{"id":69,"type":"article-journal","abstract":"Low impact development (LID) systems are increasingly used to manage stormwater, but they have limited capacity to treat stormwater—a resource to supplement existing water supply in water-stressed urban areas. To enhance their pollutant removal capacity, inﬁltration-based LID systems can be augmented with natural or engineered geomedia that meet the following criteria: they should be economical, readily available, and have capacity to remove a wide range of stormwater pollutants in conditions expected during intermittent inﬁltration of stormwater. Biochar, a carbonaceous porous co-product of waste biomass pyrolysis/gasiﬁcation, meets all these criteria. Biochar can adsorb pollutants, improve water-retention capacity of soil, retain and slowly release nutrients for plant uptake, and help sustain microbiota in soil and plants atop; all these attributes could help improve removal of contaminants in stormwater treatment systems. This article discusses contaminant removal mechanisms by biochar, summarizes speciﬁc biochar properties that enhance targeted contaminants removal from stormwater, and identiﬁes challenges and opportunities to retroﬁt biochar in LID to optimize stormwater treatment.","container-title":"Science of The Total Environment","DOI":"10.1016/j.scitotenv.2018.01.037","ISSN":"00489697","journalAbbreviation":"Science of The Total Environment","language":"en","page":"1644-1658","source":"DOI.org (Crossref)","title":"Plenty of room for carbon on the ground: Potential applications of biochar for stormwater treatment","title-short":"Plenty of room for carbon on the ground","volume":"625","author":[{"family":"Mohanty","given":"Sanjay K."},{"family":"Valenca","given":"Renan"},{"family":"Berger","given":"Alexander W."},{"family":"Yu","given":"Iris K.M."},{"family":"Xiong","given":"Xinni"},{"family":"Saunders","given":"Trenton M."},{"family":"Tsang","given":"Daniel C.W."}],"issued":{"date-parts":[["2018",6]]}}}],"schema":"https://github.com/citation-style-language/schema/raw/master/csl-citation.json"} </w:instrText>
      </w:r>
      <w:r w:rsidR="00814F2C" w:rsidRPr="00770477">
        <w:rPr>
          <w:rFonts w:cs="Times New Roman"/>
        </w:rPr>
        <w:fldChar w:fldCharType="separate"/>
      </w:r>
      <w:r w:rsidR="00E11E17" w:rsidRPr="00770477">
        <w:rPr>
          <w:rFonts w:cs="Times New Roman"/>
        </w:rPr>
        <w:t>(Mohanty et al., 2018)</w:t>
      </w:r>
      <w:r w:rsidR="00814F2C" w:rsidRPr="00770477">
        <w:rPr>
          <w:rFonts w:cs="Times New Roman"/>
        </w:rPr>
        <w:fldChar w:fldCharType="end"/>
      </w:r>
      <w:r w:rsidR="00814F2C" w:rsidRPr="00770477">
        <w:rPr>
          <w:rFonts w:cs="Times New Roman"/>
        </w:rPr>
        <w:t xml:space="preserve">. </w:t>
      </w:r>
      <w:r w:rsidR="00B021F7" w:rsidRPr="00770477">
        <w:rPr>
          <w:rFonts w:cs="Times New Roman"/>
        </w:rPr>
        <w:lastRenderedPageBreak/>
        <w:t xml:space="preserve">Most importantly, however, is the </w:t>
      </w:r>
      <w:r w:rsidR="006325F4" w:rsidRPr="00770477">
        <w:rPr>
          <w:rFonts w:cs="Times New Roman"/>
        </w:rPr>
        <w:t xml:space="preserve">aromatic ring structure that is provided by </w:t>
      </w:r>
      <w:r w:rsidR="003370FA" w:rsidRPr="00770477">
        <w:rPr>
          <w:rFonts w:cs="Times New Roman"/>
        </w:rPr>
        <w:t>the high organic C content of the biochar (</w:t>
      </w:r>
      <w:r w:rsidR="003370FA" w:rsidRPr="00770477">
        <w:rPr>
          <w:rFonts w:cs="Times New Roman"/>
        </w:rPr>
        <w:fldChar w:fldCharType="begin"/>
      </w:r>
      <w:r w:rsidR="003370FA" w:rsidRPr="00770477">
        <w:rPr>
          <w:rFonts w:cs="Times New Roman"/>
        </w:rPr>
        <w:instrText xml:space="preserve"> REF _Ref116936194 \h </w:instrText>
      </w:r>
      <w:r w:rsidR="00770477">
        <w:rPr>
          <w:rFonts w:cs="Times New Roman"/>
        </w:rPr>
        <w:instrText xml:space="preserve"> \* MERGEFORMAT </w:instrText>
      </w:r>
      <w:r w:rsidR="003370FA" w:rsidRPr="00770477">
        <w:rPr>
          <w:rFonts w:cs="Times New Roman"/>
        </w:rPr>
      </w:r>
      <w:r w:rsidR="003370FA" w:rsidRPr="00770477">
        <w:rPr>
          <w:rFonts w:cs="Times New Roman"/>
        </w:rPr>
        <w:fldChar w:fldCharType="separate"/>
      </w:r>
      <w:r w:rsidR="00061096" w:rsidRPr="00770477">
        <w:rPr>
          <w:rFonts w:cs="Times New Roman"/>
        </w:rPr>
        <w:t xml:space="preserve">Table </w:t>
      </w:r>
      <w:r w:rsidR="00061096">
        <w:rPr>
          <w:rFonts w:cs="Times New Roman"/>
          <w:noProof/>
        </w:rPr>
        <w:t>2</w:t>
      </w:r>
      <w:r w:rsidR="00061096">
        <w:rPr>
          <w:rFonts w:cs="Times New Roman"/>
          <w:noProof/>
        </w:rPr>
        <w:noBreakHyphen/>
        <w:t>6</w:t>
      </w:r>
      <w:r w:rsidR="003370FA" w:rsidRPr="00770477">
        <w:rPr>
          <w:rFonts w:cs="Times New Roman"/>
        </w:rPr>
        <w:fldChar w:fldCharType="end"/>
      </w:r>
      <w:r w:rsidR="003370FA" w:rsidRPr="00770477">
        <w:rPr>
          <w:rFonts w:cs="Times New Roman"/>
        </w:rPr>
        <w:t xml:space="preserve">) </w:t>
      </w:r>
      <w:r w:rsidR="003370FA" w:rsidRPr="00770477">
        <w:rPr>
          <w:rFonts w:cs="Times New Roman"/>
        </w:rPr>
        <w:fldChar w:fldCharType="begin"/>
      </w:r>
      <w:r w:rsidR="002074AD">
        <w:rPr>
          <w:rFonts w:cs="Times New Roman"/>
        </w:rPr>
        <w:instrText xml:space="preserve"> ADDIN ZOTERO_ITEM CSL_CITATION {"citationID":"a26667mqviq","properties":{"formattedCitation":"(Shi et al., 2022; P. Zhang et al., 2018)","plainCitation":"(Shi et al., 2022; P. Zhang et al., 2018)","noteIndex":0},"citationItems":[{"id":925,"uris":["http://zotero.org/users/8423188/items/Q5SQFGQE"],"itemData":{"id":925,"type":"article-journal","abstract":"Neonicotinoid pesticides (NEOs) are the most widely used insecticides in the world and pose a serious threat to ecological systems. Thus, the development of an efficient and sustainable technique for their removal is urgently needed. In this study, a novel biochar was prepared by pyrolysis of Tenebrio molitor frass and activated with KOH at 650 (TMFBC-650A), 750 (TMFBC-750A) and 850 ◦C (TMFBC-850A). Among them, TMFBC-750A showed the best adsorption performance, and the adsorption capacities for thiacloprid (THI), nitenpyram (NIT) and dino­ tefuran (DIN) were 155.08 mg</w:instrText>
      </w:r>
      <w:r w:rsidR="002074AD">
        <w:rPr>
          <w:rFonts w:ascii="Cambria Math" w:hAnsi="Cambria Math" w:cs="Cambria Math"/>
        </w:rPr>
        <w:instrText>⋅</w:instrText>
      </w:r>
      <w:r w:rsidR="002074AD">
        <w:rPr>
          <w:rFonts w:cs="Times New Roman"/>
        </w:rPr>
        <w:instrText>g− 1, 195.86 mg</w:instrText>
      </w:r>
      <w:r w:rsidR="002074AD">
        <w:rPr>
          <w:rFonts w:ascii="Cambria Math" w:hAnsi="Cambria Math" w:cs="Cambria Math"/>
        </w:rPr>
        <w:instrText>⋅</w:instrText>
      </w:r>
      <w:r w:rsidR="002074AD">
        <w:rPr>
          <w:rFonts w:cs="Times New Roman"/>
        </w:rPr>
        <w:instrText>g− 1, 325.81 mg</w:instrText>
      </w:r>
      <w:r w:rsidR="002074AD">
        <w:rPr>
          <w:rFonts w:ascii="Cambria Math" w:hAnsi="Cambria Math" w:cs="Cambria Math"/>
        </w:rPr>
        <w:instrText>⋅</w:instrText>
      </w:r>
      <w:r w:rsidR="002074AD">
        <w:rPr>
          <w:rFonts w:cs="Times New Roman"/>
        </w:rPr>
        <w:instrText xml:space="preserve">g− 1, respectively. The isotherms for the adsorption of NIT and THI fit the Langmuir model quite well, while DIN fits the Freundlich model. Moreover, the adsorption of THI, NIT and DIN was well fitted by the pseudofirst-order kinetic model. The physicochemical characterization analysis demonstrated that the adsorption process of NEOs by TMFBC might be mainly controlled by micropore filling, π-π electron donor–acceptor interactions and functional group interactions (Hbonding, covalent bonding and hydrophobic interactions). Additionally, the thermodynamic parameters sug­ gested that NEO adsorption in this work was a spontaneous, endothermic and randomly increasing process. TMFBC also exhibited a high selective adsorption capacity regardless of solution pH and inorganic ion strength concentrations. The regenerated TMFBC (via synergistic ultrasound/ethanol) could sustainably and efficiently absorb NEOs in reuse cycles, suggesting that TMFBC has excellent reusability and stability. These results indi­ cated that TMFBC can be a potential and sustainable adsorbent for neonicotinoid pesticide removal.","container-title":"Separation and Purification Technology","language":"en","page":"12","source":"Zotero","title":"Removal of neonicotinoid pesticides by adsorption on modified Tenebrio molitor frass biochar: Kinetics and mechanism","author":[{"family":"Shi","given":"Ying"},{"family":"Wang","given":"Saier"},{"family":"Xu","given":"Man"},{"family":"Yan","given":"Xinli"},{"family":"Huang","given":"Junbiao"},{"family":"Wang","given":"Hong-wei"}],"issued":{"date-parts":[["2022"]]}}},{"id":879,"uris":["http://zotero.org/users/8423188/items/F3DG544R"],"itemData":{"id":879,"type":"article-journal","abstract":"To elucidate the sorption afﬁnity of biochars for neonicotinoid pesticides and the inﬂuence of biochar structure on sorption mechanisms therein, 24 biochar samples were obtained by pyrolyzing maize straw and pig manure at pyrolyzing temperatures (PTs) of 200e700  C and by further deashing them using acids, and the sorption of three typical neonicotinoids, imidacloprid, clothianidin and thiacloprid on untreated and acid-deashed biochars were evaluated. All the biochar samples could efﬁciently adsorb the three neonicotinoids and multiple mechanisms were involved in sorption. With the increasing PTs, hydrophobic partition sorption increased, but had a declined contribution to the total sorption as revealed by a dual-mode model. Besides hydrophobic partition, speciﬁc interactions like cation-p electron donor acceptor (EDA) interactions (only for protonated IMI and CLO) and hydrogen bond and contributed much to the sorption on low-PT ( 500  C) biochars, while the sorption on those high-PT (&gt;500  C) biochars mainly depended on pore-ﬁlling strengthened by cation-p and p/p-p EDA interactions. Thiacloprid showed stronger sorption on untreated biochars compared to imidacloprid and clothianidin, due to its greater ability to form hydrogen bond and hydrophobic interactions. Aciddeashing treatments increased the relative percentage contents of organic carbon, bulk O, aromaticity and O-containing functional groups, surface area and pore volume of biochars. The ash can bind neonicotinoids by speciﬁc interactions but played a negative role in the whole sorption on high-PT biochars by covering the inner sorption sites of organic moieties and blocking the micropores in biochars. The results acquired in the present study will help us to get deep insight in the comprehensive sorption mechanisms of polar pesticides on biochar and the effects of biochar structure.","container-title":"Environmental Pollution","DOI":"10.1016/j.envpol.2017.12.013","ISSN":"02697491","journalAbbreviation":"Environmental Pollution","language":"en","page":"812-820","source":"DOI.org (Crossref)","title":"Sorption mechanisms of neonicotinoids on biochars and the impact of deashing treatments on biochar structure and neonicotinoids sorption","volume":"234","author":[{"family":"Zhang","given":"Peng"},{"family":"Sun","given":"Hongwen"},{"family":"Ren","given":"Chao"},{"family":"Min","given":"Lujuan"},{"family":"Zhang","given":"Huiming"}],"issued":{"date-parts":[["2018",3]]}}}],"schema":"https://github.com/citation-style-language/schema/raw/master/csl-citation.json"} </w:instrText>
      </w:r>
      <w:r w:rsidR="003370FA" w:rsidRPr="00770477">
        <w:rPr>
          <w:rFonts w:cs="Times New Roman"/>
        </w:rPr>
        <w:fldChar w:fldCharType="separate"/>
      </w:r>
      <w:r w:rsidR="002074AD" w:rsidRPr="002074AD">
        <w:rPr>
          <w:rFonts w:cs="Times New Roman"/>
        </w:rPr>
        <w:t>(Shi et al., 2022; P. Zhang et al., 2018)</w:t>
      </w:r>
      <w:r w:rsidR="003370FA" w:rsidRPr="00770477">
        <w:rPr>
          <w:rFonts w:cs="Times New Roman"/>
        </w:rPr>
        <w:fldChar w:fldCharType="end"/>
      </w:r>
      <w:r w:rsidR="003370FA" w:rsidRPr="00770477">
        <w:rPr>
          <w:rFonts w:cs="Times New Roman"/>
        </w:rPr>
        <w:t>.</w:t>
      </w:r>
      <w:r w:rsidR="0007457D" w:rsidRPr="00770477">
        <w:rPr>
          <w:rFonts w:cs="Times New Roman"/>
        </w:rPr>
        <w:t xml:space="preserve"> Organic aromatic ring structures </w:t>
      </w:r>
      <w:r w:rsidR="00C409A0" w:rsidRPr="00770477">
        <w:rPr>
          <w:rFonts w:cs="Times New Roman"/>
        </w:rPr>
        <w:t xml:space="preserve">provides further electrostatic forces such as </w:t>
      </w:r>
      <w:r w:rsidR="00C409A0" w:rsidRPr="00770477">
        <w:rPr>
          <w:rFonts w:cs="Times New Roman"/>
        </w:rPr>
        <w:sym w:font="Symbol" w:char="F070"/>
      </w:r>
      <w:r w:rsidR="00C409A0" w:rsidRPr="00770477">
        <w:rPr>
          <w:rFonts w:cs="Times New Roman"/>
        </w:rPr>
        <w:t>-</w:t>
      </w:r>
      <w:r w:rsidR="00C409A0" w:rsidRPr="00770477">
        <w:rPr>
          <w:rFonts w:cs="Times New Roman"/>
        </w:rPr>
        <w:sym w:font="Symbol" w:char="F070"/>
      </w:r>
      <w:r w:rsidR="00C409A0" w:rsidRPr="00770477">
        <w:rPr>
          <w:rFonts w:cs="Times New Roman"/>
        </w:rPr>
        <w:t xml:space="preserve"> bonding, cation-</w:t>
      </w:r>
      <w:r w:rsidR="00C409A0" w:rsidRPr="00770477">
        <w:rPr>
          <w:rFonts w:cs="Times New Roman"/>
        </w:rPr>
        <w:sym w:font="Symbol" w:char="F070"/>
      </w:r>
      <w:r w:rsidR="00C409A0" w:rsidRPr="00770477">
        <w:rPr>
          <w:rFonts w:cs="Times New Roman"/>
        </w:rPr>
        <w:t xml:space="preserve"> bonding, and h-bonding </w:t>
      </w:r>
      <w:r w:rsidR="00C409A0" w:rsidRPr="00770477">
        <w:rPr>
          <w:rFonts w:cs="Times New Roman"/>
        </w:rPr>
        <w:fldChar w:fldCharType="begin"/>
      </w:r>
      <w:r w:rsidR="002074AD">
        <w:rPr>
          <w:rFonts w:cs="Times New Roman"/>
        </w:rPr>
        <w:instrText xml:space="preserve"> ADDIN ZOTERO_ITEM CSL_CITATION {"citationID":"a9hf2peakb","properties":{"formattedCitation":"(Shi et al., 2022; P. Zhang et al., 2018)","plainCitation":"(Shi et al., 2022; P. Zhang et al., 2018)","noteIndex":0},"citationItems":[{"id":925,"uris":["http://zotero.org/users/8423188/items/Q5SQFGQE"],"itemData":{"id":925,"type":"article-journal","abstract":"Neonicotinoid pesticides (NEOs) are the most widely used insecticides in the world and pose a serious threat to ecological systems. Thus, the development of an efficient and sustainable technique for their removal is urgently needed. In this study, a novel biochar was prepared by pyrolysis of Tenebrio molitor frass and activated with KOH at 650 (TMFBC-650A), 750 (TMFBC-750A) and 850 ◦C (TMFBC-850A). Among them, TMFBC-750A showed the best adsorption performance, and the adsorption capacities for thiacloprid (THI), nitenpyram (NIT) and dino­ tefuran (DIN) were 155.08 mg</w:instrText>
      </w:r>
      <w:r w:rsidR="002074AD">
        <w:rPr>
          <w:rFonts w:ascii="Cambria Math" w:hAnsi="Cambria Math" w:cs="Cambria Math"/>
        </w:rPr>
        <w:instrText>⋅</w:instrText>
      </w:r>
      <w:r w:rsidR="002074AD">
        <w:rPr>
          <w:rFonts w:cs="Times New Roman"/>
        </w:rPr>
        <w:instrText>g− 1, 195.86 mg</w:instrText>
      </w:r>
      <w:r w:rsidR="002074AD">
        <w:rPr>
          <w:rFonts w:ascii="Cambria Math" w:hAnsi="Cambria Math" w:cs="Cambria Math"/>
        </w:rPr>
        <w:instrText>⋅</w:instrText>
      </w:r>
      <w:r w:rsidR="002074AD">
        <w:rPr>
          <w:rFonts w:cs="Times New Roman"/>
        </w:rPr>
        <w:instrText>g− 1, 325.81 mg</w:instrText>
      </w:r>
      <w:r w:rsidR="002074AD">
        <w:rPr>
          <w:rFonts w:ascii="Cambria Math" w:hAnsi="Cambria Math" w:cs="Cambria Math"/>
        </w:rPr>
        <w:instrText>⋅</w:instrText>
      </w:r>
      <w:r w:rsidR="002074AD">
        <w:rPr>
          <w:rFonts w:cs="Times New Roman"/>
        </w:rPr>
        <w:instrText xml:space="preserve">g− 1, respectively. The isotherms for the adsorption of NIT and THI fit the Langmuir model quite well, while DIN fits the Freundlich model. Moreover, the adsorption of THI, NIT and DIN was well fitted by the pseudofirst-order kinetic model. The physicochemical characterization analysis demonstrated that the adsorption process of NEOs by TMFBC might be mainly controlled by micropore filling, π-π electron donor–acceptor interactions and functional group interactions (Hbonding, covalent bonding and hydrophobic interactions). Additionally, the thermodynamic parameters sug­ gested that NEO adsorption in this work was a spontaneous, endothermic and randomly increasing process. TMFBC also exhibited a high selective adsorption capacity regardless of solution pH and inorganic ion strength concentrations. The regenerated TMFBC (via synergistic ultrasound/ethanol) could sustainably and efficiently absorb NEOs in reuse cycles, suggesting that TMFBC has excellent reusability and stability. These results indi­ cated that TMFBC can be a potential and sustainable adsorbent for neonicotinoid pesticide removal.","container-title":"Separation and Purification Technology","language":"en","page":"12","source":"Zotero","title":"Removal of neonicotinoid pesticides by adsorption on modified Tenebrio molitor frass biochar: Kinetics and mechanism","author":[{"family":"Shi","given":"Ying"},{"family":"Wang","given":"Saier"},{"family":"Xu","given":"Man"},{"family":"Yan","given":"Xinli"},{"family":"Huang","given":"Junbiao"},{"family":"Wang","given":"Hong-wei"}],"issued":{"date-parts":[["2022"]]}}},{"id":879,"uris":["http://zotero.org/users/8423188/items/F3DG544R"],"itemData":{"id":879,"type":"article-journal","abstract":"To elucidate the sorption afﬁnity of biochars for neonicotinoid pesticides and the inﬂuence of biochar structure on sorption mechanisms therein, 24 biochar samples were obtained by pyrolyzing maize straw and pig manure at pyrolyzing temperatures (PTs) of 200e700  C and by further deashing them using acids, and the sorption of three typical neonicotinoids, imidacloprid, clothianidin and thiacloprid on untreated and acid-deashed biochars were evaluated. All the biochar samples could efﬁciently adsorb the three neonicotinoids and multiple mechanisms were involved in sorption. With the increasing PTs, hydrophobic partition sorption increased, but had a declined contribution to the total sorption as revealed by a dual-mode model. Besides hydrophobic partition, speciﬁc interactions like cation-p electron donor acceptor (EDA) interactions (only for protonated IMI and CLO) and hydrogen bond and contributed much to the sorption on low-PT ( 500  C) biochars, while the sorption on those high-PT (&gt;500  C) biochars mainly depended on pore-ﬁlling strengthened by cation-p and p/p-p EDA interactions. Thiacloprid showed stronger sorption on untreated biochars compared to imidacloprid and clothianidin, due to its greater ability to form hydrogen bond and hydrophobic interactions. Aciddeashing treatments increased the relative percentage contents of organic carbon, bulk O, aromaticity and O-containing functional groups, surface area and pore volume of biochars. The ash can bind neonicotinoids by speciﬁc interactions but played a negative role in the whole sorption on high-PT biochars by covering the inner sorption sites of organic moieties and blocking the micropores in biochars. The results acquired in the present study will help us to get deep insight in the comprehensive sorption mechanisms of polar pesticides on biochar and the effects of biochar structure.","container-title":"Environmental Pollution","DOI":"10.1016/j.envpol.2017.12.013","ISSN":"02697491","journalAbbreviation":"Environmental Pollution","language":"en","page":"812-820","source":"DOI.org (Crossref)","title":"Sorption mechanisms of neonicotinoids on biochars and the impact of deashing treatments on biochar structure and neonicotinoids sorption","volume":"234","author":[{"family":"Zhang","given":"Peng"},{"family":"Sun","given":"Hongwen"},{"family":"Ren","given":"Chao"},{"family":"Min","given":"Lujuan"},{"family":"Zhang","given":"Huiming"}],"issued":{"date-parts":[["2018",3]]}}}],"schema":"https://github.com/citation-style-language/schema/raw/master/csl-citation.json"} </w:instrText>
      </w:r>
      <w:r w:rsidR="00C409A0" w:rsidRPr="00770477">
        <w:rPr>
          <w:rFonts w:cs="Times New Roman"/>
        </w:rPr>
        <w:fldChar w:fldCharType="separate"/>
      </w:r>
      <w:r w:rsidR="002074AD" w:rsidRPr="002074AD">
        <w:rPr>
          <w:rFonts w:cs="Times New Roman"/>
        </w:rPr>
        <w:t>(Shi et al., 2022; P. Zhang et al., 2018)</w:t>
      </w:r>
      <w:r w:rsidR="00C409A0" w:rsidRPr="00770477">
        <w:rPr>
          <w:rFonts w:cs="Times New Roman"/>
        </w:rPr>
        <w:fldChar w:fldCharType="end"/>
      </w:r>
      <w:r w:rsidR="001612D6" w:rsidRPr="00770477">
        <w:rPr>
          <w:rFonts w:cs="Times New Roman"/>
        </w:rPr>
        <w:t xml:space="preserve">. Other </w:t>
      </w:r>
      <w:r w:rsidR="00381D4E" w:rsidRPr="00770477">
        <w:rPr>
          <w:rFonts w:cs="Times New Roman"/>
        </w:rPr>
        <w:t xml:space="preserve">properties such as pH, cation/anion exchange capacity, hydrophobicity, and </w:t>
      </w:r>
      <w:r w:rsidR="004E7317" w:rsidRPr="00770477">
        <w:rPr>
          <w:rFonts w:cs="Times New Roman"/>
        </w:rPr>
        <w:t>ionic strength</w:t>
      </w:r>
      <w:r w:rsidR="007171DD" w:rsidRPr="00770477">
        <w:rPr>
          <w:rFonts w:cs="Times New Roman"/>
        </w:rPr>
        <w:t xml:space="preserve"> </w:t>
      </w:r>
      <w:r w:rsidR="00226C78" w:rsidRPr="00770477">
        <w:rPr>
          <w:rFonts w:cs="Times New Roman"/>
        </w:rPr>
        <w:t>are</w:t>
      </w:r>
      <w:r w:rsidR="007171DD" w:rsidRPr="00770477">
        <w:rPr>
          <w:rFonts w:cs="Times New Roman"/>
        </w:rPr>
        <w:t xml:space="preserve"> also affected by source and production method </w:t>
      </w:r>
      <w:r w:rsidR="007171DD" w:rsidRPr="00770477">
        <w:rPr>
          <w:rFonts w:cs="Times New Roman"/>
        </w:rPr>
        <w:fldChar w:fldCharType="begin"/>
      </w:r>
      <w:r w:rsidR="002074AD">
        <w:rPr>
          <w:rFonts w:cs="Times New Roman"/>
        </w:rPr>
        <w:instrText xml:space="preserve"> ADDIN ZOTERO_ITEM CSL_CITATION {"citationID":"1hyRL08O","properties":{"formattedCitation":"(Mohanty et al., 2018)","plainCitation":"(Mohanty et al., 2018)","noteIndex":0},"citationItems":[{"id":69,"uris":["http://zotero.org/users/8423188/items/7TBPG4T6"],"itemData":{"id":69,"type":"article-journal","abstract":"Low impact development (LID) systems are increasingly used to manage stormwater, but they have limited capacity to treat stormwater—a resource to supplement existing water supply in water-stressed urban areas. To enhance their pollutant removal capacity, inﬁltration-based LID systems can be augmented with natural or engineered geomedia that meet the following criteria: they should be economical, readily available, and have capacity to remove a wide range of stormwater pollutants in conditions expected during intermittent inﬁltration of stormwater. Biochar, a carbonaceous porous co-product of waste biomass pyrolysis/gasiﬁcation, meets all these criteria. Biochar can adsorb pollutants, improve water-retention capacity of soil, retain and slowly release nutrients for plant uptake, and help sustain microbiota in soil and plants atop; all these attributes could help improve removal of contaminants in stormwater treatment systems. This article discusses contaminant removal mechanisms by biochar, summarizes speciﬁc biochar properties that enhance targeted contaminants removal from stormwater, and identiﬁes challenges and opportunities to retroﬁt biochar in LID to optimize stormwater treatment.","container-title":"Science of The Total Environment","DOI":"10.1016/j.scitotenv.2018.01.037","ISSN":"00489697","journalAbbreviation":"Science of The Total Environment","language":"en","page":"1644-1658","source":"DOI.org (Crossref)","title":"Plenty of room for carbon on the ground: Potential applications of biochar for stormwater treatment","title-short":"Plenty of room for carbon on the ground","volume":"625","author":[{"family":"Mohanty","given":"Sanjay K."},{"family":"Valenca","given":"Renan"},{"family":"Berger","given":"Alexander W."},{"family":"Yu","given":"Iris K.M."},{"family":"Xiong","given":"Xinni"},{"family":"Saunders","given":"Trenton M."},{"family":"Tsang","given":"Daniel C.W."}],"issued":{"date-parts":[["2018",6]]}}}],"schema":"https://github.com/citation-style-language/schema/raw/master/csl-citation.json"} </w:instrText>
      </w:r>
      <w:r w:rsidR="007171DD" w:rsidRPr="00770477">
        <w:rPr>
          <w:rFonts w:cs="Times New Roman"/>
        </w:rPr>
        <w:fldChar w:fldCharType="separate"/>
      </w:r>
      <w:r w:rsidR="00E11E17" w:rsidRPr="00770477">
        <w:rPr>
          <w:rFonts w:cs="Times New Roman"/>
        </w:rPr>
        <w:t>(Mohanty et al., 2018)</w:t>
      </w:r>
      <w:r w:rsidR="007171DD" w:rsidRPr="00770477">
        <w:rPr>
          <w:rFonts w:cs="Times New Roman"/>
        </w:rPr>
        <w:fldChar w:fldCharType="end"/>
      </w:r>
      <w:r w:rsidR="007171DD" w:rsidRPr="00770477">
        <w:rPr>
          <w:rFonts w:cs="Times New Roman"/>
        </w:rPr>
        <w:t xml:space="preserve">. </w:t>
      </w:r>
      <w:r w:rsidR="00B06E4F" w:rsidRPr="00770477">
        <w:rPr>
          <w:rFonts w:cs="Times New Roman"/>
        </w:rPr>
        <w:t xml:space="preserve">For instance, cation exchange capacity is thought to be </w:t>
      </w:r>
      <w:r w:rsidR="00CA3D6C" w:rsidRPr="00770477">
        <w:rPr>
          <w:rFonts w:cs="Times New Roman"/>
        </w:rPr>
        <w:t>higher</w:t>
      </w:r>
      <w:r w:rsidR="004512B6" w:rsidRPr="00770477">
        <w:rPr>
          <w:rFonts w:cs="Times New Roman"/>
        </w:rPr>
        <w:t xml:space="preserve"> in biochars produced through</w:t>
      </w:r>
      <w:r w:rsidR="00B06E4F" w:rsidRPr="00770477">
        <w:rPr>
          <w:rFonts w:cs="Times New Roman"/>
        </w:rPr>
        <w:t xml:space="preserve"> </w:t>
      </w:r>
      <w:r w:rsidR="004512B6" w:rsidRPr="00770477">
        <w:rPr>
          <w:rFonts w:cs="Times New Roman"/>
        </w:rPr>
        <w:t>the</w:t>
      </w:r>
      <w:r w:rsidR="00B06E4F" w:rsidRPr="00770477">
        <w:rPr>
          <w:rFonts w:cs="Times New Roman"/>
        </w:rPr>
        <w:t xml:space="preserve"> low pyrol</w:t>
      </w:r>
      <w:r w:rsidR="006A04C1" w:rsidRPr="00770477">
        <w:rPr>
          <w:rFonts w:cs="Times New Roman"/>
        </w:rPr>
        <w:t xml:space="preserve">ysis method </w:t>
      </w:r>
      <w:r w:rsidR="004512B6" w:rsidRPr="00770477">
        <w:rPr>
          <w:rFonts w:cs="Times New Roman"/>
        </w:rPr>
        <w:t xml:space="preserve">because </w:t>
      </w:r>
      <w:proofErr w:type="spellStart"/>
      <w:r w:rsidR="006A04C1" w:rsidRPr="00770477">
        <w:rPr>
          <w:rFonts w:cs="Times New Roman"/>
        </w:rPr>
        <w:t>tvolatile</w:t>
      </w:r>
      <w:proofErr w:type="spellEnd"/>
      <w:r w:rsidR="006A04C1" w:rsidRPr="00770477">
        <w:rPr>
          <w:rFonts w:cs="Times New Roman"/>
        </w:rPr>
        <w:t xml:space="preserve"> organics </w:t>
      </w:r>
      <w:r w:rsidR="00806844" w:rsidRPr="00770477">
        <w:rPr>
          <w:rFonts w:cs="Times New Roman"/>
        </w:rPr>
        <w:t xml:space="preserve">remain </w:t>
      </w:r>
      <w:r w:rsidR="006A04C1" w:rsidRPr="00770477">
        <w:rPr>
          <w:rFonts w:cs="Times New Roman"/>
        </w:rPr>
        <w:t xml:space="preserve">on the biochar </w:t>
      </w:r>
      <w:r w:rsidR="00E1003D" w:rsidRPr="00770477">
        <w:rPr>
          <w:rFonts w:cs="Times New Roman"/>
        </w:rPr>
        <w:fldChar w:fldCharType="begin"/>
      </w:r>
      <w:r w:rsidR="002074AD">
        <w:rPr>
          <w:rFonts w:cs="Times New Roman"/>
        </w:rPr>
        <w:instrText xml:space="preserve"> ADDIN ZOTERO_ITEM CSL_CITATION {"citationID":"SImOXori","properties":{"formattedCitation":"(Mukherjee et al., 2011; Suliman et al., 2017)","plainCitation":"(Mukherjee et al., 2011; Suliman et al., 2017)","noteIndex":0},"citationItems":[{"id":887,"uris":["http://zotero.org/users/8423188/items/ZW9PXAYN"],"itemData":{"id":887,"type":"article-journal","container-title":"Geoderma","DOI":"10.1016/j.geoderma.2011.04.021","ISSN":"00167061","issue":"3-4","journalAbbreviation":"Geoderma","language":"en","page":"247-255","source":"DOI.org (Crossref)","title":"Surface chemistry variations among a series of laboratory-produced biochars","volume":"163","author":[{"family":"Mukherjee","given":"A."},{"family":"Zimmerman","given":"A.R."},{"family":"Harris","given":"W."}],"issued":{"date-parts":[["2011",7]]}}},{"id":888,"uris":["http://zotero.org/users/8423188/items/8JSMQLBQ"],"itemData":{"id":888,"type":"article-journal","container-title":"Environmental Science &amp; Technology","DOI":"10.1021/acs.est.6b04535","ISSN":"0013-936X, 1520-5851","issue":"9","journalAbbreviation":"Environ. Sci. Technol.","language":"en","page":"5071-5081","source":"DOI.org (Crossref)","title":"Quantitative Effects of Biochar Oxidation and Pyrolysis Temperature on the Transport of Pathogenic and Nonpathogenic &lt;i&gt;Escherichia coli&lt;/i&gt; in Biochar-Amended Sand Columns","volume":"51","author":[{"family":"Suliman","given":"Waled"},{"family":"Harsh","given":"James B."},{"family":"Fortuna","given":"Ann-Marie"},{"family":"Garcia-Pérez","given":"Manuel"},{"family":"Abu-Lail","given":"Nehal I."}],"issued":{"date-parts":[["2017",5,2]]}}}],"schema":"https://github.com/citation-style-language/schema/raw/master/csl-citation.json"} </w:instrText>
      </w:r>
      <w:r w:rsidR="00E1003D" w:rsidRPr="00770477">
        <w:rPr>
          <w:rFonts w:cs="Times New Roman"/>
        </w:rPr>
        <w:fldChar w:fldCharType="separate"/>
      </w:r>
      <w:r w:rsidR="00E11E17" w:rsidRPr="00770477">
        <w:rPr>
          <w:rFonts w:cs="Times New Roman"/>
        </w:rPr>
        <w:t>(Mukherjee et al., 2011; Suliman et al., 2017)</w:t>
      </w:r>
      <w:r w:rsidR="00E1003D" w:rsidRPr="00770477">
        <w:rPr>
          <w:rFonts w:cs="Times New Roman"/>
        </w:rPr>
        <w:fldChar w:fldCharType="end"/>
      </w:r>
      <w:r w:rsidR="000C410F" w:rsidRPr="00770477">
        <w:rPr>
          <w:rFonts w:cs="Times New Roman"/>
        </w:rPr>
        <w:t xml:space="preserve">. </w:t>
      </w:r>
      <w:r w:rsidR="00315E15" w:rsidRPr="00770477">
        <w:rPr>
          <w:rFonts w:cs="Times New Roman"/>
        </w:rPr>
        <w:t xml:space="preserve">Hydrophobicity is also a </w:t>
      </w:r>
      <w:r w:rsidR="00DC54F2" w:rsidRPr="00770477">
        <w:rPr>
          <w:rFonts w:cs="Times New Roman"/>
        </w:rPr>
        <w:t xml:space="preserve">key property of biochar and measures the organic carbon content </w:t>
      </w:r>
      <w:r w:rsidR="00A1505F" w:rsidRPr="00770477">
        <w:rPr>
          <w:rFonts w:cs="Times New Roman"/>
        </w:rPr>
        <w:t>which can enhance pollutant sorption</w:t>
      </w:r>
      <w:r w:rsidR="00A65B3C" w:rsidRPr="00770477">
        <w:rPr>
          <w:rFonts w:cs="Times New Roman"/>
        </w:rPr>
        <w:t xml:space="preserve"> especially for hydrophobic organic compounds</w:t>
      </w:r>
      <w:r w:rsidR="006B62F6" w:rsidRPr="00770477">
        <w:rPr>
          <w:rFonts w:cs="Times New Roman"/>
        </w:rPr>
        <w:t xml:space="preserve"> (such as neonicotinoids)</w:t>
      </w:r>
      <w:r w:rsidR="00A65B3C" w:rsidRPr="00770477">
        <w:rPr>
          <w:rFonts w:cs="Times New Roman"/>
        </w:rPr>
        <w:t xml:space="preserve"> and pathogens </w:t>
      </w:r>
      <w:r w:rsidR="00A65B3C" w:rsidRPr="00770477">
        <w:rPr>
          <w:rFonts w:cs="Times New Roman"/>
        </w:rPr>
        <w:fldChar w:fldCharType="begin"/>
      </w:r>
      <w:r w:rsidR="002074AD">
        <w:rPr>
          <w:rFonts w:cs="Times New Roman"/>
        </w:rPr>
        <w:instrText xml:space="preserve"> ADDIN ZOTERO_ITEM CSL_CITATION {"citationID":"eR6ogZaA","properties":{"formattedCitation":"(Mohanty et al., 2018)","plainCitation":"(Mohanty et al., 2018)","noteIndex":0},"citationItems":[{"id":69,"uris":["http://zotero.org/users/8423188/items/7TBPG4T6"],"itemData":{"id":69,"type":"article-journal","abstract":"Low impact development (LID) systems are increasingly used to manage stormwater, but they have limited capacity to treat stormwater—a resource to supplement existing water supply in water-stressed urban areas. To enhance their pollutant removal capacity, inﬁltration-based LID systems can be augmented with natural or engineered geomedia that meet the following criteria: they should be economical, readily available, and have capacity to remove a wide range of stormwater pollutants in conditions expected during intermittent inﬁltration of stormwater. Biochar, a carbonaceous porous co-product of waste biomass pyrolysis/gasiﬁcation, meets all these criteria. Biochar can adsorb pollutants, improve water-retention capacity of soil, retain and slowly release nutrients for plant uptake, and help sustain microbiota in soil and plants atop; all these attributes could help improve removal of contaminants in stormwater treatment systems. This article discusses contaminant removal mechanisms by biochar, summarizes speciﬁc biochar properties that enhance targeted contaminants removal from stormwater, and identiﬁes challenges and opportunities to retroﬁt biochar in LID to optimize stormwater treatment.","container-title":"Science of The Total Environment","DOI":"10.1016/j.scitotenv.2018.01.037","ISSN":"00489697","journalAbbreviation":"Science of The Total Environment","language":"en","page":"1644-1658","source":"DOI.org (Crossref)","title":"Plenty of room for carbon on the ground: Potential applications of biochar for stormwater treatment","title-short":"Plenty of room for carbon on the ground","volume":"625","author":[{"family":"Mohanty","given":"Sanjay K."},{"family":"Valenca","given":"Renan"},{"family":"Berger","given":"Alexander W."},{"family":"Yu","given":"Iris K.M."},{"family":"Xiong","given":"Xinni"},{"family":"Saunders","given":"Trenton M."},{"family":"Tsang","given":"Daniel C.W."}],"issued":{"date-parts":[["2018",6]]}}}],"schema":"https://github.com/citation-style-language/schema/raw/master/csl-citation.json"} </w:instrText>
      </w:r>
      <w:r w:rsidR="00A65B3C" w:rsidRPr="00770477">
        <w:rPr>
          <w:rFonts w:cs="Times New Roman"/>
        </w:rPr>
        <w:fldChar w:fldCharType="separate"/>
      </w:r>
      <w:r w:rsidR="00E11E17" w:rsidRPr="00770477">
        <w:rPr>
          <w:rFonts w:cs="Times New Roman"/>
        </w:rPr>
        <w:t>(Mohanty et al., 2018)</w:t>
      </w:r>
      <w:r w:rsidR="00A65B3C" w:rsidRPr="00770477">
        <w:rPr>
          <w:rFonts w:cs="Times New Roman"/>
        </w:rPr>
        <w:fldChar w:fldCharType="end"/>
      </w:r>
      <w:r w:rsidR="006921BB" w:rsidRPr="00770477">
        <w:rPr>
          <w:rFonts w:cs="Times New Roman"/>
        </w:rPr>
        <w:t xml:space="preserve">. </w:t>
      </w:r>
      <w:r w:rsidR="0013333E" w:rsidRPr="00770477">
        <w:rPr>
          <w:rFonts w:cs="Times New Roman"/>
        </w:rPr>
        <w:fldChar w:fldCharType="begin"/>
      </w:r>
      <w:r w:rsidR="002074AD">
        <w:rPr>
          <w:rFonts w:cs="Times New Roman"/>
        </w:rPr>
        <w:instrText xml:space="preserve"> ADDIN ZOTERO_ITEM CSL_CITATION {"citationID":"KhNnYq8O","properties":{"formattedCitation":"(Al-Wabel et al., 2013)","plainCitation":"(Al-Wabel et al., 2013)","dontUpdate":true,"noteIndex":0},"citationItems":[{"id":886,"uris":["http://zotero.org/users/8423188/items/Q889TNCD"],"itemData":{"id":886,"type":"article-journal","abstract":"Conocarpus wastes were pyrolyzed at different temperatures (200–800 °C) to investigate their impact on characteristics and chemical composition of biochars. As pyrolysis temperature increased, ash content, pH, electrical conductivity, basic functional groups, carbon stability, and total content of C, N, P, K, Ca, and Mg increased while biochar yield, total content of O, H and S, unstable form of organic C and acidic functional groups decreased. The ratios of O/C, H/C, (O + N)/C, and (O + N + S)/C tended to decrease with temperature. The data of Fourier transformation infrared indicate an increase in aromaticity and a decrease in polarity of biochar produced at a high temperature. With pyrolysis temperature, cellulose loss and crystalline mineral components increased, as indicated by X-ray diffraction analysis and scanning electron microscope images. Results suggest that biochar pyrolized at high temperature may possess a higher carbon sequestration potential when applied to the soil compared to that obtained at low temperature.","container-title":"Bioresource Technology","DOI":"10.1016/j.biortech.2012.12.165","ISSN":"09608524","journalAbbreviation":"Bioresource Technology","language":"en","page":"374-379","source":"DOI.org (Crossref)","title":"Pyrolysis temperature induced changes in characteristics and chemical composition of biochar produced from conocarpus wastes","volume":"131","author":[{"family":"Al-Wabel","given":"Mohammad I."},{"family":"Al-Omran","given":"Abdulrasoul"},{"family":"El-Naggar","given":"Ahmed H."},{"family":"Nadeem","given":"Mahmoud"},{"family":"Usman","given":"Adel R.A."}],"issued":{"date-parts":[["2013",3]]}}}],"schema":"https://github.com/citation-style-language/schema/raw/master/csl-citation.json"} </w:instrText>
      </w:r>
      <w:r w:rsidR="0013333E" w:rsidRPr="00770477">
        <w:rPr>
          <w:rFonts w:cs="Times New Roman"/>
        </w:rPr>
        <w:fldChar w:fldCharType="separate"/>
      </w:r>
      <w:r w:rsidR="0013333E" w:rsidRPr="00770477">
        <w:rPr>
          <w:rFonts w:cs="Times New Roman"/>
        </w:rPr>
        <w:t xml:space="preserve">Al-Wabel et al. </w:t>
      </w:r>
      <w:r w:rsidR="00A85FAB" w:rsidRPr="00770477">
        <w:rPr>
          <w:rFonts w:cs="Times New Roman"/>
        </w:rPr>
        <w:t>(</w:t>
      </w:r>
      <w:r w:rsidR="0013333E" w:rsidRPr="00770477">
        <w:rPr>
          <w:rFonts w:cs="Times New Roman"/>
        </w:rPr>
        <w:t>2013)</w:t>
      </w:r>
      <w:r w:rsidR="0013333E" w:rsidRPr="00770477">
        <w:rPr>
          <w:rFonts w:cs="Times New Roman"/>
        </w:rPr>
        <w:fldChar w:fldCharType="end"/>
      </w:r>
      <w:r w:rsidR="00A85FAB" w:rsidRPr="00770477">
        <w:rPr>
          <w:rFonts w:cs="Times New Roman"/>
        </w:rPr>
        <w:t xml:space="preserve"> broke down the elemental composition of biochar further to show </w:t>
      </w:r>
      <w:r w:rsidR="00814185" w:rsidRPr="00770477">
        <w:rPr>
          <w:rFonts w:cs="Times New Roman"/>
        </w:rPr>
        <w:t xml:space="preserve">the primary </w:t>
      </w:r>
      <w:r w:rsidR="00141416" w:rsidRPr="00770477">
        <w:rPr>
          <w:rFonts w:cs="Times New Roman"/>
        </w:rPr>
        <w:t>constituents</w:t>
      </w:r>
      <w:r w:rsidR="00814185" w:rsidRPr="00770477">
        <w:rPr>
          <w:rFonts w:cs="Times New Roman"/>
        </w:rPr>
        <w:t xml:space="preserve"> to be C, O, and Ca and more minor compositional </w:t>
      </w:r>
      <w:r w:rsidR="00141416" w:rsidRPr="00770477">
        <w:rPr>
          <w:rFonts w:cs="Times New Roman"/>
        </w:rPr>
        <w:t>constituents</w:t>
      </w:r>
      <w:r w:rsidR="00814185" w:rsidRPr="00770477">
        <w:rPr>
          <w:rFonts w:cs="Times New Roman"/>
        </w:rPr>
        <w:t xml:space="preserve"> to be </w:t>
      </w:r>
      <w:r w:rsidR="00141416" w:rsidRPr="00770477">
        <w:rPr>
          <w:rFonts w:cs="Times New Roman"/>
        </w:rPr>
        <w:t xml:space="preserve">H, N, S, Mg, K, and P. This same study </w:t>
      </w:r>
      <w:r w:rsidR="00CF49FA" w:rsidRPr="00770477">
        <w:rPr>
          <w:rFonts w:cs="Times New Roman"/>
        </w:rPr>
        <w:t>looked at the compositional breakdown of the same biochar</w:t>
      </w:r>
      <w:r w:rsidR="00D57230" w:rsidRPr="00770477">
        <w:rPr>
          <w:rFonts w:cs="Times New Roman"/>
        </w:rPr>
        <w:t xml:space="preserve"> at different pyrolysis temperatures.</w:t>
      </w:r>
      <w:r w:rsidR="00E262BC" w:rsidRPr="00770477">
        <w:rPr>
          <w:rFonts w:cs="Times New Roman"/>
        </w:rPr>
        <w:t xml:space="preserve"> Results showed that C, N, Ca, Mg, K, and P </w:t>
      </w:r>
      <w:r w:rsidR="00AD1A7A" w:rsidRPr="00770477">
        <w:rPr>
          <w:rFonts w:cs="Times New Roman"/>
        </w:rPr>
        <w:t xml:space="preserve">became more concentrated in the biochar likely due to </w:t>
      </w:r>
      <w:r w:rsidR="00DD30CE" w:rsidRPr="00770477">
        <w:rPr>
          <w:rFonts w:cs="Times New Roman"/>
        </w:rPr>
        <w:t xml:space="preserve">increased </w:t>
      </w:r>
      <w:r w:rsidR="00AD1A7A" w:rsidRPr="00770477">
        <w:rPr>
          <w:rFonts w:cs="Times New Roman"/>
        </w:rPr>
        <w:t>loss of O, H, and S due to volatilization</w:t>
      </w:r>
      <w:r w:rsidR="00DD30CE" w:rsidRPr="00770477">
        <w:rPr>
          <w:rFonts w:cs="Times New Roman"/>
        </w:rPr>
        <w:t xml:space="preserve"> at higher pyrolysis temperatures</w:t>
      </w:r>
      <w:r w:rsidR="00AD1A7A" w:rsidRPr="00770477">
        <w:rPr>
          <w:rFonts w:cs="Times New Roman"/>
        </w:rPr>
        <w:t xml:space="preserve">. </w:t>
      </w:r>
    </w:p>
    <w:p w14:paraId="250A964C" w14:textId="51D70A92" w:rsidR="003B5594" w:rsidRPr="0009774A" w:rsidRDefault="004F61AA" w:rsidP="004A2096">
      <w:pPr>
        <w:ind w:firstLine="720"/>
        <w:rPr>
          <w:rFonts w:cs="Times New Roman"/>
        </w:rPr>
      </w:pPr>
      <w:r w:rsidRPr="00770477">
        <w:rPr>
          <w:rFonts w:cs="Times New Roman"/>
        </w:rPr>
        <w:t xml:space="preserve">A review by </w:t>
      </w:r>
      <w:r w:rsidR="000058E4" w:rsidRPr="00770477">
        <w:rPr>
          <w:rFonts w:cs="Times New Roman"/>
        </w:rPr>
        <w:fldChar w:fldCharType="begin"/>
      </w:r>
      <w:r w:rsidR="002074AD">
        <w:rPr>
          <w:rFonts w:cs="Times New Roman"/>
        </w:rPr>
        <w:instrText xml:space="preserve"> ADDIN ZOTERO_ITEM CSL_CITATION {"citationID":"I43oaJH5","properties":{"formattedCitation":"(Gwenzi et al., 2017)","plainCitation":"(Gwenzi et al., 2017)","dontUpdate":true,"noteIndex":0},"citationItems":[{"id":885,"uris":["http://zotero.org/users/8423188/items/QJX7PQ8B"],"itemData":{"id":885,"type":"article-journal","abstract":"Approximately 600 million people lack access to safe drinking water, hence achieving Sustainable Development Goal 6 (Ensure availability and sustainable management of water and sanitation for all by 2030) calls for rapid translation of recent research into practical and frugal solutions within the remaining 13 years. Biochars, with excellent capacity to remove several contaminants from aqueous solutions, constitute an untapped technology for drinking water treatment. Biochar water treatment has several potential merits compared to existing low-cost methods (i.e., sand ﬁltration, boiling, solar disinfection, chlorination): (1) biochar is a low-cost and renewable adsorbent made using readily available biomaterials and skills, making it appropriate for low-income communities; (2) existing methods predominantly remove pathogens, but biochars remove chemical, biological and physical contaminants; (3) biochars maintain organoleptic properties of water, while existing methods generate carcinogenic by-products (e.g., chlorination) and/or increase concentrations of chemical contaminants (e.g., boiling). Biochars have co-beneﬁts including provision of clean energy for household heating and cooking, and soil application of spent biochar improves soil quality and crop yields. Integrating biochar into the water and sanitation system transforms linear material ﬂows into looped material cycles, consistent with terra preta sanitation. Lack of design information on biochar water treatment, and environmental and public health risks constrain the biochar technology. Seven hypotheses for future research are highlighted under three themes: (1) design and optimization of biochar water treatment; (2) ecotoxicology and human health risks associated with contaminant transfer along the biochar-soilfood-human pathway, and (3) life cycle analyses of carbon and energy footprints of biochar water treatment systems.","container-title":"Journal of Environmental Management","DOI":"10.1016/j.jenvman.2017.03.087","ISSN":"03014797","journalAbbreviation":"Journal of Environmental Management","language":"en","page":"732-749","source":"DOI.org (Crossref)","title":"Biochar-based water treatment systems as a potential low-cost and sustainable technology for clean water provision","volume":"197","author":[{"family":"Gwenzi","given":"Willis"},{"family":"Chaukura","given":"Nhamo"},{"family":"Noubactep","given":"Chicgoua"},{"family":"Mukome","given":"Fungai N.D."}],"issued":{"date-parts":[["2017",7]]}}}],"schema":"https://github.com/citation-style-language/schema/raw/master/csl-citation.json"} </w:instrText>
      </w:r>
      <w:r w:rsidR="000058E4" w:rsidRPr="00770477">
        <w:rPr>
          <w:rFonts w:cs="Times New Roman"/>
        </w:rPr>
        <w:fldChar w:fldCharType="separate"/>
      </w:r>
      <w:r w:rsidR="000058E4" w:rsidRPr="00770477">
        <w:rPr>
          <w:rFonts w:cs="Times New Roman"/>
        </w:rPr>
        <w:t>Gwenzi et al. (2017)</w:t>
      </w:r>
      <w:r w:rsidR="000058E4" w:rsidRPr="00770477">
        <w:rPr>
          <w:rFonts w:cs="Times New Roman"/>
        </w:rPr>
        <w:fldChar w:fldCharType="end"/>
      </w:r>
      <w:r w:rsidR="000058E4" w:rsidRPr="00770477">
        <w:rPr>
          <w:rFonts w:cs="Times New Roman"/>
        </w:rPr>
        <w:t xml:space="preserve"> </w:t>
      </w:r>
      <w:r w:rsidR="00E6178E" w:rsidRPr="00770477">
        <w:rPr>
          <w:rFonts w:cs="Times New Roman"/>
        </w:rPr>
        <w:t>identified the major paths of metals removal from solution as cation exchange</w:t>
      </w:r>
      <w:r w:rsidR="00F258C5" w:rsidRPr="00770477">
        <w:rPr>
          <w:rFonts w:cs="Times New Roman"/>
        </w:rPr>
        <w:t xml:space="preserve">, electrostatic interactions (between media and metal), sorption, and co-precipitation. </w:t>
      </w:r>
      <w:r w:rsidR="00D272D7" w:rsidRPr="00770477">
        <w:rPr>
          <w:rFonts w:cs="Times New Roman"/>
        </w:rPr>
        <w:fldChar w:fldCharType="begin"/>
      </w:r>
      <w:r w:rsidR="002074AD">
        <w:rPr>
          <w:rFonts w:cs="Times New Roman"/>
        </w:rPr>
        <w:instrText xml:space="preserve"> ADDIN ZOTERO_ITEM CSL_CITATION {"citationID":"7cSveSEQ","properties":{"formattedCitation":"(Zhou et al., 2016)","plainCitation":"(Zhou et al., 2016)","dontUpdate":true,"noteIndex":0},"citationItems":[{"id":884,"uris":["http://zotero.org/users/8423188/items/JM2PENQ4"],"itemData":{"id":884,"type":"article-journal","container-title":"Environmental Engineering Science","DOI":"10.1089/ees.2016.0042","ISSN":"1092-8758, 1557-9018","issue":"12","journalAbbreviation":"Environmental Engineering Science","language":"en","page":"962-969","source":"DOI.org (Crossref)","title":"Role of Ash Content in Biochar for Copper Immobilization","volume":"33","author":[{"family":"Zhou","given":"Dandan"},{"family":"Ghosh","given":"Saikat"},{"family":"Zhang","given":"Di"},{"family":"Liang","given":"Ni"},{"family":"Dong","given":"Xudong"},{"family":"Wu","given":"Min"},{"family":"Pan","given":"Bo"}],"issued":{"date-parts":[["2016",12]]}}}],"schema":"https://github.com/citation-style-language/schema/raw/master/csl-citation.json"} </w:instrText>
      </w:r>
      <w:r w:rsidR="00D272D7" w:rsidRPr="00770477">
        <w:rPr>
          <w:rFonts w:cs="Times New Roman"/>
        </w:rPr>
        <w:fldChar w:fldCharType="separate"/>
      </w:r>
      <w:r w:rsidR="00D272D7" w:rsidRPr="00770477">
        <w:rPr>
          <w:rFonts w:cs="Times New Roman"/>
        </w:rPr>
        <w:t xml:space="preserve">Zhou et al. </w:t>
      </w:r>
      <w:r w:rsidR="005E107F" w:rsidRPr="00770477">
        <w:rPr>
          <w:rFonts w:cs="Times New Roman"/>
        </w:rPr>
        <w:t>(</w:t>
      </w:r>
      <w:r w:rsidR="00D272D7" w:rsidRPr="00770477">
        <w:rPr>
          <w:rFonts w:cs="Times New Roman"/>
        </w:rPr>
        <w:t>2016)</w:t>
      </w:r>
      <w:r w:rsidR="00D272D7" w:rsidRPr="00770477">
        <w:rPr>
          <w:rFonts w:cs="Times New Roman"/>
        </w:rPr>
        <w:fldChar w:fldCharType="end"/>
      </w:r>
      <w:r w:rsidR="005E107F" w:rsidRPr="00770477">
        <w:rPr>
          <w:rFonts w:cs="Times New Roman"/>
        </w:rPr>
        <w:t xml:space="preserve"> investigated the role that ash content of a biochar plays in the removal of metals (specifically copper). Results found that </w:t>
      </w:r>
      <w:r w:rsidR="002C2FB8" w:rsidRPr="00770477">
        <w:rPr>
          <w:rFonts w:cs="Times New Roman"/>
        </w:rPr>
        <w:t xml:space="preserve">removal of ash </w:t>
      </w:r>
      <w:r w:rsidR="007A451A" w:rsidRPr="00770477">
        <w:rPr>
          <w:rFonts w:cs="Times New Roman"/>
        </w:rPr>
        <w:t>increased Cu sorption for one biochar</w:t>
      </w:r>
      <w:r w:rsidR="00D7218C" w:rsidRPr="00770477">
        <w:rPr>
          <w:rFonts w:cs="Times New Roman"/>
        </w:rPr>
        <w:t>. However</w:t>
      </w:r>
      <w:r w:rsidR="000268B2" w:rsidRPr="00770477">
        <w:rPr>
          <w:rFonts w:cs="Times New Roman"/>
        </w:rPr>
        <w:t xml:space="preserve">, biochars with ash still present had mixed results. Biochars with high anion content </w:t>
      </w:r>
      <w:r w:rsidR="006E3F5D" w:rsidRPr="00770477">
        <w:rPr>
          <w:rFonts w:cs="Times New Roman"/>
        </w:rPr>
        <w:t xml:space="preserve">and ash present </w:t>
      </w:r>
      <w:r w:rsidR="00030C5A" w:rsidRPr="00770477">
        <w:rPr>
          <w:rFonts w:cs="Times New Roman"/>
        </w:rPr>
        <w:t>improved the removal of Cu</w:t>
      </w:r>
      <w:r w:rsidR="007705AB" w:rsidRPr="00770477">
        <w:rPr>
          <w:rFonts w:cs="Times New Roman"/>
        </w:rPr>
        <w:t xml:space="preserve">, however, </w:t>
      </w:r>
      <w:r w:rsidR="00030C5A" w:rsidRPr="00770477">
        <w:rPr>
          <w:rFonts w:cs="Times New Roman"/>
        </w:rPr>
        <w:t xml:space="preserve">biochars with a high </w:t>
      </w:r>
      <w:r w:rsidR="007705AB" w:rsidRPr="00770477">
        <w:rPr>
          <w:rFonts w:cs="Times New Roman"/>
        </w:rPr>
        <w:t>cation and ash present</w:t>
      </w:r>
      <w:r w:rsidR="00030C5A" w:rsidRPr="00770477">
        <w:rPr>
          <w:rFonts w:cs="Times New Roman"/>
        </w:rPr>
        <w:t xml:space="preserve"> content showed the opposite</w:t>
      </w:r>
      <w:r w:rsidR="007705AB" w:rsidRPr="00770477">
        <w:rPr>
          <w:rFonts w:cs="Times New Roman"/>
        </w:rPr>
        <w:t xml:space="preserve"> effect</w:t>
      </w:r>
      <w:r w:rsidR="00030C5A" w:rsidRPr="00770477">
        <w:rPr>
          <w:rFonts w:cs="Times New Roman"/>
        </w:rPr>
        <w:t xml:space="preserve">. Furthermore, the presence of ash on the biochar </w:t>
      </w:r>
      <w:r w:rsidR="00030C5A" w:rsidRPr="00770477">
        <w:rPr>
          <w:rFonts w:cs="Times New Roman"/>
        </w:rPr>
        <w:lastRenderedPageBreak/>
        <w:t xml:space="preserve">was found to increase resultant pH which </w:t>
      </w:r>
      <w:r w:rsidR="00D7011F" w:rsidRPr="00770477">
        <w:rPr>
          <w:rFonts w:cs="Times New Roman"/>
        </w:rPr>
        <w:t xml:space="preserve">is likely to lead to precipitation of metals from solution. </w:t>
      </w:r>
      <w:r w:rsidR="004E2573" w:rsidRPr="00770477">
        <w:rPr>
          <w:rFonts w:cs="Times New Roman"/>
        </w:rPr>
        <w:fldChar w:fldCharType="begin"/>
      </w:r>
      <w:r w:rsidR="002074AD">
        <w:rPr>
          <w:rFonts w:cs="Times New Roman"/>
        </w:rPr>
        <w:instrText xml:space="preserve"> ADDIN ZOTERO_ITEM CSL_CITATION {"citationID":"UKYxgwmT","properties":{"formattedCitation":"(Ding et al., 2016)","plainCitation":"(Ding et al., 2016)","dontUpdate":true,"noteIndex":0},"citationItems":[{"id":883,"uris":["http://zotero.org/users/8423188/items/ZBHR4Y4N"],"itemData":{"id":883,"type":"article-journal","container-title":"Journal of Industrial and Engineering Chemistry","DOI":"10.1016/j.jiec.2015.10.007","ISSN":"1226086X","journalAbbreviation":"Journal of Industrial and Engineering Chemistry","language":"en","page":"239-245","source":"DOI.org (Crossref)","title":"Removal of lead, copper, cadmium, zinc, and nickel from aqueous solutions by alkali-modified biochar: Batch and column tests","title-short":"Removal of lead, copper, cadmium, zinc, and nickel from aqueous solutions by alkali-modified biochar","volume":"33","author":[{"family":"Ding","given":"Zhuhong"},{"family":"Hu","given":"Xin"},{"family":"Wan","given":"Yongshan"},{"family":"Wang","given":"Shengsen"},{"family":"Gao","given":"Bin"}],"issued":{"date-parts":[["2016",1]]}}}],"schema":"https://github.com/citation-style-language/schema/raw/master/csl-citation.json"} </w:instrText>
      </w:r>
      <w:r w:rsidR="004E2573" w:rsidRPr="00770477">
        <w:rPr>
          <w:rFonts w:cs="Times New Roman"/>
        </w:rPr>
        <w:fldChar w:fldCharType="separate"/>
      </w:r>
      <w:r w:rsidR="004E2573" w:rsidRPr="00770477">
        <w:rPr>
          <w:rFonts w:cs="Times New Roman"/>
        </w:rPr>
        <w:t xml:space="preserve">Ding et al. </w:t>
      </w:r>
      <w:r w:rsidR="00C22A38" w:rsidRPr="00770477">
        <w:rPr>
          <w:rFonts w:cs="Times New Roman"/>
        </w:rPr>
        <w:t>(</w:t>
      </w:r>
      <w:r w:rsidR="004E2573" w:rsidRPr="00770477">
        <w:rPr>
          <w:rFonts w:cs="Times New Roman"/>
        </w:rPr>
        <w:t>2016)</w:t>
      </w:r>
      <w:r w:rsidR="004E2573" w:rsidRPr="00770477">
        <w:rPr>
          <w:rFonts w:cs="Times New Roman"/>
        </w:rPr>
        <w:fldChar w:fldCharType="end"/>
      </w:r>
      <w:r w:rsidR="00C22A38" w:rsidRPr="00770477">
        <w:rPr>
          <w:rFonts w:cs="Times New Roman"/>
        </w:rPr>
        <w:t xml:space="preserve"> found a low pyrolysis biochar to have a sorption capacity of 11.2</w:t>
      </w:r>
      <w:r w:rsidR="004430EB" w:rsidRPr="00770477">
        <w:rPr>
          <w:rFonts w:cs="Times New Roman"/>
        </w:rPr>
        <w:t xml:space="preserve"> mg Pb</w:t>
      </w:r>
      <w:r w:rsidR="0015564B">
        <w:rPr>
          <w:rFonts w:cs="Times New Roman"/>
        </w:rPr>
        <w:t xml:space="preserve"> </w:t>
      </w:r>
      <w:r w:rsidR="004430EB" w:rsidRPr="00770477">
        <w:rPr>
          <w:rFonts w:cs="Times New Roman"/>
        </w:rPr>
        <w:t>g</w:t>
      </w:r>
      <w:r w:rsidR="0015564B">
        <w:rPr>
          <w:rFonts w:cs="Times New Roman"/>
          <w:vertAlign w:val="superscript"/>
        </w:rPr>
        <w:t>-1</w:t>
      </w:r>
      <w:r w:rsidR="00A73AE2" w:rsidRPr="00770477">
        <w:rPr>
          <w:rFonts w:cs="Times New Roman"/>
        </w:rPr>
        <w:t xml:space="preserve"> in a solution spiked with only Pb. Competitive </w:t>
      </w:r>
      <w:r w:rsidR="00E418BE" w:rsidRPr="00770477">
        <w:rPr>
          <w:rFonts w:cs="Times New Roman"/>
        </w:rPr>
        <w:t xml:space="preserve">sorption isotherms </w:t>
      </w:r>
      <w:r w:rsidR="00B52CC6" w:rsidRPr="00770477">
        <w:rPr>
          <w:rFonts w:cs="Times New Roman"/>
        </w:rPr>
        <w:t xml:space="preserve">between Pb, Cu, Zn, Cd, and Ni </w:t>
      </w:r>
      <w:r w:rsidR="000B280A" w:rsidRPr="00770477">
        <w:rPr>
          <w:rFonts w:cs="Times New Roman"/>
        </w:rPr>
        <w:t xml:space="preserve">showed that in mixed-metal solutions, </w:t>
      </w:r>
      <w:r w:rsidR="00536B0F" w:rsidRPr="00770477">
        <w:rPr>
          <w:rFonts w:cs="Times New Roman"/>
        </w:rPr>
        <w:t xml:space="preserve">some Pb (and other metal) </w:t>
      </w:r>
      <w:r w:rsidR="000B280A" w:rsidRPr="00770477">
        <w:rPr>
          <w:rFonts w:cs="Times New Roman"/>
        </w:rPr>
        <w:t>sorption</w:t>
      </w:r>
      <w:r w:rsidR="00536B0F" w:rsidRPr="00770477">
        <w:rPr>
          <w:rFonts w:cs="Times New Roman"/>
        </w:rPr>
        <w:t xml:space="preserve"> occurred</w:t>
      </w:r>
      <w:r w:rsidR="000B280A" w:rsidRPr="00770477">
        <w:rPr>
          <w:rFonts w:cs="Times New Roman"/>
        </w:rPr>
        <w:t xml:space="preserve">, </w:t>
      </w:r>
      <w:r w:rsidR="00536B0F" w:rsidRPr="00770477">
        <w:rPr>
          <w:rFonts w:cs="Times New Roman"/>
        </w:rPr>
        <w:t>however, each individual metal’s sorption capacity</w:t>
      </w:r>
      <w:r w:rsidR="000B280A" w:rsidRPr="00770477">
        <w:rPr>
          <w:rFonts w:cs="Times New Roman"/>
        </w:rPr>
        <w:t xml:space="preserve"> was negatively impacted resulting in </w:t>
      </w:r>
      <w:r w:rsidR="00E32233" w:rsidRPr="00770477">
        <w:rPr>
          <w:rFonts w:cs="Times New Roman"/>
        </w:rPr>
        <w:t xml:space="preserve">sorption capacities </w:t>
      </w:r>
      <w:r w:rsidR="3BF2EFEC" w:rsidRPr="00770477">
        <w:rPr>
          <w:rFonts w:cs="Times New Roman"/>
        </w:rPr>
        <w:t xml:space="preserve">of </w:t>
      </w:r>
      <w:r w:rsidR="00E32233" w:rsidRPr="00770477">
        <w:rPr>
          <w:rFonts w:cs="Times New Roman"/>
        </w:rPr>
        <w:t xml:space="preserve">~2 </w:t>
      </w:r>
      <w:r w:rsidR="0015564B" w:rsidRPr="00770477">
        <w:rPr>
          <w:rFonts w:cs="Times New Roman"/>
        </w:rPr>
        <w:t>mg</w:t>
      </w:r>
      <w:r w:rsidR="0015564B">
        <w:rPr>
          <w:rFonts w:cs="Times New Roman"/>
        </w:rPr>
        <w:t xml:space="preserve"> </w:t>
      </w:r>
      <w:r w:rsidR="0015564B" w:rsidRPr="00770477">
        <w:rPr>
          <w:rFonts w:cs="Times New Roman"/>
        </w:rPr>
        <w:t>g</w:t>
      </w:r>
      <w:r w:rsidR="0015564B">
        <w:rPr>
          <w:rFonts w:cs="Times New Roman"/>
          <w:vertAlign w:val="superscript"/>
        </w:rPr>
        <w:t>-1</w:t>
      </w:r>
      <w:r w:rsidR="00E32233" w:rsidRPr="00770477">
        <w:rPr>
          <w:rFonts w:cs="Times New Roman"/>
        </w:rPr>
        <w:t xml:space="preserve"> </w:t>
      </w:r>
      <w:r w:rsidR="771E25E9" w:rsidRPr="00770477">
        <w:rPr>
          <w:rFonts w:cs="Times New Roman"/>
        </w:rPr>
        <w:t>for</w:t>
      </w:r>
      <w:r w:rsidR="00E32233" w:rsidRPr="00770477">
        <w:rPr>
          <w:rFonts w:cs="Times New Roman"/>
        </w:rPr>
        <w:t xml:space="preserve"> Pb and Cu, ~0.1 </w:t>
      </w:r>
      <w:r w:rsidR="0015564B" w:rsidRPr="00770477">
        <w:rPr>
          <w:rFonts w:cs="Times New Roman"/>
        </w:rPr>
        <w:t>mg</w:t>
      </w:r>
      <w:r w:rsidR="0015564B">
        <w:rPr>
          <w:rFonts w:cs="Times New Roman"/>
        </w:rPr>
        <w:t xml:space="preserve"> </w:t>
      </w:r>
      <w:r w:rsidR="0015564B" w:rsidRPr="00770477">
        <w:rPr>
          <w:rFonts w:cs="Times New Roman"/>
        </w:rPr>
        <w:t>g</w:t>
      </w:r>
      <w:r w:rsidR="0015564B">
        <w:rPr>
          <w:rFonts w:cs="Times New Roman"/>
          <w:vertAlign w:val="superscript"/>
        </w:rPr>
        <w:t>-1</w:t>
      </w:r>
      <w:r w:rsidR="00E32233" w:rsidRPr="00770477">
        <w:rPr>
          <w:rFonts w:cs="Times New Roman"/>
        </w:rPr>
        <w:t xml:space="preserve"> </w:t>
      </w:r>
      <w:r w:rsidR="21305CA9" w:rsidRPr="00770477">
        <w:rPr>
          <w:rFonts w:cs="Times New Roman"/>
        </w:rPr>
        <w:t>for</w:t>
      </w:r>
      <w:r w:rsidR="00CB5C36" w:rsidRPr="00770477">
        <w:rPr>
          <w:rFonts w:cs="Times New Roman"/>
        </w:rPr>
        <w:t xml:space="preserve"> Cd and </w:t>
      </w:r>
      <w:r w:rsidR="00E979C0" w:rsidRPr="00770477">
        <w:rPr>
          <w:rFonts w:cs="Times New Roman"/>
        </w:rPr>
        <w:t xml:space="preserve">Ni, and ~0.4 </w:t>
      </w:r>
      <w:r w:rsidR="0015564B" w:rsidRPr="00770477">
        <w:rPr>
          <w:rFonts w:cs="Times New Roman"/>
        </w:rPr>
        <w:t>mg</w:t>
      </w:r>
      <w:r w:rsidR="0015564B">
        <w:rPr>
          <w:rFonts w:cs="Times New Roman"/>
        </w:rPr>
        <w:t xml:space="preserve"> </w:t>
      </w:r>
      <w:r w:rsidR="0015564B" w:rsidRPr="00770477">
        <w:rPr>
          <w:rFonts w:cs="Times New Roman"/>
        </w:rPr>
        <w:t>g</w:t>
      </w:r>
      <w:r w:rsidR="0015564B">
        <w:rPr>
          <w:rFonts w:cs="Times New Roman"/>
          <w:vertAlign w:val="superscript"/>
        </w:rPr>
        <w:t>-1</w:t>
      </w:r>
      <w:r w:rsidR="00E979C0" w:rsidRPr="00770477">
        <w:rPr>
          <w:rFonts w:cs="Times New Roman"/>
        </w:rPr>
        <w:t xml:space="preserve"> </w:t>
      </w:r>
      <w:r w:rsidR="6BBB23C2" w:rsidRPr="00770477">
        <w:rPr>
          <w:rFonts w:cs="Times New Roman"/>
        </w:rPr>
        <w:t>for</w:t>
      </w:r>
      <w:r w:rsidR="00E979C0" w:rsidRPr="00770477">
        <w:rPr>
          <w:rFonts w:cs="Times New Roman"/>
        </w:rPr>
        <w:t xml:space="preserve"> Zn. </w:t>
      </w:r>
      <w:r w:rsidR="00DD5CAC" w:rsidRPr="00770477">
        <w:rPr>
          <w:rFonts w:cs="Times New Roman"/>
        </w:rPr>
        <w:t>Pretreating the biochar with an alkaline solution</w:t>
      </w:r>
      <w:r w:rsidR="002B6EBD" w:rsidRPr="00770477">
        <w:rPr>
          <w:rFonts w:cs="Times New Roman"/>
        </w:rPr>
        <w:t xml:space="preserve"> yielded enhanced metals removal </w:t>
      </w:r>
      <w:r w:rsidR="00F91902" w:rsidRPr="00770477">
        <w:rPr>
          <w:rFonts w:cs="Times New Roman"/>
        </w:rPr>
        <w:t xml:space="preserve">but also increased the cost of the treatment media. </w:t>
      </w:r>
      <w:r w:rsidR="00370D16" w:rsidRPr="00770477">
        <w:rPr>
          <w:rFonts w:cs="Times New Roman"/>
        </w:rPr>
        <w:t xml:space="preserve">In a flow-through column experiment, </w:t>
      </w:r>
      <w:r w:rsidR="00370D16" w:rsidRPr="00770477">
        <w:rPr>
          <w:rFonts w:cs="Times New Roman"/>
        </w:rPr>
        <w:fldChar w:fldCharType="begin"/>
      </w:r>
      <w:r w:rsidR="002074AD">
        <w:rPr>
          <w:rFonts w:cs="Times New Roman"/>
        </w:rPr>
        <w:instrText xml:space="preserve"> ADDIN ZOTERO_ITEM CSL_CITATION {"citationID":"qP9hHDpK","properties":{"formattedCitation":"(Reddy et al., 2014)","plainCitation":"(Reddy et al., 2014)","dontUpdate":true,"noteIndex":0},"citationItems":[{"id":882,"uris":["http://zotero.org/users/8423188/items/PLI9E6PH"],"itemData":{"id":882,"type":"article-journal","abstract":"Urban storm water runoff can carry a wide range of contaminants, many of which exceed federal maximum contaminant levels, into surface water resources (e.g., rivers and lakes). The use of filtration systems has received greater attention for its potential to remove particulate matter and other contaminants. Biochar is expected to have excellent potential as an adsorbent or filter given its large surface area and microporous structure. This study evaluated the potential use of biochar as a filter media through a series of column experiments. A column with an inner diameter of 7 cm (2.75 in.) and a length of 61 cm (24 in.) using biochar as filter media was constructed to examine its effectiveness for the removal of mixed contaminants [total suspended solids (TSS), nutrients, heavy metals, polycyclic aromatic hydrocarbons (PAHs), and E. coli] from synthetic storm water. The results demonstrated that this filter reduced the TSS in the storm water effluent by an average of 86% and the concentrations of nitrate and phosphate by 86 and 47%, respectively. After filtration, the concentration of Cd, Cr, Cu, Pb, Ni, and Zn (heavy metals) decreased by 18, 19, 65, 75, 17, and 24%, respectively. The variation can be explained in terms of the chemical behavior of the different heavy metals as well as the properties of the biochar. Among the three PAHs tested, biochar successfully removed phenanthrene (almost 100% removal efficiency) and achieved 76% removal efficiency for naphthalene but resulted in no removal of benzo(a) pyrene; the average removal for the three PAHs was 68%. Biochar was not efficient in removing E. coli from storm water, and the concentration of almost 7,400 MPN=100 mL in the inflow was reduced to approximately 5,000 MPN=100 mL in the outflow, representing a mean removal efficiency of 27%. Overall, the biochar used in this study showed promise to be an effective filter media for the removal of selected contaminants from urban storm water runoff. However, additional research should be conducted using different types of biochars, produced from different feedstock and production conditions, to determine the most effective biochar that can simultaneously remove multiple contaminants from urban storm water. DOI: 10.1061/(ASCE)EE.1943-7870.0000872. © 2014 American Society of Civil Engineers.","container-title":"Journal of Environmental Engineering","DOI":"10.1061/(ASCE)EE.1943-7870.0000872","ISSN":"0733-9372, 1943-7870","issue":"12","journalAbbreviation":"J. Environ. Eng.","language":"en","page":"04014043","source":"DOI.org (Crossref)","title":"Evaluation of Biochar as a Potential Filter Media for the Removal of Mixed Contaminants from Urban Storm Water Runoff","volume":"140","author":[{"family":"Reddy","given":"Krishna R."},{"family":"Xie","given":"Tao"},{"family":"Dastgheibi","given":"Sara"}],"issued":{"date-parts":[["2014",12]]}}}],"schema":"https://github.com/citation-style-language/schema/raw/master/csl-citation.json"} </w:instrText>
      </w:r>
      <w:r w:rsidR="00370D16" w:rsidRPr="00770477">
        <w:rPr>
          <w:rFonts w:cs="Times New Roman"/>
        </w:rPr>
        <w:fldChar w:fldCharType="separate"/>
      </w:r>
      <w:r w:rsidR="00370D16" w:rsidRPr="00770477">
        <w:rPr>
          <w:rFonts w:cs="Times New Roman"/>
        </w:rPr>
        <w:t xml:space="preserve">Reddy et al. </w:t>
      </w:r>
      <w:r w:rsidR="00D05353" w:rsidRPr="00770477">
        <w:rPr>
          <w:rFonts w:cs="Times New Roman"/>
        </w:rPr>
        <w:t>(</w:t>
      </w:r>
      <w:r w:rsidR="00370D16" w:rsidRPr="00770477">
        <w:rPr>
          <w:rFonts w:cs="Times New Roman"/>
        </w:rPr>
        <w:t>2014)</w:t>
      </w:r>
      <w:r w:rsidR="00370D16" w:rsidRPr="00770477">
        <w:rPr>
          <w:rFonts w:cs="Times New Roman"/>
        </w:rPr>
        <w:fldChar w:fldCharType="end"/>
      </w:r>
      <w:r w:rsidR="00D05353" w:rsidRPr="00770477">
        <w:rPr>
          <w:rFonts w:cs="Times New Roman"/>
        </w:rPr>
        <w:t xml:space="preserve"> found that a gasified biochar </w:t>
      </w:r>
      <w:r w:rsidR="0004785E" w:rsidRPr="00770477">
        <w:rPr>
          <w:rFonts w:cs="Times New Roman"/>
        </w:rPr>
        <w:t xml:space="preserve">removed 47% of dissolved phosphate from </w:t>
      </w:r>
      <w:r w:rsidR="00D412A6" w:rsidRPr="00770477">
        <w:rPr>
          <w:rFonts w:cs="Times New Roman"/>
        </w:rPr>
        <w:t xml:space="preserve">a </w:t>
      </w:r>
      <w:r w:rsidR="0004785E" w:rsidRPr="00770477">
        <w:rPr>
          <w:rFonts w:cs="Times New Roman"/>
        </w:rPr>
        <w:t>solution</w:t>
      </w:r>
      <w:r w:rsidR="00D412A6" w:rsidRPr="00770477">
        <w:rPr>
          <w:rFonts w:cs="Times New Roman"/>
        </w:rPr>
        <w:t xml:space="preserve"> prepared with </w:t>
      </w:r>
      <w:r w:rsidR="00174FA9" w:rsidRPr="00770477">
        <w:rPr>
          <w:rFonts w:cs="Times New Roman"/>
        </w:rPr>
        <w:t xml:space="preserve">0.57 </w:t>
      </w:r>
      <w:r w:rsidR="00C74611">
        <w:rPr>
          <w:rFonts w:cs="Times New Roman"/>
        </w:rPr>
        <w:t>mg L</w:t>
      </w:r>
      <w:r w:rsidR="00C74611" w:rsidRPr="001106B8">
        <w:rPr>
          <w:rFonts w:cs="Times New Roman"/>
          <w:vertAlign w:val="superscript"/>
        </w:rPr>
        <w:t>-1</w:t>
      </w:r>
      <w:r w:rsidR="00174FA9" w:rsidRPr="00770477">
        <w:rPr>
          <w:rFonts w:cs="Times New Roman"/>
        </w:rPr>
        <w:t xml:space="preserve"> phosphate</w:t>
      </w:r>
      <w:r w:rsidR="0004785E" w:rsidRPr="00770477">
        <w:rPr>
          <w:rFonts w:cs="Times New Roman"/>
        </w:rPr>
        <w:t xml:space="preserve">. Notably, the authors show that </w:t>
      </w:r>
      <w:r w:rsidR="00191EAC" w:rsidRPr="00770477">
        <w:rPr>
          <w:rFonts w:cs="Times New Roman"/>
        </w:rPr>
        <w:t xml:space="preserve">when flushing the columns with deionized water prior to introducing the spiked solution, the biochar leached </w:t>
      </w:r>
      <w:r w:rsidR="00793AB4" w:rsidRPr="00770477">
        <w:rPr>
          <w:rFonts w:cs="Times New Roman"/>
        </w:rPr>
        <w:t xml:space="preserve">0.12 </w:t>
      </w:r>
      <w:r w:rsidR="00C74611">
        <w:rPr>
          <w:rFonts w:cs="Times New Roman"/>
        </w:rPr>
        <w:t>mg L</w:t>
      </w:r>
      <w:r w:rsidR="00C74611" w:rsidRPr="001106B8">
        <w:rPr>
          <w:rFonts w:cs="Times New Roman"/>
          <w:vertAlign w:val="superscript"/>
        </w:rPr>
        <w:t>-1</w:t>
      </w:r>
      <w:r w:rsidR="00793AB4" w:rsidRPr="00770477">
        <w:rPr>
          <w:rFonts w:cs="Times New Roman"/>
        </w:rPr>
        <w:t xml:space="preserve"> phosphate. This is likely due to </w:t>
      </w:r>
      <w:r w:rsidR="00B10C0C" w:rsidRPr="00770477">
        <w:rPr>
          <w:rFonts w:cs="Times New Roman"/>
        </w:rPr>
        <w:t>most</w:t>
      </w:r>
      <w:r w:rsidR="00C13C2F" w:rsidRPr="00770477">
        <w:rPr>
          <w:rFonts w:cs="Times New Roman"/>
        </w:rPr>
        <w:t xml:space="preserve"> source material</w:t>
      </w:r>
      <w:r w:rsidR="00B10C0C" w:rsidRPr="00770477">
        <w:rPr>
          <w:rFonts w:cs="Times New Roman"/>
        </w:rPr>
        <w:t>s</w:t>
      </w:r>
      <w:r w:rsidR="00C13C2F" w:rsidRPr="00770477">
        <w:rPr>
          <w:rFonts w:cs="Times New Roman"/>
        </w:rPr>
        <w:t xml:space="preserve"> (in this case, waste wood pellets) containing</w:t>
      </w:r>
      <w:r w:rsidR="00B10C0C" w:rsidRPr="00770477">
        <w:rPr>
          <w:rFonts w:cs="Times New Roman"/>
        </w:rPr>
        <w:t xml:space="preserve"> some form of phosphorus </w:t>
      </w:r>
      <w:r w:rsidR="00FA2D93" w:rsidRPr="00770477">
        <w:rPr>
          <w:rFonts w:cs="Times New Roman"/>
        </w:rPr>
        <w:t xml:space="preserve">that </w:t>
      </w:r>
      <w:r w:rsidR="00B10C0C" w:rsidRPr="00770477">
        <w:rPr>
          <w:rFonts w:cs="Times New Roman"/>
        </w:rPr>
        <w:t xml:space="preserve">does not get entirely volatilized upon </w:t>
      </w:r>
      <w:r w:rsidR="00CD29C0" w:rsidRPr="00770477">
        <w:rPr>
          <w:rFonts w:cs="Times New Roman"/>
        </w:rPr>
        <w:t xml:space="preserve">combustion. </w:t>
      </w:r>
      <w:r w:rsidR="00145B90" w:rsidRPr="00770477">
        <w:rPr>
          <w:rFonts w:cs="Times New Roman"/>
        </w:rPr>
        <w:t xml:space="preserve">Furthermore, </w:t>
      </w:r>
      <w:r w:rsidR="00965344" w:rsidRPr="00770477">
        <w:rPr>
          <w:rFonts w:cs="Times New Roman"/>
        </w:rPr>
        <w:t xml:space="preserve">the same study </w:t>
      </w:r>
      <w:r w:rsidR="00B0600C" w:rsidRPr="00770477">
        <w:rPr>
          <w:rFonts w:cs="Times New Roman"/>
        </w:rPr>
        <w:t xml:space="preserve">reported that </w:t>
      </w:r>
      <w:r w:rsidR="00145B90" w:rsidRPr="00770477">
        <w:rPr>
          <w:rFonts w:cs="Times New Roman"/>
        </w:rPr>
        <w:t xml:space="preserve">heavy metals were removed from solution at a rate of </w:t>
      </w:r>
      <w:r w:rsidR="004E30AF" w:rsidRPr="00770477">
        <w:rPr>
          <w:rFonts w:cs="Times New Roman"/>
        </w:rPr>
        <w:t xml:space="preserve">18, 19, 65, 75, 17, and 24% for Cd, Cr, Cu, Pb, Ni, and Zn, respectively. </w:t>
      </w:r>
      <w:r w:rsidR="00CB612D" w:rsidRPr="00770477">
        <w:rPr>
          <w:rFonts w:cs="Times New Roman"/>
        </w:rPr>
        <w:fldChar w:fldCharType="begin"/>
      </w:r>
      <w:r w:rsidR="002074AD">
        <w:rPr>
          <w:rFonts w:cs="Times New Roman"/>
        </w:rPr>
        <w:instrText xml:space="preserve"> ADDIN ZOTERO_ITEM CSL_CITATION {"citationID":"1Cw8pgWU","properties":{"formattedCitation":"(Sarkhot et al., 2013)","plainCitation":"(Sarkhot et al., 2013)","dontUpdate":true,"noteIndex":0},"citationItems":[{"id":881,"uris":["http://zotero.org/users/8423188/items/6CXBBXXY"],"itemData":{"id":881,"type":"article-journal","container-title":"Journal of Environmental Quality","DOI":"10.2134/jeq2012.0482","ISSN":"00472425","issue":"5","journalAbbreviation":"J. Environ. Qual.","language":"en","page":"1545-1554","source":"DOI.org (Crossref)","title":"Effectiveness of Biochar for Sorption of Ammonium and Phosphate from Dairy Effluent","volume":"42","author":[{"family":"Sarkhot","given":"D. V."},{"family":"Ghezzehei","given":"T. A."},{"family":"Berhe","given":"A. A."}],"issued":{"date-parts":[["2013",9]]}}}],"schema":"https://github.com/citation-style-language/schema/raw/master/csl-citation.json"} </w:instrText>
      </w:r>
      <w:r w:rsidR="00CB612D" w:rsidRPr="00770477">
        <w:rPr>
          <w:rFonts w:cs="Times New Roman"/>
        </w:rPr>
        <w:fldChar w:fldCharType="separate"/>
      </w:r>
      <w:r w:rsidR="00CB612D" w:rsidRPr="00770477">
        <w:rPr>
          <w:rFonts w:cs="Times New Roman"/>
        </w:rPr>
        <w:t xml:space="preserve">Sarkhot et al. </w:t>
      </w:r>
      <w:r w:rsidR="00CB37D6" w:rsidRPr="00770477">
        <w:rPr>
          <w:rFonts w:cs="Times New Roman"/>
        </w:rPr>
        <w:t>(</w:t>
      </w:r>
      <w:r w:rsidR="00CB612D" w:rsidRPr="00770477">
        <w:rPr>
          <w:rFonts w:cs="Times New Roman"/>
        </w:rPr>
        <w:t>2013)</w:t>
      </w:r>
      <w:r w:rsidR="00CB612D" w:rsidRPr="00770477">
        <w:rPr>
          <w:rFonts w:cs="Times New Roman"/>
        </w:rPr>
        <w:fldChar w:fldCharType="end"/>
      </w:r>
      <w:r w:rsidR="00CB37D6" w:rsidRPr="00770477">
        <w:rPr>
          <w:rFonts w:cs="Times New Roman"/>
        </w:rPr>
        <w:t xml:space="preserve"> investigated</w:t>
      </w:r>
      <w:r w:rsidR="00560EF5" w:rsidRPr="00770477">
        <w:rPr>
          <w:rFonts w:cs="Times New Roman"/>
        </w:rPr>
        <w:t xml:space="preserve"> a slow pyrolysis</w:t>
      </w:r>
      <w:r w:rsidR="00CB37D6" w:rsidRPr="00770477">
        <w:rPr>
          <w:rFonts w:cs="Times New Roman"/>
        </w:rPr>
        <w:t xml:space="preserve"> biochar’s role in </w:t>
      </w:r>
      <w:r w:rsidR="00BA1A77" w:rsidRPr="00770477">
        <w:rPr>
          <w:rFonts w:cs="Times New Roman"/>
        </w:rPr>
        <w:t xml:space="preserve">removing </w:t>
      </w:r>
      <w:r w:rsidR="0035588C" w:rsidRPr="00770477">
        <w:rPr>
          <w:rFonts w:cs="Times New Roman"/>
        </w:rPr>
        <w:t>nutrients (NH</w:t>
      </w:r>
      <w:r w:rsidR="0035588C" w:rsidRPr="00770477">
        <w:rPr>
          <w:rFonts w:cs="Times New Roman"/>
          <w:vertAlign w:val="subscript"/>
        </w:rPr>
        <w:t>4</w:t>
      </w:r>
      <w:r w:rsidR="007239C3" w:rsidRPr="00770477">
        <w:rPr>
          <w:rFonts w:cs="Times New Roman"/>
          <w:vertAlign w:val="subscript"/>
        </w:rPr>
        <w:softHyphen/>
      </w:r>
      <w:r w:rsidR="007239C3" w:rsidRPr="00770477">
        <w:rPr>
          <w:rFonts w:cs="Times New Roman"/>
          <w:vertAlign w:val="superscript"/>
        </w:rPr>
        <w:t>+</w:t>
      </w:r>
      <w:r w:rsidR="0035588C" w:rsidRPr="00770477">
        <w:rPr>
          <w:rFonts w:cs="Times New Roman"/>
        </w:rPr>
        <w:t xml:space="preserve"> and </w:t>
      </w:r>
      <w:r w:rsidR="00735986" w:rsidRPr="00770477">
        <w:rPr>
          <w:rFonts w:cs="Times New Roman"/>
        </w:rPr>
        <w:t>PO</w:t>
      </w:r>
      <w:r w:rsidR="00735986" w:rsidRPr="00770477">
        <w:rPr>
          <w:rFonts w:cs="Times New Roman"/>
          <w:vertAlign w:val="subscript"/>
        </w:rPr>
        <w:t>4</w:t>
      </w:r>
      <w:r w:rsidR="00914EB0" w:rsidRPr="00770477">
        <w:rPr>
          <w:rFonts w:cs="Times New Roman"/>
          <w:vertAlign w:val="superscript"/>
        </w:rPr>
        <w:t>3-</w:t>
      </w:r>
      <w:r w:rsidR="00735986" w:rsidRPr="00770477">
        <w:rPr>
          <w:rFonts w:cs="Times New Roman"/>
        </w:rPr>
        <w:t xml:space="preserve">) from dairy manure runoff. </w:t>
      </w:r>
      <w:r w:rsidR="00560EF5" w:rsidRPr="00770477">
        <w:rPr>
          <w:rFonts w:cs="Times New Roman"/>
        </w:rPr>
        <w:t xml:space="preserve">Results showed that </w:t>
      </w:r>
      <w:r w:rsidR="00DD5591" w:rsidRPr="00770477">
        <w:rPr>
          <w:rFonts w:cs="Times New Roman"/>
        </w:rPr>
        <w:t xml:space="preserve">0.24 </w:t>
      </w:r>
      <w:r w:rsidR="0015564B" w:rsidRPr="00770477">
        <w:rPr>
          <w:rFonts w:cs="Times New Roman"/>
        </w:rPr>
        <w:t>mg</w:t>
      </w:r>
      <w:r w:rsidR="0015564B">
        <w:rPr>
          <w:rFonts w:cs="Times New Roman"/>
        </w:rPr>
        <w:t xml:space="preserve"> </w:t>
      </w:r>
      <w:r w:rsidR="0015564B" w:rsidRPr="00770477">
        <w:rPr>
          <w:rFonts w:cs="Times New Roman"/>
        </w:rPr>
        <w:t>g</w:t>
      </w:r>
      <w:r w:rsidR="0015564B">
        <w:rPr>
          <w:rFonts w:cs="Times New Roman"/>
          <w:vertAlign w:val="superscript"/>
        </w:rPr>
        <w:t>-1</w:t>
      </w:r>
      <w:r w:rsidR="00DD5591" w:rsidRPr="00770477">
        <w:rPr>
          <w:rFonts w:cs="Times New Roman"/>
        </w:rPr>
        <w:t xml:space="preserve"> (equivalent of </w:t>
      </w:r>
      <w:r w:rsidR="00434E8D" w:rsidRPr="00770477">
        <w:rPr>
          <w:rFonts w:cs="Times New Roman"/>
        </w:rPr>
        <w:t xml:space="preserve">50% the spiked solution) phosphate was retained by the biochar in </w:t>
      </w:r>
      <w:r w:rsidR="004C50DC" w:rsidRPr="00770477">
        <w:rPr>
          <w:rFonts w:cs="Times New Roman"/>
        </w:rPr>
        <w:t xml:space="preserve">the batch experiment via </w:t>
      </w:r>
      <w:r w:rsidR="00984FFF" w:rsidRPr="00770477">
        <w:rPr>
          <w:rFonts w:cs="Times New Roman"/>
        </w:rPr>
        <w:t xml:space="preserve">cation exchange and </w:t>
      </w:r>
      <w:proofErr w:type="spellStart"/>
      <w:r w:rsidR="00984FFF" w:rsidRPr="00770477">
        <w:rPr>
          <w:rFonts w:cs="Times New Roman"/>
        </w:rPr>
        <w:t>coadsorption</w:t>
      </w:r>
      <w:proofErr w:type="spellEnd"/>
      <w:r w:rsidR="00984FFF" w:rsidRPr="00770477">
        <w:rPr>
          <w:rFonts w:cs="Times New Roman"/>
        </w:rPr>
        <w:t xml:space="preserve"> with organic matter</w:t>
      </w:r>
      <w:r w:rsidR="00704750" w:rsidRPr="00770477">
        <w:rPr>
          <w:rFonts w:cs="Times New Roman"/>
        </w:rPr>
        <w:t xml:space="preserve">. </w:t>
      </w:r>
      <w:r w:rsidR="005A38FC" w:rsidRPr="00770477">
        <w:rPr>
          <w:rFonts w:cs="Times New Roman"/>
        </w:rPr>
        <w:t>Desorption</w:t>
      </w:r>
      <w:r w:rsidR="00704750" w:rsidRPr="00770477">
        <w:rPr>
          <w:rFonts w:cs="Times New Roman"/>
        </w:rPr>
        <w:t xml:space="preserve"> experiments were also run on the exhausted biochar that showed up to 60% of the sorbed </w:t>
      </w:r>
      <w:r w:rsidR="005A38FC" w:rsidRPr="00770477">
        <w:rPr>
          <w:rFonts w:cs="Times New Roman"/>
        </w:rPr>
        <w:t xml:space="preserve">phosphate was released proving potential for biochar as a source </w:t>
      </w:r>
      <w:r w:rsidR="00C16278" w:rsidRPr="00770477">
        <w:rPr>
          <w:rFonts w:cs="Times New Roman"/>
        </w:rPr>
        <w:t>for</w:t>
      </w:r>
      <w:r w:rsidR="005A38FC" w:rsidRPr="00770477">
        <w:rPr>
          <w:rFonts w:cs="Times New Roman"/>
        </w:rPr>
        <w:t xml:space="preserve"> recoverable phosphate. </w:t>
      </w:r>
      <w:r w:rsidR="00E46B4A" w:rsidRPr="00770477">
        <w:rPr>
          <w:rFonts w:cs="Times New Roman"/>
        </w:rPr>
        <w:t xml:space="preserve">A study conducted by </w:t>
      </w:r>
      <w:r w:rsidR="00E46B4A" w:rsidRPr="00770477">
        <w:rPr>
          <w:rFonts w:cs="Times New Roman"/>
        </w:rPr>
        <w:fldChar w:fldCharType="begin"/>
      </w:r>
      <w:r w:rsidR="002074AD">
        <w:rPr>
          <w:rFonts w:cs="Times New Roman"/>
        </w:rPr>
        <w:instrText xml:space="preserve"> ADDIN ZOTERO_ITEM CSL_CITATION {"citationID":"AtiqXaXS","properties":{"formattedCitation":"(Yao et al., 2011)","plainCitation":"(Yao et al., 2011)","dontUpdate":true,"noteIndex":0},"citationItems":[{"id":880,"uris":["http://zotero.org/users/8423188/items/RLDQVT5X"],"itemData":{"id":880,"type":"article-journal","abstract":"Biochar converted from agricultural residues or other carbon-rich wastes may provide new methods and materials for environmental management, particularly with respect to carbon sequestration and contaminant remediation. In this study, laboratory experiments were conducted to investigate the removal of phosphate from aqueous solution by biochar derived from anaerobically digested sugar beet tailings (DSTC). Batch adsorption kinetic and equilibrium isotherm experiments and post-adsorption characterizations using SEM–EDS, XRD, and FTIR suggested that colloidal and nano-sized MgO (periclase) particles on the biochar surface were the main adsorption sites for aqueous phosphate. Batch adsorption experiments also showed that both initial solution pH and coexisting anions could affect the adsorption of phosphate onto the DSTC biochar. Of the mathematical models used to describe the adsorption kinetics of phosphate removal by the biochar, the Ritchie N th-order (N = 1.14) model showed the best ﬁt. Two heterogeneous isotherm models (Freundlich and Langmuir–Freundlich) ﬁtted the experimental isotherm of phosphate adsorption onto the biochar better than the Langmuir adsorption model. Our results suggest that biochar converted from anaerobically digested sugar beet tailings is a promising alternative adsorbent, which can be used to reclaim phosphate from water or reduce phosphate leaching from fertilized soils. In addition, there is no need to regenerate the exhausted biochar because the phosphate-laden biochar contains abundance of valuable nutrients, which may be used as a slow-release fertilizer to enhance soil fertility and to sequester carbon.","container-title":"Journal of Hazardous Materials","DOI":"10.1016/j.jhazmat.2011.03.083","ISSN":"03043894","issue":"1-3","journalAbbreviation":"Journal of Hazardous Materials","language":"en","page":"501-507","source":"DOI.org (Crossref)","title":"Removal of phosphate from aqueous solution by biochar derived from anaerobically digested sugar beet tailings","volume":"190","author":[{"family":"Yao","given":"Ying"},{"family":"Gao","given":"Bin"},{"family":"Inyang","given":"Mandu"},{"family":"Zimmerman","given":"Andrew R."},{"family":"Cao","given":"Xinde"},{"family":"Pullammanappallil","given":"Pratap"},{"family":"Yang","given":"Liuyan"}],"issued":{"date-parts":[["2011",6]]}}}],"schema":"https://github.com/citation-style-language/schema/raw/master/csl-citation.json"} </w:instrText>
      </w:r>
      <w:r w:rsidR="00E46B4A" w:rsidRPr="00770477">
        <w:rPr>
          <w:rFonts w:cs="Times New Roman"/>
        </w:rPr>
        <w:fldChar w:fldCharType="separate"/>
      </w:r>
      <w:r w:rsidR="00E46B4A" w:rsidRPr="00770477">
        <w:rPr>
          <w:rFonts w:cs="Times New Roman"/>
        </w:rPr>
        <w:t xml:space="preserve">Yao et al. </w:t>
      </w:r>
      <w:r w:rsidR="0038316C" w:rsidRPr="00770477">
        <w:rPr>
          <w:rFonts w:cs="Times New Roman"/>
        </w:rPr>
        <w:t>(</w:t>
      </w:r>
      <w:r w:rsidR="00E46B4A" w:rsidRPr="00770477">
        <w:rPr>
          <w:rFonts w:cs="Times New Roman"/>
        </w:rPr>
        <w:t>2011)</w:t>
      </w:r>
      <w:r w:rsidR="00E46B4A" w:rsidRPr="00770477">
        <w:rPr>
          <w:rFonts w:cs="Times New Roman"/>
        </w:rPr>
        <w:fldChar w:fldCharType="end"/>
      </w:r>
      <w:r w:rsidR="0038316C" w:rsidRPr="00770477">
        <w:rPr>
          <w:rFonts w:cs="Times New Roman"/>
        </w:rPr>
        <w:t xml:space="preserve"> showed digested sugar beet tailings biochar as an effective sorbent </w:t>
      </w:r>
      <w:r w:rsidR="00B800AB" w:rsidRPr="00770477">
        <w:rPr>
          <w:rFonts w:cs="Times New Roman"/>
        </w:rPr>
        <w:t xml:space="preserve">of phosphate in batch experiments. </w:t>
      </w:r>
      <w:r w:rsidR="007067E1" w:rsidRPr="00770477">
        <w:rPr>
          <w:rFonts w:cs="Times New Roman"/>
        </w:rPr>
        <w:t>Maximum capacity of phosphate removal was found to be 133 mg</w:t>
      </w:r>
      <w:r w:rsidR="00A9134B" w:rsidRPr="00770477">
        <w:rPr>
          <w:rFonts w:cs="Times New Roman"/>
        </w:rPr>
        <w:t xml:space="preserve"> </w:t>
      </w:r>
      <w:r w:rsidR="00C8694C">
        <w:rPr>
          <w:rFonts w:cs="Times New Roman"/>
        </w:rPr>
        <w:t>PO</w:t>
      </w:r>
      <w:r w:rsidR="00C8694C" w:rsidRPr="00C8694C">
        <w:rPr>
          <w:rFonts w:cs="Times New Roman"/>
          <w:vertAlign w:val="subscript"/>
        </w:rPr>
        <w:t>4</w:t>
      </w:r>
      <w:r w:rsidR="00C8694C" w:rsidRPr="00C8694C">
        <w:rPr>
          <w:rFonts w:cs="Times New Roman"/>
          <w:vertAlign w:val="superscript"/>
        </w:rPr>
        <w:t>-3</w:t>
      </w:r>
      <w:r w:rsidR="0015564B">
        <w:rPr>
          <w:rFonts w:cs="Times New Roman"/>
        </w:rPr>
        <w:t xml:space="preserve"> </w:t>
      </w:r>
      <w:r w:rsidR="00A9134B" w:rsidRPr="00770477">
        <w:rPr>
          <w:rFonts w:cs="Times New Roman"/>
        </w:rPr>
        <w:t>g</w:t>
      </w:r>
      <w:r w:rsidR="00E57198">
        <w:rPr>
          <w:rFonts w:cs="Times New Roman"/>
          <w:vertAlign w:val="superscript"/>
        </w:rPr>
        <w:t>-1</w:t>
      </w:r>
      <w:r w:rsidR="00A9134B" w:rsidRPr="00770477">
        <w:rPr>
          <w:rFonts w:cs="Times New Roman"/>
        </w:rPr>
        <w:t xml:space="preserve"> </w:t>
      </w:r>
      <w:r w:rsidR="008C3530" w:rsidRPr="00770477">
        <w:rPr>
          <w:rFonts w:cs="Times New Roman"/>
        </w:rPr>
        <w:t xml:space="preserve">with </w:t>
      </w:r>
      <w:r w:rsidR="0020623F" w:rsidRPr="00770477">
        <w:rPr>
          <w:rFonts w:cs="Times New Roman"/>
        </w:rPr>
        <w:t>moderately to slightly acidic conditions favoring removal.</w:t>
      </w:r>
      <w:r w:rsidR="000B5A7F" w:rsidRPr="00770477">
        <w:rPr>
          <w:rFonts w:cs="Times New Roman"/>
        </w:rPr>
        <w:t xml:space="preserve"> </w:t>
      </w:r>
      <w:r w:rsidR="00C96D2D" w:rsidRPr="00770477">
        <w:rPr>
          <w:rFonts w:cs="Times New Roman"/>
        </w:rPr>
        <w:t xml:space="preserve">Competing anion </w:t>
      </w:r>
      <w:r w:rsidR="00C96D2D" w:rsidRPr="00770477">
        <w:rPr>
          <w:rFonts w:cs="Times New Roman"/>
        </w:rPr>
        <w:lastRenderedPageBreak/>
        <w:t xml:space="preserve">concentrations had slight to </w:t>
      </w:r>
      <w:r w:rsidR="006A5A8E" w:rsidRPr="00770477">
        <w:rPr>
          <w:rFonts w:cs="Times New Roman"/>
        </w:rPr>
        <w:t>substantial</w:t>
      </w:r>
      <w:r w:rsidR="00C96D2D" w:rsidRPr="00770477">
        <w:rPr>
          <w:rFonts w:cs="Times New Roman"/>
        </w:rPr>
        <w:t xml:space="preserve"> effects with Cl</w:t>
      </w:r>
      <w:r w:rsidR="005154B4" w:rsidRPr="00770477">
        <w:rPr>
          <w:rFonts w:cs="Times New Roman"/>
          <w:vertAlign w:val="superscript"/>
        </w:rPr>
        <w:t>-</w:t>
      </w:r>
      <w:r w:rsidR="00C96D2D" w:rsidRPr="00770477">
        <w:rPr>
          <w:rFonts w:cs="Times New Roman"/>
        </w:rPr>
        <w:t xml:space="preserve"> and NO</w:t>
      </w:r>
      <w:r w:rsidR="00C96D2D" w:rsidRPr="006B4688">
        <w:rPr>
          <w:rFonts w:cs="Times New Roman"/>
          <w:vertAlign w:val="subscript"/>
        </w:rPr>
        <w:t>3</w:t>
      </w:r>
      <w:r w:rsidR="005154B4" w:rsidRPr="006B4688">
        <w:rPr>
          <w:rFonts w:cs="Times New Roman"/>
          <w:vertAlign w:val="superscript"/>
        </w:rPr>
        <w:t>-</w:t>
      </w:r>
      <w:r w:rsidR="00C96D2D" w:rsidRPr="00770477">
        <w:rPr>
          <w:rFonts w:cs="Times New Roman"/>
        </w:rPr>
        <w:t xml:space="preserve"> showing less of an interference, but HCO</w:t>
      </w:r>
      <w:r w:rsidR="00C96D2D" w:rsidRPr="00770477">
        <w:rPr>
          <w:rFonts w:cs="Times New Roman"/>
          <w:vertAlign w:val="subscript"/>
        </w:rPr>
        <w:t>3</w:t>
      </w:r>
      <w:r w:rsidR="00E1439D" w:rsidRPr="00770477">
        <w:rPr>
          <w:rFonts w:cs="Times New Roman"/>
          <w:vertAlign w:val="superscript"/>
        </w:rPr>
        <w:t>-</w:t>
      </w:r>
      <w:r w:rsidR="00C96D2D" w:rsidRPr="00770477">
        <w:rPr>
          <w:rFonts w:cs="Times New Roman"/>
        </w:rPr>
        <w:t xml:space="preserve"> </w:t>
      </w:r>
      <w:r w:rsidR="007F1E45" w:rsidRPr="00770477">
        <w:rPr>
          <w:rFonts w:cs="Times New Roman"/>
        </w:rPr>
        <w:t>reduced phosphate sorption by over 40%.</w:t>
      </w:r>
      <w:r w:rsidR="0020623F" w:rsidRPr="00770477">
        <w:rPr>
          <w:rFonts w:cs="Times New Roman"/>
        </w:rPr>
        <w:t xml:space="preserve"> </w:t>
      </w:r>
      <w:r w:rsidR="003372F6" w:rsidRPr="00770477">
        <w:rPr>
          <w:rFonts w:cs="Times New Roman"/>
        </w:rPr>
        <w:t xml:space="preserve">The removal was found to be </w:t>
      </w:r>
      <w:r w:rsidR="001830D5" w:rsidRPr="00770477">
        <w:rPr>
          <w:rFonts w:cs="Times New Roman"/>
        </w:rPr>
        <w:t>driven</w:t>
      </w:r>
      <w:r w:rsidR="003372F6" w:rsidRPr="00770477">
        <w:rPr>
          <w:rFonts w:cs="Times New Roman"/>
        </w:rPr>
        <w:t xml:space="preserve"> largely by sorption to nano sized particles on the biochar surface</w:t>
      </w:r>
      <w:r w:rsidR="001830D5" w:rsidRPr="00770477">
        <w:rPr>
          <w:rFonts w:cs="Times New Roman"/>
        </w:rPr>
        <w:t>.</w:t>
      </w:r>
      <w:r w:rsidR="00204C8F" w:rsidRPr="00770477">
        <w:rPr>
          <w:rFonts w:cs="Times New Roman"/>
        </w:rPr>
        <w:t xml:space="preserve"> </w:t>
      </w:r>
      <w:r w:rsidR="008F1241">
        <w:rPr>
          <w:rFonts w:cs="Times New Roman"/>
        </w:rPr>
        <w:t xml:space="preserve">Magnetically treated biochar was </w:t>
      </w:r>
      <w:r w:rsidR="00CB7DE3">
        <w:rPr>
          <w:rFonts w:cs="Times New Roman"/>
        </w:rPr>
        <w:t xml:space="preserve">studied by </w:t>
      </w:r>
      <w:r w:rsidR="00CB7DE3">
        <w:rPr>
          <w:rFonts w:cs="Times New Roman"/>
        </w:rPr>
        <w:fldChar w:fldCharType="begin"/>
      </w:r>
      <w:r w:rsidR="002074AD">
        <w:rPr>
          <w:rFonts w:cs="Times New Roman"/>
        </w:rPr>
        <w:instrText xml:space="preserve"> ADDIN ZOTERO_ITEM CSL_CITATION {"citationID":"a1etoscn7ob","properties":{"formattedCitation":"\\uldash{(Tokar\\uc0\\u269{}\\uc0\\u237{}kov\\uc0\\u225{} et al., 2021)}","plainCitation":"(Tokarčíková et al., 2021)","dontUpdate":true,"noteIndex":0},"citationItems":[{"id":1212,"uris":["http://zotero.org/users/8423188/items/JRI59G4P"],"itemData":{"id":1212,"type":"article-journal","abstract":"Although both beryllium and its compounds display high toxicity, little attention has been focused on the removal of beryllium from wastewaters. In this research, magnetically modiﬁed biochar obtained from poor-quality wheat with two distinct FexOy contents was studied as a sorbent for the elimination of beryllium from an aqueous solution. The determined elimination efﬁciency was higher than 80% in both prepared composites, and the presence of FexOy did not affect the sorption properties. The experimental qmax values were determined to be 1.44 mg/g for original biochar and biochar with lower content of iron and 1.45 mg/g for the biochar with higher iron content. The optimum pH values favorable for sorption were determined to be 6. After the sorption procedure, the sorbent was still magnetically active enough to be removed from the solution by a magnet. Using magnetically modiﬁed sorbents proved to be an easy to apply, low-cost, and effective technique.","container-title":"Materials","DOI":"10.3390/ma14216610","ISSN":"1996-1944","issue":"21","journalAbbreviation":"Materials","language":"en","page":"6610","source":"DOI.org (Crossref)","title":"Magnetically Modified Biosorbent for Rapid Beryllium Elimination from the Aqueous Environment","volume":"14","author":[{"family":"Tokarčíková","given":"Michaela"},{"family":"Motyka","given":"Oldřich"},{"family":"Peikertová","given":"Pavlína"},{"family":"Gabor","given":"Roman"},{"family":"Seidlerová","given":"Jana"}],"issued":{"date-parts":[["2021",11,3]]}}}],"schema":"https://github.com/citation-style-language/schema/raw/master/csl-citation.json"} </w:instrText>
      </w:r>
      <w:r w:rsidR="00CB7DE3">
        <w:rPr>
          <w:rFonts w:cs="Times New Roman"/>
        </w:rPr>
        <w:fldChar w:fldCharType="separate"/>
      </w:r>
      <w:r w:rsidR="00CB7DE3" w:rsidRPr="00CB7DE3">
        <w:rPr>
          <w:rFonts w:cs="Times New Roman"/>
          <w:u w:val="dash"/>
        </w:rPr>
        <w:t xml:space="preserve">Tokarčíková et al. </w:t>
      </w:r>
      <w:r w:rsidR="00CB7DE3">
        <w:rPr>
          <w:rFonts w:cs="Times New Roman"/>
          <w:u w:val="dash"/>
        </w:rPr>
        <w:t>(</w:t>
      </w:r>
      <w:r w:rsidR="00CB7DE3" w:rsidRPr="00CB7DE3">
        <w:rPr>
          <w:rFonts w:cs="Times New Roman"/>
          <w:u w:val="dash"/>
        </w:rPr>
        <w:t>2021)</w:t>
      </w:r>
      <w:r w:rsidR="00CB7DE3">
        <w:rPr>
          <w:rFonts w:cs="Times New Roman"/>
        </w:rPr>
        <w:fldChar w:fldCharType="end"/>
      </w:r>
      <w:r w:rsidR="00CB7DE3">
        <w:rPr>
          <w:rFonts w:cs="Times New Roman"/>
        </w:rPr>
        <w:t xml:space="preserve"> in removing beryllium from an aqueous solution. </w:t>
      </w:r>
      <w:r w:rsidR="00C958D4">
        <w:rPr>
          <w:rFonts w:cs="Times New Roman"/>
        </w:rPr>
        <w:t xml:space="preserve">Although the effect of the biochar alone was not investigated, the augmented biochar </w:t>
      </w:r>
      <w:r w:rsidR="00523AAC">
        <w:rPr>
          <w:rFonts w:cs="Times New Roman"/>
        </w:rPr>
        <w:t xml:space="preserve">was demonstrated to remove </w:t>
      </w:r>
      <w:r w:rsidR="001F231E">
        <w:rPr>
          <w:rFonts w:cs="Times New Roman"/>
        </w:rPr>
        <w:t>Be</w:t>
      </w:r>
      <w:r w:rsidR="001F231E">
        <w:rPr>
          <w:rFonts w:cs="Times New Roman"/>
          <w:vertAlign w:val="superscript"/>
        </w:rPr>
        <w:t>+2</w:t>
      </w:r>
      <w:r w:rsidR="001F231E">
        <w:rPr>
          <w:rFonts w:cs="Times New Roman"/>
        </w:rPr>
        <w:t xml:space="preserve"> from solution with a capacity from </w:t>
      </w:r>
      <w:r w:rsidR="009D5BA3">
        <w:rPr>
          <w:rFonts w:cs="Times New Roman"/>
        </w:rPr>
        <w:t>1.6</w:t>
      </w:r>
      <w:r w:rsidR="00F71E8F">
        <w:rPr>
          <w:rFonts w:cs="Times New Roman"/>
        </w:rPr>
        <w:t xml:space="preserve"> – 2.4 mg g</w:t>
      </w:r>
      <w:r w:rsidR="00F71E8F">
        <w:rPr>
          <w:rFonts w:cs="Times New Roman"/>
          <w:vertAlign w:val="superscript"/>
        </w:rPr>
        <w:t>-1</w:t>
      </w:r>
      <w:r w:rsidR="00F71E8F">
        <w:rPr>
          <w:rFonts w:cs="Times New Roman"/>
        </w:rPr>
        <w:t>. Generally, increasing solution pH yielded better Be</w:t>
      </w:r>
      <w:r w:rsidR="00F71E8F">
        <w:rPr>
          <w:rFonts w:cs="Times New Roman"/>
          <w:vertAlign w:val="superscript"/>
        </w:rPr>
        <w:t>+2</w:t>
      </w:r>
      <w:r w:rsidR="00F71E8F">
        <w:rPr>
          <w:rFonts w:cs="Times New Roman"/>
        </w:rPr>
        <w:t xml:space="preserve"> removal with pH 6 </w:t>
      </w:r>
      <w:r w:rsidR="00E73A8B">
        <w:rPr>
          <w:rFonts w:cs="Times New Roman"/>
        </w:rPr>
        <w:t xml:space="preserve">deemed the optimal removal point. </w:t>
      </w:r>
      <w:r w:rsidR="00045BCF">
        <w:rPr>
          <w:rFonts w:cs="Times New Roman"/>
        </w:rPr>
        <w:t xml:space="preserve">The authors argue this </w:t>
      </w:r>
      <w:r w:rsidR="00574CA1">
        <w:rPr>
          <w:rFonts w:cs="Times New Roman"/>
        </w:rPr>
        <w:t>pH affect is due to the deprotonation of active sites (carboxyl and hydroxyl groups) on the biochar surface</w:t>
      </w:r>
      <w:r w:rsidR="00E25572">
        <w:rPr>
          <w:rFonts w:cs="Times New Roman"/>
        </w:rPr>
        <w:t xml:space="preserve"> which make them available for cation bonding. </w:t>
      </w:r>
      <w:r w:rsidR="00325474">
        <w:rPr>
          <w:rFonts w:cs="Times New Roman"/>
        </w:rPr>
        <w:t xml:space="preserve">Convention would suggest that increasing pH would </w:t>
      </w:r>
      <w:r w:rsidR="007A666E">
        <w:rPr>
          <w:rFonts w:cs="Times New Roman"/>
        </w:rPr>
        <w:t>continue the deprotonation of these active sites, however, above pH 4, the complexation</w:t>
      </w:r>
      <w:r w:rsidR="0030455E">
        <w:rPr>
          <w:rFonts w:cs="Times New Roman"/>
        </w:rPr>
        <w:t xml:space="preserve"> and subsequent precipitation</w:t>
      </w:r>
      <w:r w:rsidR="007A666E">
        <w:rPr>
          <w:rFonts w:cs="Times New Roman"/>
        </w:rPr>
        <w:t xml:space="preserve"> of Be</w:t>
      </w:r>
      <w:r w:rsidR="007A666E">
        <w:rPr>
          <w:rFonts w:cs="Times New Roman"/>
          <w:vertAlign w:val="superscript"/>
        </w:rPr>
        <w:t>+2</w:t>
      </w:r>
      <w:r w:rsidR="007A666E">
        <w:rPr>
          <w:rFonts w:cs="Times New Roman"/>
        </w:rPr>
        <w:t xml:space="preserve"> </w:t>
      </w:r>
      <w:r w:rsidR="0030455E">
        <w:rPr>
          <w:rFonts w:cs="Times New Roman"/>
        </w:rPr>
        <w:t>as</w:t>
      </w:r>
      <w:r w:rsidR="007A666E">
        <w:rPr>
          <w:rFonts w:cs="Times New Roman"/>
        </w:rPr>
        <w:t xml:space="preserve"> </w:t>
      </w:r>
      <w:proofErr w:type="gramStart"/>
      <w:r w:rsidR="007A666E">
        <w:rPr>
          <w:rFonts w:cs="Times New Roman"/>
        </w:rPr>
        <w:t>Be(</w:t>
      </w:r>
      <w:proofErr w:type="gramEnd"/>
      <w:r w:rsidR="007A666E">
        <w:rPr>
          <w:rFonts w:cs="Times New Roman"/>
        </w:rPr>
        <w:t>OH)</w:t>
      </w:r>
      <w:r w:rsidR="007A666E">
        <w:rPr>
          <w:rFonts w:cs="Times New Roman"/>
          <w:vertAlign w:val="subscript"/>
        </w:rPr>
        <w:t>2</w:t>
      </w:r>
      <w:r w:rsidR="007A666E">
        <w:rPr>
          <w:rFonts w:cs="Times New Roman"/>
        </w:rPr>
        <w:t xml:space="preserve"> </w:t>
      </w:r>
      <w:r w:rsidR="0030455E">
        <w:rPr>
          <w:rFonts w:cs="Times New Roman"/>
        </w:rPr>
        <w:t>begins to reduce Be</w:t>
      </w:r>
      <w:r w:rsidR="0030455E">
        <w:rPr>
          <w:rFonts w:cs="Times New Roman"/>
          <w:vertAlign w:val="superscript"/>
        </w:rPr>
        <w:t>+2</w:t>
      </w:r>
      <w:r w:rsidR="0030455E">
        <w:rPr>
          <w:rFonts w:cs="Times New Roman"/>
        </w:rPr>
        <w:t xml:space="preserve"> in </w:t>
      </w:r>
      <w:r w:rsidR="0009774A">
        <w:rPr>
          <w:rFonts w:cs="Times New Roman"/>
        </w:rPr>
        <w:t>solution.</w:t>
      </w:r>
      <w:r w:rsidR="0030455E">
        <w:rPr>
          <w:rFonts w:cs="Times New Roman"/>
        </w:rPr>
        <w:t xml:space="preserve"> </w:t>
      </w:r>
      <w:proofErr w:type="gramStart"/>
      <w:r w:rsidR="0009774A">
        <w:rPr>
          <w:rFonts w:cs="Times New Roman"/>
        </w:rPr>
        <w:t>T</w:t>
      </w:r>
      <w:r w:rsidR="0030455E">
        <w:rPr>
          <w:rFonts w:cs="Times New Roman"/>
        </w:rPr>
        <w:t>herefore</w:t>
      </w:r>
      <w:proofErr w:type="gramEnd"/>
      <w:r w:rsidR="0030455E">
        <w:rPr>
          <w:rFonts w:cs="Times New Roman"/>
        </w:rPr>
        <w:t xml:space="preserve"> </w:t>
      </w:r>
      <w:r w:rsidR="00CF36EC">
        <w:rPr>
          <w:rFonts w:cs="Times New Roman"/>
        </w:rPr>
        <w:t>the further sorption of Be</w:t>
      </w:r>
      <w:r w:rsidR="00CF36EC">
        <w:rPr>
          <w:rFonts w:cs="Times New Roman"/>
          <w:vertAlign w:val="superscript"/>
        </w:rPr>
        <w:t>+2</w:t>
      </w:r>
      <w:r w:rsidR="00CF36EC">
        <w:rPr>
          <w:rFonts w:cs="Times New Roman"/>
        </w:rPr>
        <w:t xml:space="preserve"> onto the biochar surface</w:t>
      </w:r>
      <w:r w:rsidR="0009774A">
        <w:rPr>
          <w:rFonts w:cs="Times New Roman"/>
        </w:rPr>
        <w:t xml:space="preserve"> is limited due to</w:t>
      </w:r>
      <w:r w:rsidR="00CF36EC">
        <w:rPr>
          <w:rFonts w:cs="Times New Roman"/>
        </w:rPr>
        <w:t xml:space="preserve"> </w:t>
      </w:r>
      <w:r w:rsidR="0009774A">
        <w:rPr>
          <w:rFonts w:cs="Times New Roman"/>
        </w:rPr>
        <w:t>the</w:t>
      </w:r>
      <w:r w:rsidR="00CF36EC">
        <w:rPr>
          <w:rFonts w:cs="Times New Roman"/>
        </w:rPr>
        <w:t xml:space="preserve"> reduc</w:t>
      </w:r>
      <w:r w:rsidR="0009774A">
        <w:rPr>
          <w:rFonts w:cs="Times New Roman"/>
        </w:rPr>
        <w:t>tion of</w:t>
      </w:r>
      <w:r w:rsidR="00CF36EC">
        <w:rPr>
          <w:rFonts w:cs="Times New Roman"/>
        </w:rPr>
        <w:t xml:space="preserve"> the overall </w:t>
      </w:r>
      <w:r w:rsidR="0009774A">
        <w:rPr>
          <w:rFonts w:cs="Times New Roman"/>
        </w:rPr>
        <w:t>Be</w:t>
      </w:r>
      <w:r w:rsidR="0009774A">
        <w:rPr>
          <w:rFonts w:cs="Times New Roman"/>
          <w:vertAlign w:val="superscript"/>
        </w:rPr>
        <w:t>+2</w:t>
      </w:r>
      <w:r w:rsidR="0009774A">
        <w:rPr>
          <w:rFonts w:cs="Times New Roman"/>
        </w:rPr>
        <w:t xml:space="preserve"> concentration in the solution. </w:t>
      </w:r>
    </w:p>
    <w:p w14:paraId="6D963668" w14:textId="0A2300D4" w:rsidR="00FD4971" w:rsidRPr="00770477" w:rsidRDefault="006700F6" w:rsidP="004A2096">
      <w:pPr>
        <w:ind w:firstLine="720"/>
        <w:rPr>
          <w:rFonts w:cs="Times New Roman"/>
        </w:rPr>
      </w:pPr>
      <w:r w:rsidRPr="00770477">
        <w:rPr>
          <w:rFonts w:cs="Times New Roman"/>
        </w:rPr>
        <w:t>Little literature exists that investigates the interaction</w:t>
      </w:r>
      <w:r w:rsidR="00B56E88" w:rsidRPr="00770477">
        <w:rPr>
          <w:rFonts w:cs="Times New Roman"/>
        </w:rPr>
        <w:t xml:space="preserve"> between biochar and neonicotinoids, specifically. </w:t>
      </w:r>
      <w:r w:rsidR="008B16E9" w:rsidRPr="00770477">
        <w:rPr>
          <w:rFonts w:cs="Times New Roman"/>
        </w:rPr>
        <w:t>Despite this,</w:t>
      </w:r>
      <w:r w:rsidR="00922B37" w:rsidRPr="00770477">
        <w:rPr>
          <w:rFonts w:cs="Times New Roman"/>
        </w:rPr>
        <w:t xml:space="preserve"> </w:t>
      </w:r>
      <w:r w:rsidR="00922B37" w:rsidRPr="00770477">
        <w:rPr>
          <w:rFonts w:cs="Times New Roman"/>
        </w:rPr>
        <w:fldChar w:fldCharType="begin"/>
      </w:r>
      <w:r w:rsidR="002074AD">
        <w:rPr>
          <w:rFonts w:cs="Times New Roman"/>
        </w:rPr>
        <w:instrText xml:space="preserve"> ADDIN ZOTERO_ITEM CSL_CITATION {"citationID":"6JJHTgfW","properties":{"formattedCitation":"(P. Zhang et al., 2018)","plainCitation":"(P. Zhang et al., 2018)","dontUpdate":true,"noteIndex":0},"citationItems":[{"id":879,"uris":["http://zotero.org/users/8423188/items/F3DG544R"],"itemData":{"id":879,"type":"article-journal","abstract":"To elucidate the sorption afﬁnity of biochars for neonicotinoid pesticides and the inﬂuence of biochar structure on sorption mechanisms therein, 24 biochar samples were obtained by pyrolyzing maize straw and pig manure at pyrolyzing temperatures (PTs) of 200e700  C and by further deashing them using acids, and the sorption of three typical neonicotinoids, imidacloprid, clothianidin and thiacloprid on untreated and acid-deashed biochars were evaluated. All the biochar samples could efﬁciently adsorb the three neonicotinoids and multiple mechanisms were involved in sorption. With the increasing PTs, hydrophobic partition sorption increased, but had a declined contribution to the total sorption as revealed by a dual-mode model. Besides hydrophobic partition, speciﬁc interactions like cation-p electron donor acceptor (EDA) interactions (only for protonated IMI and CLO) and hydrogen bond and contributed much to the sorption on low-PT ( 500  C) biochars, while the sorption on those high-PT (&gt;500  C) biochars mainly depended on pore-ﬁlling strengthened by cation-p and p/p-p EDA interactions. Thiacloprid showed stronger sorption on untreated biochars compared to imidacloprid and clothianidin, due to its greater ability to form hydrogen bond and hydrophobic interactions. Aciddeashing treatments increased the relative percentage contents of organic carbon, bulk O, aromaticity and O-containing functional groups, surface area and pore volume of biochars. The ash can bind neonicotinoids by speciﬁc interactions but played a negative role in the whole sorption on high-PT biochars by covering the inner sorption sites of organic moieties and blocking the micropores in biochars. The results acquired in the present study will help us to get deep insight in the comprehensive sorption mechanisms of polar pesticides on biochar and the effects of biochar structure.","container-title":"Environmental Pollution","DOI":"10.1016/j.envpol.2017.12.013","ISSN":"02697491","journalAbbreviation":"Environmental Pollution","language":"en","page":"812-820","source":"DOI.org (Crossref)","title":"Sorption mechanisms of neonicotinoids on biochars and the impact of deashing treatments on biochar structure and neonicotinoids sorption","volume":"234","author":[{"family":"Zhang","given":"Peng"},{"family":"Sun","given":"Hongwen"},{"family":"Ren","given":"Chao"},{"family":"Min","given":"Lujuan"},{"family":"Zhang","given":"Huiming"}],"issued":{"date-parts":[["2018",3]]}}}],"schema":"https://github.com/citation-style-language/schema/raw/master/csl-citation.json"} </w:instrText>
      </w:r>
      <w:r w:rsidR="00922B37" w:rsidRPr="00770477">
        <w:rPr>
          <w:rFonts w:cs="Times New Roman"/>
        </w:rPr>
        <w:fldChar w:fldCharType="separate"/>
      </w:r>
      <w:r w:rsidR="00922B37" w:rsidRPr="00770477">
        <w:rPr>
          <w:rFonts w:cs="Times New Roman"/>
        </w:rPr>
        <w:t xml:space="preserve">P. Zhang et al. </w:t>
      </w:r>
      <w:r w:rsidR="008B16E9" w:rsidRPr="00770477">
        <w:rPr>
          <w:rFonts w:cs="Times New Roman"/>
        </w:rPr>
        <w:t>(</w:t>
      </w:r>
      <w:r w:rsidR="00922B37" w:rsidRPr="00770477">
        <w:rPr>
          <w:rFonts w:cs="Times New Roman"/>
        </w:rPr>
        <w:t>2018)</w:t>
      </w:r>
      <w:r w:rsidR="00922B37" w:rsidRPr="00770477">
        <w:rPr>
          <w:rFonts w:cs="Times New Roman"/>
        </w:rPr>
        <w:fldChar w:fldCharType="end"/>
      </w:r>
      <w:r w:rsidR="008B16E9" w:rsidRPr="00770477">
        <w:rPr>
          <w:rFonts w:cs="Times New Roman"/>
        </w:rPr>
        <w:t xml:space="preserve"> investigated the mechanisms of </w:t>
      </w:r>
      <w:r w:rsidR="00B35756" w:rsidRPr="00770477">
        <w:rPr>
          <w:rFonts w:cs="Times New Roman"/>
        </w:rPr>
        <w:t xml:space="preserve">neonicotinoid </w:t>
      </w:r>
      <w:r w:rsidR="008B16E9" w:rsidRPr="00770477">
        <w:rPr>
          <w:rFonts w:cs="Times New Roman"/>
        </w:rPr>
        <w:t xml:space="preserve">sorption </w:t>
      </w:r>
      <w:r w:rsidR="00B35756" w:rsidRPr="00770477">
        <w:rPr>
          <w:rFonts w:cs="Times New Roman"/>
        </w:rPr>
        <w:t xml:space="preserve">onto different biochars coming from two different sources (maize straw and pig manure) </w:t>
      </w:r>
      <w:r w:rsidR="0006240B" w:rsidRPr="00770477">
        <w:rPr>
          <w:rFonts w:cs="Times New Roman"/>
        </w:rPr>
        <w:t xml:space="preserve">at two different pyrolysis temperatures (&gt;500°C and ≤500°C). </w:t>
      </w:r>
      <w:r w:rsidR="00785E31" w:rsidRPr="00770477">
        <w:rPr>
          <w:rFonts w:cs="Times New Roman"/>
        </w:rPr>
        <w:t xml:space="preserve">Results from a dual-mode </w:t>
      </w:r>
      <w:r w:rsidR="00FF6B47" w:rsidRPr="00770477">
        <w:rPr>
          <w:rFonts w:cs="Times New Roman"/>
        </w:rPr>
        <w:t xml:space="preserve">partition model showed </w:t>
      </w:r>
      <w:r w:rsidR="005E0048" w:rsidRPr="00770477">
        <w:rPr>
          <w:rFonts w:cs="Times New Roman"/>
        </w:rPr>
        <w:t xml:space="preserve">that the two biochars used have </w:t>
      </w:r>
      <w:r w:rsidR="00092D28" w:rsidRPr="00770477">
        <w:rPr>
          <w:rFonts w:cs="Times New Roman"/>
        </w:rPr>
        <w:t xml:space="preserve">promise to </w:t>
      </w:r>
      <w:r w:rsidR="2F37CC95" w:rsidRPr="00770477">
        <w:rPr>
          <w:rFonts w:cs="Times New Roman"/>
        </w:rPr>
        <w:t>remove</w:t>
      </w:r>
      <w:r w:rsidR="00092D28" w:rsidRPr="00770477">
        <w:rPr>
          <w:rFonts w:cs="Times New Roman"/>
        </w:rPr>
        <w:t xml:space="preserve"> neonicotinoids from solution</w:t>
      </w:r>
      <w:r w:rsidR="00446470" w:rsidRPr="00770477">
        <w:rPr>
          <w:rFonts w:cs="Times New Roman"/>
        </w:rPr>
        <w:t xml:space="preserve">. </w:t>
      </w:r>
      <w:r w:rsidR="00DB12AA" w:rsidRPr="00770477">
        <w:rPr>
          <w:rFonts w:cs="Times New Roman"/>
        </w:rPr>
        <w:t xml:space="preserve">High temperature pyrolysis and biochar preconditioning tended to </w:t>
      </w:r>
      <w:r w:rsidR="004D7BA5" w:rsidRPr="00770477">
        <w:rPr>
          <w:rFonts w:cs="Times New Roman"/>
        </w:rPr>
        <w:t>improve the sorption capacity of the biochars</w:t>
      </w:r>
      <w:r w:rsidR="00A34765" w:rsidRPr="00770477">
        <w:rPr>
          <w:rFonts w:cs="Times New Roman"/>
        </w:rPr>
        <w:t xml:space="preserve">, however, these processes </w:t>
      </w:r>
      <w:r w:rsidR="007F25CA" w:rsidRPr="00770477">
        <w:rPr>
          <w:rFonts w:cs="Times New Roman"/>
        </w:rPr>
        <w:t xml:space="preserve">often are more expensive than un-conditioned, low temperature pyrolysis. </w:t>
      </w:r>
      <w:r w:rsidR="00E0267B" w:rsidRPr="00770477">
        <w:rPr>
          <w:rFonts w:cs="Times New Roman"/>
        </w:rPr>
        <w:t>Sorption mechanisms varied across different sub-species of neonicotinoids (here</w:t>
      </w:r>
      <w:r w:rsidR="005A698F" w:rsidRPr="00770477">
        <w:rPr>
          <w:rFonts w:cs="Times New Roman"/>
        </w:rPr>
        <w:t xml:space="preserve"> imidacloprid, clothianidin, and thiacloprid)</w:t>
      </w:r>
      <w:r w:rsidR="005A6399" w:rsidRPr="00770477">
        <w:rPr>
          <w:rFonts w:cs="Times New Roman"/>
        </w:rPr>
        <w:t xml:space="preserve"> </w:t>
      </w:r>
      <w:r w:rsidR="005B0C76" w:rsidRPr="00770477">
        <w:rPr>
          <w:rFonts w:cs="Times New Roman"/>
        </w:rPr>
        <w:t xml:space="preserve">and </w:t>
      </w:r>
      <w:r w:rsidR="005A6399" w:rsidRPr="00770477">
        <w:rPr>
          <w:rFonts w:cs="Times New Roman"/>
        </w:rPr>
        <w:t xml:space="preserve">different biochars (sources, preparation, and conditioning). Overall, the dominant mechanisms were </w:t>
      </w:r>
      <w:r w:rsidR="00124B07" w:rsidRPr="00770477">
        <w:rPr>
          <w:rFonts w:cs="Times New Roman"/>
        </w:rPr>
        <w:t xml:space="preserve">cation-π interactions, π- π interactions, </w:t>
      </w:r>
      <w:r w:rsidR="00655451" w:rsidRPr="00770477">
        <w:rPr>
          <w:rFonts w:cs="Times New Roman"/>
        </w:rPr>
        <w:t>H-</w:t>
      </w:r>
      <w:r w:rsidR="00655451" w:rsidRPr="00770477">
        <w:rPr>
          <w:rFonts w:cs="Times New Roman"/>
        </w:rPr>
        <w:lastRenderedPageBreak/>
        <w:t>bond interactions</w:t>
      </w:r>
      <w:r w:rsidR="00700055" w:rsidRPr="00770477">
        <w:rPr>
          <w:rFonts w:cs="Times New Roman"/>
        </w:rPr>
        <w:t>, and</w:t>
      </w:r>
      <w:r w:rsidR="00655451" w:rsidRPr="00770477">
        <w:rPr>
          <w:rFonts w:cs="Times New Roman"/>
        </w:rPr>
        <w:t xml:space="preserve"> hydrophobic effects. </w:t>
      </w:r>
      <w:r w:rsidR="00FE7954" w:rsidRPr="00770477">
        <w:rPr>
          <w:rFonts w:cs="Times New Roman"/>
        </w:rPr>
        <w:t xml:space="preserve">Imidacloprid and </w:t>
      </w:r>
      <w:r w:rsidR="0070682C" w:rsidRPr="00770477">
        <w:rPr>
          <w:rFonts w:cs="Times New Roman"/>
        </w:rPr>
        <w:t>clothianidin</w:t>
      </w:r>
      <w:r w:rsidR="00DA2411" w:rsidRPr="00770477">
        <w:rPr>
          <w:rFonts w:cs="Times New Roman"/>
        </w:rPr>
        <w:t xml:space="preserve"> sorption</w:t>
      </w:r>
      <w:r w:rsidR="0070682C" w:rsidRPr="00770477">
        <w:rPr>
          <w:rFonts w:cs="Times New Roman"/>
        </w:rPr>
        <w:t xml:space="preserve"> </w:t>
      </w:r>
      <w:r w:rsidR="00D25857" w:rsidRPr="00770477">
        <w:rPr>
          <w:rFonts w:cs="Times New Roman"/>
        </w:rPr>
        <w:t>under cation-competitive conditions (Ca</w:t>
      </w:r>
      <w:r w:rsidR="00D25857" w:rsidRPr="00770477">
        <w:rPr>
          <w:rFonts w:cs="Times New Roman"/>
          <w:vertAlign w:val="superscript"/>
        </w:rPr>
        <w:t>2+</w:t>
      </w:r>
      <w:r w:rsidR="00D25857" w:rsidRPr="00770477">
        <w:rPr>
          <w:rFonts w:cs="Times New Roman"/>
        </w:rPr>
        <w:t xml:space="preserve"> in this case) were found to not </w:t>
      </w:r>
      <w:r w:rsidR="00DA2411" w:rsidRPr="00770477">
        <w:rPr>
          <w:rFonts w:cs="Times New Roman"/>
        </w:rPr>
        <w:t xml:space="preserve">be greatly affected showing that cation-π and π- π interactions are likely </w:t>
      </w:r>
      <w:r w:rsidR="00292B43" w:rsidRPr="00770477">
        <w:rPr>
          <w:rFonts w:cs="Times New Roman"/>
        </w:rPr>
        <w:t xml:space="preserve">more </w:t>
      </w:r>
      <w:r w:rsidR="00A81243">
        <w:rPr>
          <w:rFonts w:cs="Times New Roman"/>
        </w:rPr>
        <w:t>important</w:t>
      </w:r>
      <w:r w:rsidR="00292B43" w:rsidRPr="00770477">
        <w:rPr>
          <w:rFonts w:cs="Times New Roman"/>
        </w:rPr>
        <w:t xml:space="preserve"> removal mechanisms than electrostatic effects. </w:t>
      </w:r>
      <w:r w:rsidR="0039732D" w:rsidRPr="00770477">
        <w:rPr>
          <w:rFonts w:cs="Times New Roman"/>
        </w:rPr>
        <w:t xml:space="preserve">With thiacloprid, π- π and h-bond </w:t>
      </w:r>
      <w:r w:rsidR="00D33933" w:rsidRPr="00770477">
        <w:rPr>
          <w:rFonts w:cs="Times New Roman"/>
        </w:rPr>
        <w:t xml:space="preserve">interactions were thought to be the primary removal mechanism. </w:t>
      </w:r>
      <w:r w:rsidR="003F06C3" w:rsidRPr="00770477">
        <w:rPr>
          <w:rFonts w:cs="Times New Roman"/>
        </w:rPr>
        <w:t xml:space="preserve">Another study by </w:t>
      </w:r>
      <w:r w:rsidR="003F06C3" w:rsidRPr="00770477">
        <w:rPr>
          <w:rFonts w:cs="Times New Roman"/>
        </w:rPr>
        <w:fldChar w:fldCharType="begin"/>
      </w:r>
      <w:r w:rsidR="002074AD">
        <w:rPr>
          <w:rFonts w:cs="Times New Roman"/>
        </w:rPr>
        <w:instrText xml:space="preserve"> ADDIN ZOTERO_ITEM CSL_CITATION {"citationID":"Z4f9DnRc","properties":{"formattedCitation":"(Shi et al., 2022)","plainCitation":"(Shi et al., 2022)","dontUpdate":true,"noteIndex":0},"citationItems":[{"id":925,"uris":["http://zotero.org/users/8423188/items/Q5SQFGQE"],"itemData":{"id":925,"type":"article-journal","abstract":"Neonicotinoid pesticides (NEOs) are the most widely used insecticides in the world and pose a serious threat to ecological systems. Thus, the development of an efficient and sustainable technique for their removal is urgently needed. In this study, a novel biochar was prepared by pyrolysis of Tenebrio molitor frass and activated with KOH at 650 (TMFBC-650A), 750 (TMFBC-750A) and 850 ◦C (TMFBC-850A). Among them, TMFBC-750A showed the best adsorption performance, and the adsorption capacities for thiacloprid (THI), nitenpyram (NIT) and dino­ tefuran (DIN) were 155.08 mg</w:instrText>
      </w:r>
      <w:r w:rsidR="002074AD">
        <w:rPr>
          <w:rFonts w:ascii="Cambria Math" w:hAnsi="Cambria Math" w:cs="Cambria Math"/>
        </w:rPr>
        <w:instrText>⋅</w:instrText>
      </w:r>
      <w:r w:rsidR="002074AD">
        <w:rPr>
          <w:rFonts w:cs="Times New Roman"/>
        </w:rPr>
        <w:instrText>g− 1, 195.86 mg</w:instrText>
      </w:r>
      <w:r w:rsidR="002074AD">
        <w:rPr>
          <w:rFonts w:ascii="Cambria Math" w:hAnsi="Cambria Math" w:cs="Cambria Math"/>
        </w:rPr>
        <w:instrText>⋅</w:instrText>
      </w:r>
      <w:r w:rsidR="002074AD">
        <w:rPr>
          <w:rFonts w:cs="Times New Roman"/>
        </w:rPr>
        <w:instrText>g− 1, 325.81 mg</w:instrText>
      </w:r>
      <w:r w:rsidR="002074AD">
        <w:rPr>
          <w:rFonts w:ascii="Cambria Math" w:hAnsi="Cambria Math" w:cs="Cambria Math"/>
        </w:rPr>
        <w:instrText>⋅</w:instrText>
      </w:r>
      <w:r w:rsidR="002074AD">
        <w:rPr>
          <w:rFonts w:cs="Times New Roman"/>
        </w:rPr>
        <w:instrText xml:space="preserve">g− 1, respectively. The isotherms for the adsorption of NIT and THI fit the Langmuir model quite well, while DIN fits the Freundlich model. Moreover, the adsorption of THI, NIT and DIN was well fitted by the pseudofirst-order kinetic model. The physicochemical characterization analysis demonstrated that the adsorption process of NEOs by TMFBC might be mainly controlled by micropore filling, π-π electron donor–acceptor interactions and functional group interactions (Hbonding, covalent bonding and hydrophobic interactions). Additionally, the thermodynamic parameters sug­ gested that NEO adsorption in this work was a spontaneous, endothermic and randomly increasing process. TMFBC also exhibited a high selective adsorption capacity regardless of solution pH and inorganic ion strength concentrations. The regenerated TMFBC (via synergistic ultrasound/ethanol) could sustainably and efficiently absorb NEOs in reuse cycles, suggesting that TMFBC has excellent reusability and stability. These results indi­ cated that TMFBC can be a potential and sustainable adsorbent for neonicotinoid pesticide removal.","container-title":"Separation and Purification Technology","language":"en","page":"12","source":"Zotero","title":"Removal of neonicotinoid pesticides by adsorption on modified Tenebrio molitor frass biochar: Kinetics and mechanism","author":[{"family":"Shi","given":"Ying"},{"family":"Wang","given":"Saier"},{"family":"Xu","given":"Man"},{"family":"Yan","given":"Xinli"},{"family":"Huang","given":"Junbiao"},{"family":"Wang","given":"Hong-wei"}],"issued":{"date-parts":[["2022"]]}}}],"schema":"https://github.com/citation-style-language/schema/raw/master/csl-citation.json"} </w:instrText>
      </w:r>
      <w:r w:rsidR="003F06C3" w:rsidRPr="00770477">
        <w:rPr>
          <w:rFonts w:cs="Times New Roman"/>
        </w:rPr>
        <w:fldChar w:fldCharType="separate"/>
      </w:r>
      <w:r w:rsidR="003F06C3" w:rsidRPr="00770477">
        <w:rPr>
          <w:rFonts w:cs="Times New Roman"/>
        </w:rPr>
        <w:t xml:space="preserve">Shi et al. </w:t>
      </w:r>
      <w:r w:rsidR="002A27C5" w:rsidRPr="00770477">
        <w:rPr>
          <w:rFonts w:cs="Times New Roman"/>
        </w:rPr>
        <w:t>(</w:t>
      </w:r>
      <w:r w:rsidR="003F06C3" w:rsidRPr="00770477">
        <w:rPr>
          <w:rFonts w:cs="Times New Roman"/>
        </w:rPr>
        <w:t>2022)</w:t>
      </w:r>
      <w:r w:rsidR="003F06C3" w:rsidRPr="00770477">
        <w:rPr>
          <w:rFonts w:cs="Times New Roman"/>
        </w:rPr>
        <w:fldChar w:fldCharType="end"/>
      </w:r>
      <w:r w:rsidR="002A27C5" w:rsidRPr="00770477">
        <w:rPr>
          <w:rFonts w:cs="Times New Roman"/>
        </w:rPr>
        <w:t xml:space="preserve"> used </w:t>
      </w:r>
      <w:r w:rsidR="000B5135" w:rsidRPr="00770477">
        <w:rPr>
          <w:rFonts w:cs="Times New Roman"/>
        </w:rPr>
        <w:t xml:space="preserve">a </w:t>
      </w:r>
      <w:r w:rsidR="00B44AA4" w:rsidRPr="00770477">
        <w:rPr>
          <w:rFonts w:cs="Times New Roman"/>
        </w:rPr>
        <w:t xml:space="preserve">high temperature pyrolysis, pre-conditioned </w:t>
      </w:r>
      <w:r w:rsidR="000B5135" w:rsidRPr="00770477">
        <w:rPr>
          <w:rFonts w:cs="Times New Roman"/>
        </w:rPr>
        <w:t xml:space="preserve">biochar made from </w:t>
      </w:r>
      <w:r w:rsidR="002A27C5" w:rsidRPr="00770477">
        <w:rPr>
          <w:rFonts w:cs="Times New Roman"/>
          <w:i/>
        </w:rPr>
        <w:t xml:space="preserve">Tenebrio </w:t>
      </w:r>
      <w:proofErr w:type="spellStart"/>
      <w:r w:rsidR="002A27C5" w:rsidRPr="00770477">
        <w:rPr>
          <w:rFonts w:cs="Times New Roman"/>
          <w:i/>
        </w:rPr>
        <w:t>molitor</w:t>
      </w:r>
      <w:proofErr w:type="spellEnd"/>
      <w:r w:rsidR="002A27C5" w:rsidRPr="00770477">
        <w:rPr>
          <w:rFonts w:cs="Times New Roman"/>
        </w:rPr>
        <w:t xml:space="preserve"> frass as a way to remove three different neonicotinoids</w:t>
      </w:r>
      <w:r w:rsidR="00E66B43" w:rsidRPr="00770477">
        <w:rPr>
          <w:rFonts w:cs="Times New Roman"/>
        </w:rPr>
        <w:t xml:space="preserve">. Sorption capacities were 155.08 </w:t>
      </w:r>
      <w:r w:rsidR="00E57198" w:rsidRPr="00770477">
        <w:rPr>
          <w:rFonts w:cs="Times New Roman"/>
        </w:rPr>
        <w:t>mg</w:t>
      </w:r>
      <w:r w:rsidR="00E57198">
        <w:rPr>
          <w:rFonts w:cs="Times New Roman"/>
        </w:rPr>
        <w:t xml:space="preserve"> </w:t>
      </w:r>
      <w:r w:rsidR="00E57198" w:rsidRPr="00770477">
        <w:rPr>
          <w:rFonts w:cs="Times New Roman"/>
        </w:rPr>
        <w:t>g</w:t>
      </w:r>
      <w:r w:rsidR="00E57198">
        <w:rPr>
          <w:rFonts w:cs="Times New Roman"/>
          <w:vertAlign w:val="superscript"/>
        </w:rPr>
        <w:t>-1</w:t>
      </w:r>
      <w:r w:rsidR="00E66B43" w:rsidRPr="00770477">
        <w:rPr>
          <w:rFonts w:cs="Times New Roman"/>
        </w:rPr>
        <w:t xml:space="preserve">, 195.86 </w:t>
      </w:r>
      <w:r w:rsidR="00E57198" w:rsidRPr="00770477">
        <w:rPr>
          <w:rFonts w:cs="Times New Roman"/>
        </w:rPr>
        <w:t>mg</w:t>
      </w:r>
      <w:r w:rsidR="00E57198">
        <w:rPr>
          <w:rFonts w:cs="Times New Roman"/>
        </w:rPr>
        <w:t xml:space="preserve"> </w:t>
      </w:r>
      <w:r w:rsidR="00E57198" w:rsidRPr="00770477">
        <w:rPr>
          <w:rFonts w:cs="Times New Roman"/>
        </w:rPr>
        <w:t>g</w:t>
      </w:r>
      <w:r w:rsidR="00E57198">
        <w:rPr>
          <w:rFonts w:cs="Times New Roman"/>
          <w:vertAlign w:val="superscript"/>
        </w:rPr>
        <w:t>-1</w:t>
      </w:r>
      <w:r w:rsidR="00E66B43" w:rsidRPr="00770477">
        <w:rPr>
          <w:rFonts w:cs="Times New Roman"/>
        </w:rPr>
        <w:t xml:space="preserve">, and 325.81 </w:t>
      </w:r>
      <w:r w:rsidR="00E57198" w:rsidRPr="00770477">
        <w:rPr>
          <w:rFonts w:cs="Times New Roman"/>
        </w:rPr>
        <w:t>mg</w:t>
      </w:r>
      <w:r w:rsidR="00E57198">
        <w:rPr>
          <w:rFonts w:cs="Times New Roman"/>
        </w:rPr>
        <w:t xml:space="preserve"> </w:t>
      </w:r>
      <w:r w:rsidR="00E57198" w:rsidRPr="00770477">
        <w:rPr>
          <w:rFonts w:cs="Times New Roman"/>
        </w:rPr>
        <w:t>g</w:t>
      </w:r>
      <w:r w:rsidR="00E57198">
        <w:rPr>
          <w:rFonts w:cs="Times New Roman"/>
          <w:vertAlign w:val="superscript"/>
        </w:rPr>
        <w:t xml:space="preserve">-1 </w:t>
      </w:r>
      <w:r w:rsidR="00E66B43" w:rsidRPr="00770477">
        <w:rPr>
          <w:rFonts w:cs="Times New Roman"/>
        </w:rPr>
        <w:t xml:space="preserve">for </w:t>
      </w:r>
      <w:r w:rsidR="000B5135" w:rsidRPr="00770477">
        <w:rPr>
          <w:rFonts w:cs="Times New Roman"/>
        </w:rPr>
        <w:t xml:space="preserve">thiacloprid, nitenpyram, and dinotefuran, respectively. </w:t>
      </w:r>
      <w:proofErr w:type="gramStart"/>
      <w:r w:rsidR="007875A8" w:rsidRPr="00770477">
        <w:rPr>
          <w:rFonts w:cs="Times New Roman"/>
        </w:rPr>
        <w:t>Similar to</w:t>
      </w:r>
      <w:proofErr w:type="gramEnd"/>
      <w:r w:rsidR="007875A8" w:rsidRPr="00770477">
        <w:rPr>
          <w:rFonts w:cs="Times New Roman"/>
        </w:rPr>
        <w:t xml:space="preserve"> the previously discussed study, the mechanisms of removal were found to be π-π</w:t>
      </w:r>
      <w:r w:rsidR="00F36392" w:rsidRPr="00770477">
        <w:rPr>
          <w:rFonts w:cs="Times New Roman"/>
        </w:rPr>
        <w:t xml:space="preserve"> interactions, h-bonding, hydrophobic interactions,</w:t>
      </w:r>
      <w:r w:rsidR="00C61BF3" w:rsidRPr="00770477">
        <w:rPr>
          <w:rFonts w:cs="Times New Roman"/>
        </w:rPr>
        <w:t xml:space="preserve"> and</w:t>
      </w:r>
      <w:r w:rsidR="00F36392" w:rsidRPr="00770477">
        <w:rPr>
          <w:rFonts w:cs="Times New Roman"/>
        </w:rPr>
        <w:t xml:space="preserve"> micropore filling</w:t>
      </w:r>
      <w:r w:rsidR="00C61BF3" w:rsidRPr="00770477">
        <w:rPr>
          <w:rFonts w:cs="Times New Roman"/>
        </w:rPr>
        <w:t xml:space="preserve">. </w:t>
      </w:r>
      <w:r w:rsidR="001830E2" w:rsidRPr="00770477">
        <w:rPr>
          <w:rFonts w:cs="Times New Roman"/>
        </w:rPr>
        <w:t xml:space="preserve">The authors also found that </w:t>
      </w:r>
      <w:r w:rsidR="00623C97" w:rsidRPr="00770477">
        <w:rPr>
          <w:rFonts w:cs="Times New Roman"/>
        </w:rPr>
        <w:t xml:space="preserve">neonicotinoid sorption was highly selective (thiacloprid &gt; </w:t>
      </w:r>
      <w:r w:rsidR="00DF1047" w:rsidRPr="00770477">
        <w:rPr>
          <w:rFonts w:cs="Times New Roman"/>
        </w:rPr>
        <w:t xml:space="preserve">nitenpyram &gt; dinotefuran) regardless of pH or </w:t>
      </w:r>
      <w:r w:rsidR="007C4B41" w:rsidRPr="00770477">
        <w:rPr>
          <w:rFonts w:cs="Times New Roman"/>
        </w:rPr>
        <w:t>inorganic ionic strength. Furthermore,</w:t>
      </w:r>
      <w:r w:rsidR="00151301" w:rsidRPr="00770477">
        <w:rPr>
          <w:rFonts w:cs="Times New Roman"/>
        </w:rPr>
        <w:t xml:space="preserve"> variable</w:t>
      </w:r>
      <w:r w:rsidR="007C4B41" w:rsidRPr="00770477">
        <w:rPr>
          <w:rFonts w:cs="Times New Roman"/>
        </w:rPr>
        <w:t xml:space="preserve"> pH did not appear to </w:t>
      </w:r>
      <w:r w:rsidR="00A81243">
        <w:rPr>
          <w:rFonts w:cs="Times New Roman"/>
        </w:rPr>
        <w:t>noticeably</w:t>
      </w:r>
      <w:r w:rsidR="00151301" w:rsidRPr="00770477">
        <w:rPr>
          <w:rFonts w:cs="Times New Roman"/>
        </w:rPr>
        <w:t xml:space="preserve"> impact the sorption of</w:t>
      </w:r>
      <w:r w:rsidR="00321546" w:rsidRPr="00770477">
        <w:rPr>
          <w:rFonts w:cs="Times New Roman"/>
        </w:rPr>
        <w:t xml:space="preserve"> neonic</w:t>
      </w:r>
      <w:r w:rsidR="00B939A9" w:rsidRPr="00770477">
        <w:rPr>
          <w:rFonts w:cs="Times New Roman"/>
        </w:rPr>
        <w:t>otinoids onto</w:t>
      </w:r>
      <w:r w:rsidR="00151301" w:rsidRPr="00770477">
        <w:rPr>
          <w:rFonts w:cs="Times New Roman"/>
        </w:rPr>
        <w:t xml:space="preserve"> the biochar</w:t>
      </w:r>
      <w:r w:rsidR="00B939A9" w:rsidRPr="00770477">
        <w:rPr>
          <w:rFonts w:cs="Times New Roman"/>
        </w:rPr>
        <w:t xml:space="preserve">. </w:t>
      </w:r>
      <w:r w:rsidR="00EF2212" w:rsidRPr="00770477">
        <w:rPr>
          <w:rFonts w:cs="Times New Roman"/>
        </w:rPr>
        <w:t xml:space="preserve">One final study looked at </w:t>
      </w:r>
      <w:r w:rsidR="00232C4C" w:rsidRPr="00770477">
        <w:rPr>
          <w:rFonts w:cs="Times New Roman"/>
        </w:rPr>
        <w:t xml:space="preserve">a low temperature pyrolysis, wood derived biochar as a soil amendment </w:t>
      </w:r>
      <w:r w:rsidR="00203385" w:rsidRPr="00770477">
        <w:rPr>
          <w:rFonts w:cs="Times New Roman"/>
        </w:rPr>
        <w:t xml:space="preserve">to increase neonicotinoid removal in pot experiments </w:t>
      </w:r>
      <w:r w:rsidR="00203385" w:rsidRPr="00770477">
        <w:rPr>
          <w:rFonts w:cs="Times New Roman"/>
        </w:rPr>
        <w:fldChar w:fldCharType="begin"/>
      </w:r>
      <w:r w:rsidR="002074AD">
        <w:rPr>
          <w:rFonts w:cs="Times New Roman"/>
        </w:rPr>
        <w:instrText xml:space="preserve"> ADDIN ZOTERO_ITEM CSL_CITATION {"citationID":"XdheJ7jZ","properties":{"formattedCitation":"(You et al., 2020)","plainCitation":"(You et al., 2020)","noteIndex":0},"citationItems":[{"id":878,"uris":["http://zotero.org/users/8423188/items/FNA67R9M"],"itemData":{"id":878,"type":"article-journal","abstract":"Information about the effect of biochar on the environmental fate of pesticide thiamethoxam (THI) in soil-vegetable ecosystems is limited. Therefore, the influence of a wood-derived biochar produced at 450 °C (BC450) on the uptake of THI by Chinese chive (Allium tuberosum) and its dissipation in soil was investigated using a 42-day pot experiment. BC450 addition decreased THI uptake and its metabolite clothianidin (CLO) by 22.8 % and 37.6 %, respectively. However, the half-life of THI in soil rose from 89.4–120 days, indicating that BC450 increased soil THI’s persistence. The decreased bioavailability and increased persistence of THI resulted mainly from the higher sorption capacity of BC450 to THI and CLO, which, in turn, enhanced the soil sorption capacity. Consequently, the application of BC450 increased the soil microbial diversity and altered the structure of the microbial community. Although the abundance of Actinobacteria associated with the biodegradation of THI, increased the persistence of THI in the BC450-amended soil, mainly due to the decrease in bioavailable THI. Our findings provide valuable information about the effect of biochar on the fate of THI and its metabolites in agricultural soil and will help to guide the practical application of biochar to remediate soils contaminated with neonicotinoid pesticides.","container-title":"Journal of Hazardous Materials","DOI":"10.1016/j.jhazmat.2019.121749","ISSN":"03043894","journalAbbreviation":"Journal of Hazardous Materials","language":"en","page":"121749","source":"DOI.org (Crossref)","title":"Biochar reduced Chinese chive (Allium tuberosum) uptake and dissipation of thiamethoxam in an agricultural soil","volume":"390","author":[{"family":"You","given":"Xiangwei"},{"family":"Jiang","given":"Huatao"},{"family":"Zhao","given":"Man"},{"family":"Suo","given":"Fengyue"},{"family":"Zhang","given":"Chengsheng"},{"family":"Zheng","given":"Hao"},{"family":"Sun","given":"Ke"},{"family":"Zhang","given":"Guangyu"},{"family":"Li","given":"Fengmin"},{"family":"Li","given":"Yiqiang"}],"issued":{"date-parts":[["2020",5]]}}}],"schema":"https://github.com/citation-style-language/schema/raw/master/csl-citation.json"} </w:instrText>
      </w:r>
      <w:r w:rsidR="00203385" w:rsidRPr="00770477">
        <w:rPr>
          <w:rFonts w:cs="Times New Roman"/>
        </w:rPr>
        <w:fldChar w:fldCharType="separate"/>
      </w:r>
      <w:r w:rsidR="00E11E17" w:rsidRPr="00770477">
        <w:rPr>
          <w:rFonts w:cs="Times New Roman"/>
        </w:rPr>
        <w:t>(You et al., 2020)</w:t>
      </w:r>
      <w:r w:rsidR="00203385" w:rsidRPr="00770477">
        <w:rPr>
          <w:rFonts w:cs="Times New Roman"/>
        </w:rPr>
        <w:fldChar w:fldCharType="end"/>
      </w:r>
      <w:r w:rsidR="00203385" w:rsidRPr="00770477">
        <w:rPr>
          <w:rFonts w:cs="Times New Roman"/>
        </w:rPr>
        <w:t xml:space="preserve">. </w:t>
      </w:r>
      <w:r w:rsidR="009C7D9A" w:rsidRPr="00770477">
        <w:rPr>
          <w:rFonts w:cs="Times New Roman"/>
        </w:rPr>
        <w:t xml:space="preserve">By adding biochar as a soil amendment, </w:t>
      </w:r>
      <w:r w:rsidR="002956A7" w:rsidRPr="00770477">
        <w:rPr>
          <w:rFonts w:cs="Times New Roman"/>
        </w:rPr>
        <w:t xml:space="preserve">thiamethoxam and clothianidin retention was increased by 22.8% and 37.6%, respectively. </w:t>
      </w:r>
      <w:r w:rsidR="00EF08C8" w:rsidRPr="00770477">
        <w:rPr>
          <w:rFonts w:cs="Times New Roman"/>
        </w:rPr>
        <w:t xml:space="preserve">Furthermore, this biochar was found to increase the </w:t>
      </w:r>
      <w:r w:rsidR="0029766E" w:rsidRPr="00770477">
        <w:rPr>
          <w:rFonts w:cs="Times New Roman"/>
        </w:rPr>
        <w:t>half-life</w:t>
      </w:r>
      <w:r w:rsidR="00EF08C8" w:rsidRPr="00770477">
        <w:rPr>
          <w:rFonts w:cs="Times New Roman"/>
        </w:rPr>
        <w:t xml:space="preserve"> of thiamethoxam </w:t>
      </w:r>
      <w:r w:rsidR="00CC07DC" w:rsidRPr="00770477">
        <w:rPr>
          <w:rFonts w:cs="Times New Roman"/>
        </w:rPr>
        <w:t>from 89.4 to 120 days</w:t>
      </w:r>
      <w:r w:rsidR="00115C1A" w:rsidRPr="00770477">
        <w:rPr>
          <w:rFonts w:cs="Times New Roman"/>
        </w:rPr>
        <w:t xml:space="preserve"> likely due to the </w:t>
      </w:r>
      <w:r w:rsidR="00AC5A85" w:rsidRPr="00770477">
        <w:rPr>
          <w:rFonts w:cs="Times New Roman"/>
        </w:rPr>
        <w:t>biochar-</w:t>
      </w:r>
      <w:r w:rsidR="00115C1A" w:rsidRPr="00770477">
        <w:rPr>
          <w:rFonts w:cs="Times New Roman"/>
        </w:rPr>
        <w:t xml:space="preserve">sorbed </w:t>
      </w:r>
      <w:r w:rsidR="00A42509" w:rsidRPr="00770477">
        <w:rPr>
          <w:rFonts w:cs="Times New Roman"/>
        </w:rPr>
        <w:t>pollutant no longer being bioavailable</w:t>
      </w:r>
      <w:r w:rsidR="00AC5A85" w:rsidRPr="00770477">
        <w:rPr>
          <w:rFonts w:cs="Times New Roman"/>
        </w:rPr>
        <w:t xml:space="preserve"> to </w:t>
      </w:r>
      <w:r w:rsidR="0024578C" w:rsidRPr="00770477">
        <w:rPr>
          <w:rFonts w:cs="Times New Roman"/>
        </w:rPr>
        <w:t xml:space="preserve">thiamethoxam-degrading microbes. </w:t>
      </w:r>
    </w:p>
    <w:p w14:paraId="401C4515" w14:textId="7609675B" w:rsidR="004A2096" w:rsidRPr="00770477" w:rsidRDefault="00D60435" w:rsidP="004A2096">
      <w:pPr>
        <w:ind w:firstLine="720"/>
        <w:rPr>
          <w:rFonts w:cs="Times New Roman"/>
        </w:rPr>
      </w:pPr>
      <w:r w:rsidRPr="00770477">
        <w:rPr>
          <w:rFonts w:cs="Times New Roman"/>
        </w:rPr>
        <w:t xml:space="preserve">One final </w:t>
      </w:r>
      <w:r w:rsidR="009942D4" w:rsidRPr="00770477">
        <w:rPr>
          <w:rFonts w:cs="Times New Roman"/>
        </w:rPr>
        <w:t xml:space="preserve">distinction to make is the difference between biochars and activated carbon. </w:t>
      </w:r>
      <w:r w:rsidR="0089089A" w:rsidRPr="00770477">
        <w:rPr>
          <w:rFonts w:cs="Times New Roman"/>
        </w:rPr>
        <w:t>Fundamentally, the</w:t>
      </w:r>
      <w:r w:rsidR="005C79D1" w:rsidRPr="00770477">
        <w:rPr>
          <w:rFonts w:cs="Times New Roman"/>
        </w:rPr>
        <w:t>y are produced in the same way both undergoing pyrolysis at high temperatures</w:t>
      </w:r>
      <w:r w:rsidR="00F6572D" w:rsidRPr="00770477">
        <w:rPr>
          <w:rFonts w:cs="Times New Roman"/>
        </w:rPr>
        <w:t>. However, the variation is in the activation process where activated carbon will be treated wi</w:t>
      </w:r>
      <w:r w:rsidR="006C1736" w:rsidRPr="00770477">
        <w:rPr>
          <w:rFonts w:cs="Times New Roman"/>
        </w:rPr>
        <w:t xml:space="preserve">th either zinc chloride, phosphoric acid, potassium hydroxide, </w:t>
      </w:r>
      <w:r w:rsidR="00F175E9" w:rsidRPr="00770477">
        <w:rPr>
          <w:rFonts w:cs="Times New Roman"/>
        </w:rPr>
        <w:t xml:space="preserve">carbon dioxide, or steam </w:t>
      </w:r>
      <w:r w:rsidR="00CE318A" w:rsidRPr="00770477">
        <w:rPr>
          <w:rFonts w:cs="Times New Roman"/>
        </w:rPr>
        <w:fldChar w:fldCharType="begin"/>
      </w:r>
      <w:r w:rsidR="002074AD">
        <w:rPr>
          <w:rFonts w:cs="Times New Roman"/>
        </w:rPr>
        <w:instrText xml:space="preserve"> ADDIN ZOTERO_ITEM CSL_CITATION {"citationID":"iJIdQOko","properties":{"formattedCitation":"(Marsh &amp; Reinoso, 2006)","plainCitation":"(Marsh &amp; Reinoso, 2006)","noteIndex":0},"citationItems":[{"id":1170,"uris":["http://zotero.org/users/8423188/items/KPIYDBJJ"],"itemData":{"id":1170,"type":"book","abstract":"A comprehensive review of the most important literature on activated carbon in one up-to-date, integrated resource","event-place":"Burlington","ISBN":"978-0-08-045596-9","language":"eng","note":"OCLC: 469388265","publisher":"Elsevier","publisher-place":"Burlington","source":"Open WorldCat","title":"Activated Carbon","author":[{"family":"Marsh","given":"Harry"},{"family":"Reinoso","given":"Francisco Rodríguez"}],"issued":{"date-parts":[["2006"]]}}}],"schema":"https://github.com/citation-style-language/schema/raw/master/csl-citation.json"} </w:instrText>
      </w:r>
      <w:r w:rsidR="00CE318A" w:rsidRPr="00770477">
        <w:rPr>
          <w:rFonts w:cs="Times New Roman"/>
        </w:rPr>
        <w:fldChar w:fldCharType="separate"/>
      </w:r>
      <w:r w:rsidR="00990DE7" w:rsidRPr="00770477">
        <w:rPr>
          <w:rFonts w:cs="Times New Roman"/>
          <w:noProof/>
        </w:rPr>
        <w:t>(Marsh &amp; Reinoso, 2006)</w:t>
      </w:r>
      <w:r w:rsidR="00CE318A" w:rsidRPr="00770477">
        <w:rPr>
          <w:rFonts w:cs="Times New Roman"/>
        </w:rPr>
        <w:fldChar w:fldCharType="end"/>
      </w:r>
      <w:r w:rsidR="007C2D4B" w:rsidRPr="00770477">
        <w:rPr>
          <w:rFonts w:cs="Times New Roman"/>
        </w:rPr>
        <w:t>.</w:t>
      </w:r>
      <w:r w:rsidR="005C79D1" w:rsidRPr="00770477">
        <w:rPr>
          <w:rFonts w:cs="Times New Roman"/>
        </w:rPr>
        <w:t xml:space="preserve"> </w:t>
      </w:r>
      <w:r w:rsidR="007C2D4B" w:rsidRPr="00770477">
        <w:rPr>
          <w:rFonts w:cs="Times New Roman"/>
        </w:rPr>
        <w:t>Despite this difference, b</w:t>
      </w:r>
      <w:r w:rsidR="003C60E0" w:rsidRPr="00770477">
        <w:rPr>
          <w:rFonts w:cs="Times New Roman"/>
        </w:rPr>
        <w:t xml:space="preserve">oth biochar and activated carbon have similar properties </w:t>
      </w:r>
      <w:r w:rsidR="003C60E0" w:rsidRPr="00770477">
        <w:rPr>
          <w:rFonts w:cs="Times New Roman"/>
        </w:rPr>
        <w:lastRenderedPageBreak/>
        <w:t xml:space="preserve">and remove contaminants </w:t>
      </w:r>
      <w:r w:rsidR="00F0108D" w:rsidRPr="00770477">
        <w:rPr>
          <w:rFonts w:cs="Times New Roman"/>
        </w:rPr>
        <w:t xml:space="preserve">through similar processes. </w:t>
      </w:r>
      <w:r w:rsidR="000C6B78" w:rsidRPr="00770477">
        <w:rPr>
          <w:rFonts w:cs="Times New Roman"/>
        </w:rPr>
        <w:t>Generally</w:t>
      </w:r>
      <w:r w:rsidR="00F0108D" w:rsidRPr="00770477">
        <w:rPr>
          <w:rFonts w:cs="Times New Roman"/>
        </w:rPr>
        <w:t>, activated carbon is commonly more effective in contaminant removal</w:t>
      </w:r>
      <w:r w:rsidR="000A4BC2" w:rsidRPr="00770477">
        <w:rPr>
          <w:rFonts w:cs="Times New Roman"/>
        </w:rPr>
        <w:t xml:space="preserve">, however, in some cases, biochar can be more effective </w:t>
      </w:r>
      <w:r w:rsidR="000A4BC2" w:rsidRPr="00770477">
        <w:rPr>
          <w:rFonts w:cs="Times New Roman"/>
        </w:rPr>
        <w:fldChar w:fldCharType="begin"/>
      </w:r>
      <w:r w:rsidR="002074AD">
        <w:rPr>
          <w:rFonts w:cs="Times New Roman"/>
        </w:rPr>
        <w:instrText xml:space="preserve"> ADDIN ZOTERO_ITEM CSL_CITATION {"citationID":"WUBvYQZL","properties":{"formattedCitation":"(Mohanty et al., 2018)","plainCitation":"(Mohanty et al., 2018)","noteIndex":0},"citationItems":[{"id":69,"uris":["http://zotero.org/users/8423188/items/7TBPG4T6"],"itemData":{"id":69,"type":"article-journal","abstract":"Low impact development (LID) systems are increasingly used to manage stormwater, but they have limited capacity to treat stormwater—a resource to supplement existing water supply in water-stressed urban areas. To enhance their pollutant removal capacity, inﬁltration-based LID systems can be augmented with natural or engineered geomedia that meet the following criteria: they should be economical, readily available, and have capacity to remove a wide range of stormwater pollutants in conditions expected during intermittent inﬁltration of stormwater. Biochar, a carbonaceous porous co-product of waste biomass pyrolysis/gasiﬁcation, meets all these criteria. Biochar can adsorb pollutants, improve water-retention capacity of soil, retain and slowly release nutrients for plant uptake, and help sustain microbiota in soil and plants atop; all these attributes could help improve removal of contaminants in stormwater treatment systems. This article discusses contaminant removal mechanisms by biochar, summarizes speciﬁc biochar properties that enhance targeted contaminants removal from stormwater, and identiﬁes challenges and opportunities to retroﬁt biochar in LID to optimize stormwater treatment.","container-title":"Science of The Total Environment","DOI":"10.1016/j.scitotenv.2018.01.037","ISSN":"00489697","journalAbbreviation":"Science of The Total Environment","language":"en","page":"1644-1658","source":"DOI.org (Crossref)","title":"Plenty of room for carbon on the ground: Potential applications of biochar for stormwater treatment","title-short":"Plenty of room for carbon on the ground","volume":"625","author":[{"family":"Mohanty","given":"Sanjay K."},{"family":"Valenca","given":"Renan"},{"family":"Berger","given":"Alexander W."},{"family":"Yu","given":"Iris K.M."},{"family":"Xiong","given":"Xinni"},{"family":"Saunders","given":"Trenton M."},{"family":"Tsang","given":"Daniel C.W."}],"issued":{"date-parts":[["2018",6]]}}}],"schema":"https://github.com/citation-style-language/schema/raw/master/csl-citation.json"} </w:instrText>
      </w:r>
      <w:r w:rsidR="000A4BC2" w:rsidRPr="00770477">
        <w:rPr>
          <w:rFonts w:cs="Times New Roman"/>
        </w:rPr>
        <w:fldChar w:fldCharType="separate"/>
      </w:r>
      <w:r w:rsidR="00E11E17" w:rsidRPr="00770477">
        <w:rPr>
          <w:rFonts w:cs="Times New Roman"/>
        </w:rPr>
        <w:t>(Mohanty et al., 2018)</w:t>
      </w:r>
      <w:r w:rsidR="000A4BC2" w:rsidRPr="00770477">
        <w:rPr>
          <w:rFonts w:cs="Times New Roman"/>
        </w:rPr>
        <w:fldChar w:fldCharType="end"/>
      </w:r>
      <w:r w:rsidR="000A4BC2" w:rsidRPr="00770477">
        <w:rPr>
          <w:rFonts w:cs="Times New Roman"/>
        </w:rPr>
        <w:t xml:space="preserve">. </w:t>
      </w:r>
      <w:r w:rsidR="00DB6D3F" w:rsidRPr="00770477">
        <w:rPr>
          <w:rFonts w:cs="Times New Roman"/>
        </w:rPr>
        <w:fldChar w:fldCharType="begin"/>
      </w:r>
      <w:r w:rsidR="00DB6D3F" w:rsidRPr="00770477">
        <w:rPr>
          <w:rFonts w:cs="Times New Roman"/>
        </w:rPr>
        <w:instrText xml:space="preserve"> REF _Ref115195534 \h </w:instrText>
      </w:r>
      <w:r w:rsidR="00770477">
        <w:rPr>
          <w:rFonts w:cs="Times New Roman"/>
        </w:rPr>
        <w:instrText xml:space="preserve"> \* MERGEFORMAT </w:instrText>
      </w:r>
      <w:r w:rsidR="00DB6D3F" w:rsidRPr="00770477">
        <w:rPr>
          <w:rFonts w:cs="Times New Roman"/>
        </w:rPr>
      </w:r>
      <w:r w:rsidR="00DB6D3F" w:rsidRPr="00770477">
        <w:rPr>
          <w:rFonts w:cs="Times New Roman"/>
        </w:rPr>
        <w:fldChar w:fldCharType="separate"/>
      </w:r>
      <w:r w:rsidR="00061096" w:rsidRPr="00770477">
        <w:rPr>
          <w:rFonts w:cs="Times New Roman"/>
        </w:rPr>
        <w:t xml:space="preserve">Table </w:t>
      </w:r>
      <w:r w:rsidR="00061096">
        <w:rPr>
          <w:rFonts w:cs="Times New Roman"/>
          <w:noProof/>
        </w:rPr>
        <w:t>1</w:t>
      </w:r>
      <w:r w:rsidR="00061096">
        <w:rPr>
          <w:rFonts w:cs="Times New Roman"/>
          <w:noProof/>
        </w:rPr>
        <w:noBreakHyphen/>
        <w:t>7</w:t>
      </w:r>
      <w:r w:rsidR="00DB6D3F" w:rsidRPr="00770477">
        <w:rPr>
          <w:rFonts w:cs="Times New Roman"/>
        </w:rPr>
        <w:fldChar w:fldCharType="end"/>
      </w:r>
      <w:r w:rsidR="00DB6D3F" w:rsidRPr="00770477">
        <w:rPr>
          <w:rFonts w:cs="Times New Roman"/>
        </w:rPr>
        <w:t xml:space="preserve"> </w:t>
      </w:r>
      <w:r w:rsidR="006E4629" w:rsidRPr="00770477">
        <w:rPr>
          <w:rFonts w:cs="Times New Roman"/>
        </w:rPr>
        <w:t xml:space="preserve">amended from </w:t>
      </w:r>
      <w:r w:rsidR="006E4629" w:rsidRPr="00770477">
        <w:rPr>
          <w:rFonts w:cs="Times New Roman"/>
        </w:rPr>
        <w:fldChar w:fldCharType="begin"/>
      </w:r>
      <w:r w:rsidR="002074AD">
        <w:rPr>
          <w:rFonts w:cs="Times New Roman"/>
        </w:rPr>
        <w:instrText xml:space="preserve"> ADDIN ZOTERO_ITEM CSL_CITATION {"citationID":"xCaUPww3","properties":{"formattedCitation":"(Mohanty et al., 2018)","plainCitation":"(Mohanty et al., 2018)","dontUpdate":true,"noteIndex":0},"citationItems":[{"id":69,"uris":["http://zotero.org/users/8423188/items/7TBPG4T6"],"itemData":{"id":69,"type":"article-journal","abstract":"Low impact development (LID) systems are increasingly used to manage stormwater, but they have limited capacity to treat stormwater—a resource to supplement existing water supply in water-stressed urban areas. To enhance their pollutant removal capacity, inﬁltration-based LID systems can be augmented with natural or engineered geomedia that meet the following criteria: they should be economical, readily available, and have capacity to remove a wide range of stormwater pollutants in conditions expected during intermittent inﬁltration of stormwater. Biochar, a carbonaceous porous co-product of waste biomass pyrolysis/gasiﬁcation, meets all these criteria. Biochar can adsorb pollutants, improve water-retention capacity of soil, retain and slowly release nutrients for plant uptake, and help sustain microbiota in soil and plants atop; all these attributes could help improve removal of contaminants in stormwater treatment systems. This article discusses contaminant removal mechanisms by biochar, summarizes speciﬁc biochar properties that enhance targeted contaminants removal from stormwater, and identiﬁes challenges and opportunities to retroﬁt biochar in LID to optimize stormwater treatment.","container-title":"Science of The Total Environment","DOI":"10.1016/j.scitotenv.2018.01.037","ISSN":"00489697","journalAbbreviation":"Science of The Total Environment","language":"en","page":"1644-1658","source":"DOI.org (Crossref)","title":"Plenty of room for carbon on the ground: Potential applications of biochar for stormwater treatment","title-short":"Plenty of room for carbon on the ground","volume":"625","author":[{"family":"Mohanty","given":"Sanjay K."},{"family":"Valenca","given":"Renan"},{"family":"Berger","given":"Alexander W."},{"family":"Yu","given":"Iris K.M."},{"family":"Xiong","given":"Xinni"},{"family":"Saunders","given":"Trenton M."},{"family":"Tsang","given":"Daniel C.W."}],"issued":{"date-parts":[["2018",6]]}}}],"schema":"https://github.com/citation-style-language/schema/raw/master/csl-citation.json"} </w:instrText>
      </w:r>
      <w:r w:rsidR="006E4629" w:rsidRPr="00770477">
        <w:rPr>
          <w:rFonts w:cs="Times New Roman"/>
        </w:rPr>
        <w:fldChar w:fldCharType="separate"/>
      </w:r>
      <w:r w:rsidR="006E4629" w:rsidRPr="00770477">
        <w:rPr>
          <w:rFonts w:cs="Times New Roman"/>
        </w:rPr>
        <w:t>Mohanty et al. (2018)</w:t>
      </w:r>
      <w:r w:rsidR="006E4629" w:rsidRPr="00770477">
        <w:rPr>
          <w:rFonts w:cs="Times New Roman"/>
        </w:rPr>
        <w:fldChar w:fldCharType="end"/>
      </w:r>
      <w:r w:rsidR="006E4629" w:rsidRPr="00770477">
        <w:rPr>
          <w:rFonts w:cs="Times New Roman"/>
        </w:rPr>
        <w:t xml:space="preserve"> demonstrates the </w:t>
      </w:r>
      <w:r w:rsidR="008A61A1" w:rsidRPr="00770477">
        <w:rPr>
          <w:rFonts w:cs="Times New Roman"/>
        </w:rPr>
        <w:t xml:space="preserve">properties and performance of biochar vs. activated carbon. </w:t>
      </w:r>
      <w:r w:rsidR="00291D08" w:rsidRPr="00770477">
        <w:rPr>
          <w:rFonts w:cs="Times New Roman"/>
        </w:rPr>
        <w:t xml:space="preserve">As is evident, the cost to </w:t>
      </w:r>
      <w:r w:rsidR="00965853" w:rsidRPr="00770477">
        <w:rPr>
          <w:rFonts w:cs="Times New Roman"/>
        </w:rPr>
        <w:t>produce</w:t>
      </w:r>
      <w:r w:rsidR="00291D08" w:rsidRPr="00770477">
        <w:rPr>
          <w:rFonts w:cs="Times New Roman"/>
        </w:rPr>
        <w:t xml:space="preserve"> activated carbon is </w:t>
      </w:r>
      <w:r w:rsidR="00965853" w:rsidRPr="00770477">
        <w:rPr>
          <w:rFonts w:cs="Times New Roman"/>
        </w:rPr>
        <w:t>almost always</w:t>
      </w:r>
      <w:r w:rsidR="00291D08" w:rsidRPr="00770477">
        <w:rPr>
          <w:rFonts w:cs="Times New Roman"/>
        </w:rPr>
        <w:t xml:space="preserve"> </w:t>
      </w:r>
      <w:r w:rsidR="16133A17" w:rsidRPr="00770477">
        <w:rPr>
          <w:rFonts w:cs="Times New Roman"/>
        </w:rPr>
        <w:t>greater</w:t>
      </w:r>
      <w:r w:rsidR="00291D08" w:rsidRPr="00770477">
        <w:rPr>
          <w:rFonts w:cs="Times New Roman"/>
        </w:rPr>
        <w:t xml:space="preserve"> than biochar </w:t>
      </w:r>
      <w:r w:rsidR="00E70E9E" w:rsidRPr="00770477">
        <w:rPr>
          <w:rFonts w:cs="Times New Roman"/>
        </w:rPr>
        <w:t xml:space="preserve">making the cost per unit of contaminant removed </w:t>
      </w:r>
      <w:r w:rsidR="00966F75" w:rsidRPr="00770477">
        <w:rPr>
          <w:rFonts w:cs="Times New Roman"/>
        </w:rPr>
        <w:t xml:space="preserve">less feasible and </w:t>
      </w:r>
      <w:r w:rsidR="00815B36" w:rsidRPr="00770477">
        <w:rPr>
          <w:rFonts w:cs="Times New Roman"/>
        </w:rPr>
        <w:t>supports the widespread use of biochar for pollution control.</w:t>
      </w:r>
    </w:p>
    <w:p w14:paraId="1D067DDA" w14:textId="77777777" w:rsidR="004A2096" w:rsidRPr="00770477" w:rsidRDefault="004A2096">
      <w:pPr>
        <w:spacing w:line="240" w:lineRule="auto"/>
        <w:rPr>
          <w:rFonts w:cs="Times New Roman"/>
        </w:rPr>
      </w:pPr>
      <w:r w:rsidRPr="00770477">
        <w:rPr>
          <w:rFonts w:cs="Times New Roman"/>
        </w:rPr>
        <w:br w:type="page"/>
      </w:r>
    </w:p>
    <w:p w14:paraId="0334BA46" w14:textId="6E9BB4DC" w:rsidR="00D60435" w:rsidRPr="00770477" w:rsidRDefault="00D60435" w:rsidP="004A2096">
      <w:pPr>
        <w:rPr>
          <w:rFonts w:cs="Times New Roman"/>
        </w:rPr>
      </w:pPr>
    </w:p>
    <w:p w14:paraId="6676451F" w14:textId="77777777" w:rsidR="004A2096" w:rsidRPr="00770477" w:rsidRDefault="004A2096" w:rsidP="004A2096">
      <w:pPr>
        <w:rPr>
          <w:rFonts w:cs="Times New Roman"/>
        </w:rPr>
      </w:pPr>
    </w:p>
    <w:p w14:paraId="1C6A0869" w14:textId="02818276" w:rsidR="00803067" w:rsidRPr="00770477" w:rsidRDefault="00803067" w:rsidP="00803067">
      <w:pPr>
        <w:pStyle w:val="Caption"/>
        <w:keepNext/>
        <w:rPr>
          <w:rFonts w:cs="Times New Roman"/>
        </w:rPr>
      </w:pPr>
      <w:bookmarkStart w:id="24" w:name="_Ref115195534"/>
      <w:bookmarkStart w:id="25" w:name="_Toc121495930"/>
      <w:r w:rsidRPr="00770477">
        <w:rPr>
          <w:rFonts w:cs="Times New Roman"/>
        </w:rPr>
        <w:t xml:space="preserve">Table </w:t>
      </w:r>
      <w:r w:rsidR="00B26DDF">
        <w:rPr>
          <w:rFonts w:cs="Times New Roman"/>
        </w:rPr>
        <w:fldChar w:fldCharType="begin"/>
      </w:r>
      <w:r w:rsidR="00B26DDF">
        <w:rPr>
          <w:rFonts w:cs="Times New Roman"/>
        </w:rPr>
        <w:instrText xml:space="preserve"> STYLEREF 1 \s </w:instrText>
      </w:r>
      <w:r w:rsidR="00B26DDF">
        <w:rPr>
          <w:rFonts w:cs="Times New Roman"/>
        </w:rPr>
        <w:fldChar w:fldCharType="separate"/>
      </w:r>
      <w:r w:rsidR="00061096">
        <w:rPr>
          <w:rFonts w:cs="Times New Roman"/>
          <w:noProof/>
        </w:rPr>
        <w:t>1</w:t>
      </w:r>
      <w:r w:rsidR="00B26DDF">
        <w:rPr>
          <w:rFonts w:cs="Times New Roman"/>
        </w:rPr>
        <w:fldChar w:fldCharType="end"/>
      </w:r>
      <w:r w:rsidR="00B26DDF">
        <w:rPr>
          <w:rFonts w:cs="Times New Roman"/>
        </w:rPr>
        <w:noBreakHyphen/>
      </w:r>
      <w:r w:rsidR="00B26DDF">
        <w:rPr>
          <w:rFonts w:cs="Times New Roman"/>
        </w:rPr>
        <w:fldChar w:fldCharType="begin"/>
      </w:r>
      <w:r w:rsidR="00B26DDF">
        <w:rPr>
          <w:rFonts w:cs="Times New Roman"/>
        </w:rPr>
        <w:instrText xml:space="preserve"> SEQ Table \* ARABIC \s 1 </w:instrText>
      </w:r>
      <w:r w:rsidR="00B26DDF">
        <w:rPr>
          <w:rFonts w:cs="Times New Roman"/>
        </w:rPr>
        <w:fldChar w:fldCharType="separate"/>
      </w:r>
      <w:r w:rsidR="00061096">
        <w:rPr>
          <w:rFonts w:cs="Times New Roman"/>
          <w:noProof/>
        </w:rPr>
        <w:t>7</w:t>
      </w:r>
      <w:r w:rsidR="00B26DDF">
        <w:rPr>
          <w:rFonts w:cs="Times New Roman"/>
        </w:rPr>
        <w:fldChar w:fldCharType="end"/>
      </w:r>
      <w:bookmarkEnd w:id="24"/>
      <w:r w:rsidRPr="00770477">
        <w:rPr>
          <w:rFonts w:cs="Times New Roman"/>
        </w:rPr>
        <w:t xml:space="preserve"> Comparison of biochar and activated carbon properties and performance</w:t>
      </w:r>
      <w:r w:rsidR="009C4BE8">
        <w:rPr>
          <w:rFonts w:cs="Times New Roman"/>
        </w:rPr>
        <w:t xml:space="preserve"> </w:t>
      </w:r>
      <w:r w:rsidR="009C4BE8">
        <w:rPr>
          <w:rFonts w:cs="Times New Roman"/>
        </w:rPr>
        <w:fldChar w:fldCharType="begin"/>
      </w:r>
      <w:r w:rsidR="002074AD">
        <w:rPr>
          <w:rFonts w:cs="Times New Roman"/>
        </w:rPr>
        <w:instrText xml:space="preserve"> ADDIN ZOTERO_ITEM CSL_CITATION {"citationID":"abug1lpmca","properties":{"formattedCitation":"(Mohanty et al., 2018)","plainCitation":"(Mohanty et al., 2018)","noteIndex":0},"citationItems":[{"id":69,"uris":["http://zotero.org/users/8423188/items/7TBPG4T6"],"itemData":{"id":69,"type":"article-journal","abstract":"Low impact development (LID) systems are increasingly used to manage stormwater, but they have limited capacity to treat stormwater—a resource to supplement existing water supply in water-stressed urban areas. To enhance their pollutant removal capacity, inﬁltration-based LID systems can be augmented with natural or engineered geomedia that meet the following criteria: they should be economical, readily available, and have capacity to remove a wide range of stormwater pollutants in conditions expected during intermittent inﬁltration of stormwater. Biochar, a carbonaceous porous co-product of waste biomass pyrolysis/gasiﬁcation, meets all these criteria. Biochar can adsorb pollutants, improve water-retention capacity of soil, retain and slowly release nutrients for plant uptake, and help sustain microbiota in soil and plants atop; all these attributes could help improve removal of contaminants in stormwater treatment systems. This article discusses contaminant removal mechanisms by biochar, summarizes speciﬁc biochar properties that enhance targeted contaminants removal from stormwater, and identiﬁes challenges and opportunities to retroﬁt biochar in LID to optimize stormwater treatment.","container-title":"Science of The Total Environment","DOI":"10.1016/j.scitotenv.2018.01.037","ISSN":"00489697","journalAbbreviation":"Science of The Total Environment","language":"en","page":"1644-1658","source":"DOI.org (Crossref)","title":"Plenty of room for carbon on the ground: Potential applications of biochar for stormwater treatment","title-short":"Plenty of room for carbon on the ground","volume":"625","author":[{"family":"Mohanty","given":"Sanjay K."},{"family":"Valenca","given":"Renan"},{"family":"Berger","given":"Alexander W."},{"family":"Yu","given":"Iris K.M."},{"family":"Xiong","given":"Xinni"},{"family":"Saunders","given":"Trenton M."},{"family":"Tsang","given":"Daniel C.W."}],"issued":{"date-parts":[["2018",6]]}}}],"schema":"https://github.com/citation-style-language/schema/raw/master/csl-citation.json"} </w:instrText>
      </w:r>
      <w:r w:rsidR="009C4BE8">
        <w:rPr>
          <w:rFonts w:cs="Times New Roman"/>
        </w:rPr>
        <w:fldChar w:fldCharType="separate"/>
      </w:r>
      <w:r w:rsidR="002074AD" w:rsidRPr="002074AD">
        <w:rPr>
          <w:rFonts w:cs="Times New Roman"/>
          <w:color w:val="808080"/>
        </w:rPr>
        <w:t>(Mohanty et al., 2018)</w:t>
      </w:r>
      <w:r w:rsidR="009C4BE8">
        <w:rPr>
          <w:rFonts w:cs="Times New Roman"/>
        </w:rPr>
        <w:fldChar w:fldCharType="end"/>
      </w:r>
      <w:r w:rsidR="0002617D">
        <w:rPr>
          <w:rFonts w:cs="Times New Roman"/>
        </w:rPr>
        <w:t>.</w:t>
      </w:r>
      <w:bookmarkEnd w:id="25"/>
    </w:p>
    <w:tbl>
      <w:tblPr>
        <w:tblStyle w:val="PlainTable5"/>
        <w:tblW w:w="0" w:type="auto"/>
        <w:tblLook w:val="04A0" w:firstRow="1" w:lastRow="0" w:firstColumn="1" w:lastColumn="0" w:noHBand="0" w:noVBand="1"/>
      </w:tblPr>
      <w:tblGrid>
        <w:gridCol w:w="6205"/>
        <w:gridCol w:w="1170"/>
        <w:gridCol w:w="1975"/>
      </w:tblGrid>
      <w:tr w:rsidR="00815B36" w:rsidRPr="00770477" w14:paraId="69E85B60" w14:textId="77777777" w:rsidTr="004E6D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205" w:type="dxa"/>
          </w:tcPr>
          <w:p w14:paraId="640A3961" w14:textId="506CA755" w:rsidR="00815B36" w:rsidRPr="00770477" w:rsidRDefault="00815B36" w:rsidP="00C57F55">
            <w:pPr>
              <w:spacing w:line="240" w:lineRule="auto"/>
              <w:rPr>
                <w:rFonts w:cs="Times New Roman"/>
              </w:rPr>
            </w:pPr>
            <w:r w:rsidRPr="00770477">
              <w:rPr>
                <w:rFonts w:cs="Times New Roman"/>
              </w:rPr>
              <w:t>Parameter</w:t>
            </w:r>
          </w:p>
        </w:tc>
        <w:tc>
          <w:tcPr>
            <w:tcW w:w="1170" w:type="dxa"/>
          </w:tcPr>
          <w:p w14:paraId="774839CB" w14:textId="1983324D" w:rsidR="00815B36" w:rsidRPr="00770477" w:rsidRDefault="00815B36" w:rsidP="0002617D">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70477">
              <w:rPr>
                <w:rFonts w:cs="Times New Roman"/>
              </w:rPr>
              <w:t>Biochar</w:t>
            </w:r>
          </w:p>
        </w:tc>
        <w:tc>
          <w:tcPr>
            <w:tcW w:w="1975" w:type="dxa"/>
          </w:tcPr>
          <w:p w14:paraId="28DE0EBE" w14:textId="382A623F" w:rsidR="00815B36" w:rsidRPr="00770477" w:rsidRDefault="00815B36" w:rsidP="0002617D">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70477">
              <w:rPr>
                <w:rFonts w:cs="Times New Roman"/>
              </w:rPr>
              <w:t>Activated Carbon</w:t>
            </w:r>
          </w:p>
        </w:tc>
      </w:tr>
      <w:tr w:rsidR="00815B36" w:rsidRPr="00770477" w14:paraId="324B67B5" w14:textId="77777777" w:rsidTr="004E6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5" w:type="dxa"/>
          </w:tcPr>
          <w:p w14:paraId="12064F3D" w14:textId="020FC271" w:rsidR="00815B36" w:rsidRPr="00770477" w:rsidRDefault="004E6DC4" w:rsidP="00C57F55">
            <w:pPr>
              <w:spacing w:line="240" w:lineRule="auto"/>
              <w:rPr>
                <w:rFonts w:cs="Times New Roman"/>
              </w:rPr>
            </w:pPr>
            <w:r w:rsidRPr="00770477">
              <w:rPr>
                <w:rFonts w:cs="Times New Roman"/>
              </w:rPr>
              <w:t>Cost (USD</w:t>
            </w:r>
            <w:r w:rsidR="00E57198">
              <w:rPr>
                <w:rFonts w:cs="Times New Roman"/>
              </w:rPr>
              <w:t xml:space="preserve"> per </w:t>
            </w:r>
            <w:r w:rsidRPr="00770477">
              <w:rPr>
                <w:rFonts w:cs="Times New Roman"/>
              </w:rPr>
              <w:t>metric ton)</w:t>
            </w:r>
          </w:p>
        </w:tc>
        <w:tc>
          <w:tcPr>
            <w:tcW w:w="1170" w:type="dxa"/>
          </w:tcPr>
          <w:p w14:paraId="171A9714" w14:textId="6D8A7D4B" w:rsidR="00815B36" w:rsidRPr="00770477" w:rsidRDefault="004E6DC4"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350-1200</w:t>
            </w:r>
          </w:p>
        </w:tc>
        <w:tc>
          <w:tcPr>
            <w:tcW w:w="1975" w:type="dxa"/>
          </w:tcPr>
          <w:p w14:paraId="72228B6A" w14:textId="120B7456" w:rsidR="00815B36" w:rsidRPr="00770477" w:rsidRDefault="004E6DC4"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1100-1700</w:t>
            </w:r>
          </w:p>
        </w:tc>
      </w:tr>
      <w:tr w:rsidR="00815B36" w:rsidRPr="00770477" w14:paraId="3B7EEC02" w14:textId="77777777" w:rsidTr="004E6DC4">
        <w:tc>
          <w:tcPr>
            <w:cnfStyle w:val="001000000000" w:firstRow="0" w:lastRow="0" w:firstColumn="1" w:lastColumn="0" w:oddVBand="0" w:evenVBand="0" w:oddHBand="0" w:evenHBand="0" w:firstRowFirstColumn="0" w:firstRowLastColumn="0" w:lastRowFirstColumn="0" w:lastRowLastColumn="0"/>
            <w:tcW w:w="6205" w:type="dxa"/>
          </w:tcPr>
          <w:p w14:paraId="11D64A85" w14:textId="43A43CA6" w:rsidR="00815B36" w:rsidRPr="00770477" w:rsidRDefault="004E6DC4" w:rsidP="00C57F55">
            <w:pPr>
              <w:spacing w:line="240" w:lineRule="auto"/>
              <w:rPr>
                <w:rFonts w:cs="Times New Roman"/>
              </w:rPr>
            </w:pPr>
            <w:r w:rsidRPr="00770477">
              <w:rPr>
                <w:rFonts w:cs="Times New Roman"/>
              </w:rPr>
              <w:t>Energy demand (MJ</w:t>
            </w:r>
            <w:r w:rsidR="00E57198">
              <w:rPr>
                <w:rFonts w:cs="Times New Roman"/>
              </w:rPr>
              <w:t xml:space="preserve"> </w:t>
            </w:r>
            <w:proofErr w:type="gramStart"/>
            <w:r w:rsidRPr="00770477">
              <w:rPr>
                <w:rFonts w:cs="Times New Roman"/>
              </w:rPr>
              <w:t>kg</w:t>
            </w:r>
            <w:r w:rsidR="00E57198">
              <w:rPr>
                <w:rFonts w:cs="Times New Roman"/>
                <w:vertAlign w:val="superscript"/>
              </w:rPr>
              <w:t>-1</w:t>
            </w:r>
            <w:proofErr w:type="gramEnd"/>
            <w:r w:rsidRPr="00770477">
              <w:rPr>
                <w:rFonts w:cs="Times New Roman"/>
              </w:rPr>
              <w:t>)</w:t>
            </w:r>
          </w:p>
        </w:tc>
        <w:tc>
          <w:tcPr>
            <w:tcW w:w="1170" w:type="dxa"/>
          </w:tcPr>
          <w:p w14:paraId="64F599E5" w14:textId="5B126E6A" w:rsidR="00815B36" w:rsidRPr="00770477" w:rsidRDefault="004E6DC4"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6.1</w:t>
            </w:r>
          </w:p>
        </w:tc>
        <w:tc>
          <w:tcPr>
            <w:tcW w:w="1975" w:type="dxa"/>
          </w:tcPr>
          <w:p w14:paraId="3D1DCE44" w14:textId="67B92B26" w:rsidR="00815B36" w:rsidRPr="00770477" w:rsidRDefault="004E6DC4"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97</w:t>
            </w:r>
          </w:p>
        </w:tc>
      </w:tr>
      <w:tr w:rsidR="00815B36" w:rsidRPr="00770477" w14:paraId="144244A3" w14:textId="77777777" w:rsidTr="004E6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5" w:type="dxa"/>
          </w:tcPr>
          <w:p w14:paraId="0F30D262" w14:textId="66D5BD8B" w:rsidR="00815B36" w:rsidRPr="00770477" w:rsidRDefault="004E6DC4" w:rsidP="00C57F55">
            <w:pPr>
              <w:spacing w:line="240" w:lineRule="auto"/>
              <w:rPr>
                <w:rFonts w:cs="Times New Roman"/>
              </w:rPr>
            </w:pPr>
            <w:r w:rsidRPr="00770477">
              <w:rPr>
                <w:rFonts w:cs="Times New Roman"/>
              </w:rPr>
              <w:t>Greenhouse gas emission (kg CO</w:t>
            </w:r>
            <w:r w:rsidRPr="00770477">
              <w:rPr>
                <w:rFonts w:cs="Times New Roman"/>
                <w:vertAlign w:val="subscript"/>
              </w:rPr>
              <w:t>2</w:t>
            </w:r>
            <w:r w:rsidR="00EB0923" w:rsidRPr="00770477">
              <w:rPr>
                <w:rFonts w:cs="Times New Roman"/>
              </w:rPr>
              <w:t xml:space="preserve"> e</w:t>
            </w:r>
            <w:r w:rsidR="00E57198">
              <w:rPr>
                <w:rFonts w:cs="Times New Roman"/>
              </w:rPr>
              <w:t xml:space="preserve"> </w:t>
            </w:r>
            <w:proofErr w:type="gramStart"/>
            <w:r w:rsidR="00EB0923" w:rsidRPr="00770477">
              <w:rPr>
                <w:rFonts w:cs="Times New Roman"/>
              </w:rPr>
              <w:t>kg</w:t>
            </w:r>
            <w:r w:rsidR="00E57198">
              <w:rPr>
                <w:rFonts w:cs="Times New Roman"/>
                <w:vertAlign w:val="superscript"/>
              </w:rPr>
              <w:t>-1</w:t>
            </w:r>
            <w:proofErr w:type="gramEnd"/>
            <w:r w:rsidR="00EB0923" w:rsidRPr="00770477">
              <w:rPr>
                <w:rFonts w:cs="Times New Roman"/>
              </w:rPr>
              <w:t>)</w:t>
            </w:r>
          </w:p>
        </w:tc>
        <w:tc>
          <w:tcPr>
            <w:tcW w:w="1170" w:type="dxa"/>
          </w:tcPr>
          <w:p w14:paraId="5F03C248" w14:textId="22103992" w:rsidR="00815B36" w:rsidRPr="00770477" w:rsidRDefault="00EB0923"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6.6</w:t>
            </w:r>
          </w:p>
        </w:tc>
        <w:tc>
          <w:tcPr>
            <w:tcW w:w="1975" w:type="dxa"/>
          </w:tcPr>
          <w:p w14:paraId="2E412557" w14:textId="46E4B708" w:rsidR="00815B36" w:rsidRPr="00770477" w:rsidRDefault="00EB0923"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-0.9</w:t>
            </w:r>
          </w:p>
        </w:tc>
      </w:tr>
      <w:tr w:rsidR="00815B36" w:rsidRPr="00770477" w14:paraId="5B239AE9" w14:textId="77777777" w:rsidTr="004E6DC4">
        <w:tc>
          <w:tcPr>
            <w:cnfStyle w:val="001000000000" w:firstRow="0" w:lastRow="0" w:firstColumn="1" w:lastColumn="0" w:oddVBand="0" w:evenVBand="0" w:oddHBand="0" w:evenHBand="0" w:firstRowFirstColumn="0" w:firstRowLastColumn="0" w:lastRowFirstColumn="0" w:lastRowLastColumn="0"/>
            <w:tcW w:w="6205" w:type="dxa"/>
          </w:tcPr>
          <w:p w14:paraId="4D4FE660" w14:textId="60B706D0" w:rsidR="00815B36" w:rsidRPr="00770477" w:rsidRDefault="00EB0923" w:rsidP="00C57F55">
            <w:pPr>
              <w:spacing w:line="240" w:lineRule="auto"/>
              <w:rPr>
                <w:rFonts w:cs="Times New Roman"/>
              </w:rPr>
            </w:pPr>
            <w:r w:rsidRPr="00770477">
              <w:rPr>
                <w:rFonts w:cs="Times New Roman"/>
              </w:rPr>
              <w:t>Surface area</w:t>
            </w:r>
          </w:p>
        </w:tc>
        <w:tc>
          <w:tcPr>
            <w:tcW w:w="1170" w:type="dxa"/>
          </w:tcPr>
          <w:p w14:paraId="0D45BD75" w14:textId="3158C8E9" w:rsidR="00815B36" w:rsidRPr="00770477" w:rsidRDefault="00EB0923"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r w:rsidRPr="00770477">
              <w:rPr>
                <w:rFonts w:cs="Times New Roman"/>
                <w:vertAlign w:val="superscript"/>
              </w:rPr>
              <w:t>a</w:t>
            </w:r>
          </w:p>
        </w:tc>
        <w:tc>
          <w:tcPr>
            <w:tcW w:w="1975" w:type="dxa"/>
          </w:tcPr>
          <w:p w14:paraId="4781D70B" w14:textId="23B9FE2D" w:rsidR="00815B36" w:rsidRPr="00770477" w:rsidRDefault="00EB0923"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vertAlign w:val="superscript"/>
              </w:rPr>
            </w:pPr>
            <w:r w:rsidRPr="00770477">
              <w:rPr>
                <w:rFonts w:cs="Times New Roman"/>
              </w:rPr>
              <w:t>+</w:t>
            </w:r>
            <w:r w:rsidRPr="00770477">
              <w:rPr>
                <w:rFonts w:cs="Times New Roman"/>
                <w:vertAlign w:val="superscript"/>
              </w:rPr>
              <w:t>b</w:t>
            </w:r>
          </w:p>
        </w:tc>
      </w:tr>
      <w:tr w:rsidR="00815B36" w:rsidRPr="00770477" w14:paraId="38186885" w14:textId="77777777" w:rsidTr="004E6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5" w:type="dxa"/>
          </w:tcPr>
          <w:p w14:paraId="7FFAB548" w14:textId="19C4F3A2" w:rsidR="00815B36" w:rsidRPr="00770477" w:rsidRDefault="00EB0923" w:rsidP="00C57F55">
            <w:pPr>
              <w:spacing w:line="240" w:lineRule="auto"/>
              <w:rPr>
                <w:rFonts w:cs="Times New Roman"/>
              </w:rPr>
            </w:pPr>
            <w:r w:rsidRPr="00770477">
              <w:rPr>
                <w:rFonts w:cs="Times New Roman"/>
              </w:rPr>
              <w:t>Biomass yield in amended soil</w:t>
            </w:r>
          </w:p>
        </w:tc>
        <w:tc>
          <w:tcPr>
            <w:tcW w:w="1170" w:type="dxa"/>
          </w:tcPr>
          <w:p w14:paraId="500986CA" w14:textId="33C3423A" w:rsidR="00815B36" w:rsidRPr="00770477" w:rsidRDefault="00EB0923"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c>
          <w:tcPr>
            <w:tcW w:w="1975" w:type="dxa"/>
          </w:tcPr>
          <w:p w14:paraId="1884C223" w14:textId="53D6E4AC" w:rsidR="00815B36" w:rsidRPr="00770477" w:rsidRDefault="00EB0923"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r>
      <w:tr w:rsidR="00815B36" w:rsidRPr="00770477" w14:paraId="31A320B2" w14:textId="77777777" w:rsidTr="004E6DC4">
        <w:tc>
          <w:tcPr>
            <w:cnfStyle w:val="001000000000" w:firstRow="0" w:lastRow="0" w:firstColumn="1" w:lastColumn="0" w:oddVBand="0" w:evenVBand="0" w:oddHBand="0" w:evenHBand="0" w:firstRowFirstColumn="0" w:firstRowLastColumn="0" w:lastRowFirstColumn="0" w:lastRowLastColumn="0"/>
            <w:tcW w:w="6205" w:type="dxa"/>
          </w:tcPr>
          <w:p w14:paraId="1B6E8BD0" w14:textId="10C0BE6C" w:rsidR="00815B36" w:rsidRPr="00770477" w:rsidRDefault="00DE1E11" w:rsidP="00C57F55">
            <w:pPr>
              <w:spacing w:line="240" w:lineRule="auto"/>
              <w:rPr>
                <w:rFonts w:cs="Times New Roman"/>
              </w:rPr>
            </w:pPr>
            <w:r w:rsidRPr="00770477">
              <w:rPr>
                <w:rFonts w:cs="Times New Roman"/>
              </w:rPr>
              <w:t>Cd uptake in amended soil</w:t>
            </w:r>
          </w:p>
        </w:tc>
        <w:tc>
          <w:tcPr>
            <w:tcW w:w="1170" w:type="dxa"/>
          </w:tcPr>
          <w:p w14:paraId="7AF667B3" w14:textId="4D55EF3A" w:rsidR="00815B36" w:rsidRPr="00770477" w:rsidRDefault="00DE1E11"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1975" w:type="dxa"/>
          </w:tcPr>
          <w:p w14:paraId="59F5469F" w14:textId="74C77489" w:rsidR="00815B36" w:rsidRPr="00770477" w:rsidRDefault="00DE1E11"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r>
      <w:tr w:rsidR="00815B36" w:rsidRPr="00770477" w14:paraId="39920284" w14:textId="77777777" w:rsidTr="004E6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5" w:type="dxa"/>
          </w:tcPr>
          <w:p w14:paraId="5A2A2BD2" w14:textId="5A40A3A4" w:rsidR="00815B36" w:rsidRPr="00770477" w:rsidRDefault="00DE1E11" w:rsidP="00C57F55">
            <w:pPr>
              <w:spacing w:line="240" w:lineRule="auto"/>
              <w:rPr>
                <w:rFonts w:cs="Times New Roman"/>
              </w:rPr>
            </w:pPr>
            <w:r w:rsidRPr="00770477">
              <w:rPr>
                <w:rFonts w:cs="Times New Roman"/>
              </w:rPr>
              <w:t xml:space="preserve">Bioaccumulation of </w:t>
            </w:r>
            <w:proofErr w:type="spellStart"/>
            <w:r w:rsidRPr="00770477">
              <w:rPr>
                <w:rFonts w:cs="Times New Roman"/>
              </w:rPr>
              <w:t>PAHs</w:t>
            </w:r>
            <w:r w:rsidRPr="00770477">
              <w:rPr>
                <w:rFonts w:cs="Times New Roman"/>
                <w:vertAlign w:val="superscript"/>
              </w:rPr>
              <w:t>c</w:t>
            </w:r>
            <w:proofErr w:type="spellEnd"/>
            <w:r w:rsidRPr="00770477">
              <w:rPr>
                <w:rFonts w:cs="Times New Roman"/>
              </w:rPr>
              <w:t xml:space="preserve"> in plants</w:t>
            </w:r>
          </w:p>
        </w:tc>
        <w:tc>
          <w:tcPr>
            <w:tcW w:w="1170" w:type="dxa"/>
          </w:tcPr>
          <w:p w14:paraId="1EE00B5B" w14:textId="7CD2A8E9" w:rsidR="00815B36" w:rsidRPr="00770477" w:rsidRDefault="00DE1E11"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c>
          <w:tcPr>
            <w:tcW w:w="1975" w:type="dxa"/>
          </w:tcPr>
          <w:p w14:paraId="14206366" w14:textId="38A6E6C9" w:rsidR="00815B36" w:rsidRPr="00770477" w:rsidRDefault="00DE1E11"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r>
      <w:tr w:rsidR="00DE1E11" w:rsidRPr="00770477" w14:paraId="5D2F5290" w14:textId="77777777" w:rsidTr="004E6DC4">
        <w:tc>
          <w:tcPr>
            <w:cnfStyle w:val="001000000000" w:firstRow="0" w:lastRow="0" w:firstColumn="1" w:lastColumn="0" w:oddVBand="0" w:evenVBand="0" w:oddHBand="0" w:evenHBand="0" w:firstRowFirstColumn="0" w:firstRowLastColumn="0" w:lastRowFirstColumn="0" w:lastRowLastColumn="0"/>
            <w:tcW w:w="6205" w:type="dxa"/>
          </w:tcPr>
          <w:p w14:paraId="076CCE9A" w14:textId="29AC2FED" w:rsidR="00DE1E11" w:rsidRPr="00770477" w:rsidRDefault="00DE1E11" w:rsidP="00C57F55">
            <w:pPr>
              <w:spacing w:line="240" w:lineRule="auto"/>
              <w:rPr>
                <w:rFonts w:cs="Times New Roman"/>
              </w:rPr>
            </w:pPr>
            <w:r w:rsidRPr="00770477">
              <w:rPr>
                <w:rFonts w:cs="Times New Roman"/>
              </w:rPr>
              <w:t>Chromium and zinc removal</w:t>
            </w:r>
          </w:p>
        </w:tc>
        <w:tc>
          <w:tcPr>
            <w:tcW w:w="1170" w:type="dxa"/>
          </w:tcPr>
          <w:p w14:paraId="743E92A1" w14:textId="4DB75789" w:rsidR="00DE1E11" w:rsidRPr="00770477" w:rsidRDefault="00DE1E11"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1975" w:type="dxa"/>
          </w:tcPr>
          <w:p w14:paraId="1F8C1C88" w14:textId="0DA604B4" w:rsidR="00DE1E11" w:rsidRPr="00770477" w:rsidRDefault="00DE1E11"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r>
      <w:tr w:rsidR="00DE1E11" w:rsidRPr="00770477" w14:paraId="261EFDE6" w14:textId="77777777" w:rsidTr="004E6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5" w:type="dxa"/>
          </w:tcPr>
          <w:p w14:paraId="5AD529E8" w14:textId="45142997" w:rsidR="00DE1E11" w:rsidRPr="00770477" w:rsidRDefault="005E3D91" w:rsidP="00C57F55">
            <w:pPr>
              <w:spacing w:line="240" w:lineRule="auto"/>
              <w:rPr>
                <w:rFonts w:cs="Times New Roman"/>
              </w:rPr>
            </w:pPr>
            <w:r w:rsidRPr="00770477">
              <w:rPr>
                <w:rFonts w:cs="Times New Roman"/>
              </w:rPr>
              <w:t>Polychlorinated dibenzo-p-dioxin/dibenzofurans removal</w:t>
            </w:r>
          </w:p>
        </w:tc>
        <w:tc>
          <w:tcPr>
            <w:tcW w:w="1170" w:type="dxa"/>
          </w:tcPr>
          <w:p w14:paraId="3EB59B53" w14:textId="318C647E" w:rsidR="00DE1E11" w:rsidRPr="00770477" w:rsidRDefault="005E3D91"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c>
          <w:tcPr>
            <w:tcW w:w="1975" w:type="dxa"/>
          </w:tcPr>
          <w:p w14:paraId="58148429" w14:textId="71F7F90E" w:rsidR="00DE1E11" w:rsidRPr="00770477" w:rsidRDefault="005E3D91"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r>
      <w:tr w:rsidR="005E3D91" w:rsidRPr="00770477" w14:paraId="3A92D956" w14:textId="77777777" w:rsidTr="004E6DC4">
        <w:tc>
          <w:tcPr>
            <w:cnfStyle w:val="001000000000" w:firstRow="0" w:lastRow="0" w:firstColumn="1" w:lastColumn="0" w:oddVBand="0" w:evenVBand="0" w:oddHBand="0" w:evenHBand="0" w:firstRowFirstColumn="0" w:firstRowLastColumn="0" w:lastRowFirstColumn="0" w:lastRowLastColumn="0"/>
            <w:tcW w:w="6205" w:type="dxa"/>
          </w:tcPr>
          <w:p w14:paraId="176A68B3" w14:textId="30D45703" w:rsidR="005E3D91" w:rsidRPr="00770477" w:rsidRDefault="005E3D91" w:rsidP="00C57F55">
            <w:pPr>
              <w:spacing w:line="240" w:lineRule="auto"/>
              <w:rPr>
                <w:rFonts w:cs="Times New Roman"/>
              </w:rPr>
            </w:pPr>
            <w:r w:rsidRPr="00770477">
              <w:rPr>
                <w:rFonts w:cs="Times New Roman"/>
              </w:rPr>
              <w:t xml:space="preserve">Polychlorinated biphenyl </w:t>
            </w:r>
            <w:r w:rsidR="003067A1" w:rsidRPr="00770477">
              <w:rPr>
                <w:rFonts w:cs="Times New Roman"/>
              </w:rPr>
              <w:t>adsorption</w:t>
            </w:r>
          </w:p>
        </w:tc>
        <w:tc>
          <w:tcPr>
            <w:tcW w:w="1170" w:type="dxa"/>
          </w:tcPr>
          <w:p w14:paraId="683F5AB7" w14:textId="5D1ACD41" w:rsidR="005E3D91" w:rsidRPr="00770477" w:rsidRDefault="003067A1"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1975" w:type="dxa"/>
          </w:tcPr>
          <w:p w14:paraId="61880774" w14:textId="6841152C" w:rsidR="005E3D91" w:rsidRPr="00770477" w:rsidRDefault="003067A1"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r>
      <w:tr w:rsidR="003067A1" w:rsidRPr="00770477" w14:paraId="4235E114" w14:textId="77777777" w:rsidTr="004E6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5" w:type="dxa"/>
          </w:tcPr>
          <w:p w14:paraId="352669A6" w14:textId="3B8A5856" w:rsidR="003067A1" w:rsidRPr="00770477" w:rsidRDefault="003067A1" w:rsidP="00C57F55">
            <w:pPr>
              <w:spacing w:line="240" w:lineRule="auto"/>
              <w:rPr>
                <w:rFonts w:cs="Times New Roman"/>
                <w:vertAlign w:val="superscript"/>
              </w:rPr>
            </w:pPr>
            <w:r w:rsidRPr="00770477">
              <w:rPr>
                <w:rFonts w:cs="Times New Roman"/>
              </w:rPr>
              <w:t xml:space="preserve">DDT </w:t>
            </w:r>
            <w:proofErr w:type="spellStart"/>
            <w:r w:rsidRPr="00770477">
              <w:rPr>
                <w:rFonts w:cs="Times New Roman"/>
              </w:rPr>
              <w:t>accumulation</w:t>
            </w:r>
            <w:r w:rsidRPr="00770477">
              <w:rPr>
                <w:rFonts w:cs="Times New Roman"/>
                <w:vertAlign w:val="superscript"/>
              </w:rPr>
              <w:t>d</w:t>
            </w:r>
            <w:proofErr w:type="spellEnd"/>
          </w:p>
        </w:tc>
        <w:tc>
          <w:tcPr>
            <w:tcW w:w="1170" w:type="dxa"/>
          </w:tcPr>
          <w:p w14:paraId="1DAFD781" w14:textId="263FEAE2" w:rsidR="003067A1" w:rsidRPr="00770477" w:rsidRDefault="00470958"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c>
          <w:tcPr>
            <w:tcW w:w="1975" w:type="dxa"/>
          </w:tcPr>
          <w:p w14:paraId="7DEB2D4D" w14:textId="7D229DB0" w:rsidR="003067A1" w:rsidRPr="00770477" w:rsidRDefault="00470958"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r>
      <w:tr w:rsidR="00470958" w:rsidRPr="00770477" w14:paraId="24FB6813" w14:textId="77777777" w:rsidTr="004E6DC4">
        <w:tc>
          <w:tcPr>
            <w:cnfStyle w:val="001000000000" w:firstRow="0" w:lastRow="0" w:firstColumn="1" w:lastColumn="0" w:oddVBand="0" w:evenVBand="0" w:oddHBand="0" w:evenHBand="0" w:firstRowFirstColumn="0" w:firstRowLastColumn="0" w:lastRowFirstColumn="0" w:lastRowLastColumn="0"/>
            <w:tcW w:w="6205" w:type="dxa"/>
          </w:tcPr>
          <w:p w14:paraId="3C87533B" w14:textId="6979D40C" w:rsidR="00470958" w:rsidRPr="00770477" w:rsidRDefault="00470958" w:rsidP="00C57F55">
            <w:pPr>
              <w:spacing w:line="240" w:lineRule="auto"/>
              <w:rPr>
                <w:rFonts w:cs="Times New Roman"/>
              </w:rPr>
            </w:pPr>
            <w:r w:rsidRPr="00770477">
              <w:rPr>
                <w:rFonts w:cs="Times New Roman"/>
              </w:rPr>
              <w:t>Pyrene removal</w:t>
            </w:r>
          </w:p>
        </w:tc>
        <w:tc>
          <w:tcPr>
            <w:tcW w:w="1170" w:type="dxa"/>
          </w:tcPr>
          <w:p w14:paraId="2E90DD98" w14:textId="01C8B717" w:rsidR="00470958" w:rsidRPr="00770477" w:rsidRDefault="00470958"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1975" w:type="dxa"/>
          </w:tcPr>
          <w:p w14:paraId="0691DDEC" w14:textId="4317AC98" w:rsidR="00470958" w:rsidRPr="00770477" w:rsidRDefault="00470958"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r>
      <w:tr w:rsidR="00470958" w:rsidRPr="00770477" w14:paraId="1663677C" w14:textId="77777777" w:rsidTr="004E6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5" w:type="dxa"/>
          </w:tcPr>
          <w:p w14:paraId="2DDFF164" w14:textId="6BE6A1D7" w:rsidR="00470958" w:rsidRPr="00770477" w:rsidRDefault="00470958" w:rsidP="00C57F55">
            <w:pPr>
              <w:spacing w:line="240" w:lineRule="auto"/>
              <w:rPr>
                <w:rFonts w:cs="Times New Roman"/>
              </w:rPr>
            </w:pPr>
            <w:r w:rsidRPr="00770477">
              <w:rPr>
                <w:rFonts w:cs="Times New Roman"/>
              </w:rPr>
              <w:t>Lowered toxicity</w:t>
            </w:r>
          </w:p>
        </w:tc>
        <w:tc>
          <w:tcPr>
            <w:tcW w:w="1170" w:type="dxa"/>
          </w:tcPr>
          <w:p w14:paraId="033C6139" w14:textId="09DBAC18" w:rsidR="00470958" w:rsidRPr="00770477" w:rsidRDefault="00470958"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c>
          <w:tcPr>
            <w:tcW w:w="1975" w:type="dxa"/>
          </w:tcPr>
          <w:p w14:paraId="3E6A7DA8" w14:textId="4B65D947" w:rsidR="00470958" w:rsidRPr="00770477" w:rsidRDefault="00470958"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r>
      <w:tr w:rsidR="00470958" w:rsidRPr="00770477" w14:paraId="670709F9" w14:textId="77777777" w:rsidTr="004E6DC4">
        <w:tc>
          <w:tcPr>
            <w:cnfStyle w:val="001000000000" w:firstRow="0" w:lastRow="0" w:firstColumn="1" w:lastColumn="0" w:oddVBand="0" w:evenVBand="0" w:oddHBand="0" w:evenHBand="0" w:firstRowFirstColumn="0" w:firstRowLastColumn="0" w:lastRowFirstColumn="0" w:lastRowLastColumn="0"/>
            <w:tcW w:w="6205" w:type="dxa"/>
          </w:tcPr>
          <w:p w14:paraId="5878ADA6" w14:textId="5C012C0F" w:rsidR="00470958" w:rsidRPr="00770477" w:rsidRDefault="00470958" w:rsidP="00C57F55">
            <w:pPr>
              <w:spacing w:line="240" w:lineRule="auto"/>
              <w:rPr>
                <w:rFonts w:cs="Times New Roman"/>
              </w:rPr>
            </w:pPr>
            <w:r w:rsidRPr="00770477">
              <w:rPr>
                <w:rFonts w:cs="Times New Roman"/>
              </w:rPr>
              <w:t xml:space="preserve">Chemical oxygen demand removal </w:t>
            </w:r>
          </w:p>
        </w:tc>
        <w:tc>
          <w:tcPr>
            <w:tcW w:w="1170" w:type="dxa"/>
          </w:tcPr>
          <w:p w14:paraId="28AA99F7" w14:textId="340425B3" w:rsidR="00470958" w:rsidRPr="00770477" w:rsidRDefault="00470958"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1975" w:type="dxa"/>
          </w:tcPr>
          <w:p w14:paraId="33E15858" w14:textId="1E270D3C" w:rsidR="00470958" w:rsidRPr="00770477" w:rsidRDefault="00470958"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r>
      <w:tr w:rsidR="00470958" w:rsidRPr="00770477" w14:paraId="4AC52DB0" w14:textId="77777777" w:rsidTr="004E6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5" w:type="dxa"/>
          </w:tcPr>
          <w:p w14:paraId="368D3F06" w14:textId="16BF18CB" w:rsidR="00470958" w:rsidRPr="00770477" w:rsidRDefault="00B309F3" w:rsidP="00C57F55">
            <w:pPr>
              <w:spacing w:line="240" w:lineRule="auto"/>
              <w:rPr>
                <w:rFonts w:cs="Times New Roman"/>
              </w:rPr>
            </w:pPr>
            <w:r w:rsidRPr="00770477">
              <w:rPr>
                <w:rFonts w:cs="Times New Roman"/>
              </w:rPr>
              <w:t xml:space="preserve">Inhibition of seed germination </w:t>
            </w:r>
          </w:p>
        </w:tc>
        <w:tc>
          <w:tcPr>
            <w:tcW w:w="1170" w:type="dxa"/>
          </w:tcPr>
          <w:p w14:paraId="63B79E4C" w14:textId="3C26E5FC" w:rsidR="00470958" w:rsidRPr="00770477" w:rsidRDefault="00B309F3"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c>
          <w:tcPr>
            <w:tcW w:w="1975" w:type="dxa"/>
          </w:tcPr>
          <w:p w14:paraId="1640B0A3" w14:textId="3B51BDE7" w:rsidR="00470958" w:rsidRPr="00770477" w:rsidRDefault="00B309F3"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r>
      <w:tr w:rsidR="00B309F3" w:rsidRPr="00770477" w14:paraId="015E0D73" w14:textId="77777777" w:rsidTr="004E6DC4">
        <w:tc>
          <w:tcPr>
            <w:cnfStyle w:val="001000000000" w:firstRow="0" w:lastRow="0" w:firstColumn="1" w:lastColumn="0" w:oddVBand="0" w:evenVBand="0" w:oddHBand="0" w:evenHBand="0" w:firstRowFirstColumn="0" w:firstRowLastColumn="0" w:lastRowFirstColumn="0" w:lastRowLastColumn="0"/>
            <w:tcW w:w="6205" w:type="dxa"/>
          </w:tcPr>
          <w:p w14:paraId="0BCE8D59" w14:textId="59416897" w:rsidR="00B309F3" w:rsidRPr="00770477" w:rsidRDefault="00DE6581" w:rsidP="00C57F55">
            <w:pPr>
              <w:spacing w:line="240" w:lineRule="auto"/>
              <w:rPr>
                <w:rFonts w:cs="Times New Roman"/>
              </w:rPr>
            </w:pPr>
            <w:r w:rsidRPr="00770477">
              <w:rPr>
                <w:rFonts w:cs="Times New Roman"/>
              </w:rPr>
              <w:t xml:space="preserve">Soil toxicity towards Vibrio </w:t>
            </w:r>
            <w:proofErr w:type="spellStart"/>
            <w:r w:rsidRPr="00770477">
              <w:rPr>
                <w:rFonts w:cs="Times New Roman"/>
              </w:rPr>
              <w:t>fischeri</w:t>
            </w:r>
            <w:proofErr w:type="spellEnd"/>
            <w:r w:rsidRPr="00770477">
              <w:rPr>
                <w:rFonts w:cs="Times New Roman"/>
              </w:rPr>
              <w:t xml:space="preserve"> and </w:t>
            </w:r>
            <w:proofErr w:type="spellStart"/>
            <w:r w:rsidRPr="00770477">
              <w:rPr>
                <w:rFonts w:cs="Times New Roman"/>
              </w:rPr>
              <w:t>Folsomia</w:t>
            </w:r>
            <w:proofErr w:type="spellEnd"/>
            <w:r w:rsidRPr="00770477">
              <w:rPr>
                <w:rFonts w:cs="Times New Roman"/>
              </w:rPr>
              <w:t xml:space="preserve"> candida</w:t>
            </w:r>
          </w:p>
        </w:tc>
        <w:tc>
          <w:tcPr>
            <w:tcW w:w="1170" w:type="dxa"/>
          </w:tcPr>
          <w:p w14:paraId="0E113B3E" w14:textId="3D5654AE" w:rsidR="00B309F3" w:rsidRPr="00770477" w:rsidRDefault="00DE6581"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1975" w:type="dxa"/>
          </w:tcPr>
          <w:p w14:paraId="461A7DEF" w14:textId="33FB594C" w:rsidR="00B309F3" w:rsidRPr="00770477" w:rsidRDefault="00DE6581"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r>
      <w:tr w:rsidR="00DE6581" w:rsidRPr="00770477" w14:paraId="3B1729A1" w14:textId="77777777" w:rsidTr="004E6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5" w:type="dxa"/>
          </w:tcPr>
          <w:p w14:paraId="660D2556" w14:textId="3E646C8D" w:rsidR="00DE6581" w:rsidRPr="00770477" w:rsidRDefault="00DE6581" w:rsidP="00C57F55">
            <w:pPr>
              <w:spacing w:line="240" w:lineRule="auto"/>
              <w:rPr>
                <w:rFonts w:cs="Times New Roman"/>
              </w:rPr>
            </w:pPr>
            <w:r w:rsidRPr="00770477">
              <w:rPr>
                <w:rFonts w:cs="Times New Roman"/>
              </w:rPr>
              <w:t>Dissolved organic carbon removal</w:t>
            </w:r>
          </w:p>
        </w:tc>
        <w:tc>
          <w:tcPr>
            <w:tcW w:w="1170" w:type="dxa"/>
          </w:tcPr>
          <w:p w14:paraId="215E50DA" w14:textId="688E88B8" w:rsidR="00DE6581" w:rsidRPr="00770477" w:rsidRDefault="00253EF9"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No effect</w:t>
            </w:r>
          </w:p>
        </w:tc>
        <w:tc>
          <w:tcPr>
            <w:tcW w:w="1975" w:type="dxa"/>
          </w:tcPr>
          <w:p w14:paraId="3A50714B" w14:textId="3F1FDCC7" w:rsidR="00DE6581" w:rsidRPr="00770477" w:rsidRDefault="00253EF9"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r>
      <w:tr w:rsidR="00253EF9" w:rsidRPr="00770477" w14:paraId="634B9474" w14:textId="77777777" w:rsidTr="004E6DC4">
        <w:tc>
          <w:tcPr>
            <w:cnfStyle w:val="001000000000" w:firstRow="0" w:lastRow="0" w:firstColumn="1" w:lastColumn="0" w:oddVBand="0" w:evenVBand="0" w:oddHBand="0" w:evenHBand="0" w:firstRowFirstColumn="0" w:firstRowLastColumn="0" w:lastRowFirstColumn="0" w:lastRowLastColumn="0"/>
            <w:tcW w:w="6205" w:type="dxa"/>
          </w:tcPr>
          <w:p w14:paraId="191E366C" w14:textId="2A312DF4" w:rsidR="00253EF9" w:rsidRPr="00770477" w:rsidRDefault="00253EF9" w:rsidP="00C57F55">
            <w:pPr>
              <w:spacing w:line="240" w:lineRule="auto"/>
              <w:rPr>
                <w:rFonts w:cs="Times New Roman"/>
              </w:rPr>
            </w:pPr>
            <w:r w:rsidRPr="00770477">
              <w:rPr>
                <w:rFonts w:cs="Times New Roman"/>
              </w:rPr>
              <w:t>Mineralization of C-14-catechol</w:t>
            </w:r>
          </w:p>
        </w:tc>
        <w:tc>
          <w:tcPr>
            <w:tcW w:w="1170" w:type="dxa"/>
          </w:tcPr>
          <w:p w14:paraId="371A98EA" w14:textId="3BBCA2D0" w:rsidR="00253EF9" w:rsidRPr="00770477" w:rsidRDefault="00253EF9"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1975" w:type="dxa"/>
          </w:tcPr>
          <w:p w14:paraId="12690E05" w14:textId="4EBECFBE" w:rsidR="00253EF9" w:rsidRPr="00770477" w:rsidRDefault="00253EF9"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r>
      <w:tr w:rsidR="00253EF9" w:rsidRPr="00770477" w14:paraId="213D1CEE" w14:textId="77777777" w:rsidTr="004E6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5" w:type="dxa"/>
          </w:tcPr>
          <w:p w14:paraId="151B4EAC" w14:textId="76BC1C00" w:rsidR="00253EF9" w:rsidRPr="00770477" w:rsidRDefault="00253EF9" w:rsidP="00C57F55">
            <w:pPr>
              <w:spacing w:line="240" w:lineRule="auto"/>
              <w:rPr>
                <w:rFonts w:cs="Times New Roman"/>
                <w:vertAlign w:val="superscript"/>
              </w:rPr>
            </w:pPr>
            <w:proofErr w:type="gramStart"/>
            <w:r w:rsidRPr="00770477">
              <w:rPr>
                <w:rFonts w:cs="Times New Roman"/>
              </w:rPr>
              <w:t>Hg(</w:t>
            </w:r>
            <w:proofErr w:type="gramEnd"/>
            <w:r w:rsidRPr="00770477">
              <w:rPr>
                <w:rFonts w:cs="Times New Roman"/>
              </w:rPr>
              <w:t xml:space="preserve">II) </w:t>
            </w:r>
            <w:proofErr w:type="spellStart"/>
            <w:r w:rsidRPr="00770477">
              <w:rPr>
                <w:rFonts w:cs="Times New Roman"/>
              </w:rPr>
              <w:t>adsorption</w:t>
            </w:r>
            <w:r w:rsidR="00A11432" w:rsidRPr="00770477">
              <w:rPr>
                <w:rFonts w:cs="Times New Roman"/>
                <w:vertAlign w:val="superscript"/>
              </w:rPr>
              <w:t>e</w:t>
            </w:r>
            <w:proofErr w:type="spellEnd"/>
          </w:p>
        </w:tc>
        <w:tc>
          <w:tcPr>
            <w:tcW w:w="1170" w:type="dxa"/>
          </w:tcPr>
          <w:p w14:paraId="53A5CBEA" w14:textId="7323B750" w:rsidR="00253EF9" w:rsidRPr="00770477" w:rsidRDefault="00A11432"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c>
          <w:tcPr>
            <w:tcW w:w="1975" w:type="dxa"/>
          </w:tcPr>
          <w:p w14:paraId="1A8CA906" w14:textId="3C3C775E" w:rsidR="00253EF9" w:rsidRPr="00770477" w:rsidRDefault="00A11432"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r>
      <w:tr w:rsidR="00A11432" w:rsidRPr="00770477" w14:paraId="18B1345B" w14:textId="77777777" w:rsidTr="004E6DC4">
        <w:tc>
          <w:tcPr>
            <w:cnfStyle w:val="001000000000" w:firstRow="0" w:lastRow="0" w:firstColumn="1" w:lastColumn="0" w:oddVBand="0" w:evenVBand="0" w:oddHBand="0" w:evenHBand="0" w:firstRowFirstColumn="0" w:firstRowLastColumn="0" w:lastRowFirstColumn="0" w:lastRowLastColumn="0"/>
            <w:tcW w:w="6205" w:type="dxa"/>
          </w:tcPr>
          <w:p w14:paraId="0A43C43C" w14:textId="0CFB2187" w:rsidR="00A11432" w:rsidRPr="00770477" w:rsidRDefault="00A11432" w:rsidP="00C57F55">
            <w:pPr>
              <w:spacing w:line="240" w:lineRule="auto"/>
              <w:rPr>
                <w:rFonts w:cs="Times New Roman"/>
              </w:rPr>
            </w:pPr>
            <w:r w:rsidRPr="00770477">
              <w:rPr>
                <w:rFonts w:cs="Times New Roman"/>
              </w:rPr>
              <w:t>Trace organic contaminants removal</w:t>
            </w:r>
          </w:p>
        </w:tc>
        <w:tc>
          <w:tcPr>
            <w:tcW w:w="1170" w:type="dxa"/>
          </w:tcPr>
          <w:p w14:paraId="64CBE858" w14:textId="1941FEC7" w:rsidR="00A11432" w:rsidRPr="00770477" w:rsidRDefault="00A11432"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1975" w:type="dxa"/>
          </w:tcPr>
          <w:p w14:paraId="7D9D5ACC" w14:textId="1A8CFFEF" w:rsidR="00A11432" w:rsidRPr="00770477" w:rsidRDefault="00803067"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r>
      <w:tr w:rsidR="00803067" w:rsidRPr="00770477" w14:paraId="7D43E70A" w14:textId="77777777" w:rsidTr="004E6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5" w:type="dxa"/>
          </w:tcPr>
          <w:p w14:paraId="0FC07DF8" w14:textId="10C2119D" w:rsidR="00803067" w:rsidRPr="00770477" w:rsidRDefault="00803067" w:rsidP="00C57F55">
            <w:pPr>
              <w:spacing w:line="240" w:lineRule="auto"/>
              <w:rPr>
                <w:rFonts w:cs="Times New Roman"/>
              </w:rPr>
            </w:pPr>
            <w:r w:rsidRPr="00770477">
              <w:rPr>
                <w:rFonts w:cs="Times New Roman"/>
              </w:rPr>
              <w:t>Atrazine adsorption</w:t>
            </w:r>
          </w:p>
        </w:tc>
        <w:tc>
          <w:tcPr>
            <w:tcW w:w="1170" w:type="dxa"/>
          </w:tcPr>
          <w:p w14:paraId="66AD4F1C" w14:textId="002A6E09" w:rsidR="00803067" w:rsidRPr="00770477" w:rsidRDefault="00803067"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c>
          <w:tcPr>
            <w:tcW w:w="1975" w:type="dxa"/>
          </w:tcPr>
          <w:p w14:paraId="21C0D1F8" w14:textId="76CBF302" w:rsidR="00803067" w:rsidRPr="00770477" w:rsidRDefault="00803067"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r>
    </w:tbl>
    <w:p w14:paraId="53557808" w14:textId="26C914A5" w:rsidR="00815B36" w:rsidRPr="00770477" w:rsidRDefault="00803067" w:rsidP="00C57F55">
      <w:pPr>
        <w:spacing w:line="240" w:lineRule="auto"/>
        <w:rPr>
          <w:rFonts w:cs="Times New Roman"/>
          <w:i/>
          <w:iCs/>
          <w:sz w:val="20"/>
          <w:szCs w:val="20"/>
        </w:rPr>
      </w:pPr>
      <w:r w:rsidRPr="00770477">
        <w:rPr>
          <w:rFonts w:cs="Times New Roman"/>
          <w:i/>
          <w:iCs/>
          <w:sz w:val="20"/>
          <w:szCs w:val="20"/>
          <w:vertAlign w:val="superscript"/>
        </w:rPr>
        <w:t>a</w:t>
      </w:r>
      <w:r w:rsidR="007A133D" w:rsidRPr="00770477">
        <w:rPr>
          <w:rFonts w:cs="Times New Roman"/>
          <w:i/>
          <w:iCs/>
          <w:sz w:val="20"/>
          <w:szCs w:val="20"/>
          <w:vertAlign w:val="superscript"/>
        </w:rPr>
        <w:t xml:space="preserve"> </w:t>
      </w:r>
      <w:r w:rsidR="00ED5CA5" w:rsidRPr="00770477">
        <w:rPr>
          <w:rFonts w:cs="Times New Roman"/>
          <w:i/>
          <w:iCs/>
          <w:sz w:val="20"/>
          <w:szCs w:val="20"/>
        </w:rPr>
        <w:t>Lower parameter performance</w:t>
      </w:r>
    </w:p>
    <w:p w14:paraId="16C42312" w14:textId="63B6D2CC" w:rsidR="00ED5CA5" w:rsidRPr="00770477" w:rsidRDefault="00ED5CA5" w:rsidP="00C57F55">
      <w:pPr>
        <w:spacing w:line="240" w:lineRule="auto"/>
        <w:rPr>
          <w:rFonts w:cs="Times New Roman"/>
          <w:i/>
          <w:iCs/>
          <w:sz w:val="20"/>
          <w:szCs w:val="20"/>
        </w:rPr>
      </w:pPr>
      <w:r w:rsidRPr="00770477">
        <w:rPr>
          <w:rFonts w:cs="Times New Roman"/>
          <w:i/>
          <w:iCs/>
          <w:sz w:val="20"/>
          <w:szCs w:val="20"/>
          <w:vertAlign w:val="superscript"/>
        </w:rPr>
        <w:t>b</w:t>
      </w:r>
      <w:r w:rsidR="007A133D" w:rsidRPr="00770477">
        <w:rPr>
          <w:rFonts w:cs="Times New Roman"/>
          <w:i/>
          <w:iCs/>
          <w:sz w:val="20"/>
          <w:szCs w:val="20"/>
          <w:vertAlign w:val="superscript"/>
        </w:rPr>
        <w:t xml:space="preserve"> </w:t>
      </w:r>
      <w:r w:rsidR="007A133D" w:rsidRPr="00770477">
        <w:rPr>
          <w:rFonts w:cs="Times New Roman"/>
          <w:i/>
          <w:iCs/>
          <w:sz w:val="20"/>
          <w:szCs w:val="20"/>
        </w:rPr>
        <w:t>H</w:t>
      </w:r>
      <w:r w:rsidRPr="00770477">
        <w:rPr>
          <w:rFonts w:cs="Times New Roman"/>
          <w:i/>
          <w:iCs/>
          <w:sz w:val="20"/>
          <w:szCs w:val="20"/>
        </w:rPr>
        <w:t>igher parameter performance</w:t>
      </w:r>
    </w:p>
    <w:p w14:paraId="09276D33" w14:textId="441DF31E" w:rsidR="00ED5CA5" w:rsidRPr="00770477" w:rsidRDefault="00ED5CA5" w:rsidP="00C57F55">
      <w:pPr>
        <w:spacing w:line="240" w:lineRule="auto"/>
        <w:rPr>
          <w:rFonts w:cs="Times New Roman"/>
          <w:i/>
          <w:iCs/>
          <w:sz w:val="20"/>
          <w:szCs w:val="20"/>
        </w:rPr>
      </w:pPr>
      <w:r w:rsidRPr="00770477">
        <w:rPr>
          <w:rFonts w:cs="Times New Roman"/>
          <w:i/>
          <w:iCs/>
          <w:sz w:val="20"/>
          <w:szCs w:val="20"/>
          <w:vertAlign w:val="superscript"/>
        </w:rPr>
        <w:t>c</w:t>
      </w:r>
      <w:r w:rsidR="00747564" w:rsidRPr="00770477">
        <w:rPr>
          <w:rFonts w:cs="Times New Roman"/>
        </w:rPr>
        <w:t xml:space="preserve"> </w:t>
      </w:r>
      <w:r w:rsidR="00747564" w:rsidRPr="00770477">
        <w:rPr>
          <w:rFonts w:cs="Times New Roman"/>
          <w:i/>
          <w:iCs/>
          <w:sz w:val="20"/>
          <w:szCs w:val="20"/>
        </w:rPr>
        <w:t>polycyclic aromatic hydrocarbons</w:t>
      </w:r>
    </w:p>
    <w:p w14:paraId="4C04ADD3" w14:textId="4EC0194F" w:rsidR="00747564" w:rsidRPr="00770477" w:rsidRDefault="00747564" w:rsidP="00C57F55">
      <w:pPr>
        <w:spacing w:line="240" w:lineRule="auto"/>
        <w:rPr>
          <w:rFonts w:cs="Times New Roman"/>
          <w:i/>
          <w:iCs/>
          <w:sz w:val="20"/>
          <w:szCs w:val="20"/>
        </w:rPr>
      </w:pPr>
      <w:r w:rsidRPr="00770477">
        <w:rPr>
          <w:rFonts w:cs="Times New Roman"/>
          <w:i/>
          <w:iCs/>
          <w:sz w:val="20"/>
          <w:szCs w:val="20"/>
          <w:vertAlign w:val="superscript"/>
        </w:rPr>
        <w:t>d</w:t>
      </w:r>
      <w:r w:rsidR="007A133D" w:rsidRPr="00770477">
        <w:rPr>
          <w:rFonts w:cs="Times New Roman"/>
          <w:i/>
          <w:iCs/>
          <w:sz w:val="20"/>
          <w:szCs w:val="20"/>
          <w:vertAlign w:val="superscript"/>
        </w:rPr>
        <w:t xml:space="preserve"> </w:t>
      </w:r>
      <w:r w:rsidR="0081567D" w:rsidRPr="00770477">
        <w:rPr>
          <w:rFonts w:cs="Times New Roman"/>
          <w:i/>
          <w:iCs/>
          <w:sz w:val="20"/>
          <w:szCs w:val="20"/>
        </w:rPr>
        <w:t>Dichloro-</w:t>
      </w:r>
      <w:proofErr w:type="spellStart"/>
      <w:r w:rsidR="0081567D" w:rsidRPr="00770477">
        <w:rPr>
          <w:rFonts w:cs="Times New Roman"/>
          <w:i/>
          <w:iCs/>
          <w:sz w:val="20"/>
          <w:szCs w:val="20"/>
        </w:rPr>
        <w:t>diphenyltrichloro</w:t>
      </w:r>
      <w:proofErr w:type="spellEnd"/>
      <w:r w:rsidR="0081567D" w:rsidRPr="00770477">
        <w:rPr>
          <w:rFonts w:cs="Times New Roman"/>
          <w:i/>
          <w:iCs/>
          <w:sz w:val="20"/>
          <w:szCs w:val="20"/>
        </w:rPr>
        <w:t>-ethane</w:t>
      </w:r>
    </w:p>
    <w:p w14:paraId="351484DA" w14:textId="5515BB98" w:rsidR="007A133D" w:rsidRPr="00770477" w:rsidRDefault="0081567D" w:rsidP="00C57F55">
      <w:pPr>
        <w:spacing w:line="240" w:lineRule="auto"/>
        <w:rPr>
          <w:rFonts w:cs="Times New Roman"/>
          <w:i/>
          <w:sz w:val="20"/>
          <w:szCs w:val="20"/>
        </w:rPr>
      </w:pPr>
      <w:r w:rsidRPr="00770477">
        <w:rPr>
          <w:rFonts w:cs="Times New Roman"/>
          <w:i/>
          <w:iCs/>
          <w:sz w:val="20"/>
          <w:szCs w:val="20"/>
          <w:vertAlign w:val="superscript"/>
        </w:rPr>
        <w:t>e</w:t>
      </w:r>
      <w:r w:rsidR="007A133D" w:rsidRPr="00770477">
        <w:rPr>
          <w:rFonts w:cs="Times New Roman"/>
          <w:i/>
          <w:iCs/>
          <w:sz w:val="20"/>
          <w:szCs w:val="20"/>
          <w:vertAlign w:val="superscript"/>
        </w:rPr>
        <w:t xml:space="preserve"> </w:t>
      </w:r>
      <w:r w:rsidRPr="00770477">
        <w:rPr>
          <w:rFonts w:cs="Times New Roman"/>
          <w:i/>
          <w:iCs/>
          <w:sz w:val="20"/>
          <w:szCs w:val="20"/>
        </w:rPr>
        <w:t>Contradiction between results of both studies</w:t>
      </w:r>
    </w:p>
    <w:p w14:paraId="111E9ED2" w14:textId="0AA171E9" w:rsidR="006A2306" w:rsidRPr="00770477" w:rsidRDefault="004A2096" w:rsidP="004A2096">
      <w:pPr>
        <w:spacing w:line="240" w:lineRule="auto"/>
        <w:rPr>
          <w:rFonts w:cs="Times New Roman"/>
        </w:rPr>
      </w:pPr>
      <w:r w:rsidRPr="00770477">
        <w:rPr>
          <w:rFonts w:cs="Times New Roman"/>
        </w:rPr>
        <w:br w:type="page"/>
      </w:r>
    </w:p>
    <w:p w14:paraId="4450C63A" w14:textId="05ACD79E" w:rsidR="00020398" w:rsidRPr="00770477" w:rsidRDefault="00982CE4" w:rsidP="00A53FB5">
      <w:pPr>
        <w:pStyle w:val="Heading1"/>
        <w:rPr>
          <w:rFonts w:cs="Times New Roman"/>
        </w:rPr>
      </w:pPr>
      <w:bookmarkStart w:id="26" w:name="_Toc121495976"/>
      <w:r w:rsidRPr="00770477">
        <w:rPr>
          <w:rFonts w:cs="Times New Roman"/>
        </w:rPr>
        <w:lastRenderedPageBreak/>
        <w:t>Methods and Materials</w:t>
      </w:r>
      <w:bookmarkEnd w:id="26"/>
    </w:p>
    <w:p w14:paraId="7B9E0191" w14:textId="330FA7C5" w:rsidR="00020398" w:rsidRPr="00770477" w:rsidRDefault="00020398" w:rsidP="00020398">
      <w:pPr>
        <w:pStyle w:val="Heading2"/>
        <w:rPr>
          <w:rFonts w:cs="Times New Roman"/>
        </w:rPr>
      </w:pPr>
      <w:bookmarkStart w:id="27" w:name="_Toc121495977"/>
      <w:r w:rsidRPr="00770477">
        <w:rPr>
          <w:rFonts w:cs="Times New Roman"/>
        </w:rPr>
        <w:t>Methods</w:t>
      </w:r>
      <w:bookmarkEnd w:id="27"/>
    </w:p>
    <w:p w14:paraId="29661A5A" w14:textId="12283D5A" w:rsidR="00F97446" w:rsidRPr="00770477" w:rsidRDefault="5B8DFD97" w:rsidP="00283013">
      <w:pPr>
        <w:ind w:firstLine="720"/>
        <w:rPr>
          <w:rFonts w:cs="Times New Roman"/>
        </w:rPr>
      </w:pPr>
      <w:r w:rsidRPr="00770477">
        <w:rPr>
          <w:rFonts w:cs="Times New Roman"/>
        </w:rPr>
        <w:t>The purpose of this study was to determine the suitability of several industrial byproducts to treat a solution spiked with common stormwater contaminants. This was achieved by passing a synthetic stormwater (SSW) through different flow</w:t>
      </w:r>
      <w:r w:rsidR="6673ADBA" w:rsidRPr="00770477">
        <w:rPr>
          <w:rFonts w:cs="Times New Roman"/>
        </w:rPr>
        <w:t>-</w:t>
      </w:r>
      <w:r w:rsidRPr="00770477">
        <w:rPr>
          <w:rFonts w:cs="Times New Roman"/>
        </w:rPr>
        <w:t>through columns and measuring contaminant concentrations at the influent and effluent points</w:t>
      </w:r>
      <w:r w:rsidR="2FCF3FB9" w:rsidRPr="00770477">
        <w:rPr>
          <w:rFonts w:cs="Times New Roman"/>
        </w:rPr>
        <w:t xml:space="preserve"> over many pore volumes</w:t>
      </w:r>
      <w:r w:rsidRPr="00770477">
        <w:rPr>
          <w:rFonts w:cs="Times New Roman"/>
        </w:rPr>
        <w:t>. Column setups were used to determine the removal capabilities of the media under ideal laboratory conditions (vertical columns) and under laboratory</w:t>
      </w:r>
      <w:r w:rsidR="4FD1CC16" w:rsidRPr="00770477">
        <w:rPr>
          <w:rFonts w:cs="Times New Roman"/>
        </w:rPr>
        <w:t>-</w:t>
      </w:r>
      <w:r w:rsidRPr="00770477">
        <w:rPr>
          <w:rFonts w:cs="Times New Roman"/>
        </w:rPr>
        <w:t>simulated bioretention conditions (horizontal columns). Samples were taken from the effluent of each column and at the influent of the system on a semi-logarithmic schedule either based on pore volumes passed through the column (vertical columns) or simply total volume passed through (horizontal columns). These samples were analyzed for P,</w:t>
      </w:r>
      <w:r w:rsidR="001D4725">
        <w:rPr>
          <w:rFonts w:cs="Times New Roman"/>
        </w:rPr>
        <w:t xml:space="preserve"> </w:t>
      </w:r>
      <w:r w:rsidRPr="00770477">
        <w:rPr>
          <w:rFonts w:cs="Times New Roman"/>
        </w:rPr>
        <w:t xml:space="preserve">dissolved metals, and neonicotinoids. Influent concentration to effluent concentration ratios (IE ratios) were calculated and visualized on a volume passed vs. IE ratio graph. The Gompertz equation (an asymmetric, logistic function) was used to fit the data and to determine the exhaustion point of the media. </w:t>
      </w:r>
    </w:p>
    <w:p w14:paraId="035C4947" w14:textId="77777777" w:rsidR="00791C3E" w:rsidRPr="00770477" w:rsidRDefault="00791C3E" w:rsidP="00F97446">
      <w:pPr>
        <w:rPr>
          <w:rFonts w:cs="Times New Roman"/>
        </w:rPr>
      </w:pPr>
    </w:p>
    <w:p w14:paraId="54C9142F" w14:textId="6BEE209D" w:rsidR="00020398" w:rsidRPr="00770477" w:rsidRDefault="1C89FC54" w:rsidP="00020398">
      <w:pPr>
        <w:pStyle w:val="Heading3"/>
        <w:rPr>
          <w:rFonts w:cs="Times New Roman"/>
        </w:rPr>
      </w:pPr>
      <w:bookmarkStart w:id="28" w:name="_Toc121495978"/>
      <w:r w:rsidRPr="00770477">
        <w:rPr>
          <w:rFonts w:cs="Times New Roman"/>
        </w:rPr>
        <w:t>Synthetic Stormwater</w:t>
      </w:r>
      <w:bookmarkEnd w:id="28"/>
    </w:p>
    <w:p w14:paraId="4FC1C2F7" w14:textId="0DF021B2" w:rsidR="00E05B05" w:rsidRPr="00770477" w:rsidRDefault="675B579C" w:rsidP="005557F8">
      <w:pPr>
        <w:rPr>
          <w:rFonts w:cs="Times New Roman"/>
        </w:rPr>
      </w:pPr>
      <w:r w:rsidRPr="00770477">
        <w:rPr>
          <w:rFonts w:cs="Times New Roman"/>
        </w:rPr>
        <w:t xml:space="preserve">Synthetic stormwater (SSW) was prepared in a </w:t>
      </w:r>
      <w:proofErr w:type="gramStart"/>
      <w:r w:rsidRPr="00770477">
        <w:rPr>
          <w:rFonts w:cs="Times New Roman"/>
        </w:rPr>
        <w:t>100 gal</w:t>
      </w:r>
      <w:proofErr w:type="gramEnd"/>
      <w:r w:rsidRPr="00770477">
        <w:rPr>
          <w:rFonts w:cs="Times New Roman"/>
        </w:rPr>
        <w:t xml:space="preserve"> (378.5 L) tank using deionized (DI) water as the base for the solution. </w:t>
      </w:r>
      <w:r w:rsidR="008A0CE9" w:rsidRPr="00770477">
        <w:rPr>
          <w:rFonts w:cs="Times New Roman"/>
        </w:rPr>
        <w:t xml:space="preserve">Synthetic stormwater was preferred over collecting actual </w:t>
      </w:r>
      <w:proofErr w:type="gramStart"/>
      <w:r w:rsidR="008A0CE9" w:rsidRPr="00770477">
        <w:rPr>
          <w:rFonts w:cs="Times New Roman"/>
        </w:rPr>
        <w:t>stormwater</w:t>
      </w:r>
      <w:r w:rsidR="00D1782D" w:rsidRPr="00770477">
        <w:rPr>
          <w:rFonts w:cs="Times New Roman"/>
        </w:rPr>
        <w:t xml:space="preserve">  to</w:t>
      </w:r>
      <w:proofErr w:type="gramEnd"/>
      <w:r w:rsidR="00D1782D" w:rsidRPr="00770477">
        <w:rPr>
          <w:rFonts w:cs="Times New Roman"/>
        </w:rPr>
        <w:t xml:space="preserve"> maintain </w:t>
      </w:r>
      <w:r w:rsidR="005C6738" w:rsidRPr="00770477">
        <w:rPr>
          <w:rFonts w:cs="Times New Roman"/>
        </w:rPr>
        <w:t xml:space="preserve">a </w:t>
      </w:r>
      <w:r w:rsidR="00D1782D" w:rsidRPr="00770477">
        <w:rPr>
          <w:rFonts w:cs="Times New Roman"/>
        </w:rPr>
        <w:t>level of reproducibility between each tank filling and to ensure</w:t>
      </w:r>
      <w:r w:rsidR="005C6738" w:rsidRPr="00770477">
        <w:rPr>
          <w:rFonts w:cs="Times New Roman"/>
        </w:rPr>
        <w:t xml:space="preserve"> concentrations of contaminants </w:t>
      </w:r>
      <w:r w:rsidR="00060E3C" w:rsidRPr="00770477">
        <w:rPr>
          <w:rFonts w:cs="Times New Roman"/>
        </w:rPr>
        <w:t>of concern were above the measurable concentrations needed for the study.</w:t>
      </w:r>
      <w:r w:rsidR="00D1782D" w:rsidRPr="00770477">
        <w:rPr>
          <w:rFonts w:cs="Times New Roman"/>
        </w:rPr>
        <w:t xml:space="preserve"> </w:t>
      </w:r>
      <w:r w:rsidRPr="00770477">
        <w:rPr>
          <w:rFonts w:cs="Times New Roman"/>
        </w:rPr>
        <w:t xml:space="preserve">Water was measured into the tank by filling and emptying </w:t>
      </w:r>
      <w:proofErr w:type="gramStart"/>
      <w:r w:rsidRPr="00770477">
        <w:rPr>
          <w:rFonts w:cs="Times New Roman"/>
        </w:rPr>
        <w:t>5 gal</w:t>
      </w:r>
      <w:proofErr w:type="gramEnd"/>
      <w:r w:rsidRPr="00770477">
        <w:rPr>
          <w:rFonts w:cs="Times New Roman"/>
        </w:rPr>
        <w:t xml:space="preserve"> (18.9 L) glass carboys and further approximated by using the 50 L graduation markings of the tank. </w:t>
      </w:r>
    </w:p>
    <w:p w14:paraId="2848B88C" w14:textId="77777777" w:rsidR="00791C3E" w:rsidRPr="00770477" w:rsidRDefault="00791C3E" w:rsidP="005557F8">
      <w:pPr>
        <w:rPr>
          <w:rFonts w:cs="Times New Roman"/>
        </w:rPr>
      </w:pPr>
    </w:p>
    <w:p w14:paraId="4CC54992" w14:textId="4D72A5D3" w:rsidR="00E05B05" w:rsidRPr="00770477" w:rsidRDefault="00E05B05" w:rsidP="00E05B05">
      <w:pPr>
        <w:pStyle w:val="Heading4"/>
        <w:rPr>
          <w:rFonts w:ascii="Times New Roman" w:hAnsi="Times New Roman" w:cs="Times New Roman"/>
        </w:rPr>
      </w:pPr>
      <w:bookmarkStart w:id="29" w:name="_Toc121495979"/>
      <w:r w:rsidRPr="00770477">
        <w:rPr>
          <w:rFonts w:ascii="Times New Roman" w:hAnsi="Times New Roman" w:cs="Times New Roman"/>
        </w:rPr>
        <w:t>Nutrients and General Rainwater Chemistry</w:t>
      </w:r>
      <w:bookmarkEnd w:id="29"/>
    </w:p>
    <w:p w14:paraId="14B7FE40" w14:textId="363B38AE" w:rsidR="00D97988" w:rsidRPr="00770477" w:rsidRDefault="005557F8" w:rsidP="00D97988">
      <w:pPr>
        <w:ind w:firstLine="720"/>
        <w:rPr>
          <w:rFonts w:cs="Times New Roman"/>
        </w:rPr>
      </w:pPr>
      <w:r w:rsidRPr="00770477">
        <w:rPr>
          <w:rFonts w:cs="Times New Roman"/>
        </w:rPr>
        <w:t xml:space="preserve">Basic rainwater chemistry was achieved by spiking the tank with the contaminants and concentrations outlined </w:t>
      </w:r>
      <w:r w:rsidR="004822B9" w:rsidRPr="00770477">
        <w:rPr>
          <w:rFonts w:cs="Times New Roman"/>
        </w:rPr>
        <w:t>by</w:t>
      </w:r>
      <w:r w:rsidRPr="00770477">
        <w:rPr>
          <w:rFonts w:cs="Times New Roman"/>
        </w:rPr>
        <w:t xml:space="preserve"> </w:t>
      </w:r>
      <w:r w:rsidR="004822B9" w:rsidRPr="00770477">
        <w:rPr>
          <w:rFonts w:cs="Times New Roman"/>
        </w:rPr>
        <w:fldChar w:fldCharType="begin"/>
      </w:r>
      <w:r w:rsidR="002074AD">
        <w:rPr>
          <w:rFonts w:cs="Times New Roman"/>
        </w:rPr>
        <w:instrText xml:space="preserve"> ADDIN ZOTERO_ITEM CSL_CITATION {"citationID":"RDtOn1yq","properties":{"formattedCitation":"(Ricci et al., 2010)","plainCitation":"(Ricci et al., 2010)","dontUpdate":true,"noteIndex":0},"citationItems":[{"id":60,"uris":["http://zotero.org/users/8423188/items/U3XR9L6J"],"itemData":{"id":60,"type":"book","event-place":"LU","language":"en","publisher":"Publications Office","publisher-place":"LU","source":"DOI.org (CSL JSON)","title":"Certification of the mass concentrations of ammonium, chloride, fluoride, magnesium, nitrate, ortho-phosphate, sulfate, and of pH and conductivity in simulated rainwater : certified reference material ERM-CA408","title-short":"Certification of the mass concentrations of ammonium, chloride, fluoride, magnesium, nitrate, ortho-phosphate, sulfate, and of pH and conductivity in simulated rainwater","URL":"https://data.europa.eu/doi/10.2787/28626","author":[{"family":"Ricci","given":"M."},{"family":"Vos","given":"E.","dropping-particle":"de"},{"family":"Oostra","given":"A."}],"accessed":{"date-parts":[["2021",11,23]]},"issued":{"date-parts":[["2010"]]}}}],"schema":"https://github.com/citation-style-language/schema/raw/master/csl-citation.json"} </w:instrText>
      </w:r>
      <w:r w:rsidR="004822B9" w:rsidRPr="00770477">
        <w:rPr>
          <w:rFonts w:cs="Times New Roman"/>
        </w:rPr>
        <w:fldChar w:fldCharType="separate"/>
      </w:r>
      <w:r w:rsidR="004822B9" w:rsidRPr="00770477">
        <w:rPr>
          <w:rFonts w:cs="Times New Roman"/>
          <w:noProof/>
        </w:rPr>
        <w:t>Ricci et al. (2010)</w:t>
      </w:r>
      <w:r w:rsidR="004822B9" w:rsidRPr="00770477">
        <w:rPr>
          <w:rFonts w:cs="Times New Roman"/>
        </w:rPr>
        <w:fldChar w:fldCharType="end"/>
      </w:r>
      <w:r w:rsidR="004822B9" w:rsidRPr="00770477">
        <w:rPr>
          <w:rFonts w:cs="Times New Roman"/>
        </w:rPr>
        <w:t xml:space="preserve"> and displayed in </w:t>
      </w:r>
      <w:r w:rsidR="004822B9" w:rsidRPr="00770477">
        <w:rPr>
          <w:rFonts w:cs="Times New Roman"/>
        </w:rPr>
        <w:fldChar w:fldCharType="begin"/>
      </w:r>
      <w:r w:rsidR="004822B9" w:rsidRPr="00770477">
        <w:rPr>
          <w:rFonts w:cs="Times New Roman"/>
        </w:rPr>
        <w:instrText xml:space="preserve"> REF _Ref116292827 \h </w:instrText>
      </w:r>
      <w:r w:rsidR="00770477">
        <w:rPr>
          <w:rFonts w:cs="Times New Roman"/>
        </w:rPr>
        <w:instrText xml:space="preserve"> \* MERGEFORMAT </w:instrText>
      </w:r>
      <w:r w:rsidR="004822B9" w:rsidRPr="00770477">
        <w:rPr>
          <w:rFonts w:cs="Times New Roman"/>
        </w:rPr>
      </w:r>
      <w:r w:rsidR="004822B9" w:rsidRPr="00770477">
        <w:rPr>
          <w:rFonts w:cs="Times New Roman"/>
        </w:rPr>
        <w:fldChar w:fldCharType="separate"/>
      </w:r>
      <w:r w:rsidR="00061096" w:rsidRPr="00770477">
        <w:rPr>
          <w:rFonts w:cs="Times New Roman"/>
        </w:rPr>
        <w:t xml:space="preserve">Table </w:t>
      </w:r>
      <w:r w:rsidR="00061096">
        <w:rPr>
          <w:rFonts w:cs="Times New Roman"/>
          <w:noProof/>
        </w:rPr>
        <w:t>2</w:t>
      </w:r>
      <w:r w:rsidR="00061096">
        <w:rPr>
          <w:rFonts w:cs="Times New Roman"/>
          <w:noProof/>
        </w:rPr>
        <w:noBreakHyphen/>
        <w:t>1</w:t>
      </w:r>
      <w:r w:rsidR="004822B9" w:rsidRPr="00770477">
        <w:rPr>
          <w:rFonts w:cs="Times New Roman"/>
        </w:rPr>
        <w:fldChar w:fldCharType="end"/>
      </w:r>
      <w:r w:rsidR="004822B9" w:rsidRPr="00770477">
        <w:rPr>
          <w:rFonts w:cs="Times New Roman"/>
        </w:rPr>
        <w:t xml:space="preserve"> below. </w:t>
      </w:r>
      <w:r w:rsidR="00D97988" w:rsidRPr="00770477">
        <w:rPr>
          <w:rFonts w:cs="Times New Roman"/>
        </w:rPr>
        <w:t>Concentrated aqueous stock solutions were made of each chemical and each stock solution was added in concordance to the volume of the SSW being created. Tank mixing was achieved by using an aquarium fan which was washed and prepared for use for metals, nutrients, and neonicotinoid sampling.</w:t>
      </w:r>
    </w:p>
    <w:p w14:paraId="702962A2" w14:textId="3AFBA5E4" w:rsidR="005557F8" w:rsidRPr="00770477" w:rsidRDefault="005557F8" w:rsidP="00622DA1">
      <w:pPr>
        <w:spacing w:line="240" w:lineRule="auto"/>
        <w:rPr>
          <w:rFonts w:cs="Times New Roman"/>
        </w:rPr>
      </w:pPr>
    </w:p>
    <w:p w14:paraId="261C49CD" w14:textId="43C0D7A1" w:rsidR="004822B9" w:rsidRPr="00770477" w:rsidRDefault="004822B9" w:rsidP="004822B9">
      <w:pPr>
        <w:pStyle w:val="Caption"/>
        <w:keepNext/>
        <w:spacing w:line="240" w:lineRule="auto"/>
        <w:rPr>
          <w:rFonts w:cs="Times New Roman"/>
        </w:rPr>
      </w:pPr>
      <w:bookmarkStart w:id="30" w:name="_Ref116292827"/>
      <w:bookmarkStart w:id="31" w:name="_Toc121495931"/>
      <w:r w:rsidRPr="00770477">
        <w:rPr>
          <w:rFonts w:cs="Times New Roman"/>
        </w:rPr>
        <w:t xml:space="preserve">Table </w:t>
      </w:r>
      <w:r w:rsidR="00B26DDF">
        <w:rPr>
          <w:rFonts w:cs="Times New Roman"/>
        </w:rPr>
        <w:fldChar w:fldCharType="begin"/>
      </w:r>
      <w:r w:rsidR="00B26DDF">
        <w:rPr>
          <w:rFonts w:cs="Times New Roman"/>
        </w:rPr>
        <w:instrText xml:space="preserve"> STYLEREF 1 \s </w:instrText>
      </w:r>
      <w:r w:rsidR="00B26DDF">
        <w:rPr>
          <w:rFonts w:cs="Times New Roman"/>
        </w:rPr>
        <w:fldChar w:fldCharType="separate"/>
      </w:r>
      <w:r w:rsidR="00061096">
        <w:rPr>
          <w:rFonts w:cs="Times New Roman"/>
          <w:noProof/>
        </w:rPr>
        <w:t>2</w:t>
      </w:r>
      <w:r w:rsidR="00B26DDF">
        <w:rPr>
          <w:rFonts w:cs="Times New Roman"/>
        </w:rPr>
        <w:fldChar w:fldCharType="end"/>
      </w:r>
      <w:r w:rsidR="00B26DDF">
        <w:rPr>
          <w:rFonts w:cs="Times New Roman"/>
        </w:rPr>
        <w:noBreakHyphen/>
      </w:r>
      <w:r w:rsidR="00B26DDF">
        <w:rPr>
          <w:rFonts w:cs="Times New Roman"/>
        </w:rPr>
        <w:fldChar w:fldCharType="begin"/>
      </w:r>
      <w:r w:rsidR="00B26DDF">
        <w:rPr>
          <w:rFonts w:cs="Times New Roman"/>
        </w:rPr>
        <w:instrText xml:space="preserve"> SEQ Table \* ARABIC \s 1 </w:instrText>
      </w:r>
      <w:r w:rsidR="00B26DDF">
        <w:rPr>
          <w:rFonts w:cs="Times New Roman"/>
        </w:rPr>
        <w:fldChar w:fldCharType="separate"/>
      </w:r>
      <w:r w:rsidR="00061096">
        <w:rPr>
          <w:rFonts w:cs="Times New Roman"/>
          <w:noProof/>
        </w:rPr>
        <w:t>1</w:t>
      </w:r>
      <w:r w:rsidR="00B26DDF">
        <w:rPr>
          <w:rFonts w:cs="Times New Roman"/>
        </w:rPr>
        <w:fldChar w:fldCharType="end"/>
      </w:r>
      <w:bookmarkEnd w:id="30"/>
      <w:r w:rsidRPr="00770477">
        <w:rPr>
          <w:rFonts w:cs="Times New Roman"/>
        </w:rPr>
        <w:t xml:space="preserve"> List of basic rainwater chemistry</w:t>
      </w:r>
      <w:r w:rsidR="0043010E">
        <w:rPr>
          <w:rFonts w:cs="Times New Roman"/>
        </w:rPr>
        <w:t xml:space="preserve"> and chemicals used to create a synthetic rainwater</w:t>
      </w:r>
      <w:r w:rsidRPr="00770477">
        <w:rPr>
          <w:rFonts w:cs="Times New Roman"/>
        </w:rPr>
        <w:t xml:space="preserve"> </w:t>
      </w:r>
      <w:r w:rsidRPr="00770477">
        <w:rPr>
          <w:rFonts w:cs="Times New Roman"/>
        </w:rPr>
        <w:fldChar w:fldCharType="begin"/>
      </w:r>
      <w:r w:rsidR="002074AD">
        <w:rPr>
          <w:rFonts w:cs="Times New Roman"/>
        </w:rPr>
        <w:instrText xml:space="preserve"> ADDIN ZOTERO_ITEM CSL_CITATION {"citationID":"fYbtzm1T","properties":{"formattedCitation":"(Ricci et al., 2010)","plainCitation":"(Ricci et al., 2010)","noteIndex":0},"citationItems":[{"id":60,"uris":["http://zotero.org/users/8423188/items/U3XR9L6J"],"itemData":{"id":60,"type":"book","event-place":"LU","language":"en","publisher":"Publications Office","publisher-place":"LU","source":"DOI.org (CSL JSON)","title":"Certification of the mass concentrations of ammonium, chloride, fluoride, magnesium, nitrate, ortho-phosphate, sulfate, and of pH and conductivity in simulated rainwater : certified reference material ERM-CA408","title-short":"Certification of the mass concentrations of ammonium, chloride, fluoride, magnesium, nitrate, ortho-phosphate, sulfate, and of pH and conductivity in simulated rainwater","URL":"https://data.europa.eu/doi/10.2787/28626","author":[{"family":"Ricci","given":"M."},{"family":"Vos","given":"E.","dropping-particle":"de"},{"family":"Oostra","given":"A."}],"accessed":{"date-parts":[["2021",11,23]]},"issued":{"date-parts":[["2010"]]}}}],"schema":"https://github.com/citation-style-language/schema/raw/master/csl-citation.json"} </w:instrText>
      </w:r>
      <w:r w:rsidRPr="00770477">
        <w:rPr>
          <w:rFonts w:cs="Times New Roman"/>
        </w:rPr>
        <w:fldChar w:fldCharType="separate"/>
      </w:r>
      <w:r w:rsidR="00E11E17" w:rsidRPr="00770477">
        <w:rPr>
          <w:rFonts w:cs="Times New Roman"/>
        </w:rPr>
        <w:t>(Ricci et al., 2010)</w:t>
      </w:r>
      <w:r w:rsidRPr="00770477">
        <w:rPr>
          <w:rFonts w:cs="Times New Roman"/>
        </w:rPr>
        <w:fldChar w:fldCharType="end"/>
      </w:r>
      <w:r w:rsidR="0043010E">
        <w:rPr>
          <w:rFonts w:cs="Times New Roman"/>
        </w:rPr>
        <w:t>.</w:t>
      </w:r>
      <w:bookmarkEnd w:id="31"/>
    </w:p>
    <w:tbl>
      <w:tblPr>
        <w:tblStyle w:val="PlainTable5"/>
        <w:tblW w:w="0" w:type="auto"/>
        <w:tblLook w:val="04A0" w:firstRow="1" w:lastRow="0" w:firstColumn="1" w:lastColumn="0" w:noHBand="0" w:noVBand="1"/>
      </w:tblPr>
      <w:tblGrid>
        <w:gridCol w:w="2070"/>
        <w:gridCol w:w="3600"/>
        <w:gridCol w:w="3680"/>
      </w:tblGrid>
      <w:tr w:rsidR="00B56D64" w:rsidRPr="00770477" w14:paraId="6C7EE832" w14:textId="77777777" w:rsidTr="0002617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70" w:type="dxa"/>
          </w:tcPr>
          <w:p w14:paraId="009BCDBE" w14:textId="63F1011E" w:rsidR="00B56D64" w:rsidRPr="00770477" w:rsidRDefault="00B56D64" w:rsidP="00B56D64">
            <w:pPr>
              <w:spacing w:line="240" w:lineRule="auto"/>
              <w:rPr>
                <w:rFonts w:cs="Times New Roman"/>
              </w:rPr>
            </w:pPr>
            <w:r w:rsidRPr="00770477">
              <w:rPr>
                <w:rFonts w:cs="Times New Roman"/>
              </w:rPr>
              <w:t>Contaminant</w:t>
            </w:r>
          </w:p>
        </w:tc>
        <w:tc>
          <w:tcPr>
            <w:tcW w:w="3600" w:type="dxa"/>
          </w:tcPr>
          <w:p w14:paraId="7430B30F" w14:textId="1C53A103" w:rsidR="00B56D64" w:rsidRPr="00770477" w:rsidRDefault="00B56D64" w:rsidP="0002617D">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70477">
              <w:rPr>
                <w:rFonts w:cs="Times New Roman"/>
              </w:rPr>
              <w:t>Spiking Chemical</w:t>
            </w:r>
            <w:r w:rsidR="0099184C" w:rsidRPr="00770477">
              <w:rPr>
                <w:rFonts w:cs="Times New Roman"/>
              </w:rPr>
              <w:t>(s)</w:t>
            </w:r>
            <w:r w:rsidRPr="00770477">
              <w:rPr>
                <w:rFonts w:cs="Times New Roman"/>
              </w:rPr>
              <w:t xml:space="preserve"> Used</w:t>
            </w:r>
          </w:p>
        </w:tc>
        <w:tc>
          <w:tcPr>
            <w:tcW w:w="3680" w:type="dxa"/>
          </w:tcPr>
          <w:p w14:paraId="0B5239C5" w14:textId="7DF231EE" w:rsidR="00B56D64" w:rsidRPr="00770477" w:rsidRDefault="00B56D64" w:rsidP="0002617D">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70477">
              <w:rPr>
                <w:rFonts w:cs="Times New Roman"/>
              </w:rPr>
              <w:t>Target Concentration (</w:t>
            </w:r>
            <w:r w:rsidR="00C74611">
              <w:rPr>
                <w:rFonts w:cs="Times New Roman"/>
              </w:rPr>
              <w:t>mg L</w:t>
            </w:r>
            <w:r w:rsidR="00C74611" w:rsidRPr="001106B8">
              <w:rPr>
                <w:rFonts w:cs="Times New Roman"/>
                <w:vertAlign w:val="superscript"/>
              </w:rPr>
              <w:t>-1</w:t>
            </w:r>
            <w:r w:rsidRPr="00770477">
              <w:rPr>
                <w:rFonts w:cs="Times New Roman"/>
              </w:rPr>
              <w:t>)</w:t>
            </w:r>
          </w:p>
        </w:tc>
      </w:tr>
      <w:tr w:rsidR="00B56D64" w:rsidRPr="00770477" w14:paraId="0F99740D" w14:textId="77777777" w:rsidTr="000261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0" w:type="dxa"/>
          </w:tcPr>
          <w:p w14:paraId="5B9EB7C1" w14:textId="330B4C2E" w:rsidR="00B56D64" w:rsidRPr="00770477" w:rsidRDefault="00B56D64" w:rsidP="00B56D64">
            <w:pPr>
              <w:spacing w:line="240" w:lineRule="auto"/>
              <w:rPr>
                <w:rFonts w:cs="Times New Roman"/>
              </w:rPr>
            </w:pPr>
            <w:r w:rsidRPr="00770477">
              <w:rPr>
                <w:rFonts w:cs="Times New Roman"/>
              </w:rPr>
              <w:t>Ammonium</w:t>
            </w:r>
          </w:p>
        </w:tc>
        <w:tc>
          <w:tcPr>
            <w:tcW w:w="3600" w:type="dxa"/>
          </w:tcPr>
          <w:p w14:paraId="7336EBE0" w14:textId="684C5F8E" w:rsidR="00B56D64" w:rsidRPr="00770477" w:rsidRDefault="00B56D64"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NH</w:t>
            </w:r>
            <w:r w:rsidRPr="00770477">
              <w:rPr>
                <w:rFonts w:cs="Times New Roman"/>
                <w:vertAlign w:val="subscript"/>
              </w:rPr>
              <w:t>4</w:t>
            </w:r>
            <w:r w:rsidRPr="00770477">
              <w:rPr>
                <w:rFonts w:cs="Times New Roman"/>
              </w:rPr>
              <w:t>Cl</w:t>
            </w:r>
          </w:p>
          <w:p w14:paraId="72FC4F09" w14:textId="0CB41283" w:rsidR="00B56D64" w:rsidRPr="00770477" w:rsidRDefault="00B56D64"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NH</w:t>
            </w:r>
            <w:r w:rsidRPr="00770477">
              <w:rPr>
                <w:rFonts w:cs="Times New Roman"/>
                <w:vertAlign w:val="subscript"/>
              </w:rPr>
              <w:t>4</w:t>
            </w:r>
            <w:r w:rsidRPr="00770477">
              <w:rPr>
                <w:rFonts w:cs="Times New Roman"/>
              </w:rPr>
              <w:t>H</w:t>
            </w:r>
            <w:r w:rsidRPr="00770477">
              <w:rPr>
                <w:rFonts w:cs="Times New Roman"/>
                <w:vertAlign w:val="subscript"/>
              </w:rPr>
              <w:t>2</w:t>
            </w:r>
            <w:r w:rsidRPr="00770477">
              <w:rPr>
                <w:rFonts w:cs="Times New Roman"/>
              </w:rPr>
              <w:t>PO</w:t>
            </w:r>
            <w:r w:rsidRPr="00770477">
              <w:rPr>
                <w:rFonts w:cs="Times New Roman"/>
                <w:vertAlign w:val="subscript"/>
              </w:rPr>
              <w:t>4</w:t>
            </w:r>
          </w:p>
        </w:tc>
        <w:tc>
          <w:tcPr>
            <w:tcW w:w="3680" w:type="dxa"/>
          </w:tcPr>
          <w:p w14:paraId="54710A00" w14:textId="23E31744" w:rsidR="00B56D64" w:rsidRPr="00770477" w:rsidRDefault="00B56D64"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0.91</w:t>
            </w:r>
          </w:p>
        </w:tc>
      </w:tr>
      <w:tr w:rsidR="00B56D64" w:rsidRPr="00770477" w14:paraId="7A7E6BD9" w14:textId="77777777" w:rsidTr="0002617D">
        <w:tc>
          <w:tcPr>
            <w:cnfStyle w:val="001000000000" w:firstRow="0" w:lastRow="0" w:firstColumn="1" w:lastColumn="0" w:oddVBand="0" w:evenVBand="0" w:oddHBand="0" w:evenHBand="0" w:firstRowFirstColumn="0" w:firstRowLastColumn="0" w:lastRowFirstColumn="0" w:lastRowLastColumn="0"/>
            <w:tcW w:w="2070" w:type="dxa"/>
          </w:tcPr>
          <w:p w14:paraId="0D05C63B" w14:textId="2FB929AB" w:rsidR="00B56D64" w:rsidRPr="00770477" w:rsidRDefault="00B56D64" w:rsidP="00B56D64">
            <w:pPr>
              <w:spacing w:line="240" w:lineRule="auto"/>
              <w:rPr>
                <w:rFonts w:cs="Times New Roman"/>
              </w:rPr>
            </w:pPr>
            <w:r w:rsidRPr="00770477">
              <w:rPr>
                <w:rFonts w:cs="Times New Roman"/>
              </w:rPr>
              <w:t>Chloride</w:t>
            </w:r>
          </w:p>
        </w:tc>
        <w:tc>
          <w:tcPr>
            <w:tcW w:w="3600" w:type="dxa"/>
          </w:tcPr>
          <w:p w14:paraId="31927F0E" w14:textId="54F570CA" w:rsidR="00B56D64" w:rsidRPr="00770477" w:rsidRDefault="00B56D64"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NH</w:t>
            </w:r>
            <w:r w:rsidRPr="00770477">
              <w:rPr>
                <w:rFonts w:cs="Times New Roman"/>
                <w:vertAlign w:val="subscript"/>
              </w:rPr>
              <w:t>4</w:t>
            </w:r>
            <w:r w:rsidRPr="00770477">
              <w:rPr>
                <w:rFonts w:cs="Times New Roman"/>
              </w:rPr>
              <w:t>Cl</w:t>
            </w:r>
          </w:p>
        </w:tc>
        <w:tc>
          <w:tcPr>
            <w:tcW w:w="3680" w:type="dxa"/>
          </w:tcPr>
          <w:p w14:paraId="5C2109B6" w14:textId="63C30C0D" w:rsidR="00B56D64" w:rsidRPr="00770477" w:rsidRDefault="00B56D64"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1.96</w:t>
            </w:r>
          </w:p>
        </w:tc>
      </w:tr>
      <w:tr w:rsidR="00B56D64" w:rsidRPr="00770477" w14:paraId="4B9D8772" w14:textId="77777777" w:rsidTr="000261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0" w:type="dxa"/>
          </w:tcPr>
          <w:p w14:paraId="5EFC50C7" w14:textId="615EAA01" w:rsidR="00B56D64" w:rsidRPr="00770477" w:rsidRDefault="00B56D64" w:rsidP="00B56D64">
            <w:pPr>
              <w:spacing w:line="240" w:lineRule="auto"/>
              <w:rPr>
                <w:rFonts w:cs="Times New Roman"/>
              </w:rPr>
            </w:pPr>
            <w:r w:rsidRPr="00770477">
              <w:rPr>
                <w:rFonts w:cs="Times New Roman"/>
              </w:rPr>
              <w:t>Fluoride</w:t>
            </w:r>
          </w:p>
        </w:tc>
        <w:tc>
          <w:tcPr>
            <w:tcW w:w="3600" w:type="dxa"/>
          </w:tcPr>
          <w:p w14:paraId="10B3C055" w14:textId="6DADE5D4" w:rsidR="00B56D64" w:rsidRPr="00770477" w:rsidRDefault="00B56D64"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proofErr w:type="spellStart"/>
            <w:r w:rsidRPr="00770477">
              <w:rPr>
                <w:rFonts w:cs="Times New Roman"/>
              </w:rPr>
              <w:t>NaF</w:t>
            </w:r>
            <w:proofErr w:type="spellEnd"/>
          </w:p>
        </w:tc>
        <w:tc>
          <w:tcPr>
            <w:tcW w:w="3680" w:type="dxa"/>
          </w:tcPr>
          <w:p w14:paraId="5AE62EC8" w14:textId="08FD3B44" w:rsidR="00B56D64" w:rsidRPr="00770477" w:rsidRDefault="00B56D64"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1.94</w:t>
            </w:r>
          </w:p>
        </w:tc>
      </w:tr>
      <w:tr w:rsidR="00B56D64" w:rsidRPr="00770477" w14:paraId="1872F017" w14:textId="77777777" w:rsidTr="0002617D">
        <w:tc>
          <w:tcPr>
            <w:cnfStyle w:val="001000000000" w:firstRow="0" w:lastRow="0" w:firstColumn="1" w:lastColumn="0" w:oddVBand="0" w:evenVBand="0" w:oddHBand="0" w:evenHBand="0" w:firstRowFirstColumn="0" w:firstRowLastColumn="0" w:lastRowFirstColumn="0" w:lastRowLastColumn="0"/>
            <w:tcW w:w="2070" w:type="dxa"/>
          </w:tcPr>
          <w:p w14:paraId="7562039E" w14:textId="795C1F08" w:rsidR="00B56D64" w:rsidRPr="00770477" w:rsidRDefault="00B56D64" w:rsidP="00B56D64">
            <w:pPr>
              <w:spacing w:line="240" w:lineRule="auto"/>
              <w:rPr>
                <w:rFonts w:cs="Times New Roman"/>
              </w:rPr>
            </w:pPr>
            <w:r w:rsidRPr="00770477">
              <w:rPr>
                <w:rFonts w:cs="Times New Roman"/>
              </w:rPr>
              <w:t>Magnesium</w:t>
            </w:r>
          </w:p>
        </w:tc>
        <w:tc>
          <w:tcPr>
            <w:tcW w:w="3600" w:type="dxa"/>
          </w:tcPr>
          <w:p w14:paraId="4C31B11E" w14:textId="52716BBA" w:rsidR="00B56D64" w:rsidRPr="00770477" w:rsidRDefault="00B56D64"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proofErr w:type="gramStart"/>
            <w:r w:rsidRPr="00770477">
              <w:rPr>
                <w:rFonts w:cs="Times New Roman"/>
              </w:rPr>
              <w:t>Mg(</w:t>
            </w:r>
            <w:proofErr w:type="gramEnd"/>
            <w:r w:rsidRPr="00770477">
              <w:rPr>
                <w:rFonts w:cs="Times New Roman"/>
              </w:rPr>
              <w:t>NO</w:t>
            </w:r>
            <w:r w:rsidRPr="00770477">
              <w:rPr>
                <w:rFonts w:cs="Times New Roman"/>
                <w:vertAlign w:val="subscript"/>
              </w:rPr>
              <w:t>3</w:t>
            </w:r>
            <w:r w:rsidRPr="00770477">
              <w:rPr>
                <w:rFonts w:cs="Times New Roman"/>
              </w:rPr>
              <w:t>)</w:t>
            </w:r>
            <w:r w:rsidRPr="00770477">
              <w:rPr>
                <w:rFonts w:cs="Times New Roman"/>
                <w:vertAlign w:val="subscript"/>
              </w:rPr>
              <w:t>2</w:t>
            </w:r>
            <w:r w:rsidRPr="00770477">
              <w:rPr>
                <w:rFonts w:cs="Times New Roman"/>
              </w:rPr>
              <w:t xml:space="preserve"> • 4H</w:t>
            </w:r>
            <w:r w:rsidRPr="00770477">
              <w:rPr>
                <w:rFonts w:cs="Times New Roman"/>
                <w:vertAlign w:val="subscript"/>
              </w:rPr>
              <w:t>2</w:t>
            </w:r>
            <w:r w:rsidRPr="00770477">
              <w:rPr>
                <w:rFonts w:cs="Times New Roman"/>
              </w:rPr>
              <w:t>O</w:t>
            </w:r>
          </w:p>
        </w:tc>
        <w:tc>
          <w:tcPr>
            <w:tcW w:w="3680" w:type="dxa"/>
          </w:tcPr>
          <w:p w14:paraId="2964BB52" w14:textId="166BC2E9" w:rsidR="00B56D64" w:rsidRPr="00770477" w:rsidRDefault="00B56D64"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1.45</w:t>
            </w:r>
          </w:p>
        </w:tc>
      </w:tr>
      <w:tr w:rsidR="00B56D64" w:rsidRPr="00770477" w14:paraId="2FC1761C" w14:textId="77777777" w:rsidTr="000261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0" w:type="dxa"/>
          </w:tcPr>
          <w:p w14:paraId="0C7157C8" w14:textId="56ADE401" w:rsidR="00B56D64" w:rsidRPr="00770477" w:rsidRDefault="00B56D64" w:rsidP="00B56D64">
            <w:pPr>
              <w:spacing w:line="240" w:lineRule="auto"/>
              <w:rPr>
                <w:rFonts w:cs="Times New Roman"/>
              </w:rPr>
            </w:pPr>
            <w:r w:rsidRPr="00770477">
              <w:rPr>
                <w:rFonts w:cs="Times New Roman"/>
              </w:rPr>
              <w:t>Nitrate</w:t>
            </w:r>
          </w:p>
        </w:tc>
        <w:tc>
          <w:tcPr>
            <w:tcW w:w="3600" w:type="dxa"/>
          </w:tcPr>
          <w:p w14:paraId="22368891" w14:textId="54FAB668" w:rsidR="00B56D64" w:rsidRPr="00770477" w:rsidRDefault="00B56D64"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NaNO</w:t>
            </w:r>
            <w:r w:rsidRPr="00770477">
              <w:rPr>
                <w:rFonts w:cs="Times New Roman"/>
                <w:vertAlign w:val="subscript"/>
              </w:rPr>
              <w:t>3</w:t>
            </w:r>
          </w:p>
          <w:p w14:paraId="69A57D8E" w14:textId="77777777" w:rsidR="00B56D64" w:rsidRPr="00770477" w:rsidRDefault="00B56D64"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proofErr w:type="gramStart"/>
            <w:r w:rsidRPr="00770477">
              <w:rPr>
                <w:rFonts w:cs="Times New Roman"/>
              </w:rPr>
              <w:t>Ca(</w:t>
            </w:r>
            <w:proofErr w:type="gramEnd"/>
            <w:r w:rsidRPr="00770477">
              <w:rPr>
                <w:rFonts w:cs="Times New Roman"/>
              </w:rPr>
              <w:t>NO</w:t>
            </w:r>
            <w:r w:rsidRPr="00770477">
              <w:rPr>
                <w:rFonts w:cs="Times New Roman"/>
                <w:vertAlign w:val="subscript"/>
              </w:rPr>
              <w:t>3</w:t>
            </w:r>
            <w:r w:rsidRPr="00770477">
              <w:rPr>
                <w:rFonts w:cs="Times New Roman"/>
              </w:rPr>
              <w:t>)</w:t>
            </w:r>
            <w:r w:rsidRPr="00770477">
              <w:rPr>
                <w:rFonts w:cs="Times New Roman"/>
                <w:vertAlign w:val="subscript"/>
              </w:rPr>
              <w:t>2</w:t>
            </w:r>
            <w:r w:rsidRPr="00770477">
              <w:rPr>
                <w:rFonts w:cs="Times New Roman"/>
              </w:rPr>
              <w:t xml:space="preserve"> • 4H</w:t>
            </w:r>
            <w:r w:rsidRPr="00770477">
              <w:rPr>
                <w:rFonts w:cs="Times New Roman"/>
                <w:vertAlign w:val="subscript"/>
              </w:rPr>
              <w:t>2</w:t>
            </w:r>
            <w:r w:rsidRPr="00770477">
              <w:rPr>
                <w:rFonts w:cs="Times New Roman"/>
              </w:rPr>
              <w:t>O</w:t>
            </w:r>
          </w:p>
          <w:p w14:paraId="73415AAF" w14:textId="131B2575" w:rsidR="00B56D64" w:rsidRPr="00770477" w:rsidRDefault="00B56D64"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proofErr w:type="gramStart"/>
            <w:r w:rsidRPr="00770477">
              <w:rPr>
                <w:rFonts w:cs="Times New Roman"/>
              </w:rPr>
              <w:t>Mg(</w:t>
            </w:r>
            <w:proofErr w:type="gramEnd"/>
            <w:r w:rsidRPr="00770477">
              <w:rPr>
                <w:rFonts w:cs="Times New Roman"/>
              </w:rPr>
              <w:t>NO</w:t>
            </w:r>
            <w:r w:rsidRPr="00770477">
              <w:rPr>
                <w:rFonts w:cs="Times New Roman"/>
                <w:vertAlign w:val="subscript"/>
              </w:rPr>
              <w:t>3</w:t>
            </w:r>
            <w:r w:rsidRPr="00770477">
              <w:rPr>
                <w:rFonts w:cs="Times New Roman"/>
              </w:rPr>
              <w:t>)</w:t>
            </w:r>
            <w:r w:rsidRPr="00770477">
              <w:rPr>
                <w:rFonts w:cs="Times New Roman"/>
                <w:vertAlign w:val="subscript"/>
              </w:rPr>
              <w:t>2</w:t>
            </w:r>
            <w:r w:rsidRPr="00770477">
              <w:rPr>
                <w:rFonts w:cs="Times New Roman"/>
              </w:rPr>
              <w:t xml:space="preserve"> • 4H</w:t>
            </w:r>
            <w:r w:rsidRPr="00770477">
              <w:rPr>
                <w:rFonts w:cs="Times New Roman"/>
                <w:vertAlign w:val="subscript"/>
              </w:rPr>
              <w:t>2</w:t>
            </w:r>
            <w:r w:rsidRPr="00770477">
              <w:rPr>
                <w:rFonts w:cs="Times New Roman"/>
              </w:rPr>
              <w:t>O</w:t>
            </w:r>
          </w:p>
        </w:tc>
        <w:tc>
          <w:tcPr>
            <w:tcW w:w="3680" w:type="dxa"/>
          </w:tcPr>
          <w:p w14:paraId="2D40F345" w14:textId="619C2D2A" w:rsidR="00B56D64" w:rsidRPr="00770477" w:rsidRDefault="00B56D64"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2.01</w:t>
            </w:r>
          </w:p>
        </w:tc>
      </w:tr>
      <w:tr w:rsidR="00B56D64" w:rsidRPr="00770477" w14:paraId="06715A41" w14:textId="77777777" w:rsidTr="0002617D">
        <w:tc>
          <w:tcPr>
            <w:cnfStyle w:val="001000000000" w:firstRow="0" w:lastRow="0" w:firstColumn="1" w:lastColumn="0" w:oddVBand="0" w:evenVBand="0" w:oddHBand="0" w:evenHBand="0" w:firstRowFirstColumn="0" w:firstRowLastColumn="0" w:lastRowFirstColumn="0" w:lastRowLastColumn="0"/>
            <w:tcW w:w="2070" w:type="dxa"/>
          </w:tcPr>
          <w:p w14:paraId="2BDCD40F" w14:textId="2C4DCC76" w:rsidR="00B56D64" w:rsidRPr="00770477" w:rsidRDefault="00B56D64" w:rsidP="00B56D64">
            <w:pPr>
              <w:spacing w:line="240" w:lineRule="auto"/>
              <w:rPr>
                <w:rFonts w:cs="Times New Roman"/>
              </w:rPr>
            </w:pPr>
            <w:proofErr w:type="gramStart"/>
            <w:r w:rsidRPr="00770477">
              <w:rPr>
                <w:rFonts w:cs="Times New Roman"/>
              </w:rPr>
              <w:t>Ortho-phosphate</w:t>
            </w:r>
            <w:proofErr w:type="gramEnd"/>
          </w:p>
        </w:tc>
        <w:tc>
          <w:tcPr>
            <w:tcW w:w="3600" w:type="dxa"/>
          </w:tcPr>
          <w:p w14:paraId="436254B8" w14:textId="77777777" w:rsidR="00B56D64" w:rsidRPr="00770477" w:rsidRDefault="00B56D64"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K</w:t>
            </w:r>
            <w:r w:rsidRPr="00770477">
              <w:rPr>
                <w:rFonts w:cs="Times New Roman"/>
                <w:vertAlign w:val="subscript"/>
              </w:rPr>
              <w:t>2</w:t>
            </w:r>
            <w:r w:rsidRPr="00770477">
              <w:rPr>
                <w:rFonts w:cs="Times New Roman"/>
              </w:rPr>
              <w:t>HPO</w:t>
            </w:r>
            <w:r w:rsidRPr="00770477">
              <w:rPr>
                <w:rFonts w:cs="Times New Roman"/>
                <w:vertAlign w:val="subscript"/>
              </w:rPr>
              <w:t>4</w:t>
            </w:r>
          </w:p>
          <w:p w14:paraId="51C00CA7" w14:textId="65118073" w:rsidR="00B56D64" w:rsidRPr="00770477" w:rsidRDefault="00B56D64"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NH</w:t>
            </w:r>
            <w:r w:rsidRPr="00770477">
              <w:rPr>
                <w:rFonts w:cs="Times New Roman"/>
                <w:vertAlign w:val="subscript"/>
              </w:rPr>
              <w:t>4</w:t>
            </w:r>
            <w:r w:rsidRPr="00770477">
              <w:rPr>
                <w:rFonts w:cs="Times New Roman"/>
              </w:rPr>
              <w:t>H</w:t>
            </w:r>
            <w:r w:rsidRPr="00770477">
              <w:rPr>
                <w:rFonts w:cs="Times New Roman"/>
                <w:vertAlign w:val="subscript"/>
              </w:rPr>
              <w:t>2</w:t>
            </w:r>
            <w:r w:rsidRPr="00770477">
              <w:rPr>
                <w:rFonts w:cs="Times New Roman"/>
              </w:rPr>
              <w:t>PO</w:t>
            </w:r>
            <w:r w:rsidRPr="00770477">
              <w:rPr>
                <w:rFonts w:cs="Times New Roman"/>
                <w:vertAlign w:val="subscript"/>
              </w:rPr>
              <w:t>4</w:t>
            </w:r>
          </w:p>
        </w:tc>
        <w:tc>
          <w:tcPr>
            <w:tcW w:w="3680" w:type="dxa"/>
          </w:tcPr>
          <w:p w14:paraId="4FB24E44" w14:textId="1ED1B7B7" w:rsidR="00B56D64" w:rsidRPr="00770477" w:rsidRDefault="00B56D64"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1.00</w:t>
            </w:r>
          </w:p>
        </w:tc>
      </w:tr>
      <w:tr w:rsidR="00B56D64" w:rsidRPr="00770477" w14:paraId="32D5622F" w14:textId="77777777" w:rsidTr="000261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0" w:type="dxa"/>
          </w:tcPr>
          <w:p w14:paraId="45A01108" w14:textId="2CE1EC6F" w:rsidR="00B56D64" w:rsidRPr="00770477" w:rsidRDefault="00B56D64" w:rsidP="00B56D64">
            <w:pPr>
              <w:spacing w:line="240" w:lineRule="auto"/>
              <w:rPr>
                <w:rFonts w:cs="Times New Roman"/>
              </w:rPr>
            </w:pPr>
            <w:r w:rsidRPr="00770477">
              <w:rPr>
                <w:rFonts w:cs="Times New Roman"/>
              </w:rPr>
              <w:t>Sulfate</w:t>
            </w:r>
          </w:p>
        </w:tc>
        <w:tc>
          <w:tcPr>
            <w:tcW w:w="3600" w:type="dxa"/>
          </w:tcPr>
          <w:p w14:paraId="28BA3A32" w14:textId="0575F437" w:rsidR="00B56D64" w:rsidRPr="00770477" w:rsidRDefault="00B56D64"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Na</w:t>
            </w:r>
            <w:r w:rsidRPr="00770477">
              <w:rPr>
                <w:rFonts w:cs="Times New Roman"/>
                <w:vertAlign w:val="subscript"/>
              </w:rPr>
              <w:t>2</w:t>
            </w:r>
            <w:r w:rsidRPr="00770477">
              <w:rPr>
                <w:rFonts w:cs="Times New Roman"/>
              </w:rPr>
              <w:t>SO</w:t>
            </w:r>
            <w:r w:rsidRPr="00770477">
              <w:rPr>
                <w:rFonts w:cs="Times New Roman"/>
                <w:vertAlign w:val="subscript"/>
              </w:rPr>
              <w:t>4</w:t>
            </w:r>
          </w:p>
        </w:tc>
        <w:tc>
          <w:tcPr>
            <w:tcW w:w="3680" w:type="dxa"/>
          </w:tcPr>
          <w:p w14:paraId="0B576549" w14:textId="4F6F181A" w:rsidR="00B56D64" w:rsidRPr="00770477" w:rsidRDefault="00B56D64"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1.46</w:t>
            </w:r>
          </w:p>
        </w:tc>
      </w:tr>
      <w:tr w:rsidR="00B56D64" w:rsidRPr="00770477" w14:paraId="692CDA5B" w14:textId="77777777" w:rsidTr="0002617D">
        <w:tc>
          <w:tcPr>
            <w:cnfStyle w:val="001000000000" w:firstRow="0" w:lastRow="0" w:firstColumn="1" w:lastColumn="0" w:oddVBand="0" w:evenVBand="0" w:oddHBand="0" w:evenHBand="0" w:firstRowFirstColumn="0" w:firstRowLastColumn="0" w:lastRowFirstColumn="0" w:lastRowLastColumn="0"/>
            <w:tcW w:w="2070" w:type="dxa"/>
          </w:tcPr>
          <w:p w14:paraId="41FF1D6B" w14:textId="38784695" w:rsidR="00B56D64" w:rsidRPr="00770477" w:rsidRDefault="00B56D64" w:rsidP="00B56D64">
            <w:pPr>
              <w:spacing w:line="240" w:lineRule="auto"/>
              <w:rPr>
                <w:rFonts w:cs="Times New Roman"/>
              </w:rPr>
            </w:pPr>
            <w:r w:rsidRPr="00770477">
              <w:rPr>
                <w:rFonts w:cs="Times New Roman"/>
              </w:rPr>
              <w:t>Calcium</w:t>
            </w:r>
          </w:p>
        </w:tc>
        <w:tc>
          <w:tcPr>
            <w:tcW w:w="3600" w:type="dxa"/>
          </w:tcPr>
          <w:p w14:paraId="73185BC0" w14:textId="0F898261" w:rsidR="00B56D64" w:rsidRPr="00770477" w:rsidRDefault="00B56D64"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proofErr w:type="gramStart"/>
            <w:r w:rsidRPr="00770477">
              <w:rPr>
                <w:rFonts w:cs="Times New Roman"/>
              </w:rPr>
              <w:t>Ca(</w:t>
            </w:r>
            <w:proofErr w:type="gramEnd"/>
            <w:r w:rsidRPr="00770477">
              <w:rPr>
                <w:rFonts w:cs="Times New Roman"/>
              </w:rPr>
              <w:t>NO</w:t>
            </w:r>
            <w:r w:rsidRPr="00770477">
              <w:rPr>
                <w:rFonts w:cs="Times New Roman"/>
                <w:vertAlign w:val="subscript"/>
              </w:rPr>
              <w:t>3</w:t>
            </w:r>
            <w:r w:rsidRPr="00770477">
              <w:rPr>
                <w:rFonts w:cs="Times New Roman"/>
              </w:rPr>
              <w:t>)</w:t>
            </w:r>
            <w:r w:rsidRPr="00770477">
              <w:rPr>
                <w:rFonts w:cs="Times New Roman"/>
                <w:vertAlign w:val="subscript"/>
              </w:rPr>
              <w:t>2</w:t>
            </w:r>
            <w:r w:rsidRPr="00770477">
              <w:rPr>
                <w:rFonts w:cs="Times New Roman"/>
              </w:rPr>
              <w:t xml:space="preserve"> • 4H</w:t>
            </w:r>
            <w:r w:rsidRPr="00770477">
              <w:rPr>
                <w:rFonts w:cs="Times New Roman"/>
                <w:vertAlign w:val="subscript"/>
              </w:rPr>
              <w:t>2</w:t>
            </w:r>
            <w:r w:rsidRPr="00770477">
              <w:rPr>
                <w:rFonts w:cs="Times New Roman"/>
              </w:rPr>
              <w:t>O</w:t>
            </w:r>
          </w:p>
        </w:tc>
        <w:tc>
          <w:tcPr>
            <w:tcW w:w="3680" w:type="dxa"/>
          </w:tcPr>
          <w:p w14:paraId="0884C958" w14:textId="39903A92" w:rsidR="00B56D64" w:rsidRPr="00770477" w:rsidRDefault="00B56D64"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0.30</w:t>
            </w:r>
          </w:p>
        </w:tc>
      </w:tr>
      <w:tr w:rsidR="00B56D64" w:rsidRPr="00770477" w14:paraId="5C5B6D85" w14:textId="77777777" w:rsidTr="000261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0" w:type="dxa"/>
          </w:tcPr>
          <w:p w14:paraId="2A9ECFDA" w14:textId="2D52C8FF" w:rsidR="00B56D64" w:rsidRPr="00770477" w:rsidRDefault="00B56D64" w:rsidP="00B56D64">
            <w:pPr>
              <w:spacing w:line="240" w:lineRule="auto"/>
              <w:rPr>
                <w:rFonts w:cs="Times New Roman"/>
              </w:rPr>
            </w:pPr>
            <w:r w:rsidRPr="00770477">
              <w:rPr>
                <w:rFonts w:cs="Times New Roman"/>
              </w:rPr>
              <w:t>Potassium</w:t>
            </w:r>
          </w:p>
        </w:tc>
        <w:tc>
          <w:tcPr>
            <w:tcW w:w="3600" w:type="dxa"/>
          </w:tcPr>
          <w:p w14:paraId="2998A1B5" w14:textId="5C5262AF" w:rsidR="00B56D64" w:rsidRPr="00770477" w:rsidRDefault="00B56D64"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K</w:t>
            </w:r>
            <w:r w:rsidRPr="00770477">
              <w:rPr>
                <w:rFonts w:cs="Times New Roman"/>
                <w:vertAlign w:val="subscript"/>
              </w:rPr>
              <w:t>2</w:t>
            </w:r>
            <w:r w:rsidRPr="00770477">
              <w:rPr>
                <w:rFonts w:cs="Times New Roman"/>
              </w:rPr>
              <w:t>HPO</w:t>
            </w:r>
            <w:r w:rsidRPr="00770477">
              <w:rPr>
                <w:rFonts w:cs="Times New Roman"/>
                <w:vertAlign w:val="subscript"/>
              </w:rPr>
              <w:t>4</w:t>
            </w:r>
          </w:p>
        </w:tc>
        <w:tc>
          <w:tcPr>
            <w:tcW w:w="3680" w:type="dxa"/>
          </w:tcPr>
          <w:p w14:paraId="5F80697B" w14:textId="73F0BE47" w:rsidR="00B56D64" w:rsidRPr="00770477" w:rsidRDefault="00B56D64" w:rsidP="0002617D">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0.15</w:t>
            </w:r>
          </w:p>
        </w:tc>
      </w:tr>
      <w:tr w:rsidR="00B56D64" w:rsidRPr="00770477" w14:paraId="38097D9A" w14:textId="77777777" w:rsidTr="0002617D">
        <w:tc>
          <w:tcPr>
            <w:cnfStyle w:val="001000000000" w:firstRow="0" w:lastRow="0" w:firstColumn="1" w:lastColumn="0" w:oddVBand="0" w:evenVBand="0" w:oddHBand="0" w:evenHBand="0" w:firstRowFirstColumn="0" w:firstRowLastColumn="0" w:lastRowFirstColumn="0" w:lastRowLastColumn="0"/>
            <w:tcW w:w="2070" w:type="dxa"/>
          </w:tcPr>
          <w:p w14:paraId="7909A7AD" w14:textId="6BAADA06" w:rsidR="00B56D64" w:rsidRPr="00770477" w:rsidRDefault="00B56D64" w:rsidP="00B56D64">
            <w:pPr>
              <w:spacing w:line="240" w:lineRule="auto"/>
              <w:rPr>
                <w:rFonts w:cs="Times New Roman"/>
              </w:rPr>
            </w:pPr>
            <w:r w:rsidRPr="00770477">
              <w:rPr>
                <w:rFonts w:cs="Times New Roman"/>
              </w:rPr>
              <w:t>Sodium</w:t>
            </w:r>
          </w:p>
        </w:tc>
        <w:tc>
          <w:tcPr>
            <w:tcW w:w="3600" w:type="dxa"/>
          </w:tcPr>
          <w:p w14:paraId="3514CF39" w14:textId="77777777" w:rsidR="00B56D64" w:rsidRPr="00770477" w:rsidRDefault="00B56D64"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NaNO</w:t>
            </w:r>
            <w:r w:rsidRPr="00770477">
              <w:rPr>
                <w:rFonts w:cs="Times New Roman"/>
                <w:vertAlign w:val="subscript"/>
              </w:rPr>
              <w:t>3</w:t>
            </w:r>
          </w:p>
          <w:p w14:paraId="040E1F6A" w14:textId="77777777" w:rsidR="004822B9" w:rsidRPr="00770477" w:rsidRDefault="004822B9"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NaCl</w:t>
            </w:r>
          </w:p>
          <w:p w14:paraId="382FA872" w14:textId="77777777" w:rsidR="004822B9" w:rsidRPr="00770477" w:rsidRDefault="004822B9"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proofErr w:type="spellStart"/>
            <w:r w:rsidRPr="00770477">
              <w:rPr>
                <w:rFonts w:cs="Times New Roman"/>
              </w:rPr>
              <w:t>NaF</w:t>
            </w:r>
            <w:proofErr w:type="spellEnd"/>
          </w:p>
          <w:p w14:paraId="02729B20" w14:textId="175DF6E2" w:rsidR="004822B9" w:rsidRPr="00770477" w:rsidRDefault="004822B9"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Na</w:t>
            </w:r>
            <w:r w:rsidRPr="00770477">
              <w:rPr>
                <w:rFonts w:cs="Times New Roman"/>
                <w:vertAlign w:val="subscript"/>
              </w:rPr>
              <w:t>2</w:t>
            </w:r>
            <w:r w:rsidRPr="00770477">
              <w:rPr>
                <w:rFonts w:cs="Times New Roman"/>
              </w:rPr>
              <w:t>SO</w:t>
            </w:r>
            <w:r w:rsidRPr="00770477">
              <w:rPr>
                <w:rFonts w:cs="Times New Roman"/>
                <w:vertAlign w:val="subscript"/>
              </w:rPr>
              <w:t>4</w:t>
            </w:r>
          </w:p>
        </w:tc>
        <w:tc>
          <w:tcPr>
            <w:tcW w:w="3680" w:type="dxa"/>
          </w:tcPr>
          <w:p w14:paraId="01B5D719" w14:textId="387F1101" w:rsidR="00B56D64" w:rsidRPr="00770477" w:rsidRDefault="00B56D64" w:rsidP="0002617D">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1.36</w:t>
            </w:r>
          </w:p>
        </w:tc>
      </w:tr>
    </w:tbl>
    <w:p w14:paraId="3470E53F" w14:textId="099680A2" w:rsidR="000042C1" w:rsidRPr="00770477" w:rsidRDefault="000042C1" w:rsidP="005557F8">
      <w:pPr>
        <w:rPr>
          <w:rFonts w:cs="Times New Roman"/>
        </w:rPr>
      </w:pPr>
    </w:p>
    <w:p w14:paraId="276C877D" w14:textId="49A6BD1A" w:rsidR="005B2B9F" w:rsidRPr="00770477" w:rsidRDefault="000042C1" w:rsidP="000042C1">
      <w:pPr>
        <w:spacing w:line="240" w:lineRule="auto"/>
        <w:rPr>
          <w:rFonts w:cs="Times New Roman"/>
        </w:rPr>
      </w:pPr>
      <w:r w:rsidRPr="00770477">
        <w:rPr>
          <w:rFonts w:cs="Times New Roman"/>
        </w:rPr>
        <w:br w:type="page"/>
      </w:r>
    </w:p>
    <w:p w14:paraId="775032DD" w14:textId="404E62B7" w:rsidR="007D49E8" w:rsidRPr="00770477" w:rsidRDefault="007D49E8" w:rsidP="007D49E8">
      <w:pPr>
        <w:pStyle w:val="Heading4"/>
        <w:rPr>
          <w:rFonts w:ascii="Times New Roman" w:hAnsi="Times New Roman" w:cs="Times New Roman"/>
        </w:rPr>
      </w:pPr>
      <w:bookmarkStart w:id="32" w:name="_Toc121495980"/>
      <w:r w:rsidRPr="00770477">
        <w:rPr>
          <w:rFonts w:ascii="Times New Roman" w:hAnsi="Times New Roman" w:cs="Times New Roman"/>
        </w:rPr>
        <w:lastRenderedPageBreak/>
        <w:t>Metals</w:t>
      </w:r>
      <w:bookmarkEnd w:id="32"/>
    </w:p>
    <w:p w14:paraId="458C4BE3" w14:textId="2D27A42E" w:rsidR="00A90CB5" w:rsidRPr="00770477" w:rsidRDefault="2BEAE0DB" w:rsidP="005B2B9F">
      <w:pPr>
        <w:ind w:firstLine="720"/>
        <w:rPr>
          <w:rFonts w:cs="Times New Roman"/>
        </w:rPr>
      </w:pPr>
      <w:r w:rsidRPr="00770477">
        <w:rPr>
          <w:rFonts w:cs="Times New Roman"/>
        </w:rPr>
        <w:t>Metals were added using a</w:t>
      </w:r>
      <w:r w:rsidR="27BBF728" w:rsidRPr="00770477">
        <w:rPr>
          <w:rFonts w:cs="Times New Roman"/>
        </w:rPr>
        <w:t xml:space="preserve">n </w:t>
      </w:r>
      <w:r w:rsidR="596774C3" w:rsidRPr="00770477">
        <w:rPr>
          <w:rFonts w:cs="Times New Roman"/>
        </w:rPr>
        <w:t>Inductively Coupled Plasma (</w:t>
      </w:r>
      <w:r w:rsidR="27BBF728" w:rsidRPr="00770477">
        <w:rPr>
          <w:rFonts w:cs="Times New Roman"/>
        </w:rPr>
        <w:t>ICP</w:t>
      </w:r>
      <w:r w:rsidR="596774C3" w:rsidRPr="00770477">
        <w:rPr>
          <w:rFonts w:cs="Times New Roman"/>
        </w:rPr>
        <w:t>)</w:t>
      </w:r>
      <w:r w:rsidR="27BBF728" w:rsidRPr="00770477">
        <w:rPr>
          <w:rFonts w:cs="Times New Roman"/>
        </w:rPr>
        <w:t xml:space="preserve"> Trace Metals Standard from Inorganic Ventures</w:t>
      </w:r>
      <w:r w:rsidR="006E0C97">
        <w:rPr>
          <w:rFonts w:eastAsia="Symbol" w:cs="Times New Roman"/>
        </w:rPr>
        <w:t>™</w:t>
      </w:r>
      <w:r w:rsidR="27BBF728" w:rsidRPr="00770477">
        <w:rPr>
          <w:rFonts w:cs="Times New Roman"/>
        </w:rPr>
        <w:t xml:space="preserve"> </w:t>
      </w:r>
      <w:r w:rsidR="007D49E8" w:rsidRPr="00770477">
        <w:rPr>
          <w:rFonts w:cs="Times New Roman"/>
        </w:rPr>
        <w:fldChar w:fldCharType="begin"/>
      </w:r>
      <w:r w:rsidR="002074AD">
        <w:rPr>
          <w:rFonts w:cs="Times New Roman"/>
        </w:rPr>
        <w:instrText xml:space="preserve"> ADDIN ZOTERO_ITEM CSL_CITATION {"citationID":"KPLKQsmm","properties":{"formattedCitation":"({\\i{}ICP Metals Standard}, n.d.)","plainCitation":"(ICP Metals Standard, n.d.)","noteIndex":0},"citationItems":[{"id":984,"uris":["http://zotero.org/users/8423188/items/JHNLMTF2"],"itemData":{"id":984,"type":"document","publisher":"Inorganic Ventures","title":"Trace Metals ICP Calibration/Quality Control Standard Certificate","title-short":"ICP Metals Standard","URL":"https://www.inorganicventures.com/icp-cal-std-trace-metals-125ml"}}],"schema":"https://github.com/citation-style-language/schema/raw/master/csl-citation.json"} </w:instrText>
      </w:r>
      <w:r w:rsidR="007D49E8" w:rsidRPr="00770477">
        <w:rPr>
          <w:rFonts w:cs="Times New Roman"/>
        </w:rPr>
        <w:fldChar w:fldCharType="separate"/>
      </w:r>
      <w:r w:rsidR="75C108C5" w:rsidRPr="00770477">
        <w:rPr>
          <w:rFonts w:cs="Times New Roman"/>
        </w:rPr>
        <w:t>(</w:t>
      </w:r>
      <w:r w:rsidR="75C108C5" w:rsidRPr="00770477">
        <w:rPr>
          <w:rFonts w:cs="Times New Roman"/>
          <w:i/>
          <w:iCs/>
        </w:rPr>
        <w:t>ICP Metals Standard</w:t>
      </w:r>
      <w:r w:rsidR="75C108C5" w:rsidRPr="00770477">
        <w:rPr>
          <w:rFonts w:cs="Times New Roman"/>
        </w:rPr>
        <w:t>, n.d.)</w:t>
      </w:r>
      <w:r w:rsidR="007D49E8" w:rsidRPr="00770477">
        <w:rPr>
          <w:rFonts w:cs="Times New Roman"/>
        </w:rPr>
        <w:fldChar w:fldCharType="end"/>
      </w:r>
      <w:r w:rsidR="27BBF728" w:rsidRPr="00770477">
        <w:rPr>
          <w:rFonts w:cs="Times New Roman"/>
        </w:rPr>
        <w:t xml:space="preserve">. Each metal and their concentration in the standard </w:t>
      </w:r>
      <w:proofErr w:type="gramStart"/>
      <w:r w:rsidR="27BBF728" w:rsidRPr="00770477">
        <w:rPr>
          <w:rFonts w:cs="Times New Roman"/>
        </w:rPr>
        <w:t>is</w:t>
      </w:r>
      <w:proofErr w:type="gramEnd"/>
      <w:r w:rsidR="27BBF728" w:rsidRPr="00770477">
        <w:rPr>
          <w:rFonts w:cs="Times New Roman"/>
        </w:rPr>
        <w:t xml:space="preserve"> shown in</w:t>
      </w:r>
      <w:r w:rsidR="3846077A" w:rsidRPr="00770477">
        <w:rPr>
          <w:rFonts w:cs="Times New Roman"/>
        </w:rPr>
        <w:t xml:space="preserve"> </w:t>
      </w:r>
      <w:r w:rsidR="00E2615C" w:rsidRPr="00770477">
        <w:rPr>
          <w:rFonts w:cs="Times New Roman"/>
          <w:highlight w:val="yellow"/>
        </w:rPr>
        <w:fldChar w:fldCharType="begin"/>
      </w:r>
      <w:r w:rsidR="00E2615C" w:rsidRPr="00770477">
        <w:rPr>
          <w:rFonts w:cs="Times New Roman"/>
        </w:rPr>
        <w:instrText xml:space="preserve"> REF _Ref116933353 \h </w:instrText>
      </w:r>
      <w:r w:rsidR="00770477">
        <w:rPr>
          <w:rFonts w:cs="Times New Roman"/>
          <w:highlight w:val="yellow"/>
        </w:rPr>
        <w:instrText xml:space="preserve"> \* MERGEFORMAT </w:instrText>
      </w:r>
      <w:r w:rsidR="00E2615C" w:rsidRPr="00770477">
        <w:rPr>
          <w:rFonts w:cs="Times New Roman"/>
          <w:highlight w:val="yellow"/>
        </w:rPr>
      </w:r>
      <w:r w:rsidR="00E2615C" w:rsidRPr="00770477">
        <w:rPr>
          <w:rFonts w:cs="Times New Roman"/>
          <w:highlight w:val="yellow"/>
        </w:rPr>
        <w:fldChar w:fldCharType="separate"/>
      </w:r>
      <w:r w:rsidR="00061096" w:rsidRPr="00770477">
        <w:rPr>
          <w:rFonts w:cs="Times New Roman"/>
        </w:rPr>
        <w:t xml:space="preserve">Table </w:t>
      </w:r>
      <w:r w:rsidR="00061096">
        <w:rPr>
          <w:rFonts w:cs="Times New Roman"/>
          <w:noProof/>
        </w:rPr>
        <w:t>2</w:t>
      </w:r>
      <w:r w:rsidR="00061096">
        <w:rPr>
          <w:rFonts w:cs="Times New Roman"/>
          <w:noProof/>
        </w:rPr>
        <w:noBreakHyphen/>
        <w:t>2</w:t>
      </w:r>
      <w:r w:rsidR="00E2615C" w:rsidRPr="00770477">
        <w:rPr>
          <w:rFonts w:cs="Times New Roman"/>
          <w:highlight w:val="yellow"/>
        </w:rPr>
        <w:fldChar w:fldCharType="end"/>
      </w:r>
      <w:r w:rsidR="27BBF728" w:rsidRPr="00770477">
        <w:rPr>
          <w:rFonts w:cs="Times New Roman"/>
        </w:rPr>
        <w:t xml:space="preserve">. Because the application of this study is for bioretention effluent, the targeted metals concentrations were determined by collecting BMP metals effluent data from the </w:t>
      </w:r>
      <w:r w:rsidR="007D49E8" w:rsidRPr="00770477">
        <w:rPr>
          <w:rFonts w:cs="Times New Roman"/>
        </w:rPr>
        <w:fldChar w:fldCharType="begin"/>
      </w:r>
      <w:r w:rsidR="002074AD">
        <w:rPr>
          <w:rFonts w:cs="Times New Roman"/>
        </w:rPr>
        <w:instrText xml:space="preserve"> ADDIN ZOTERO_ITEM CSL_CITATION {"citationID":"WgFMAGNn","properties":{"formattedCitation":"({\\i{}BMP Statistical Analysis Tool}, n.d.)","plainCitation":"(BMP Statistical Analysis Tool, n.d.)","dontUpdate":true,"noteIndex":0},"citationItems":[{"id":61,"uris":["http://zotero.org/users/8423188/items/USTC4DRG"],"itemData":{"id":61,"type":"webpage","container-title":"INT'L STORMWATER BMP DBASE","language":"en-US","title":"BMP Statistical Analysis Tool","URL":"https://bmpdatabase.org/bmp-statistical-analysis-tool","accessed":{"date-parts":[["2021",11,18]]}}}],"schema":"https://github.com/citation-style-language/schema/raw/master/csl-citation.json"} </w:instrText>
      </w:r>
      <w:r w:rsidR="007D49E8" w:rsidRPr="00770477">
        <w:rPr>
          <w:rFonts w:cs="Times New Roman"/>
        </w:rPr>
        <w:fldChar w:fldCharType="separate"/>
      </w:r>
      <w:r w:rsidR="27BBF728" w:rsidRPr="00770477">
        <w:rPr>
          <w:rFonts w:cs="Times New Roman"/>
          <w:i/>
          <w:iCs/>
        </w:rPr>
        <w:t>BMP Statistical Analysis Tool</w:t>
      </w:r>
      <w:r w:rsidR="27BBF728" w:rsidRPr="00770477">
        <w:rPr>
          <w:rFonts w:cs="Times New Roman"/>
        </w:rPr>
        <w:t xml:space="preserve"> (n.d.)</w:t>
      </w:r>
      <w:r w:rsidR="007D49E8" w:rsidRPr="00770477">
        <w:rPr>
          <w:rFonts w:cs="Times New Roman"/>
        </w:rPr>
        <w:fldChar w:fldCharType="end"/>
      </w:r>
      <w:r w:rsidR="27BBF728" w:rsidRPr="00770477">
        <w:rPr>
          <w:rFonts w:cs="Times New Roman"/>
        </w:rPr>
        <w:t xml:space="preserve">. Metals were added as a dissolved fraction, therefore the dissolved fraction of bioretention effluent values were used as the target as shown in </w:t>
      </w:r>
      <w:r w:rsidR="00E2615C" w:rsidRPr="00770477">
        <w:rPr>
          <w:rFonts w:cs="Times New Roman"/>
          <w:highlight w:val="yellow"/>
        </w:rPr>
        <w:fldChar w:fldCharType="begin"/>
      </w:r>
      <w:r w:rsidR="00E2615C" w:rsidRPr="00770477">
        <w:rPr>
          <w:rFonts w:cs="Times New Roman"/>
        </w:rPr>
        <w:instrText xml:space="preserve"> REF _Ref116933353 \h </w:instrText>
      </w:r>
      <w:r w:rsidR="00770477">
        <w:rPr>
          <w:rFonts w:cs="Times New Roman"/>
          <w:highlight w:val="yellow"/>
        </w:rPr>
        <w:instrText xml:space="preserve"> \* MERGEFORMAT </w:instrText>
      </w:r>
      <w:r w:rsidR="00E2615C" w:rsidRPr="00770477">
        <w:rPr>
          <w:rFonts w:cs="Times New Roman"/>
          <w:highlight w:val="yellow"/>
        </w:rPr>
      </w:r>
      <w:r w:rsidR="00E2615C" w:rsidRPr="00770477">
        <w:rPr>
          <w:rFonts w:cs="Times New Roman"/>
          <w:highlight w:val="yellow"/>
        </w:rPr>
        <w:fldChar w:fldCharType="separate"/>
      </w:r>
      <w:r w:rsidR="00061096" w:rsidRPr="00770477">
        <w:rPr>
          <w:rFonts w:cs="Times New Roman"/>
        </w:rPr>
        <w:t xml:space="preserve">Table </w:t>
      </w:r>
      <w:r w:rsidR="00061096">
        <w:rPr>
          <w:rFonts w:cs="Times New Roman"/>
          <w:noProof/>
        </w:rPr>
        <w:t>2</w:t>
      </w:r>
      <w:r w:rsidR="00061096">
        <w:rPr>
          <w:rFonts w:cs="Times New Roman"/>
          <w:noProof/>
        </w:rPr>
        <w:noBreakHyphen/>
        <w:t>2</w:t>
      </w:r>
      <w:r w:rsidR="00E2615C" w:rsidRPr="00770477">
        <w:rPr>
          <w:rFonts w:cs="Times New Roman"/>
          <w:highlight w:val="yellow"/>
        </w:rPr>
        <w:fldChar w:fldCharType="end"/>
      </w:r>
      <w:r w:rsidR="27BBF728" w:rsidRPr="00770477">
        <w:rPr>
          <w:rFonts w:cs="Times New Roman"/>
        </w:rPr>
        <w:t xml:space="preserve">. Double the target concentration of each metal was used to </w:t>
      </w:r>
      <w:r w:rsidR="00C02A70" w:rsidRPr="00770477">
        <w:rPr>
          <w:rFonts w:cs="Times New Roman"/>
        </w:rPr>
        <w:t>increase the likelihood</w:t>
      </w:r>
      <w:r w:rsidR="27BBF728" w:rsidRPr="00770477">
        <w:rPr>
          <w:rFonts w:cs="Times New Roman"/>
        </w:rPr>
        <w:t xml:space="preserve"> that values stayed above detection limits </w:t>
      </w:r>
      <w:r w:rsidR="00C66740" w:rsidRPr="00770477">
        <w:rPr>
          <w:rFonts w:cs="Times New Roman"/>
        </w:rPr>
        <w:t>as to effectively characterize both influent and effluent contaminant levels</w:t>
      </w:r>
      <w:r w:rsidR="27BBF728" w:rsidRPr="00770477">
        <w:rPr>
          <w:rFonts w:cs="Times New Roman"/>
        </w:rPr>
        <w:t xml:space="preserve">. In most cases, the ICP Trace Metals Standard was more than sufficient to spike the SSW to or above the desired concentrations. However, Fe and Zn concentration requirements were not met with this ICP Trace Metals Standard. </w:t>
      </w:r>
      <w:r w:rsidR="27390546" w:rsidRPr="00770477">
        <w:rPr>
          <w:rFonts w:cs="Times New Roman"/>
        </w:rPr>
        <w:t>Aqueous concentrated stock solutions of Fe</w:t>
      </w:r>
      <w:r w:rsidR="00C71B4B">
        <w:rPr>
          <w:rFonts w:cs="Times New Roman"/>
          <w:vertAlign w:val="superscript"/>
        </w:rPr>
        <w:t>+3</w:t>
      </w:r>
      <w:r w:rsidR="27390546" w:rsidRPr="00770477">
        <w:rPr>
          <w:rFonts w:cs="Times New Roman"/>
        </w:rPr>
        <w:t xml:space="preserve"> and Zn</w:t>
      </w:r>
      <w:r w:rsidR="00C71B4B">
        <w:rPr>
          <w:rFonts w:cs="Times New Roman"/>
          <w:vertAlign w:val="superscript"/>
        </w:rPr>
        <w:t>+2</w:t>
      </w:r>
      <w:r w:rsidR="27390546" w:rsidRPr="00770477">
        <w:rPr>
          <w:rFonts w:cs="Times New Roman"/>
        </w:rPr>
        <w:t xml:space="preserve"> </w:t>
      </w:r>
      <w:proofErr w:type="gramStart"/>
      <w:r w:rsidR="27390546" w:rsidRPr="00770477">
        <w:rPr>
          <w:rFonts w:cs="Times New Roman"/>
        </w:rPr>
        <w:t>were</w:t>
      </w:r>
      <w:proofErr w:type="gramEnd"/>
      <w:r w:rsidR="27390546" w:rsidRPr="00770477">
        <w:rPr>
          <w:rFonts w:cs="Times New Roman"/>
        </w:rPr>
        <w:t xml:space="preserve"> created and added to achieve the desired concentrations. </w:t>
      </w:r>
    </w:p>
    <w:p w14:paraId="5E143D84" w14:textId="7D524374" w:rsidR="00125CAF" w:rsidRPr="00770477" w:rsidRDefault="000042C1" w:rsidP="000042C1">
      <w:pPr>
        <w:spacing w:line="240" w:lineRule="auto"/>
        <w:rPr>
          <w:rFonts w:cs="Times New Roman"/>
        </w:rPr>
      </w:pPr>
      <w:r w:rsidRPr="00770477">
        <w:rPr>
          <w:rFonts w:cs="Times New Roman"/>
        </w:rPr>
        <w:br w:type="page"/>
      </w:r>
    </w:p>
    <w:p w14:paraId="06009D8E" w14:textId="4CE7F178" w:rsidR="00125CAF" w:rsidRPr="00770477" w:rsidRDefault="00125CAF" w:rsidP="00125CAF">
      <w:pPr>
        <w:pStyle w:val="Caption"/>
        <w:keepNext/>
        <w:rPr>
          <w:rFonts w:cs="Times New Roman"/>
        </w:rPr>
      </w:pPr>
      <w:bookmarkStart w:id="33" w:name="_Ref116933353"/>
      <w:bookmarkStart w:id="34" w:name="_Toc121495932"/>
      <w:r w:rsidRPr="00770477">
        <w:rPr>
          <w:rFonts w:cs="Times New Roman"/>
        </w:rPr>
        <w:lastRenderedPageBreak/>
        <w:t xml:space="preserve">Table </w:t>
      </w:r>
      <w:r w:rsidR="00B26DDF">
        <w:rPr>
          <w:rFonts w:cs="Times New Roman"/>
        </w:rPr>
        <w:fldChar w:fldCharType="begin"/>
      </w:r>
      <w:r w:rsidR="00B26DDF">
        <w:rPr>
          <w:rFonts w:cs="Times New Roman"/>
        </w:rPr>
        <w:instrText xml:space="preserve"> STYLEREF 1 \s </w:instrText>
      </w:r>
      <w:r w:rsidR="00B26DDF">
        <w:rPr>
          <w:rFonts w:cs="Times New Roman"/>
        </w:rPr>
        <w:fldChar w:fldCharType="separate"/>
      </w:r>
      <w:r w:rsidR="00061096">
        <w:rPr>
          <w:rFonts w:cs="Times New Roman"/>
          <w:noProof/>
        </w:rPr>
        <w:t>2</w:t>
      </w:r>
      <w:r w:rsidR="00B26DDF">
        <w:rPr>
          <w:rFonts w:cs="Times New Roman"/>
        </w:rPr>
        <w:fldChar w:fldCharType="end"/>
      </w:r>
      <w:r w:rsidR="00B26DDF">
        <w:rPr>
          <w:rFonts w:cs="Times New Roman"/>
        </w:rPr>
        <w:noBreakHyphen/>
      </w:r>
      <w:r w:rsidR="00B26DDF">
        <w:rPr>
          <w:rFonts w:cs="Times New Roman"/>
        </w:rPr>
        <w:fldChar w:fldCharType="begin"/>
      </w:r>
      <w:r w:rsidR="00B26DDF">
        <w:rPr>
          <w:rFonts w:cs="Times New Roman"/>
        </w:rPr>
        <w:instrText xml:space="preserve"> SEQ Table \* ARABIC \s 1 </w:instrText>
      </w:r>
      <w:r w:rsidR="00B26DDF">
        <w:rPr>
          <w:rFonts w:cs="Times New Roman"/>
        </w:rPr>
        <w:fldChar w:fldCharType="separate"/>
      </w:r>
      <w:r w:rsidR="00061096">
        <w:rPr>
          <w:rFonts w:cs="Times New Roman"/>
          <w:noProof/>
        </w:rPr>
        <w:t>2</w:t>
      </w:r>
      <w:r w:rsidR="00B26DDF">
        <w:rPr>
          <w:rFonts w:cs="Times New Roman"/>
        </w:rPr>
        <w:fldChar w:fldCharType="end"/>
      </w:r>
      <w:bookmarkEnd w:id="33"/>
      <w:r w:rsidRPr="00770477">
        <w:rPr>
          <w:rFonts w:cs="Times New Roman"/>
        </w:rPr>
        <w:t xml:space="preserve"> Target metals concentrations in the synthetic stormwater</w:t>
      </w:r>
      <w:r w:rsidR="0043010E">
        <w:rPr>
          <w:rFonts w:cs="Times New Roman"/>
        </w:rPr>
        <w:t>.</w:t>
      </w:r>
      <w:bookmarkEnd w:id="34"/>
    </w:p>
    <w:tbl>
      <w:tblPr>
        <w:tblStyle w:val="PlainTable5"/>
        <w:tblW w:w="7207" w:type="dxa"/>
        <w:tblLook w:val="04A0" w:firstRow="1" w:lastRow="0" w:firstColumn="1" w:lastColumn="0" w:noHBand="0" w:noVBand="1"/>
      </w:tblPr>
      <w:tblGrid>
        <w:gridCol w:w="1300"/>
        <w:gridCol w:w="1969"/>
        <w:gridCol w:w="1969"/>
        <w:gridCol w:w="1969"/>
      </w:tblGrid>
      <w:tr w:rsidR="00E2615C" w:rsidRPr="00770477" w14:paraId="7CAFB549" w14:textId="065EC345" w:rsidTr="004E65F2">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1300" w:type="dxa"/>
            <w:noWrap/>
          </w:tcPr>
          <w:p w14:paraId="01EB5EE9" w14:textId="768F73CC" w:rsidR="00E2615C" w:rsidRPr="00770477" w:rsidRDefault="00E2615C" w:rsidP="00125CAF">
            <w:pPr>
              <w:spacing w:line="240" w:lineRule="auto"/>
              <w:rPr>
                <w:rFonts w:eastAsia="Times New Roman" w:cs="Times New Roman"/>
                <w:color w:val="000000"/>
              </w:rPr>
            </w:pPr>
            <w:r w:rsidRPr="00770477">
              <w:rPr>
                <w:rFonts w:eastAsia="Times New Roman" w:cs="Times New Roman"/>
                <w:color w:val="000000"/>
              </w:rPr>
              <w:t>Metal</w:t>
            </w:r>
          </w:p>
        </w:tc>
        <w:tc>
          <w:tcPr>
            <w:tcW w:w="1969" w:type="dxa"/>
          </w:tcPr>
          <w:p w14:paraId="245F96F5" w14:textId="4E78B889" w:rsidR="00E2615C" w:rsidRPr="00770477" w:rsidRDefault="00E2615C" w:rsidP="0043010E">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Literature Concentration (</w:t>
            </w:r>
            <w:r w:rsidR="00EE3F3E">
              <w:rPr>
                <w:rFonts w:eastAsia="Times New Roman" w:cs="Times New Roman"/>
                <w:color w:val="000000"/>
              </w:rPr>
              <w:t>µg L</w:t>
            </w:r>
            <w:r w:rsidR="00EE3F3E" w:rsidRPr="001F3003">
              <w:rPr>
                <w:rFonts w:eastAsia="Times New Roman" w:cs="Times New Roman"/>
                <w:color w:val="000000"/>
                <w:vertAlign w:val="superscript"/>
              </w:rPr>
              <w:t>-1</w:t>
            </w:r>
            <w:r w:rsidRPr="00770477">
              <w:rPr>
                <w:rFonts w:eastAsia="Times New Roman" w:cs="Times New Roman"/>
                <w:color w:val="000000"/>
              </w:rPr>
              <w:t>)</w:t>
            </w:r>
          </w:p>
        </w:tc>
        <w:tc>
          <w:tcPr>
            <w:tcW w:w="1969" w:type="dxa"/>
            <w:noWrap/>
          </w:tcPr>
          <w:p w14:paraId="3DA4B91B" w14:textId="6EDDAC41" w:rsidR="00E2615C" w:rsidRPr="00770477" w:rsidRDefault="00E2615C" w:rsidP="0043010E">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Target Concentration (</w:t>
            </w:r>
            <w:r w:rsidR="00EE3F3E">
              <w:rPr>
                <w:rFonts w:eastAsia="Times New Roman" w:cs="Times New Roman"/>
                <w:color w:val="000000"/>
              </w:rPr>
              <w:t>µg L</w:t>
            </w:r>
            <w:r w:rsidR="00EE3F3E" w:rsidRPr="001F3003">
              <w:rPr>
                <w:rFonts w:eastAsia="Times New Roman" w:cs="Times New Roman"/>
                <w:color w:val="000000"/>
                <w:vertAlign w:val="superscript"/>
              </w:rPr>
              <w:t>-1</w:t>
            </w:r>
            <w:r w:rsidRPr="00770477">
              <w:rPr>
                <w:rFonts w:eastAsia="Times New Roman" w:cs="Times New Roman"/>
                <w:color w:val="000000"/>
              </w:rPr>
              <w:t>)</w:t>
            </w:r>
          </w:p>
        </w:tc>
        <w:tc>
          <w:tcPr>
            <w:tcW w:w="1969" w:type="dxa"/>
          </w:tcPr>
          <w:p w14:paraId="7C75E98E" w14:textId="1BE94DF2" w:rsidR="00E2615C" w:rsidRPr="00770477" w:rsidRDefault="00E2615C" w:rsidP="0043010E">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Standard Concentration (µg</w:t>
            </w:r>
            <w:r w:rsidR="001F3003">
              <w:rPr>
                <w:rFonts w:eastAsia="Times New Roman" w:cs="Times New Roman"/>
                <w:color w:val="000000"/>
              </w:rPr>
              <w:t xml:space="preserve"> </w:t>
            </w:r>
            <w:proofErr w:type="gramStart"/>
            <w:r w:rsidRPr="00770477">
              <w:rPr>
                <w:rFonts w:eastAsia="Times New Roman" w:cs="Times New Roman"/>
                <w:color w:val="000000"/>
              </w:rPr>
              <w:t>mL</w:t>
            </w:r>
            <w:r w:rsidR="001F3003">
              <w:rPr>
                <w:rFonts w:eastAsia="Times New Roman" w:cs="Times New Roman"/>
                <w:color w:val="000000"/>
                <w:vertAlign w:val="superscript"/>
              </w:rPr>
              <w:t>-1</w:t>
            </w:r>
            <w:proofErr w:type="gramEnd"/>
            <w:r w:rsidRPr="00770477">
              <w:rPr>
                <w:rFonts w:eastAsia="Times New Roman" w:cs="Times New Roman"/>
                <w:color w:val="000000"/>
              </w:rPr>
              <w:t>)</w:t>
            </w:r>
          </w:p>
        </w:tc>
      </w:tr>
      <w:tr w:rsidR="00E2615C" w:rsidRPr="00770477" w14:paraId="0EF3E936" w14:textId="528DF554" w:rsidTr="004E65F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B3062C9" w14:textId="2F75BE6F" w:rsidR="00E2615C" w:rsidRPr="00770477" w:rsidRDefault="00E2615C" w:rsidP="00125CAF">
            <w:pPr>
              <w:spacing w:line="240" w:lineRule="auto"/>
              <w:rPr>
                <w:rFonts w:eastAsia="Times New Roman" w:cs="Times New Roman"/>
                <w:color w:val="000000"/>
              </w:rPr>
            </w:pPr>
            <w:r w:rsidRPr="00770477">
              <w:rPr>
                <w:rFonts w:eastAsia="Times New Roman" w:cs="Times New Roman"/>
                <w:color w:val="000000"/>
              </w:rPr>
              <w:t>Al</w:t>
            </w:r>
          </w:p>
        </w:tc>
        <w:tc>
          <w:tcPr>
            <w:tcW w:w="1969" w:type="dxa"/>
          </w:tcPr>
          <w:p w14:paraId="5D20A247" w14:textId="31A8CAAE"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w:t>
            </w:r>
          </w:p>
        </w:tc>
        <w:tc>
          <w:tcPr>
            <w:tcW w:w="1969" w:type="dxa"/>
            <w:noWrap/>
            <w:hideMark/>
          </w:tcPr>
          <w:p w14:paraId="0A4ABEFF" w14:textId="022EEC01"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969" w:type="dxa"/>
          </w:tcPr>
          <w:p w14:paraId="2B098463" w14:textId="14C28379"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500</w:t>
            </w:r>
          </w:p>
        </w:tc>
      </w:tr>
      <w:tr w:rsidR="00E2615C" w:rsidRPr="00770477" w14:paraId="1610DB1D" w14:textId="2728A0E2" w:rsidTr="004E65F2">
        <w:trPr>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3E46817A" w14:textId="44A7BC6F" w:rsidR="00E2615C" w:rsidRPr="00770477" w:rsidRDefault="00E2615C" w:rsidP="00125CAF">
            <w:pPr>
              <w:spacing w:line="240" w:lineRule="auto"/>
              <w:rPr>
                <w:rFonts w:eastAsia="Times New Roman" w:cs="Times New Roman"/>
                <w:color w:val="000000"/>
              </w:rPr>
            </w:pPr>
            <w:r w:rsidRPr="00770477">
              <w:rPr>
                <w:rFonts w:eastAsia="Times New Roman" w:cs="Times New Roman"/>
                <w:color w:val="000000"/>
              </w:rPr>
              <w:t>As</w:t>
            </w:r>
          </w:p>
        </w:tc>
        <w:tc>
          <w:tcPr>
            <w:tcW w:w="1969" w:type="dxa"/>
          </w:tcPr>
          <w:p w14:paraId="031BAE8A" w14:textId="16C5F958"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0.73</w:t>
            </w:r>
          </w:p>
        </w:tc>
        <w:tc>
          <w:tcPr>
            <w:tcW w:w="1969" w:type="dxa"/>
            <w:noWrap/>
            <w:hideMark/>
          </w:tcPr>
          <w:p w14:paraId="31E1FC63" w14:textId="47FE5550"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1.46</w:t>
            </w:r>
          </w:p>
        </w:tc>
        <w:tc>
          <w:tcPr>
            <w:tcW w:w="1969" w:type="dxa"/>
          </w:tcPr>
          <w:p w14:paraId="5CB0CC8D" w14:textId="4B5722F2"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E2615C" w:rsidRPr="00770477" w14:paraId="1C837D89" w14:textId="05A41DE2" w:rsidTr="004E65F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FB2A7E7" w14:textId="577EBB9E" w:rsidR="00E2615C" w:rsidRPr="00770477" w:rsidRDefault="00E2615C" w:rsidP="00125CAF">
            <w:pPr>
              <w:spacing w:line="240" w:lineRule="auto"/>
              <w:rPr>
                <w:rFonts w:eastAsia="Times New Roman" w:cs="Times New Roman"/>
                <w:color w:val="000000"/>
              </w:rPr>
            </w:pPr>
            <w:r w:rsidRPr="00770477">
              <w:rPr>
                <w:rFonts w:eastAsia="Times New Roman" w:cs="Times New Roman"/>
                <w:color w:val="000000"/>
              </w:rPr>
              <w:t>Be</w:t>
            </w:r>
          </w:p>
        </w:tc>
        <w:tc>
          <w:tcPr>
            <w:tcW w:w="1969" w:type="dxa"/>
          </w:tcPr>
          <w:p w14:paraId="1D54C7EB" w14:textId="540BB5B2"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0.25</w:t>
            </w:r>
          </w:p>
        </w:tc>
        <w:tc>
          <w:tcPr>
            <w:tcW w:w="1969" w:type="dxa"/>
            <w:noWrap/>
            <w:hideMark/>
          </w:tcPr>
          <w:p w14:paraId="23DFFD85" w14:textId="58039AC1"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w:t>
            </w:r>
          </w:p>
        </w:tc>
        <w:tc>
          <w:tcPr>
            <w:tcW w:w="1969" w:type="dxa"/>
          </w:tcPr>
          <w:p w14:paraId="041B26B8" w14:textId="52581AE4"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E2615C" w:rsidRPr="00770477" w14:paraId="7C7AC02A" w14:textId="20A91C7D" w:rsidTr="004E65F2">
        <w:trPr>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B73C49C" w14:textId="2C7042C3" w:rsidR="00E2615C" w:rsidRPr="00770477" w:rsidRDefault="00E2615C" w:rsidP="00125CAF">
            <w:pPr>
              <w:spacing w:line="240" w:lineRule="auto"/>
              <w:rPr>
                <w:rFonts w:eastAsia="Times New Roman" w:cs="Times New Roman"/>
                <w:color w:val="000000"/>
              </w:rPr>
            </w:pPr>
            <w:r w:rsidRPr="00770477">
              <w:rPr>
                <w:rFonts w:eastAsia="Times New Roman" w:cs="Times New Roman"/>
                <w:color w:val="000000"/>
              </w:rPr>
              <w:t>Cd</w:t>
            </w:r>
          </w:p>
        </w:tc>
        <w:tc>
          <w:tcPr>
            <w:tcW w:w="1969" w:type="dxa"/>
          </w:tcPr>
          <w:p w14:paraId="303CB276" w14:textId="55236389"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c>
          <w:tcPr>
            <w:tcW w:w="1969" w:type="dxa"/>
            <w:noWrap/>
            <w:hideMark/>
          </w:tcPr>
          <w:p w14:paraId="234A9EB1" w14:textId="588638C5"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0.28</w:t>
            </w:r>
          </w:p>
        </w:tc>
        <w:tc>
          <w:tcPr>
            <w:tcW w:w="1969" w:type="dxa"/>
          </w:tcPr>
          <w:p w14:paraId="12B6B15E" w14:textId="0FE63C23"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w:t>
            </w:r>
          </w:p>
        </w:tc>
      </w:tr>
      <w:tr w:rsidR="00E2615C" w:rsidRPr="00770477" w14:paraId="607E8938" w14:textId="05BF2158" w:rsidTr="004E65F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C2B0253" w14:textId="39DF8D8F" w:rsidR="00E2615C" w:rsidRPr="00770477" w:rsidRDefault="00E2615C" w:rsidP="00125CAF">
            <w:pPr>
              <w:spacing w:line="240" w:lineRule="auto"/>
              <w:rPr>
                <w:rFonts w:eastAsia="Times New Roman" w:cs="Times New Roman"/>
                <w:color w:val="000000"/>
              </w:rPr>
            </w:pPr>
            <w:r w:rsidRPr="00770477">
              <w:rPr>
                <w:rFonts w:eastAsia="Times New Roman" w:cs="Times New Roman"/>
                <w:color w:val="000000"/>
              </w:rPr>
              <w:t>Cr</w:t>
            </w:r>
          </w:p>
        </w:tc>
        <w:tc>
          <w:tcPr>
            <w:tcW w:w="1969" w:type="dxa"/>
          </w:tcPr>
          <w:p w14:paraId="795908BE" w14:textId="5D10CFEC"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w:t>
            </w:r>
          </w:p>
        </w:tc>
        <w:tc>
          <w:tcPr>
            <w:tcW w:w="1969" w:type="dxa"/>
            <w:noWrap/>
            <w:hideMark/>
          </w:tcPr>
          <w:p w14:paraId="6904DAEE" w14:textId="23972AFE"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w:t>
            </w:r>
          </w:p>
        </w:tc>
        <w:tc>
          <w:tcPr>
            <w:tcW w:w="1969" w:type="dxa"/>
          </w:tcPr>
          <w:p w14:paraId="106ED74E" w14:textId="5861C3C2"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E2615C" w:rsidRPr="00770477" w14:paraId="0665C79E" w14:textId="074696DE" w:rsidTr="004E65F2">
        <w:trPr>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1631084" w14:textId="38FEB721" w:rsidR="00E2615C" w:rsidRPr="00770477" w:rsidRDefault="00E2615C" w:rsidP="00125CAF">
            <w:pPr>
              <w:spacing w:line="240" w:lineRule="auto"/>
              <w:rPr>
                <w:rFonts w:eastAsia="Times New Roman" w:cs="Times New Roman"/>
                <w:color w:val="000000"/>
              </w:rPr>
            </w:pPr>
            <w:r w:rsidRPr="00770477">
              <w:rPr>
                <w:rFonts w:eastAsia="Times New Roman" w:cs="Times New Roman"/>
                <w:color w:val="000000"/>
              </w:rPr>
              <w:t>Co</w:t>
            </w:r>
          </w:p>
        </w:tc>
        <w:tc>
          <w:tcPr>
            <w:tcW w:w="1969" w:type="dxa"/>
          </w:tcPr>
          <w:p w14:paraId="1B395C67" w14:textId="29EE9DAC"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0.44</w:t>
            </w:r>
          </w:p>
        </w:tc>
        <w:tc>
          <w:tcPr>
            <w:tcW w:w="1969" w:type="dxa"/>
            <w:noWrap/>
            <w:hideMark/>
          </w:tcPr>
          <w:p w14:paraId="007D9CBB" w14:textId="67B1633F"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0.88</w:t>
            </w:r>
          </w:p>
        </w:tc>
        <w:tc>
          <w:tcPr>
            <w:tcW w:w="1969" w:type="dxa"/>
          </w:tcPr>
          <w:p w14:paraId="3A1679B9" w14:textId="399FDD64"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E2615C" w:rsidRPr="00770477" w14:paraId="00596CE1" w14:textId="0B487518" w:rsidTr="004E65F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9A79C4B" w14:textId="68BBDD42" w:rsidR="00E2615C" w:rsidRPr="00770477" w:rsidRDefault="00E2615C" w:rsidP="00125CAF">
            <w:pPr>
              <w:spacing w:line="240" w:lineRule="auto"/>
              <w:rPr>
                <w:rFonts w:eastAsia="Times New Roman" w:cs="Times New Roman"/>
                <w:color w:val="000000"/>
              </w:rPr>
            </w:pPr>
            <w:r w:rsidRPr="00770477">
              <w:rPr>
                <w:rFonts w:eastAsia="Times New Roman" w:cs="Times New Roman"/>
                <w:color w:val="000000"/>
              </w:rPr>
              <w:t>Cu</w:t>
            </w:r>
          </w:p>
        </w:tc>
        <w:tc>
          <w:tcPr>
            <w:tcW w:w="1969" w:type="dxa"/>
          </w:tcPr>
          <w:p w14:paraId="0100BAFE" w14:textId="01691BF7"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w:t>
            </w:r>
          </w:p>
        </w:tc>
        <w:tc>
          <w:tcPr>
            <w:tcW w:w="1969" w:type="dxa"/>
            <w:noWrap/>
            <w:hideMark/>
          </w:tcPr>
          <w:p w14:paraId="7E239CF1" w14:textId="029AA035"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11.8</w:t>
            </w:r>
          </w:p>
        </w:tc>
        <w:tc>
          <w:tcPr>
            <w:tcW w:w="1969" w:type="dxa"/>
          </w:tcPr>
          <w:p w14:paraId="75C0C6BF" w14:textId="44FD1F18"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E2615C" w:rsidRPr="00770477" w14:paraId="3EC7324D" w14:textId="7F9593F4" w:rsidTr="004E65F2">
        <w:trPr>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1B2A3B2" w14:textId="2570B738" w:rsidR="00E2615C" w:rsidRPr="00770477" w:rsidRDefault="00E2615C" w:rsidP="00125CAF">
            <w:pPr>
              <w:spacing w:line="240" w:lineRule="auto"/>
              <w:rPr>
                <w:rFonts w:eastAsia="Times New Roman" w:cs="Times New Roman"/>
                <w:color w:val="000000"/>
              </w:rPr>
            </w:pPr>
            <w:r w:rsidRPr="00770477">
              <w:rPr>
                <w:rFonts w:eastAsia="Times New Roman" w:cs="Times New Roman"/>
                <w:color w:val="000000"/>
              </w:rPr>
              <w:t>Fe</w:t>
            </w:r>
          </w:p>
        </w:tc>
        <w:tc>
          <w:tcPr>
            <w:tcW w:w="1969" w:type="dxa"/>
          </w:tcPr>
          <w:p w14:paraId="1F7063E9" w14:textId="38FF7731"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w:t>
            </w:r>
          </w:p>
        </w:tc>
        <w:tc>
          <w:tcPr>
            <w:tcW w:w="1969" w:type="dxa"/>
            <w:noWrap/>
            <w:hideMark/>
          </w:tcPr>
          <w:p w14:paraId="3D3EA0BC" w14:textId="14125C6C"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120</w:t>
            </w:r>
          </w:p>
        </w:tc>
        <w:tc>
          <w:tcPr>
            <w:tcW w:w="1969" w:type="dxa"/>
          </w:tcPr>
          <w:p w14:paraId="285A0089" w14:textId="3D9EA66C"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E2615C" w:rsidRPr="00770477" w14:paraId="5017ED29" w14:textId="1FD35C37" w:rsidTr="004E65F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AE17AC7" w14:textId="39478F0C" w:rsidR="00E2615C" w:rsidRPr="00770477" w:rsidRDefault="00E2615C" w:rsidP="00125CAF">
            <w:pPr>
              <w:spacing w:line="240" w:lineRule="auto"/>
              <w:rPr>
                <w:rFonts w:eastAsia="Times New Roman" w:cs="Times New Roman"/>
                <w:color w:val="000000"/>
              </w:rPr>
            </w:pPr>
            <w:r w:rsidRPr="00770477">
              <w:rPr>
                <w:rFonts w:eastAsia="Times New Roman" w:cs="Times New Roman"/>
                <w:color w:val="000000"/>
              </w:rPr>
              <w:t>Pb</w:t>
            </w:r>
          </w:p>
        </w:tc>
        <w:tc>
          <w:tcPr>
            <w:tcW w:w="1969" w:type="dxa"/>
          </w:tcPr>
          <w:p w14:paraId="16225214" w14:textId="3B8C6932"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969" w:type="dxa"/>
            <w:noWrap/>
            <w:hideMark/>
          </w:tcPr>
          <w:p w14:paraId="37301715" w14:textId="35B5AFB4"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969" w:type="dxa"/>
          </w:tcPr>
          <w:p w14:paraId="0A8578A9" w14:textId="0A635AC0"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E2615C" w:rsidRPr="00770477" w14:paraId="47A66D00" w14:textId="3D72943B" w:rsidTr="004E65F2">
        <w:trPr>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0F215C9" w14:textId="1A431169" w:rsidR="00E2615C" w:rsidRPr="00770477" w:rsidRDefault="00E2615C" w:rsidP="00125CAF">
            <w:pPr>
              <w:spacing w:line="240" w:lineRule="auto"/>
              <w:rPr>
                <w:rFonts w:eastAsia="Times New Roman" w:cs="Times New Roman"/>
                <w:color w:val="000000"/>
              </w:rPr>
            </w:pPr>
            <w:r w:rsidRPr="00770477">
              <w:rPr>
                <w:rFonts w:eastAsia="Times New Roman" w:cs="Times New Roman"/>
                <w:color w:val="000000"/>
              </w:rPr>
              <w:t>Mn</w:t>
            </w:r>
          </w:p>
        </w:tc>
        <w:tc>
          <w:tcPr>
            <w:tcW w:w="1969" w:type="dxa"/>
          </w:tcPr>
          <w:p w14:paraId="29581B9D" w14:textId="5348499D"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17.4</w:t>
            </w:r>
          </w:p>
        </w:tc>
        <w:tc>
          <w:tcPr>
            <w:tcW w:w="1969" w:type="dxa"/>
            <w:noWrap/>
            <w:hideMark/>
          </w:tcPr>
          <w:p w14:paraId="223A9C55" w14:textId="3DB379E5"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34.8</w:t>
            </w:r>
          </w:p>
        </w:tc>
        <w:tc>
          <w:tcPr>
            <w:tcW w:w="1969" w:type="dxa"/>
          </w:tcPr>
          <w:p w14:paraId="6FAD750C" w14:textId="209D1F3D"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E2615C" w:rsidRPr="00770477" w14:paraId="3D8793D4" w14:textId="6C70307D" w:rsidTr="004E65F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56B07396" w14:textId="7EFD07DC" w:rsidR="00E2615C" w:rsidRPr="00770477" w:rsidRDefault="00E2615C" w:rsidP="00125CAF">
            <w:pPr>
              <w:spacing w:line="240" w:lineRule="auto"/>
              <w:rPr>
                <w:rFonts w:eastAsia="Times New Roman" w:cs="Times New Roman"/>
                <w:color w:val="000000"/>
              </w:rPr>
            </w:pPr>
            <w:r w:rsidRPr="00770477">
              <w:rPr>
                <w:rFonts w:eastAsia="Times New Roman" w:cs="Times New Roman"/>
                <w:color w:val="000000"/>
              </w:rPr>
              <w:t>Ni</w:t>
            </w:r>
          </w:p>
        </w:tc>
        <w:tc>
          <w:tcPr>
            <w:tcW w:w="1969" w:type="dxa"/>
          </w:tcPr>
          <w:p w14:paraId="7F69339A" w14:textId="173CF324"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969" w:type="dxa"/>
            <w:noWrap/>
            <w:hideMark/>
          </w:tcPr>
          <w:p w14:paraId="4A4F327C" w14:textId="34280C36"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w:t>
            </w:r>
          </w:p>
        </w:tc>
        <w:tc>
          <w:tcPr>
            <w:tcW w:w="1969" w:type="dxa"/>
          </w:tcPr>
          <w:p w14:paraId="2701113D" w14:textId="46C4366F"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E2615C" w:rsidRPr="00770477" w14:paraId="32F6B346" w14:textId="6EFF254D" w:rsidTr="004E65F2">
        <w:trPr>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53EFAEB" w14:textId="09A3B1CA" w:rsidR="00E2615C" w:rsidRPr="00770477" w:rsidRDefault="00E2615C" w:rsidP="00125CAF">
            <w:pPr>
              <w:spacing w:line="240" w:lineRule="auto"/>
              <w:rPr>
                <w:rFonts w:eastAsia="Times New Roman" w:cs="Times New Roman"/>
                <w:color w:val="000000"/>
              </w:rPr>
            </w:pPr>
            <w:r w:rsidRPr="00770477">
              <w:rPr>
                <w:rFonts w:eastAsia="Times New Roman" w:cs="Times New Roman"/>
                <w:color w:val="000000"/>
              </w:rPr>
              <w:t>Se</w:t>
            </w:r>
          </w:p>
        </w:tc>
        <w:tc>
          <w:tcPr>
            <w:tcW w:w="1969" w:type="dxa"/>
          </w:tcPr>
          <w:p w14:paraId="14180A89" w14:textId="1D582CDE"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w:t>
            </w:r>
          </w:p>
        </w:tc>
        <w:tc>
          <w:tcPr>
            <w:tcW w:w="1969" w:type="dxa"/>
            <w:noWrap/>
            <w:hideMark/>
          </w:tcPr>
          <w:p w14:paraId="2C2CC71D" w14:textId="01ED9FCC"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969" w:type="dxa"/>
          </w:tcPr>
          <w:p w14:paraId="4D46FA80" w14:textId="045F8B79"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w:t>
            </w:r>
          </w:p>
        </w:tc>
      </w:tr>
      <w:tr w:rsidR="00E2615C" w:rsidRPr="00770477" w14:paraId="3C799E99" w14:textId="3704E056" w:rsidTr="004E65F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3D485F9E" w14:textId="54EC792C" w:rsidR="00E2615C" w:rsidRPr="00770477" w:rsidRDefault="00E2615C" w:rsidP="00125CAF">
            <w:pPr>
              <w:spacing w:line="240" w:lineRule="auto"/>
              <w:rPr>
                <w:rFonts w:eastAsia="Times New Roman" w:cs="Times New Roman"/>
                <w:color w:val="000000"/>
              </w:rPr>
            </w:pPr>
            <w:r w:rsidRPr="00770477">
              <w:rPr>
                <w:rFonts w:eastAsia="Times New Roman" w:cs="Times New Roman"/>
                <w:color w:val="000000"/>
              </w:rPr>
              <w:t>V</w:t>
            </w:r>
          </w:p>
        </w:tc>
        <w:tc>
          <w:tcPr>
            <w:tcW w:w="1969" w:type="dxa"/>
          </w:tcPr>
          <w:p w14:paraId="641AE0CE" w14:textId="42B5B82C"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2.34</w:t>
            </w:r>
          </w:p>
        </w:tc>
        <w:tc>
          <w:tcPr>
            <w:tcW w:w="1969" w:type="dxa"/>
            <w:noWrap/>
            <w:hideMark/>
          </w:tcPr>
          <w:p w14:paraId="1C890C6A" w14:textId="7958F0CD"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4.68</w:t>
            </w:r>
          </w:p>
        </w:tc>
        <w:tc>
          <w:tcPr>
            <w:tcW w:w="1969" w:type="dxa"/>
          </w:tcPr>
          <w:p w14:paraId="511F02EE" w14:textId="0D7A72A5" w:rsidR="00E2615C" w:rsidRPr="00770477" w:rsidRDefault="00E2615C"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250</w:t>
            </w:r>
          </w:p>
        </w:tc>
      </w:tr>
      <w:tr w:rsidR="00E2615C" w:rsidRPr="00770477" w14:paraId="2C915CC2" w14:textId="2DC04D70" w:rsidTr="004E65F2">
        <w:trPr>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20C62CAD" w14:textId="5CE5EB20" w:rsidR="00E2615C" w:rsidRPr="00770477" w:rsidRDefault="00E2615C" w:rsidP="00125CAF">
            <w:pPr>
              <w:spacing w:line="240" w:lineRule="auto"/>
              <w:rPr>
                <w:rFonts w:eastAsia="Times New Roman" w:cs="Times New Roman"/>
                <w:color w:val="000000"/>
              </w:rPr>
            </w:pPr>
            <w:r w:rsidRPr="00770477">
              <w:rPr>
                <w:rFonts w:eastAsia="Times New Roman" w:cs="Times New Roman"/>
                <w:color w:val="000000"/>
              </w:rPr>
              <w:t>Zn</w:t>
            </w:r>
          </w:p>
        </w:tc>
        <w:tc>
          <w:tcPr>
            <w:tcW w:w="1969" w:type="dxa"/>
          </w:tcPr>
          <w:p w14:paraId="0BF446EE" w14:textId="60377615"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24.1</w:t>
            </w:r>
          </w:p>
        </w:tc>
        <w:tc>
          <w:tcPr>
            <w:tcW w:w="1969" w:type="dxa"/>
            <w:noWrap/>
            <w:hideMark/>
          </w:tcPr>
          <w:p w14:paraId="6DAC9B32" w14:textId="762F343F"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48.2</w:t>
            </w:r>
          </w:p>
        </w:tc>
        <w:tc>
          <w:tcPr>
            <w:tcW w:w="1969" w:type="dxa"/>
          </w:tcPr>
          <w:p w14:paraId="45678785" w14:textId="0D132FFB" w:rsidR="00E2615C" w:rsidRPr="00770477" w:rsidRDefault="00E2615C"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bl>
    <w:p w14:paraId="58635561" w14:textId="77777777" w:rsidR="00125CAF" w:rsidRPr="00770477" w:rsidRDefault="00125CAF" w:rsidP="005557F8">
      <w:pPr>
        <w:rPr>
          <w:rFonts w:cs="Times New Roman"/>
        </w:rPr>
      </w:pPr>
    </w:p>
    <w:p w14:paraId="4E42FF50" w14:textId="1CBDEE9A" w:rsidR="00E05B05" w:rsidRPr="00770477" w:rsidRDefault="00E05B05" w:rsidP="00E05B05">
      <w:pPr>
        <w:pStyle w:val="Heading4"/>
        <w:rPr>
          <w:rFonts w:ascii="Times New Roman" w:hAnsi="Times New Roman" w:cs="Times New Roman"/>
        </w:rPr>
      </w:pPr>
      <w:bookmarkStart w:id="35" w:name="_Toc121495981"/>
      <w:r w:rsidRPr="00770477">
        <w:rPr>
          <w:rFonts w:ascii="Times New Roman" w:hAnsi="Times New Roman" w:cs="Times New Roman"/>
        </w:rPr>
        <w:t>Neonicotinoids</w:t>
      </w:r>
      <w:bookmarkEnd w:id="35"/>
    </w:p>
    <w:p w14:paraId="3D77437E" w14:textId="05FFD20F" w:rsidR="00E05B05" w:rsidRPr="00770477" w:rsidRDefault="00E05B05" w:rsidP="00D97988">
      <w:pPr>
        <w:ind w:firstLine="720"/>
        <w:rPr>
          <w:rFonts w:cs="Times New Roman"/>
        </w:rPr>
      </w:pPr>
      <w:r w:rsidRPr="00770477">
        <w:rPr>
          <w:rFonts w:cs="Times New Roman"/>
        </w:rPr>
        <w:t>Acetamiprid, dinotefuran, and imidacloprid have been characterized as “the big three</w:t>
      </w:r>
      <w:r w:rsidR="004E65F2" w:rsidRPr="00770477">
        <w:rPr>
          <w:rFonts w:cs="Times New Roman"/>
        </w:rPr>
        <w:t xml:space="preserve"> [neonicotinoids]</w:t>
      </w:r>
      <w:r w:rsidRPr="00770477">
        <w:rPr>
          <w:rFonts w:cs="Times New Roman"/>
        </w:rPr>
        <w:t xml:space="preserve">” in Oklahoma by </w:t>
      </w:r>
      <w:r w:rsidR="00BF3802" w:rsidRPr="00770477">
        <w:rPr>
          <w:rFonts w:cs="Times New Roman"/>
        </w:rPr>
        <w:t xml:space="preserve">Dr. Eric </w:t>
      </w:r>
      <w:proofErr w:type="spellStart"/>
      <w:r w:rsidR="00BF3802" w:rsidRPr="00770477">
        <w:rPr>
          <w:rFonts w:cs="Times New Roman"/>
        </w:rPr>
        <w:t>Rebek</w:t>
      </w:r>
      <w:proofErr w:type="spellEnd"/>
      <w:r w:rsidR="6359F156" w:rsidRPr="00770477">
        <w:rPr>
          <w:rFonts w:cs="Times New Roman"/>
        </w:rPr>
        <w:t>, former Extension Entomology Specialist at Oklahoma State University</w:t>
      </w:r>
      <w:r w:rsidR="00BF3802" w:rsidRPr="00770477">
        <w:rPr>
          <w:rFonts w:cs="Times New Roman"/>
        </w:rPr>
        <w:t xml:space="preserve"> </w:t>
      </w:r>
      <w:r w:rsidRPr="00770477">
        <w:rPr>
          <w:rFonts w:cs="Times New Roman"/>
        </w:rPr>
        <w:fldChar w:fldCharType="begin"/>
      </w:r>
      <w:r w:rsidR="002074AD">
        <w:rPr>
          <w:rFonts w:cs="Times New Roman"/>
        </w:rPr>
        <w:instrText xml:space="preserve"> ADDIN ZOTERO_ITEM CSL_CITATION {"citationID":"p27JrzlB","properties":{"formattedCitation":"(Dr. E. Rebek, personal communication, September 13, 2021)","plainCitation":"(Dr. E. Rebek, personal communication, September 13, 2021)","noteIndex":0},"citationItems":[{"id":985,"uris":["http://zotero.org/users/8423188/items/HYHCDMC4"],"itemData":{"id":985,"type":"interview","medium":"Phone Call","title":"Personal Communications","author":[{"family":"Rebek","given":"Dr. Eric"}],"issued":{"date-parts":[["2021",9,13]]}}}],"schema":"https://github.com/citation-style-language/schema/raw/master/csl-citation.json"} </w:instrText>
      </w:r>
      <w:r w:rsidRPr="00770477">
        <w:rPr>
          <w:rFonts w:cs="Times New Roman"/>
        </w:rPr>
        <w:fldChar w:fldCharType="separate"/>
      </w:r>
      <w:r w:rsidR="00E11E17" w:rsidRPr="00770477">
        <w:rPr>
          <w:rFonts w:cs="Times New Roman"/>
        </w:rPr>
        <w:t>(Dr. E. Rebek, personal communication, September 13, 2021)</w:t>
      </w:r>
      <w:r w:rsidRPr="00770477">
        <w:rPr>
          <w:rFonts w:cs="Times New Roman"/>
        </w:rPr>
        <w:fldChar w:fldCharType="end"/>
      </w:r>
      <w:r w:rsidR="004E65F2" w:rsidRPr="00770477">
        <w:rPr>
          <w:rFonts w:cs="Times New Roman"/>
        </w:rPr>
        <w:t>.</w:t>
      </w:r>
      <w:r w:rsidR="00BF3802" w:rsidRPr="00770477">
        <w:rPr>
          <w:rFonts w:cs="Times New Roman"/>
        </w:rPr>
        <w:t xml:space="preserve"> </w:t>
      </w:r>
      <w:r w:rsidRPr="00770477">
        <w:rPr>
          <w:rFonts w:cs="Times New Roman"/>
        </w:rPr>
        <w:t xml:space="preserve">Concentrated stock solutions were created by using granulated, store-bought chemicals mixed with </w:t>
      </w:r>
      <w:r w:rsidR="00753AFB" w:rsidRPr="00770477">
        <w:rPr>
          <w:rFonts w:cs="Times New Roman"/>
        </w:rPr>
        <w:t xml:space="preserve">DI water. </w:t>
      </w:r>
      <w:r w:rsidR="00922AE4" w:rsidRPr="00770477">
        <w:rPr>
          <w:rFonts w:cs="Times New Roman"/>
        </w:rPr>
        <w:t>Assail 30 SG Insecticide</w:t>
      </w:r>
      <w:r w:rsidR="00753AFB" w:rsidRPr="00770477">
        <w:rPr>
          <w:rFonts w:cs="Times New Roman"/>
        </w:rPr>
        <w:t xml:space="preserve"> was used for acetamiprid </w:t>
      </w:r>
      <w:r w:rsidR="00922AE4" w:rsidRPr="00770477">
        <w:rPr>
          <w:rFonts w:cs="Times New Roman"/>
        </w:rPr>
        <w:t>(30% active ingredient</w:t>
      </w:r>
      <w:r w:rsidR="00753AFB" w:rsidRPr="00770477">
        <w:rPr>
          <w:rFonts w:cs="Times New Roman"/>
        </w:rPr>
        <w:t xml:space="preserve">), </w:t>
      </w:r>
      <w:r w:rsidR="00922AE4" w:rsidRPr="00770477">
        <w:rPr>
          <w:rFonts w:cs="Times New Roman"/>
        </w:rPr>
        <w:t>Safari 20 SG Insecticide</w:t>
      </w:r>
      <w:r w:rsidR="00753AFB" w:rsidRPr="00770477">
        <w:rPr>
          <w:rFonts w:cs="Times New Roman"/>
        </w:rPr>
        <w:t xml:space="preserve"> was used for dinotefuran (</w:t>
      </w:r>
      <w:r w:rsidR="00922AE4" w:rsidRPr="00770477">
        <w:rPr>
          <w:rFonts w:cs="Times New Roman"/>
        </w:rPr>
        <w:t>20% active ingredient</w:t>
      </w:r>
      <w:r w:rsidR="00753AFB" w:rsidRPr="00770477">
        <w:rPr>
          <w:rFonts w:cs="Times New Roman"/>
        </w:rPr>
        <w:t xml:space="preserve">), and </w:t>
      </w:r>
      <w:proofErr w:type="spellStart"/>
      <w:r w:rsidR="00922AE4" w:rsidRPr="00770477">
        <w:rPr>
          <w:rFonts w:cs="Times New Roman"/>
        </w:rPr>
        <w:t>Bonide</w:t>
      </w:r>
      <w:proofErr w:type="spellEnd"/>
      <w:r w:rsidR="00922AE4" w:rsidRPr="00770477">
        <w:rPr>
          <w:rFonts w:cs="Times New Roman"/>
        </w:rPr>
        <w:t xml:space="preserve"> Annual Tree &amp; Shrub Insect Control</w:t>
      </w:r>
      <w:r w:rsidR="00753AFB" w:rsidRPr="00770477">
        <w:rPr>
          <w:rFonts w:cs="Times New Roman"/>
        </w:rPr>
        <w:t xml:space="preserve"> was used for imidacloprid (</w:t>
      </w:r>
      <w:r w:rsidR="00922AE4" w:rsidRPr="00770477">
        <w:rPr>
          <w:rFonts w:cs="Times New Roman"/>
        </w:rPr>
        <w:t>1.47% active ingredient</w:t>
      </w:r>
      <w:r w:rsidR="00753AFB" w:rsidRPr="00770477">
        <w:rPr>
          <w:rFonts w:cs="Times New Roman"/>
        </w:rPr>
        <w:t xml:space="preserve">). Due to the volatile nature of neonicotinoids in solution, stock solutions were stored in a dark cabinet and were not used if they had been created more than one month prior. Initially, the target concentration for each neonicotinoid was set to 1 </w:t>
      </w:r>
      <w:r w:rsidR="00C74611">
        <w:rPr>
          <w:rFonts w:cs="Times New Roman"/>
        </w:rPr>
        <w:t>mg L</w:t>
      </w:r>
      <w:r w:rsidR="00C74611" w:rsidRPr="001106B8">
        <w:rPr>
          <w:rFonts w:cs="Times New Roman"/>
          <w:vertAlign w:val="superscript"/>
        </w:rPr>
        <w:t>-1</w:t>
      </w:r>
      <w:r w:rsidR="00753AFB" w:rsidRPr="00770477">
        <w:rPr>
          <w:rFonts w:cs="Times New Roman"/>
        </w:rPr>
        <w:t xml:space="preserve">. Vertical column experiments were run at this level. Further literature research and communications with the analyzing lab revealed that this concentration was </w:t>
      </w:r>
      <w:r w:rsidR="4D16995B" w:rsidRPr="00770477">
        <w:rPr>
          <w:rFonts w:cs="Times New Roman"/>
        </w:rPr>
        <w:lastRenderedPageBreak/>
        <w:t>above their existing upper standard limit</w:t>
      </w:r>
      <w:r w:rsidR="00753AFB" w:rsidRPr="00770477">
        <w:rPr>
          <w:rFonts w:cs="Times New Roman"/>
        </w:rPr>
        <w:t xml:space="preserve">. A decision to reduce neonicotinoid concentrations in the SSW was made and the new target was chosen to 1 </w:t>
      </w:r>
      <w:r w:rsidR="00EE3F3E">
        <w:rPr>
          <w:rFonts w:cs="Times New Roman"/>
        </w:rPr>
        <w:t>µg L</w:t>
      </w:r>
      <w:r w:rsidR="00EE3F3E" w:rsidRPr="001F3003">
        <w:rPr>
          <w:rFonts w:cs="Times New Roman"/>
          <w:vertAlign w:val="superscript"/>
        </w:rPr>
        <w:t>-1</w:t>
      </w:r>
      <w:r w:rsidR="00753AFB" w:rsidRPr="00770477">
        <w:rPr>
          <w:rFonts w:cs="Times New Roman"/>
        </w:rPr>
        <w:t xml:space="preserve"> based on the maximum reported regulatory standard compiled by </w:t>
      </w:r>
      <w:r w:rsidRPr="00770477">
        <w:rPr>
          <w:rFonts w:cs="Times New Roman"/>
        </w:rPr>
        <w:fldChar w:fldCharType="begin"/>
      </w:r>
      <w:r w:rsidR="002074AD">
        <w:rPr>
          <w:rFonts w:cs="Times New Roman"/>
        </w:rPr>
        <w:instrText xml:space="preserve"> ADDIN ZOTERO_ITEM CSL_CITATION {"citationID":"AzNMLkm2","properties":{"formattedCitation":"(Morrissey et al., 2015)","plainCitation":"(Morrissey et al., 2015)","dontUpdate":true,"noteIndex":0},"citationItems":[{"id":221,"uris":["http://zotero.org/users/8423188/items/VC3HAM8N"],"itemData":{"id":221,"type":"article-journal","abstract":"Neonicotinoids, broad-spectrum systemic insecticides, are the fastest growing class of insecticides worldwide and are now registered for use on hundreds of ﬁeld crops in over 120 different countries. The environmental proﬁle of this class of pesticides indicate that they are persistent, have high leaching and runoff potential, and are highly toxic to a wide range of invertebrates. Therefore, neonicotinoids represent a significant risk to surface waters and the diverse aquatic and terrestrial fauna that these ecosystems support. This review synthesizes the current state of knowledge on the reported concentrations of neonicotinoids in surface waters from 29 studies in 9 countries world-wide in tandem with published data on their acute and chronic toxicity to 49 species of aquatic insects and crustaceans spanning 12 invertebrate orders. Strong evidence exists that water-borne neonicotinoid exposures are frequent, long-term and at levels (geometric means = 0.13 μg/L (averages) and 0.63 μg/L (maxima)) which commonly exceed several existing water quality guidelines. Imidacloprid is by far the most widely studied neonicotinoid (66% of the 214 toxicity tests reviewed) with differences in sensitivity among aquatic invertebrate species ranging several orders of magnitude; other neonicotinoids display analogous modes of action and similar toxicities, although comparative data are limited. Of the species evaluated, insects belonging to the orders Ephemeroptera, Trichoptera and Diptera appear to be the most sensitive, while those of Crustacea (although not universally so) are less sensitive. In particular, the standard test species Daphnia magna appears to be very tolerant, with 24–96 hour LC50 values exceeding 100,000 μg/L (geometric mean N 44,000 μg/L), which is at least 2–3 orders of magnitude higher than the geometric mean of all other invertebrate species tested. Overall, neonicotinoids can exert adverse effects on survival, growth, emergence, mobility, and behavior of many sensitive aquatic invertebrate taxa at concentrations at or below 1 μg/L under acute exposure and 0.1 μg/L for chronic exposure. Using probabilistic approaches (species sensitivity distributions), we recommend here that ecological thresholds for neonicotinoid water concentrations need to be below 0.2 μg/L (shortterm acute) or 0.035 μg/L (long-term chronic) to avoid lasting effects on aquatic invertebrate communities. The application of safety factors may still be warranted considering potential issues of slow recovery, additive or synergistic effects and multiple stressors that can occur in the ﬁeld. Our analysis revealed that 81% (22/27) and 74% (14/19) of global surface water studies reporting maximum and average individual neonicotinoid concentrations respectively, exceeded these thresholds of 0.2 and 0.035 μg/L. Therefore, it appears that environmentally relevant concentrations of neonicotinoids in surface waters worldwide are well within the range where both short- and long-term impacts on aquatic invertebrate species are possible over broad spatial scales.","container-title":"Environment International","DOI":"10.1016/j.envint.2014.10.024","ISSN":"01604120","journalAbbreviation":"Environment International","language":"en","page":"291-303","source":"DOI.org (Crossref)","title":"Neonicotinoid contamination of global surface waters and associated risk to aquatic invertebrates: A review","title-short":"Neonicotinoid contamination of global surface waters and associated risk to aquatic invertebrates","volume":"74","author":[{"family":"Morrissey","given":"Christy A."},{"family":"Mineau","given":"Pierre"},{"family":"Devries","given":"James H."},{"family":"Sanchez-Bayo","given":"Francisco"},{"family":"Liess","given":"Matthias"},{"family":"Cavallaro","given":"Michael C."},{"family":"Liber","given":"Karsten"}],"issued":{"date-parts":[["2015",1]]}}}],"schema":"https://github.com/citation-style-language/schema/raw/master/csl-citation.json"} </w:instrText>
      </w:r>
      <w:r w:rsidRPr="00770477">
        <w:rPr>
          <w:rFonts w:cs="Times New Roman"/>
        </w:rPr>
        <w:fldChar w:fldCharType="separate"/>
      </w:r>
      <w:r w:rsidR="00753AFB" w:rsidRPr="00770477">
        <w:rPr>
          <w:rFonts w:cs="Times New Roman"/>
          <w:noProof/>
        </w:rPr>
        <w:t>Morrissey et al. (2015)</w:t>
      </w:r>
      <w:r w:rsidRPr="00770477">
        <w:rPr>
          <w:rFonts w:cs="Times New Roman"/>
        </w:rPr>
        <w:fldChar w:fldCharType="end"/>
      </w:r>
      <w:r w:rsidR="00753AFB" w:rsidRPr="00770477">
        <w:rPr>
          <w:rFonts w:cs="Times New Roman"/>
        </w:rPr>
        <w:t xml:space="preserve">. </w:t>
      </w:r>
      <w:r w:rsidR="00432CBF" w:rsidRPr="00770477">
        <w:rPr>
          <w:rFonts w:cs="Times New Roman"/>
        </w:rPr>
        <w:t xml:space="preserve">A </w:t>
      </w:r>
      <w:r w:rsidR="00B80C4C" w:rsidRPr="00770477">
        <w:rPr>
          <w:rFonts w:cs="Times New Roman"/>
        </w:rPr>
        <w:t xml:space="preserve">comparison </w:t>
      </w:r>
      <w:r w:rsidR="00432CBF" w:rsidRPr="00770477">
        <w:rPr>
          <w:rFonts w:cs="Times New Roman"/>
        </w:rPr>
        <w:t xml:space="preserve">study was done with the horizontal columns where the same sample setup and medium was used. Influent SSW with 1 </w:t>
      </w:r>
      <w:r w:rsidR="00C74611">
        <w:rPr>
          <w:rFonts w:cs="Times New Roman"/>
        </w:rPr>
        <w:t>mg L</w:t>
      </w:r>
      <w:r w:rsidR="00C74611" w:rsidRPr="001106B8">
        <w:rPr>
          <w:rFonts w:cs="Times New Roman"/>
          <w:vertAlign w:val="superscript"/>
        </w:rPr>
        <w:t>-1</w:t>
      </w:r>
      <w:r w:rsidR="00432CBF" w:rsidRPr="00770477">
        <w:rPr>
          <w:rFonts w:cs="Times New Roman"/>
        </w:rPr>
        <w:t xml:space="preserve"> neonicotinoids and another with 1 </w:t>
      </w:r>
      <w:r w:rsidR="00EC33E1">
        <w:rPr>
          <w:rFonts w:cs="Times New Roman"/>
        </w:rPr>
        <w:t>µg L</w:t>
      </w:r>
      <w:r w:rsidR="00EC33E1" w:rsidRPr="001F3003">
        <w:rPr>
          <w:rFonts w:cs="Times New Roman"/>
          <w:vertAlign w:val="superscript"/>
        </w:rPr>
        <w:t>-1</w:t>
      </w:r>
      <w:r w:rsidR="00432CBF" w:rsidRPr="00770477">
        <w:rPr>
          <w:rFonts w:cs="Times New Roman"/>
        </w:rPr>
        <w:t xml:space="preserve"> neonicotinoids were run to compare the effect of exceptionally high neonicotinoid concentrations on removal and other </w:t>
      </w:r>
      <w:r w:rsidR="003A72E2" w:rsidRPr="00770477">
        <w:rPr>
          <w:rFonts w:cs="Times New Roman"/>
        </w:rPr>
        <w:t>contaminant</w:t>
      </w:r>
      <w:r w:rsidR="00432CBF" w:rsidRPr="00770477">
        <w:rPr>
          <w:rFonts w:cs="Times New Roman"/>
        </w:rPr>
        <w:t xml:space="preserve"> removal. </w:t>
      </w:r>
    </w:p>
    <w:p w14:paraId="509CBD2B" w14:textId="22AF7D80" w:rsidR="00D22EE9" w:rsidRPr="00770477" w:rsidRDefault="5995F00F" w:rsidP="00C32FDA">
      <w:pPr>
        <w:ind w:firstLine="720"/>
        <w:rPr>
          <w:rFonts w:cs="Times New Roman"/>
        </w:rPr>
      </w:pPr>
      <w:r w:rsidRPr="00770477">
        <w:rPr>
          <w:rFonts w:cs="Times New Roman"/>
        </w:rPr>
        <w:t xml:space="preserve">Upon completion of each experiment, media samples were collected in 15 mL test tubes at the effluent, influent, and mid-column </w:t>
      </w:r>
      <w:proofErr w:type="gramStart"/>
      <w:r w:rsidRPr="00770477">
        <w:rPr>
          <w:rFonts w:cs="Times New Roman"/>
        </w:rPr>
        <w:t>points</w:t>
      </w:r>
      <w:proofErr w:type="gramEnd"/>
      <w:r w:rsidRPr="00770477">
        <w:rPr>
          <w:rFonts w:cs="Times New Roman"/>
        </w:rPr>
        <w:t xml:space="preserve"> and frozen (-20˚C) for potential future studies. </w:t>
      </w:r>
    </w:p>
    <w:p w14:paraId="188EC0B0" w14:textId="77777777" w:rsidR="00154AF7" w:rsidRPr="00770477" w:rsidRDefault="00154AF7" w:rsidP="00D97988">
      <w:pPr>
        <w:rPr>
          <w:rFonts w:cs="Times New Roman"/>
        </w:rPr>
      </w:pPr>
    </w:p>
    <w:p w14:paraId="416E4DE6" w14:textId="670727CD" w:rsidR="00154AF7" w:rsidRPr="00770477" w:rsidRDefault="00154AF7" w:rsidP="00154AF7">
      <w:pPr>
        <w:pStyle w:val="Heading4"/>
        <w:rPr>
          <w:rFonts w:ascii="Times New Roman" w:hAnsi="Times New Roman" w:cs="Times New Roman"/>
        </w:rPr>
      </w:pPr>
      <w:bookmarkStart w:id="36" w:name="_Toc121495982"/>
      <w:r w:rsidRPr="00770477">
        <w:rPr>
          <w:rFonts w:ascii="Times New Roman" w:hAnsi="Times New Roman" w:cs="Times New Roman"/>
        </w:rPr>
        <w:t>pH</w:t>
      </w:r>
      <w:bookmarkEnd w:id="36"/>
    </w:p>
    <w:p w14:paraId="3A4AEA31" w14:textId="5AAB8E91" w:rsidR="00154AF7" w:rsidRPr="00770477" w:rsidRDefault="130D33C3" w:rsidP="00D97988">
      <w:pPr>
        <w:ind w:firstLine="720"/>
        <w:rPr>
          <w:rFonts w:cs="Times New Roman"/>
        </w:rPr>
      </w:pPr>
      <w:r w:rsidRPr="00770477">
        <w:rPr>
          <w:rFonts w:cs="Times New Roman"/>
        </w:rPr>
        <w:t xml:space="preserve">Once the spiking of the tank was complete, </w:t>
      </w:r>
      <w:r w:rsidR="52AD5453" w:rsidRPr="00770477">
        <w:rPr>
          <w:rFonts w:cs="Times New Roman"/>
        </w:rPr>
        <w:t xml:space="preserve">the pH of the SSW was measured. Because the buffering capacity was extremely </w:t>
      </w:r>
      <w:r w:rsidR="74912119" w:rsidRPr="00770477">
        <w:rPr>
          <w:rFonts w:cs="Times New Roman"/>
        </w:rPr>
        <w:t>low</w:t>
      </w:r>
      <w:r w:rsidR="52AD5453" w:rsidRPr="00770477">
        <w:rPr>
          <w:rFonts w:cs="Times New Roman"/>
        </w:rPr>
        <w:t xml:space="preserve">, the acidity of the ICP Trace Metals Standard caused the tank to be below the desired pH. </w:t>
      </w:r>
      <w:r w:rsidR="00D555B7" w:rsidRPr="00770477">
        <w:rPr>
          <w:rFonts w:cs="Times New Roman"/>
        </w:rPr>
        <w:t xml:space="preserve">A </w:t>
      </w:r>
      <w:r w:rsidR="52AD5453" w:rsidRPr="00770477">
        <w:rPr>
          <w:rFonts w:cs="Times New Roman"/>
        </w:rPr>
        <w:t>sodium hydroxide (NaOH) stock solution</w:t>
      </w:r>
      <w:r w:rsidR="00D555B7" w:rsidRPr="00770477">
        <w:rPr>
          <w:rFonts w:cs="Times New Roman"/>
        </w:rPr>
        <w:t xml:space="preserve"> was added to the SSW</w:t>
      </w:r>
      <w:r w:rsidR="52AD5453" w:rsidRPr="00770477">
        <w:rPr>
          <w:rFonts w:cs="Times New Roman"/>
        </w:rPr>
        <w:t xml:space="preserve"> until the measured pH was 7.00 ±0.20. This naturally will increase the concentration of Na in solution above the target as outlined in </w:t>
      </w:r>
      <w:r w:rsidR="00740388" w:rsidRPr="00770477">
        <w:rPr>
          <w:rFonts w:cs="Times New Roman"/>
        </w:rPr>
        <w:fldChar w:fldCharType="begin"/>
      </w:r>
      <w:r w:rsidR="00740388" w:rsidRPr="00770477">
        <w:rPr>
          <w:rFonts w:cs="Times New Roman"/>
        </w:rPr>
        <w:instrText xml:space="preserve"> REF _Ref116292827 \h </w:instrText>
      </w:r>
      <w:r w:rsidR="00770477">
        <w:rPr>
          <w:rFonts w:cs="Times New Roman"/>
        </w:rPr>
        <w:instrText xml:space="preserve"> \* MERGEFORMAT </w:instrText>
      </w:r>
      <w:r w:rsidR="00740388" w:rsidRPr="00770477">
        <w:rPr>
          <w:rFonts w:cs="Times New Roman"/>
        </w:rPr>
      </w:r>
      <w:r w:rsidR="00740388" w:rsidRPr="00770477">
        <w:rPr>
          <w:rFonts w:cs="Times New Roman"/>
        </w:rPr>
        <w:fldChar w:fldCharType="separate"/>
      </w:r>
      <w:r w:rsidR="00061096" w:rsidRPr="00770477">
        <w:rPr>
          <w:rFonts w:cs="Times New Roman"/>
        </w:rPr>
        <w:t xml:space="preserve">Table </w:t>
      </w:r>
      <w:r w:rsidR="00061096">
        <w:rPr>
          <w:rFonts w:cs="Times New Roman"/>
          <w:noProof/>
        </w:rPr>
        <w:t>2</w:t>
      </w:r>
      <w:r w:rsidR="00061096">
        <w:rPr>
          <w:rFonts w:cs="Times New Roman"/>
          <w:noProof/>
        </w:rPr>
        <w:noBreakHyphen/>
        <w:t>1</w:t>
      </w:r>
      <w:r w:rsidR="00740388" w:rsidRPr="00770477">
        <w:rPr>
          <w:rFonts w:cs="Times New Roman"/>
        </w:rPr>
        <w:fldChar w:fldCharType="end"/>
      </w:r>
      <w:r w:rsidR="52AD5453" w:rsidRPr="00770477">
        <w:rPr>
          <w:rFonts w:cs="Times New Roman"/>
        </w:rPr>
        <w:t xml:space="preserve">. </w:t>
      </w:r>
    </w:p>
    <w:p w14:paraId="0FAD55F7" w14:textId="77777777" w:rsidR="003C4E11" w:rsidRPr="00770477" w:rsidRDefault="003C4E11" w:rsidP="00D97988">
      <w:pPr>
        <w:rPr>
          <w:rFonts w:cs="Times New Roman"/>
        </w:rPr>
      </w:pPr>
    </w:p>
    <w:p w14:paraId="644B38CE" w14:textId="257B54F5" w:rsidR="00A53FB5" w:rsidRPr="00770477" w:rsidRDefault="007C3258" w:rsidP="007C3258">
      <w:pPr>
        <w:pStyle w:val="Heading2"/>
        <w:rPr>
          <w:rFonts w:cs="Times New Roman"/>
        </w:rPr>
      </w:pPr>
      <w:bookmarkStart w:id="37" w:name="_Toc121495983"/>
      <w:r w:rsidRPr="00770477">
        <w:rPr>
          <w:rFonts w:cs="Times New Roman"/>
        </w:rPr>
        <w:t xml:space="preserve">Materials: </w:t>
      </w:r>
      <w:r w:rsidR="1C89FC54" w:rsidRPr="00770477">
        <w:rPr>
          <w:rFonts w:cs="Times New Roman"/>
        </w:rPr>
        <w:t>Industrial Byproducts</w:t>
      </w:r>
      <w:bookmarkEnd w:id="37"/>
    </w:p>
    <w:p w14:paraId="04A5EEF6" w14:textId="3ADEBDC4" w:rsidR="002D0875" w:rsidRPr="00770477" w:rsidRDefault="7AA95A27" w:rsidP="002D0875">
      <w:pPr>
        <w:ind w:firstLine="720"/>
        <w:rPr>
          <w:rFonts w:cs="Times New Roman"/>
        </w:rPr>
      </w:pPr>
      <w:r w:rsidRPr="00770477">
        <w:rPr>
          <w:rFonts w:cs="Times New Roman"/>
        </w:rPr>
        <w:t xml:space="preserve">General properties and compositions of each medium used was characterized in the Introduction of this thesis. The sections below are to provide further insight, where available, as to the source and characteristics of each medium used. </w:t>
      </w:r>
      <w:r w:rsidR="04FD0A8A" w:rsidRPr="00770477">
        <w:rPr>
          <w:rFonts w:cs="Times New Roman"/>
        </w:rPr>
        <w:t>All media was sieved to yield two sizes of media:</w:t>
      </w:r>
      <w:r w:rsidR="1658FEA5" w:rsidRPr="00770477">
        <w:rPr>
          <w:rFonts w:cs="Times New Roman"/>
        </w:rPr>
        <w:t xml:space="preserve"> large </w:t>
      </w:r>
      <w:r w:rsidR="00EA61B4" w:rsidRPr="00770477">
        <w:rPr>
          <w:rFonts w:cs="Times New Roman"/>
        </w:rPr>
        <w:softHyphen/>
      </w:r>
      <w:proofErr w:type="gramStart"/>
      <w:r w:rsidR="293C4795" w:rsidRPr="00770477">
        <w:rPr>
          <w:rFonts w:cs="Times New Roman"/>
        </w:rPr>
        <w:t xml:space="preserve">– </w:t>
      </w:r>
      <w:r w:rsidR="1658FEA5" w:rsidRPr="00770477">
        <w:rPr>
          <w:rFonts w:cs="Times New Roman"/>
        </w:rPr>
        <w:t xml:space="preserve"> </w:t>
      </w:r>
      <w:r w:rsidR="04FD0A8A" w:rsidRPr="00770477">
        <w:rPr>
          <w:rFonts w:cs="Times New Roman"/>
        </w:rPr>
        <w:t>0.25</w:t>
      </w:r>
      <w:proofErr w:type="gramEnd"/>
      <w:r w:rsidR="04FD0A8A" w:rsidRPr="00770477">
        <w:rPr>
          <w:rFonts w:cs="Times New Roman"/>
        </w:rPr>
        <w:t xml:space="preserve">” – 0.5” (0.635 cm – 1.27 cm) and </w:t>
      </w:r>
      <w:r w:rsidR="1658FEA5" w:rsidRPr="00770477">
        <w:rPr>
          <w:rFonts w:cs="Times New Roman"/>
        </w:rPr>
        <w:t xml:space="preserve">small </w:t>
      </w:r>
      <w:r w:rsidR="293C4795" w:rsidRPr="00770477">
        <w:rPr>
          <w:rFonts w:cs="Times New Roman"/>
        </w:rPr>
        <w:t xml:space="preserve">– </w:t>
      </w:r>
      <w:r w:rsidR="04FD0A8A" w:rsidRPr="00770477">
        <w:rPr>
          <w:rFonts w:cs="Times New Roman"/>
        </w:rPr>
        <w:t>0.0787” – 0.25” (0.200 cm – 0.635 cm). The latter of which is the size of a standard #10 sieve. After sieving, media were stored in plastic bags in a dry, dark location.</w:t>
      </w:r>
      <w:r w:rsidR="0094082A" w:rsidRPr="00770477">
        <w:rPr>
          <w:rFonts w:cs="Times New Roman"/>
        </w:rPr>
        <w:t xml:space="preserve"> </w:t>
      </w:r>
      <w:r w:rsidR="004A57A2" w:rsidRPr="00770477">
        <w:rPr>
          <w:rFonts w:cs="Times New Roman"/>
        </w:rPr>
        <w:fldChar w:fldCharType="begin"/>
      </w:r>
      <w:r w:rsidR="004A57A2" w:rsidRPr="00770477">
        <w:rPr>
          <w:rFonts w:cs="Times New Roman"/>
        </w:rPr>
        <w:instrText xml:space="preserve"> REF _Ref121166695 \h </w:instrText>
      </w:r>
      <w:r w:rsidR="00770477">
        <w:rPr>
          <w:rFonts w:cs="Times New Roman"/>
        </w:rPr>
        <w:instrText xml:space="preserve"> \* MERGEFORMAT </w:instrText>
      </w:r>
      <w:r w:rsidR="004A57A2" w:rsidRPr="00770477">
        <w:rPr>
          <w:rFonts w:cs="Times New Roman"/>
        </w:rPr>
      </w:r>
      <w:r w:rsidR="004A57A2" w:rsidRPr="00770477">
        <w:rPr>
          <w:rFonts w:cs="Times New Roman"/>
        </w:rPr>
        <w:fldChar w:fldCharType="separate"/>
      </w:r>
      <w:r w:rsidR="00061096" w:rsidRPr="00770477">
        <w:rPr>
          <w:rFonts w:cs="Times New Roman"/>
        </w:rPr>
        <w:t xml:space="preserve">Table </w:t>
      </w:r>
      <w:r w:rsidR="00061096">
        <w:rPr>
          <w:rFonts w:cs="Times New Roman"/>
          <w:noProof/>
        </w:rPr>
        <w:t>2</w:t>
      </w:r>
      <w:r w:rsidR="00061096">
        <w:rPr>
          <w:rFonts w:cs="Times New Roman"/>
          <w:noProof/>
        </w:rPr>
        <w:noBreakHyphen/>
        <w:t>3</w:t>
      </w:r>
      <w:r w:rsidR="004A57A2" w:rsidRPr="00770477">
        <w:rPr>
          <w:rFonts w:cs="Times New Roman"/>
        </w:rPr>
        <w:fldChar w:fldCharType="end"/>
      </w:r>
      <w:r w:rsidR="0094082A" w:rsidRPr="00770477">
        <w:rPr>
          <w:rFonts w:cs="Times New Roman"/>
        </w:rPr>
        <w:t xml:space="preserve"> below </w:t>
      </w:r>
      <w:r w:rsidR="004A57A2" w:rsidRPr="00770477">
        <w:rPr>
          <w:rFonts w:cs="Times New Roman"/>
        </w:rPr>
        <w:t xml:space="preserve">shows the composition of each specific media </w:t>
      </w:r>
      <w:r w:rsidR="004A57A2" w:rsidRPr="00770477">
        <w:rPr>
          <w:rFonts w:cs="Times New Roman"/>
        </w:rPr>
        <w:lastRenderedPageBreak/>
        <w:t xml:space="preserve">used in this study. </w:t>
      </w:r>
      <w:r w:rsidR="0085458F" w:rsidRPr="00770477">
        <w:rPr>
          <w:rFonts w:cs="Times New Roman"/>
        </w:rPr>
        <w:t xml:space="preserve">Fly ash was reported </w:t>
      </w:r>
      <w:r w:rsidR="00F113D3" w:rsidRPr="00770477">
        <w:rPr>
          <w:rFonts w:cs="Times New Roman"/>
        </w:rPr>
        <w:t xml:space="preserve">as % composition as the metal-oxide species </w:t>
      </w:r>
      <w:r w:rsidR="00F113D3" w:rsidRPr="00770477">
        <w:rPr>
          <w:rFonts w:cs="Times New Roman"/>
        </w:rPr>
        <w:fldChar w:fldCharType="begin"/>
      </w:r>
      <w:r w:rsidR="002074AD">
        <w:rPr>
          <w:rFonts w:cs="Times New Roman"/>
        </w:rPr>
        <w:instrText xml:space="preserve"> ADDIN ZOTERO_ITEM CSL_CITATION {"citationID":"a1vtt8v7c1v","properties":{"formattedCitation":"(W. Zhang et al., 2008)","plainCitation":"(W. Zhang et al., 2008)","noteIndex":0},"citationItems":[{"id":85,"uris":["http://zotero.org/users/8423188/items/DFEUEDT5"],"itemData":{"id":85,"type":"article-journal","container-title":"Water Environment Research","DOI":"10.2175/106143008X266823","ISSN":"10614303","issue":"6","journalAbbreviation":"Water Environment Research","language":"en","page":"507-516","source":"DOI.org (Crossref)","title":"Fly-Ash-Amended Sand as Filter Media in Bioretention Cells to Improve Phosphorus Removal","volume":"80","author":[{"family":"Zhang","given":"Wei"},{"family":"Brown","given":"Glenn O."},{"family":"Storm","given":"Daniel E."},{"family":"Zhang","given":"Hailin"}],"issued":{"date-parts":[["2008",6]]}}}],"schema":"https://github.com/citation-style-language/schema/raw/master/csl-citation.json"} </w:instrText>
      </w:r>
      <w:r w:rsidR="00F113D3" w:rsidRPr="00770477">
        <w:rPr>
          <w:rFonts w:cs="Times New Roman"/>
        </w:rPr>
        <w:fldChar w:fldCharType="separate"/>
      </w:r>
      <w:r w:rsidR="003D5078" w:rsidRPr="00770477">
        <w:rPr>
          <w:rFonts w:cs="Times New Roman"/>
        </w:rPr>
        <w:t>(W. Zhang et al., 2008)</w:t>
      </w:r>
      <w:r w:rsidR="00F113D3" w:rsidRPr="00770477">
        <w:rPr>
          <w:rFonts w:cs="Times New Roman"/>
        </w:rPr>
        <w:fldChar w:fldCharType="end"/>
      </w:r>
      <w:r w:rsidR="00F113D3" w:rsidRPr="00770477">
        <w:rPr>
          <w:rFonts w:cs="Times New Roman"/>
        </w:rPr>
        <w:t xml:space="preserve">, steel slag was reported as is </w:t>
      </w:r>
      <w:r w:rsidR="00F113D3" w:rsidRPr="00770477">
        <w:rPr>
          <w:rFonts w:cs="Times New Roman"/>
        </w:rPr>
        <w:fldChar w:fldCharType="begin"/>
      </w:r>
      <w:r w:rsidR="002074AD">
        <w:rPr>
          <w:rFonts w:cs="Times New Roman"/>
        </w:rPr>
        <w:instrText xml:space="preserve"> ADDIN ZOTERO_ITEM CSL_CITATION {"citationID":"a2eo70eeg9s","properties":{"formattedCitation":"(Bowen, 2021)","plainCitation":"(Bowen, 2021)","noteIndex":0},"citationItems":[{"id":1200,"uris":["http://zotero.org/users/8423188/items/GB9PF6I8"],"itemData":{"id":1200,"type":"report","event-place":"Sayreville, NJ","genre":"Analytical Report","number":"180-118695-1","publisher":"Eurofins","publisher-place":"Sayreville, NJ","title":"Steel Slag TCLP","author":[{"family":"Bowen","given":"Debra"}],"issued":{"date-parts":[["2021",4,13]]}}}],"schema":"https://github.com/citation-style-language/schema/raw/master/csl-citation.json"} </w:instrText>
      </w:r>
      <w:r w:rsidR="00F113D3" w:rsidRPr="00770477">
        <w:rPr>
          <w:rFonts w:cs="Times New Roman"/>
        </w:rPr>
        <w:fldChar w:fldCharType="separate"/>
      </w:r>
      <w:r w:rsidR="003D5078" w:rsidRPr="00770477">
        <w:rPr>
          <w:rFonts w:cs="Times New Roman"/>
        </w:rPr>
        <w:t>(Bowen, 2021)</w:t>
      </w:r>
      <w:r w:rsidR="00F113D3" w:rsidRPr="00770477">
        <w:rPr>
          <w:rFonts w:cs="Times New Roman"/>
        </w:rPr>
        <w:fldChar w:fldCharType="end"/>
      </w:r>
      <w:r w:rsidR="00987F38" w:rsidRPr="00770477">
        <w:rPr>
          <w:rFonts w:cs="Times New Roman"/>
        </w:rPr>
        <w:t xml:space="preserve">, and the biochar was reported as mass component per mass biochar </w:t>
      </w:r>
      <w:r w:rsidR="00987F38" w:rsidRPr="00770477">
        <w:rPr>
          <w:rFonts w:cs="Times New Roman"/>
        </w:rPr>
        <w:fldChar w:fldCharType="begin"/>
      </w:r>
      <w:r w:rsidR="002074AD">
        <w:rPr>
          <w:rFonts w:cs="Times New Roman"/>
        </w:rPr>
        <w:instrText xml:space="preserve"> ADDIN ZOTERO_ITEM CSL_CITATION {"citationID":"a13g88l18dr","properties":{"formattedCitation":"(J. Gaspard, personal communication, October 10, 2022)","plainCitation":"(J. Gaspard, personal communication, October 10, 2022)","noteIndex":0},"citationItems":[{"id":1000,"uris":["http://zotero.org/users/8423188/items/JHQPHLP7"],"itemData":{"id":1000,"type":"interview","medium":"Phone Call","title":"Personal Communications","author":[{"family":"Gaspard","given":"James"}],"issued":{"date-parts":[["2022",10,10]]}}}],"schema":"https://github.com/citation-style-language/schema/raw/master/csl-citation.json"} </w:instrText>
      </w:r>
      <w:r w:rsidR="00987F38" w:rsidRPr="00770477">
        <w:rPr>
          <w:rFonts w:cs="Times New Roman"/>
        </w:rPr>
        <w:fldChar w:fldCharType="separate"/>
      </w:r>
      <w:r w:rsidR="003D5078" w:rsidRPr="00770477">
        <w:rPr>
          <w:rFonts w:cs="Times New Roman"/>
        </w:rPr>
        <w:t>(J. Gaspard, personal communication, October 10, 2022)</w:t>
      </w:r>
      <w:r w:rsidR="00987F38" w:rsidRPr="00770477">
        <w:rPr>
          <w:rFonts w:cs="Times New Roman"/>
        </w:rPr>
        <w:fldChar w:fldCharType="end"/>
      </w:r>
      <w:r w:rsidR="00EF0004" w:rsidRPr="00770477">
        <w:rPr>
          <w:rFonts w:cs="Times New Roman"/>
        </w:rPr>
        <w:t xml:space="preserve">. All were converted for the table below to represent % composition of each element shown. </w:t>
      </w:r>
    </w:p>
    <w:p w14:paraId="67555E10" w14:textId="60EF8C4E" w:rsidR="00EF0004" w:rsidRPr="00770477" w:rsidRDefault="002D0875" w:rsidP="002D0875">
      <w:pPr>
        <w:spacing w:line="240" w:lineRule="auto"/>
        <w:jc w:val="left"/>
        <w:rPr>
          <w:rFonts w:cs="Times New Roman"/>
        </w:rPr>
      </w:pPr>
      <w:r w:rsidRPr="00770477">
        <w:rPr>
          <w:rFonts w:cs="Times New Roman"/>
        </w:rPr>
        <w:br w:type="page"/>
      </w:r>
    </w:p>
    <w:p w14:paraId="549C464A" w14:textId="3A6B08BE" w:rsidR="008B4E36" w:rsidRPr="00770477" w:rsidRDefault="008B4E36" w:rsidP="0043010E">
      <w:pPr>
        <w:pStyle w:val="Caption"/>
        <w:keepNext/>
        <w:spacing w:line="240" w:lineRule="auto"/>
        <w:jc w:val="center"/>
        <w:rPr>
          <w:rFonts w:cs="Times New Roman"/>
        </w:rPr>
      </w:pPr>
      <w:bookmarkStart w:id="38" w:name="_Ref121166695"/>
      <w:bookmarkStart w:id="39" w:name="_Toc121495933"/>
      <w:r w:rsidRPr="00770477">
        <w:rPr>
          <w:rFonts w:cs="Times New Roman"/>
        </w:rPr>
        <w:lastRenderedPageBreak/>
        <w:t xml:space="preserve">Table </w:t>
      </w:r>
      <w:r w:rsidR="00B26DDF">
        <w:rPr>
          <w:rFonts w:cs="Times New Roman"/>
        </w:rPr>
        <w:fldChar w:fldCharType="begin"/>
      </w:r>
      <w:r w:rsidR="00B26DDF">
        <w:rPr>
          <w:rFonts w:cs="Times New Roman"/>
        </w:rPr>
        <w:instrText xml:space="preserve"> STYLEREF 1 \s </w:instrText>
      </w:r>
      <w:r w:rsidR="00B26DDF">
        <w:rPr>
          <w:rFonts w:cs="Times New Roman"/>
        </w:rPr>
        <w:fldChar w:fldCharType="separate"/>
      </w:r>
      <w:r w:rsidR="00061096">
        <w:rPr>
          <w:rFonts w:cs="Times New Roman"/>
          <w:noProof/>
        </w:rPr>
        <w:t>2</w:t>
      </w:r>
      <w:r w:rsidR="00B26DDF">
        <w:rPr>
          <w:rFonts w:cs="Times New Roman"/>
        </w:rPr>
        <w:fldChar w:fldCharType="end"/>
      </w:r>
      <w:r w:rsidR="00B26DDF">
        <w:rPr>
          <w:rFonts w:cs="Times New Roman"/>
        </w:rPr>
        <w:noBreakHyphen/>
      </w:r>
      <w:r w:rsidR="00B26DDF">
        <w:rPr>
          <w:rFonts w:cs="Times New Roman"/>
        </w:rPr>
        <w:fldChar w:fldCharType="begin"/>
      </w:r>
      <w:r w:rsidR="00B26DDF">
        <w:rPr>
          <w:rFonts w:cs="Times New Roman"/>
        </w:rPr>
        <w:instrText xml:space="preserve"> SEQ Table \* ARABIC \s 1 </w:instrText>
      </w:r>
      <w:r w:rsidR="00B26DDF">
        <w:rPr>
          <w:rFonts w:cs="Times New Roman"/>
        </w:rPr>
        <w:fldChar w:fldCharType="separate"/>
      </w:r>
      <w:r w:rsidR="00061096">
        <w:rPr>
          <w:rFonts w:cs="Times New Roman"/>
          <w:noProof/>
        </w:rPr>
        <w:t>3</w:t>
      </w:r>
      <w:r w:rsidR="00B26DDF">
        <w:rPr>
          <w:rFonts w:cs="Times New Roman"/>
        </w:rPr>
        <w:fldChar w:fldCharType="end"/>
      </w:r>
      <w:bookmarkEnd w:id="38"/>
      <w:r w:rsidRPr="00770477">
        <w:rPr>
          <w:rFonts w:cs="Times New Roman"/>
        </w:rPr>
        <w:t xml:space="preserve"> Composition of media used in this study. Fly ash is converted from % metal-oxide to % metal composition. Biochar is converted from mass/mass to % composition. BDL refers to a value being reported below the detection limit.</w:t>
      </w:r>
      <w:bookmarkEnd w:id="39"/>
    </w:p>
    <w:tbl>
      <w:tblPr>
        <w:tblStyle w:val="PlainTable5"/>
        <w:tblpPr w:leftFromText="180" w:rightFromText="180" w:vertAnchor="text" w:tblpY="1"/>
        <w:tblW w:w="7500" w:type="dxa"/>
        <w:tblLook w:val="04A0" w:firstRow="1" w:lastRow="0" w:firstColumn="1" w:lastColumn="0" w:noHBand="0" w:noVBand="1"/>
      </w:tblPr>
      <w:tblGrid>
        <w:gridCol w:w="1877"/>
        <w:gridCol w:w="1873"/>
        <w:gridCol w:w="1875"/>
        <w:gridCol w:w="1875"/>
      </w:tblGrid>
      <w:tr w:rsidR="008B4E36" w:rsidRPr="00770477" w14:paraId="0D88627C" w14:textId="77777777" w:rsidTr="0043010E">
        <w:trPr>
          <w:cnfStyle w:val="100000000000" w:firstRow="1" w:lastRow="0" w:firstColumn="0" w:lastColumn="0" w:oddVBand="0" w:evenVBand="0" w:oddHBand="0" w:evenHBand="0" w:firstRowFirstColumn="0" w:firstRowLastColumn="0" w:lastRowFirstColumn="0" w:lastRowLastColumn="0"/>
          <w:trHeight w:val="374"/>
        </w:trPr>
        <w:tc>
          <w:tcPr>
            <w:cnfStyle w:val="001000000100" w:firstRow="0" w:lastRow="0" w:firstColumn="1" w:lastColumn="0" w:oddVBand="0" w:evenVBand="0" w:oddHBand="0" w:evenHBand="0" w:firstRowFirstColumn="1" w:firstRowLastColumn="0" w:lastRowFirstColumn="0" w:lastRowLastColumn="0"/>
            <w:tcW w:w="1877" w:type="dxa"/>
            <w:hideMark/>
          </w:tcPr>
          <w:p w14:paraId="367692F5" w14:textId="77777777" w:rsidR="008B4E36" w:rsidRPr="0043010E" w:rsidRDefault="008B4E36" w:rsidP="002F68C8">
            <w:pPr>
              <w:spacing w:line="240" w:lineRule="auto"/>
              <w:jc w:val="left"/>
              <w:rPr>
                <w:rFonts w:cs="Times New Roman"/>
              </w:rPr>
            </w:pPr>
            <w:r w:rsidRPr="0043010E">
              <w:rPr>
                <w:rFonts w:cs="Times New Roman"/>
              </w:rPr>
              <w:t>Component</w:t>
            </w:r>
          </w:p>
        </w:tc>
        <w:tc>
          <w:tcPr>
            <w:tcW w:w="1873" w:type="dxa"/>
            <w:hideMark/>
          </w:tcPr>
          <w:p w14:paraId="7DF09538" w14:textId="1765505F" w:rsidR="008B4E36" w:rsidRPr="002F68C8" w:rsidRDefault="008B4E36" w:rsidP="0043010E">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2F68C8">
              <w:rPr>
                <w:rFonts w:cs="Times New Roman"/>
              </w:rPr>
              <w:t>Fly Ash</w:t>
            </w:r>
            <w:r w:rsidR="0085458F" w:rsidRPr="002F68C8">
              <w:rPr>
                <w:rFonts w:cs="Times New Roman"/>
              </w:rPr>
              <w:t xml:space="preserve"> (%)</w:t>
            </w:r>
          </w:p>
        </w:tc>
        <w:tc>
          <w:tcPr>
            <w:tcW w:w="1875" w:type="dxa"/>
            <w:hideMark/>
          </w:tcPr>
          <w:p w14:paraId="11998BD8" w14:textId="5E811A9E" w:rsidR="008B4E36" w:rsidRPr="002F68C8" w:rsidRDefault="008B4E36" w:rsidP="0043010E">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2F68C8">
              <w:rPr>
                <w:rFonts w:cs="Times New Roman"/>
              </w:rPr>
              <w:t>Steel Slag</w:t>
            </w:r>
            <w:r w:rsidR="0085458F" w:rsidRPr="002F68C8">
              <w:rPr>
                <w:rFonts w:cs="Times New Roman"/>
              </w:rPr>
              <w:t xml:space="preserve"> (%)</w:t>
            </w:r>
          </w:p>
        </w:tc>
        <w:tc>
          <w:tcPr>
            <w:tcW w:w="1875" w:type="dxa"/>
            <w:hideMark/>
          </w:tcPr>
          <w:p w14:paraId="4A9692BE" w14:textId="023A878C" w:rsidR="008B4E36" w:rsidRPr="002F68C8" w:rsidRDefault="008B4E36" w:rsidP="0043010E">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2F68C8">
              <w:rPr>
                <w:rFonts w:cs="Times New Roman"/>
              </w:rPr>
              <w:t>Biochar</w:t>
            </w:r>
            <w:r w:rsidR="0085458F" w:rsidRPr="002F68C8">
              <w:rPr>
                <w:rFonts w:cs="Times New Roman"/>
              </w:rPr>
              <w:t xml:space="preserve"> (%)</w:t>
            </w:r>
          </w:p>
        </w:tc>
      </w:tr>
      <w:tr w:rsidR="008B4E36" w:rsidRPr="00770477" w14:paraId="79F7D3BB" w14:textId="77777777" w:rsidTr="0043010E">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4436F242" w14:textId="77777777" w:rsidR="008B4E36" w:rsidRPr="0043010E" w:rsidRDefault="008B4E36" w:rsidP="002F68C8">
            <w:pPr>
              <w:spacing w:line="240" w:lineRule="auto"/>
              <w:jc w:val="left"/>
              <w:rPr>
                <w:rFonts w:cs="Times New Roman"/>
              </w:rPr>
            </w:pPr>
            <w:r w:rsidRPr="0043010E">
              <w:rPr>
                <w:rFonts w:cs="Times New Roman"/>
              </w:rPr>
              <w:t>Al</w:t>
            </w:r>
          </w:p>
        </w:tc>
        <w:tc>
          <w:tcPr>
            <w:tcW w:w="1873" w:type="dxa"/>
            <w:hideMark/>
          </w:tcPr>
          <w:p w14:paraId="0AF8A532"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9.7</w:t>
            </w:r>
          </w:p>
        </w:tc>
        <w:tc>
          <w:tcPr>
            <w:tcW w:w="1875" w:type="dxa"/>
            <w:hideMark/>
          </w:tcPr>
          <w:p w14:paraId="7FE6331F"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w:t>
            </w:r>
          </w:p>
        </w:tc>
        <w:tc>
          <w:tcPr>
            <w:tcW w:w="1875" w:type="dxa"/>
            <w:hideMark/>
          </w:tcPr>
          <w:p w14:paraId="3D4422CC"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r>
      <w:tr w:rsidR="008B4E36" w:rsidRPr="00770477" w14:paraId="0B5F622A" w14:textId="77777777" w:rsidTr="0043010E">
        <w:trPr>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3382B528" w14:textId="77777777" w:rsidR="008B4E36" w:rsidRPr="0043010E" w:rsidRDefault="008B4E36" w:rsidP="002F68C8">
            <w:pPr>
              <w:spacing w:line="240" w:lineRule="auto"/>
              <w:jc w:val="left"/>
              <w:rPr>
                <w:rFonts w:cs="Times New Roman"/>
              </w:rPr>
            </w:pPr>
            <w:r w:rsidRPr="0043010E">
              <w:rPr>
                <w:rFonts w:cs="Times New Roman"/>
              </w:rPr>
              <w:t>As</w:t>
            </w:r>
          </w:p>
        </w:tc>
        <w:tc>
          <w:tcPr>
            <w:tcW w:w="1873" w:type="dxa"/>
            <w:hideMark/>
          </w:tcPr>
          <w:p w14:paraId="386C7BB3"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1875" w:type="dxa"/>
            <w:hideMark/>
          </w:tcPr>
          <w:p w14:paraId="34D25666"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&lt;0.0001</w:t>
            </w:r>
          </w:p>
        </w:tc>
        <w:tc>
          <w:tcPr>
            <w:tcW w:w="1875" w:type="dxa"/>
            <w:hideMark/>
          </w:tcPr>
          <w:p w14:paraId="04494EC4"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&lt;0.0001</w:t>
            </w:r>
          </w:p>
        </w:tc>
      </w:tr>
      <w:tr w:rsidR="008B4E36" w:rsidRPr="00770477" w14:paraId="2F12E93B" w14:textId="77777777" w:rsidTr="0043010E">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65459822" w14:textId="77777777" w:rsidR="008B4E36" w:rsidRPr="0043010E" w:rsidRDefault="008B4E36" w:rsidP="002F68C8">
            <w:pPr>
              <w:spacing w:line="240" w:lineRule="auto"/>
              <w:jc w:val="left"/>
              <w:rPr>
                <w:rFonts w:cs="Times New Roman"/>
              </w:rPr>
            </w:pPr>
            <w:r w:rsidRPr="0043010E">
              <w:rPr>
                <w:rFonts w:cs="Times New Roman"/>
              </w:rPr>
              <w:t>Cd</w:t>
            </w:r>
          </w:p>
        </w:tc>
        <w:tc>
          <w:tcPr>
            <w:tcW w:w="1873" w:type="dxa"/>
            <w:hideMark/>
          </w:tcPr>
          <w:p w14:paraId="39EA3701"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c>
          <w:tcPr>
            <w:tcW w:w="1875" w:type="dxa"/>
            <w:hideMark/>
          </w:tcPr>
          <w:p w14:paraId="694CF55B"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BDL</w:t>
            </w:r>
          </w:p>
        </w:tc>
        <w:tc>
          <w:tcPr>
            <w:tcW w:w="1875" w:type="dxa"/>
            <w:hideMark/>
          </w:tcPr>
          <w:p w14:paraId="486D95A6"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&lt;0.0001</w:t>
            </w:r>
          </w:p>
        </w:tc>
      </w:tr>
      <w:tr w:rsidR="008B4E36" w:rsidRPr="00770477" w14:paraId="4DFF24AB" w14:textId="77777777" w:rsidTr="0043010E">
        <w:trPr>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038A53CE" w14:textId="77777777" w:rsidR="008B4E36" w:rsidRPr="0043010E" w:rsidRDefault="008B4E36" w:rsidP="002F68C8">
            <w:pPr>
              <w:spacing w:line="240" w:lineRule="auto"/>
              <w:jc w:val="left"/>
              <w:rPr>
                <w:rFonts w:cs="Times New Roman"/>
              </w:rPr>
            </w:pPr>
            <w:r w:rsidRPr="0043010E">
              <w:rPr>
                <w:rFonts w:cs="Times New Roman"/>
              </w:rPr>
              <w:t>Co</w:t>
            </w:r>
          </w:p>
        </w:tc>
        <w:tc>
          <w:tcPr>
            <w:tcW w:w="1873" w:type="dxa"/>
            <w:hideMark/>
          </w:tcPr>
          <w:p w14:paraId="6CBDB15E"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1875" w:type="dxa"/>
            <w:hideMark/>
          </w:tcPr>
          <w:p w14:paraId="444A5171"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1875" w:type="dxa"/>
            <w:hideMark/>
          </w:tcPr>
          <w:p w14:paraId="72234446"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&lt;0.0001</w:t>
            </w:r>
          </w:p>
        </w:tc>
      </w:tr>
      <w:tr w:rsidR="008B4E36" w:rsidRPr="00770477" w14:paraId="795257E7" w14:textId="77777777" w:rsidTr="0043010E">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502E9C0C" w14:textId="77777777" w:rsidR="008B4E36" w:rsidRPr="0043010E" w:rsidRDefault="008B4E36" w:rsidP="002F68C8">
            <w:pPr>
              <w:spacing w:line="240" w:lineRule="auto"/>
              <w:jc w:val="left"/>
              <w:rPr>
                <w:rFonts w:cs="Times New Roman"/>
              </w:rPr>
            </w:pPr>
            <w:r w:rsidRPr="0043010E">
              <w:rPr>
                <w:rFonts w:cs="Times New Roman"/>
              </w:rPr>
              <w:t>Cr</w:t>
            </w:r>
          </w:p>
        </w:tc>
        <w:tc>
          <w:tcPr>
            <w:tcW w:w="1873" w:type="dxa"/>
            <w:hideMark/>
          </w:tcPr>
          <w:p w14:paraId="27254FBA"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0.007</w:t>
            </w:r>
          </w:p>
        </w:tc>
        <w:tc>
          <w:tcPr>
            <w:tcW w:w="1875" w:type="dxa"/>
            <w:hideMark/>
          </w:tcPr>
          <w:p w14:paraId="5D706477"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0.18</w:t>
            </w:r>
          </w:p>
        </w:tc>
        <w:tc>
          <w:tcPr>
            <w:tcW w:w="1875" w:type="dxa"/>
            <w:hideMark/>
          </w:tcPr>
          <w:p w14:paraId="3BCB1787"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&lt;0.0001</w:t>
            </w:r>
          </w:p>
        </w:tc>
      </w:tr>
      <w:tr w:rsidR="008B4E36" w:rsidRPr="00770477" w14:paraId="2D3E3F52" w14:textId="77777777" w:rsidTr="0043010E">
        <w:trPr>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67032C28" w14:textId="77777777" w:rsidR="008B4E36" w:rsidRPr="0043010E" w:rsidRDefault="008B4E36" w:rsidP="002F68C8">
            <w:pPr>
              <w:spacing w:line="240" w:lineRule="auto"/>
              <w:jc w:val="left"/>
              <w:rPr>
                <w:rFonts w:cs="Times New Roman"/>
              </w:rPr>
            </w:pPr>
            <w:r w:rsidRPr="0043010E">
              <w:rPr>
                <w:rFonts w:cs="Times New Roman"/>
              </w:rPr>
              <w:t>Cu</w:t>
            </w:r>
          </w:p>
        </w:tc>
        <w:tc>
          <w:tcPr>
            <w:tcW w:w="1873" w:type="dxa"/>
            <w:hideMark/>
          </w:tcPr>
          <w:p w14:paraId="7FC1E274"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1875" w:type="dxa"/>
            <w:hideMark/>
          </w:tcPr>
          <w:p w14:paraId="4C1979DF"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0.01</w:t>
            </w:r>
          </w:p>
        </w:tc>
        <w:tc>
          <w:tcPr>
            <w:tcW w:w="1875" w:type="dxa"/>
            <w:hideMark/>
          </w:tcPr>
          <w:p w14:paraId="08653210"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0.00303</w:t>
            </w:r>
          </w:p>
        </w:tc>
      </w:tr>
      <w:tr w:rsidR="008B4E36" w:rsidRPr="00770477" w14:paraId="028ABE7A" w14:textId="77777777" w:rsidTr="0043010E">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480FE669" w14:textId="77777777" w:rsidR="008B4E36" w:rsidRPr="0043010E" w:rsidRDefault="008B4E36" w:rsidP="002F68C8">
            <w:pPr>
              <w:spacing w:line="240" w:lineRule="auto"/>
              <w:jc w:val="left"/>
              <w:rPr>
                <w:rFonts w:cs="Times New Roman"/>
              </w:rPr>
            </w:pPr>
            <w:r w:rsidRPr="0043010E">
              <w:rPr>
                <w:rFonts w:cs="Times New Roman"/>
              </w:rPr>
              <w:t>Fe</w:t>
            </w:r>
          </w:p>
        </w:tc>
        <w:tc>
          <w:tcPr>
            <w:tcW w:w="1873" w:type="dxa"/>
            <w:hideMark/>
          </w:tcPr>
          <w:p w14:paraId="250717C6"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4.1</w:t>
            </w:r>
          </w:p>
        </w:tc>
        <w:tc>
          <w:tcPr>
            <w:tcW w:w="1875" w:type="dxa"/>
            <w:hideMark/>
          </w:tcPr>
          <w:p w14:paraId="1C27C14D"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10</w:t>
            </w:r>
          </w:p>
        </w:tc>
        <w:tc>
          <w:tcPr>
            <w:tcW w:w="1875" w:type="dxa"/>
            <w:hideMark/>
          </w:tcPr>
          <w:p w14:paraId="3C2F6D8E"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0.0210</w:t>
            </w:r>
          </w:p>
        </w:tc>
      </w:tr>
      <w:tr w:rsidR="008B4E36" w:rsidRPr="00770477" w14:paraId="7FCBB14B" w14:textId="77777777" w:rsidTr="0043010E">
        <w:trPr>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1FB9F24A" w14:textId="77777777" w:rsidR="008B4E36" w:rsidRPr="0043010E" w:rsidRDefault="008B4E36" w:rsidP="002F68C8">
            <w:pPr>
              <w:spacing w:line="240" w:lineRule="auto"/>
              <w:jc w:val="left"/>
              <w:rPr>
                <w:rFonts w:cs="Times New Roman"/>
              </w:rPr>
            </w:pPr>
            <w:r w:rsidRPr="0043010E">
              <w:rPr>
                <w:rFonts w:cs="Times New Roman"/>
              </w:rPr>
              <w:t>Mn</w:t>
            </w:r>
          </w:p>
        </w:tc>
        <w:tc>
          <w:tcPr>
            <w:tcW w:w="1873" w:type="dxa"/>
            <w:hideMark/>
          </w:tcPr>
          <w:p w14:paraId="3B90BB8E"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0.02</w:t>
            </w:r>
          </w:p>
        </w:tc>
        <w:tc>
          <w:tcPr>
            <w:tcW w:w="1875" w:type="dxa"/>
            <w:hideMark/>
          </w:tcPr>
          <w:p w14:paraId="3A7809AF"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2.4</w:t>
            </w:r>
          </w:p>
        </w:tc>
        <w:tc>
          <w:tcPr>
            <w:tcW w:w="1875" w:type="dxa"/>
            <w:hideMark/>
          </w:tcPr>
          <w:p w14:paraId="2A1842E9"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r>
      <w:tr w:rsidR="008B4E36" w:rsidRPr="00770477" w14:paraId="0170FEAD" w14:textId="77777777" w:rsidTr="0043010E">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445D837B" w14:textId="77777777" w:rsidR="008B4E36" w:rsidRPr="0043010E" w:rsidRDefault="008B4E36" w:rsidP="002F68C8">
            <w:pPr>
              <w:spacing w:line="240" w:lineRule="auto"/>
              <w:jc w:val="left"/>
              <w:rPr>
                <w:rFonts w:cs="Times New Roman"/>
              </w:rPr>
            </w:pPr>
            <w:r w:rsidRPr="0043010E">
              <w:rPr>
                <w:rFonts w:cs="Times New Roman"/>
              </w:rPr>
              <w:t>Mo</w:t>
            </w:r>
          </w:p>
        </w:tc>
        <w:tc>
          <w:tcPr>
            <w:tcW w:w="1873" w:type="dxa"/>
            <w:hideMark/>
          </w:tcPr>
          <w:p w14:paraId="5289DBA0"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c>
          <w:tcPr>
            <w:tcW w:w="1875" w:type="dxa"/>
            <w:hideMark/>
          </w:tcPr>
          <w:p w14:paraId="0DBB7014"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c>
          <w:tcPr>
            <w:tcW w:w="1875" w:type="dxa"/>
            <w:hideMark/>
          </w:tcPr>
          <w:p w14:paraId="6AC778C5"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&lt;0.0001</w:t>
            </w:r>
          </w:p>
        </w:tc>
      </w:tr>
      <w:tr w:rsidR="008B4E36" w:rsidRPr="00770477" w14:paraId="1026037C" w14:textId="77777777" w:rsidTr="0043010E">
        <w:trPr>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66E6F5E8" w14:textId="77777777" w:rsidR="008B4E36" w:rsidRPr="0043010E" w:rsidRDefault="008B4E36" w:rsidP="002F68C8">
            <w:pPr>
              <w:spacing w:line="240" w:lineRule="auto"/>
              <w:jc w:val="left"/>
              <w:rPr>
                <w:rFonts w:cs="Times New Roman"/>
              </w:rPr>
            </w:pPr>
            <w:r w:rsidRPr="0043010E">
              <w:rPr>
                <w:rFonts w:cs="Times New Roman"/>
              </w:rPr>
              <w:t>Ni</w:t>
            </w:r>
          </w:p>
        </w:tc>
        <w:tc>
          <w:tcPr>
            <w:tcW w:w="1873" w:type="dxa"/>
            <w:hideMark/>
          </w:tcPr>
          <w:p w14:paraId="4574B4ED"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1875" w:type="dxa"/>
            <w:hideMark/>
          </w:tcPr>
          <w:p w14:paraId="294DBFC4"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0.0014</w:t>
            </w:r>
          </w:p>
        </w:tc>
        <w:tc>
          <w:tcPr>
            <w:tcW w:w="1875" w:type="dxa"/>
            <w:hideMark/>
          </w:tcPr>
          <w:p w14:paraId="26C2899D"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&lt;0.0001</w:t>
            </w:r>
          </w:p>
        </w:tc>
      </w:tr>
      <w:tr w:rsidR="008B4E36" w:rsidRPr="00770477" w14:paraId="23638F53" w14:textId="77777777" w:rsidTr="0043010E">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1D606F69" w14:textId="77777777" w:rsidR="008B4E36" w:rsidRPr="0043010E" w:rsidRDefault="008B4E36" w:rsidP="002F68C8">
            <w:pPr>
              <w:spacing w:line="240" w:lineRule="auto"/>
              <w:jc w:val="left"/>
              <w:rPr>
                <w:rFonts w:cs="Times New Roman"/>
              </w:rPr>
            </w:pPr>
            <w:r w:rsidRPr="0043010E">
              <w:rPr>
                <w:rFonts w:cs="Times New Roman"/>
              </w:rPr>
              <w:t>Pb</w:t>
            </w:r>
          </w:p>
        </w:tc>
        <w:tc>
          <w:tcPr>
            <w:tcW w:w="1873" w:type="dxa"/>
            <w:hideMark/>
          </w:tcPr>
          <w:p w14:paraId="179ECDF0"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c>
          <w:tcPr>
            <w:tcW w:w="1875" w:type="dxa"/>
            <w:hideMark/>
          </w:tcPr>
          <w:p w14:paraId="424F2BE8"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0.00014</w:t>
            </w:r>
          </w:p>
        </w:tc>
        <w:tc>
          <w:tcPr>
            <w:tcW w:w="1875" w:type="dxa"/>
            <w:hideMark/>
          </w:tcPr>
          <w:p w14:paraId="72543433"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0.00020</w:t>
            </w:r>
          </w:p>
        </w:tc>
      </w:tr>
      <w:tr w:rsidR="008B4E36" w:rsidRPr="00770477" w14:paraId="0CCCB544" w14:textId="77777777" w:rsidTr="0043010E">
        <w:trPr>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3D7E344D" w14:textId="77777777" w:rsidR="008B4E36" w:rsidRPr="0043010E" w:rsidRDefault="008B4E36" w:rsidP="002F68C8">
            <w:pPr>
              <w:spacing w:line="240" w:lineRule="auto"/>
              <w:jc w:val="left"/>
              <w:rPr>
                <w:rFonts w:cs="Times New Roman"/>
              </w:rPr>
            </w:pPr>
            <w:r w:rsidRPr="0043010E">
              <w:rPr>
                <w:rFonts w:cs="Times New Roman"/>
              </w:rPr>
              <w:t>Se</w:t>
            </w:r>
          </w:p>
        </w:tc>
        <w:tc>
          <w:tcPr>
            <w:tcW w:w="1873" w:type="dxa"/>
            <w:hideMark/>
          </w:tcPr>
          <w:p w14:paraId="2DA93CF3"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1875" w:type="dxa"/>
            <w:hideMark/>
          </w:tcPr>
          <w:p w14:paraId="5093FAFC"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&lt;0.001</w:t>
            </w:r>
          </w:p>
        </w:tc>
        <w:tc>
          <w:tcPr>
            <w:tcW w:w="1875" w:type="dxa"/>
            <w:hideMark/>
          </w:tcPr>
          <w:p w14:paraId="5810850A"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&lt;0.0001</w:t>
            </w:r>
          </w:p>
        </w:tc>
      </w:tr>
      <w:tr w:rsidR="008B4E36" w:rsidRPr="00770477" w14:paraId="54CA458D" w14:textId="77777777" w:rsidTr="0043010E">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2452A302" w14:textId="77777777" w:rsidR="008B4E36" w:rsidRPr="0043010E" w:rsidRDefault="008B4E36" w:rsidP="002F68C8">
            <w:pPr>
              <w:spacing w:line="240" w:lineRule="auto"/>
              <w:jc w:val="left"/>
              <w:rPr>
                <w:rFonts w:cs="Times New Roman"/>
              </w:rPr>
            </w:pPr>
            <w:r w:rsidRPr="0043010E">
              <w:rPr>
                <w:rFonts w:cs="Times New Roman"/>
              </w:rPr>
              <w:t>Si</w:t>
            </w:r>
          </w:p>
        </w:tc>
        <w:tc>
          <w:tcPr>
            <w:tcW w:w="1873" w:type="dxa"/>
            <w:hideMark/>
          </w:tcPr>
          <w:p w14:paraId="11444B23"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17.8</w:t>
            </w:r>
          </w:p>
        </w:tc>
        <w:tc>
          <w:tcPr>
            <w:tcW w:w="1875" w:type="dxa"/>
            <w:hideMark/>
          </w:tcPr>
          <w:p w14:paraId="0403352A"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c>
          <w:tcPr>
            <w:tcW w:w="1875" w:type="dxa"/>
            <w:hideMark/>
          </w:tcPr>
          <w:p w14:paraId="0A1B4F9F"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r>
      <w:tr w:rsidR="008B4E36" w:rsidRPr="00770477" w14:paraId="2620225A" w14:textId="77777777" w:rsidTr="0043010E">
        <w:trPr>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6EDB144D" w14:textId="77777777" w:rsidR="008B4E36" w:rsidRPr="0043010E" w:rsidRDefault="008B4E36" w:rsidP="002F68C8">
            <w:pPr>
              <w:spacing w:line="240" w:lineRule="auto"/>
              <w:jc w:val="left"/>
              <w:rPr>
                <w:rFonts w:cs="Times New Roman"/>
              </w:rPr>
            </w:pPr>
            <w:r w:rsidRPr="0043010E">
              <w:rPr>
                <w:rFonts w:cs="Times New Roman"/>
              </w:rPr>
              <w:t>Zn</w:t>
            </w:r>
          </w:p>
        </w:tc>
        <w:tc>
          <w:tcPr>
            <w:tcW w:w="1873" w:type="dxa"/>
            <w:hideMark/>
          </w:tcPr>
          <w:p w14:paraId="65A6C542"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1875" w:type="dxa"/>
            <w:hideMark/>
          </w:tcPr>
          <w:p w14:paraId="49EA5569"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0.0018</w:t>
            </w:r>
          </w:p>
        </w:tc>
        <w:tc>
          <w:tcPr>
            <w:tcW w:w="1875" w:type="dxa"/>
            <w:hideMark/>
          </w:tcPr>
          <w:p w14:paraId="3DDB6E38"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0.0181</w:t>
            </w:r>
          </w:p>
        </w:tc>
      </w:tr>
      <w:tr w:rsidR="008B4E36" w:rsidRPr="00770477" w14:paraId="675E94C8" w14:textId="77777777" w:rsidTr="0043010E">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39D29F87" w14:textId="77777777" w:rsidR="008B4E36" w:rsidRPr="0043010E" w:rsidRDefault="008B4E36" w:rsidP="002F68C8">
            <w:pPr>
              <w:spacing w:line="240" w:lineRule="auto"/>
              <w:jc w:val="left"/>
              <w:rPr>
                <w:rFonts w:cs="Times New Roman"/>
              </w:rPr>
            </w:pPr>
            <w:r w:rsidRPr="0043010E">
              <w:rPr>
                <w:rFonts w:cs="Times New Roman"/>
              </w:rPr>
              <w:t>B</w:t>
            </w:r>
          </w:p>
        </w:tc>
        <w:tc>
          <w:tcPr>
            <w:tcW w:w="1873" w:type="dxa"/>
            <w:hideMark/>
          </w:tcPr>
          <w:p w14:paraId="603EC6CC"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c>
          <w:tcPr>
            <w:tcW w:w="1875" w:type="dxa"/>
            <w:hideMark/>
          </w:tcPr>
          <w:p w14:paraId="635D6842"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c>
          <w:tcPr>
            <w:tcW w:w="1875" w:type="dxa"/>
            <w:hideMark/>
          </w:tcPr>
          <w:p w14:paraId="11759840"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BDL</w:t>
            </w:r>
          </w:p>
        </w:tc>
      </w:tr>
      <w:tr w:rsidR="008B4E36" w:rsidRPr="00770477" w14:paraId="348C8FA7" w14:textId="77777777" w:rsidTr="0043010E">
        <w:trPr>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327EAC13" w14:textId="77777777" w:rsidR="008B4E36" w:rsidRPr="0043010E" w:rsidRDefault="008B4E36" w:rsidP="002F68C8">
            <w:pPr>
              <w:spacing w:line="240" w:lineRule="auto"/>
              <w:jc w:val="left"/>
              <w:rPr>
                <w:rFonts w:cs="Times New Roman"/>
              </w:rPr>
            </w:pPr>
            <w:r w:rsidRPr="0043010E">
              <w:rPr>
                <w:rFonts w:cs="Times New Roman"/>
              </w:rPr>
              <w:t>Cl</w:t>
            </w:r>
          </w:p>
        </w:tc>
        <w:tc>
          <w:tcPr>
            <w:tcW w:w="1873" w:type="dxa"/>
            <w:hideMark/>
          </w:tcPr>
          <w:p w14:paraId="409C3290"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1875" w:type="dxa"/>
            <w:hideMark/>
          </w:tcPr>
          <w:p w14:paraId="434C9A1A"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1875" w:type="dxa"/>
            <w:hideMark/>
          </w:tcPr>
          <w:p w14:paraId="6CC09E7A"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0.00923</w:t>
            </w:r>
          </w:p>
        </w:tc>
      </w:tr>
      <w:tr w:rsidR="008B4E36" w:rsidRPr="00770477" w14:paraId="7AE518F9" w14:textId="77777777" w:rsidTr="0043010E">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0F6FD1B6" w14:textId="77777777" w:rsidR="008B4E36" w:rsidRPr="0043010E" w:rsidRDefault="008B4E36" w:rsidP="002F68C8">
            <w:pPr>
              <w:spacing w:line="240" w:lineRule="auto"/>
              <w:jc w:val="left"/>
              <w:rPr>
                <w:rFonts w:cs="Times New Roman"/>
              </w:rPr>
            </w:pPr>
            <w:r w:rsidRPr="0043010E">
              <w:rPr>
                <w:rFonts w:cs="Times New Roman"/>
              </w:rPr>
              <w:t>Ca</w:t>
            </w:r>
          </w:p>
        </w:tc>
        <w:tc>
          <w:tcPr>
            <w:tcW w:w="1873" w:type="dxa"/>
            <w:hideMark/>
          </w:tcPr>
          <w:p w14:paraId="4FCCF700"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16.3</w:t>
            </w:r>
          </w:p>
        </w:tc>
        <w:tc>
          <w:tcPr>
            <w:tcW w:w="1875" w:type="dxa"/>
            <w:hideMark/>
          </w:tcPr>
          <w:p w14:paraId="052CAA92"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7.5</w:t>
            </w:r>
          </w:p>
        </w:tc>
        <w:tc>
          <w:tcPr>
            <w:tcW w:w="1875" w:type="dxa"/>
            <w:hideMark/>
          </w:tcPr>
          <w:p w14:paraId="1D986846"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r>
      <w:tr w:rsidR="008B4E36" w:rsidRPr="00770477" w14:paraId="7166FFE3" w14:textId="77777777" w:rsidTr="0043010E">
        <w:trPr>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41FBF69A" w14:textId="77777777" w:rsidR="008B4E36" w:rsidRPr="0043010E" w:rsidRDefault="008B4E36" w:rsidP="002F68C8">
            <w:pPr>
              <w:spacing w:line="240" w:lineRule="auto"/>
              <w:jc w:val="left"/>
              <w:rPr>
                <w:rFonts w:cs="Times New Roman"/>
              </w:rPr>
            </w:pPr>
            <w:r w:rsidRPr="0043010E">
              <w:rPr>
                <w:rFonts w:cs="Times New Roman"/>
              </w:rPr>
              <w:t>Na</w:t>
            </w:r>
          </w:p>
        </w:tc>
        <w:tc>
          <w:tcPr>
            <w:tcW w:w="1873" w:type="dxa"/>
            <w:hideMark/>
          </w:tcPr>
          <w:p w14:paraId="7A304C61"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1.4</w:t>
            </w:r>
          </w:p>
        </w:tc>
        <w:tc>
          <w:tcPr>
            <w:tcW w:w="1875" w:type="dxa"/>
            <w:hideMark/>
          </w:tcPr>
          <w:p w14:paraId="29EF2EA9"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0.016</w:t>
            </w:r>
          </w:p>
        </w:tc>
        <w:tc>
          <w:tcPr>
            <w:tcW w:w="1875" w:type="dxa"/>
            <w:hideMark/>
          </w:tcPr>
          <w:p w14:paraId="57DDC1F7"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0.0582</w:t>
            </w:r>
          </w:p>
        </w:tc>
      </w:tr>
      <w:tr w:rsidR="008B4E36" w:rsidRPr="00770477" w14:paraId="729A04BA" w14:textId="77777777" w:rsidTr="0043010E">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17739B88" w14:textId="77777777" w:rsidR="008B4E36" w:rsidRPr="0043010E" w:rsidRDefault="008B4E36" w:rsidP="002F68C8">
            <w:pPr>
              <w:spacing w:line="240" w:lineRule="auto"/>
              <w:jc w:val="left"/>
              <w:rPr>
                <w:rFonts w:cs="Times New Roman"/>
              </w:rPr>
            </w:pPr>
            <w:r w:rsidRPr="0043010E">
              <w:rPr>
                <w:rFonts w:cs="Times New Roman"/>
              </w:rPr>
              <w:t>Mg</w:t>
            </w:r>
          </w:p>
        </w:tc>
        <w:tc>
          <w:tcPr>
            <w:tcW w:w="1873" w:type="dxa"/>
            <w:hideMark/>
          </w:tcPr>
          <w:p w14:paraId="492271D2"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3.27</w:t>
            </w:r>
          </w:p>
        </w:tc>
        <w:tc>
          <w:tcPr>
            <w:tcW w:w="1875" w:type="dxa"/>
            <w:hideMark/>
          </w:tcPr>
          <w:p w14:paraId="49754EB8"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2.9</w:t>
            </w:r>
          </w:p>
        </w:tc>
        <w:tc>
          <w:tcPr>
            <w:tcW w:w="1875" w:type="dxa"/>
            <w:hideMark/>
          </w:tcPr>
          <w:p w14:paraId="3459C2FC"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0.0164</w:t>
            </w:r>
          </w:p>
        </w:tc>
      </w:tr>
      <w:tr w:rsidR="008B4E36" w:rsidRPr="00770477" w14:paraId="3F4F8C28" w14:textId="77777777" w:rsidTr="0043010E">
        <w:trPr>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19B442D7" w14:textId="77777777" w:rsidR="008B4E36" w:rsidRPr="0043010E" w:rsidRDefault="008B4E36" w:rsidP="002F68C8">
            <w:pPr>
              <w:spacing w:line="240" w:lineRule="auto"/>
              <w:jc w:val="left"/>
              <w:rPr>
                <w:rFonts w:cs="Times New Roman"/>
              </w:rPr>
            </w:pPr>
            <w:r w:rsidRPr="0043010E">
              <w:rPr>
                <w:rFonts w:cs="Times New Roman"/>
              </w:rPr>
              <w:t>K</w:t>
            </w:r>
          </w:p>
        </w:tc>
        <w:tc>
          <w:tcPr>
            <w:tcW w:w="1873" w:type="dxa"/>
            <w:hideMark/>
          </w:tcPr>
          <w:p w14:paraId="337501E8"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0.5</w:t>
            </w:r>
          </w:p>
        </w:tc>
        <w:tc>
          <w:tcPr>
            <w:tcW w:w="1875" w:type="dxa"/>
            <w:hideMark/>
          </w:tcPr>
          <w:p w14:paraId="2AD6E5EB"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0.0084</w:t>
            </w:r>
          </w:p>
        </w:tc>
        <w:tc>
          <w:tcPr>
            <w:tcW w:w="1875" w:type="dxa"/>
            <w:hideMark/>
          </w:tcPr>
          <w:p w14:paraId="113F2A89"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0.1422</w:t>
            </w:r>
          </w:p>
        </w:tc>
      </w:tr>
      <w:tr w:rsidR="008B4E36" w:rsidRPr="00770477" w14:paraId="413D2EDC" w14:textId="77777777" w:rsidTr="0043010E">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69C0B1D2" w14:textId="77777777" w:rsidR="008B4E36" w:rsidRPr="0043010E" w:rsidRDefault="008B4E36" w:rsidP="002F68C8">
            <w:pPr>
              <w:spacing w:line="240" w:lineRule="auto"/>
              <w:jc w:val="left"/>
              <w:rPr>
                <w:rFonts w:cs="Times New Roman"/>
              </w:rPr>
            </w:pPr>
            <w:r w:rsidRPr="0043010E">
              <w:rPr>
                <w:rFonts w:cs="Times New Roman"/>
              </w:rPr>
              <w:t>P</w:t>
            </w:r>
          </w:p>
        </w:tc>
        <w:tc>
          <w:tcPr>
            <w:tcW w:w="1873" w:type="dxa"/>
            <w:hideMark/>
          </w:tcPr>
          <w:p w14:paraId="2072B695"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0.6</w:t>
            </w:r>
          </w:p>
        </w:tc>
        <w:tc>
          <w:tcPr>
            <w:tcW w:w="1875" w:type="dxa"/>
            <w:hideMark/>
          </w:tcPr>
          <w:p w14:paraId="6BD33E2E"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0.053</w:t>
            </w:r>
          </w:p>
        </w:tc>
        <w:tc>
          <w:tcPr>
            <w:tcW w:w="1875" w:type="dxa"/>
            <w:hideMark/>
          </w:tcPr>
          <w:p w14:paraId="22055290"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0.0324</w:t>
            </w:r>
          </w:p>
        </w:tc>
      </w:tr>
      <w:tr w:rsidR="008B4E36" w:rsidRPr="00770477" w14:paraId="383F2CCA" w14:textId="77777777" w:rsidTr="0043010E">
        <w:trPr>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633B91E0" w14:textId="77777777" w:rsidR="008B4E36" w:rsidRPr="0043010E" w:rsidRDefault="008B4E36" w:rsidP="002F68C8">
            <w:pPr>
              <w:spacing w:line="240" w:lineRule="auto"/>
              <w:jc w:val="left"/>
              <w:rPr>
                <w:rFonts w:cs="Times New Roman"/>
              </w:rPr>
            </w:pPr>
            <w:r w:rsidRPr="0043010E">
              <w:rPr>
                <w:rFonts w:cs="Times New Roman"/>
              </w:rPr>
              <w:t>Organic N</w:t>
            </w:r>
          </w:p>
        </w:tc>
        <w:tc>
          <w:tcPr>
            <w:tcW w:w="1873" w:type="dxa"/>
            <w:hideMark/>
          </w:tcPr>
          <w:p w14:paraId="7F58240D"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1875" w:type="dxa"/>
            <w:hideMark/>
          </w:tcPr>
          <w:p w14:paraId="736BF337"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1875" w:type="dxa"/>
            <w:hideMark/>
          </w:tcPr>
          <w:p w14:paraId="0F5E85C9" w14:textId="77777777" w:rsidR="008B4E36" w:rsidRPr="00770477" w:rsidRDefault="008B4E36" w:rsidP="0043010E">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0.5280</w:t>
            </w:r>
          </w:p>
        </w:tc>
      </w:tr>
      <w:tr w:rsidR="00EF0004" w:rsidRPr="00770477" w14:paraId="3EBB7DFA" w14:textId="77777777" w:rsidTr="0043010E">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877" w:type="dxa"/>
            <w:hideMark/>
          </w:tcPr>
          <w:p w14:paraId="6AA600C5" w14:textId="77777777" w:rsidR="008B4E36" w:rsidRPr="0043010E" w:rsidRDefault="008B4E36" w:rsidP="002F68C8">
            <w:pPr>
              <w:spacing w:line="240" w:lineRule="auto"/>
              <w:jc w:val="left"/>
              <w:rPr>
                <w:rFonts w:cs="Times New Roman"/>
              </w:rPr>
            </w:pPr>
            <w:r w:rsidRPr="0043010E">
              <w:rPr>
                <w:rFonts w:cs="Times New Roman"/>
              </w:rPr>
              <w:t>Organic C</w:t>
            </w:r>
          </w:p>
        </w:tc>
        <w:tc>
          <w:tcPr>
            <w:tcW w:w="1873" w:type="dxa"/>
            <w:hideMark/>
          </w:tcPr>
          <w:p w14:paraId="7D787907"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c>
          <w:tcPr>
            <w:tcW w:w="1875" w:type="dxa"/>
            <w:hideMark/>
          </w:tcPr>
          <w:p w14:paraId="11C7FE3A"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c>
          <w:tcPr>
            <w:tcW w:w="1875" w:type="dxa"/>
            <w:hideMark/>
          </w:tcPr>
          <w:p w14:paraId="4070B423" w14:textId="77777777" w:rsidR="008B4E36" w:rsidRPr="00770477" w:rsidRDefault="008B4E36" w:rsidP="0043010E">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87.4</w:t>
            </w:r>
          </w:p>
        </w:tc>
      </w:tr>
    </w:tbl>
    <w:p w14:paraId="39D32158" w14:textId="43757CC9" w:rsidR="002D0875" w:rsidRPr="00770477" w:rsidRDefault="00EF0004" w:rsidP="00432CBF">
      <w:pPr>
        <w:rPr>
          <w:rFonts w:cs="Times New Roman"/>
        </w:rPr>
      </w:pPr>
      <w:r w:rsidRPr="00770477">
        <w:rPr>
          <w:rFonts w:cs="Times New Roman"/>
        </w:rPr>
        <w:br w:type="textWrapping" w:clear="all"/>
      </w:r>
    </w:p>
    <w:p w14:paraId="0645EBD8" w14:textId="2A984849" w:rsidR="00432CBF" w:rsidRPr="00770477" w:rsidRDefault="002D0875" w:rsidP="002D0875">
      <w:pPr>
        <w:spacing w:line="240" w:lineRule="auto"/>
        <w:jc w:val="left"/>
        <w:rPr>
          <w:rFonts w:cs="Times New Roman"/>
        </w:rPr>
      </w:pPr>
      <w:r w:rsidRPr="00770477">
        <w:rPr>
          <w:rFonts w:cs="Times New Roman"/>
        </w:rPr>
        <w:br w:type="page"/>
      </w:r>
    </w:p>
    <w:p w14:paraId="02BDD221" w14:textId="42BB83C2" w:rsidR="00A53FB5" w:rsidRPr="00770477" w:rsidRDefault="760E93E4" w:rsidP="00A53FB5">
      <w:pPr>
        <w:pStyle w:val="Heading4"/>
        <w:rPr>
          <w:rFonts w:ascii="Times New Roman" w:hAnsi="Times New Roman" w:cs="Times New Roman"/>
        </w:rPr>
      </w:pPr>
      <w:bookmarkStart w:id="40" w:name="_Toc121495984"/>
      <w:r w:rsidRPr="00770477">
        <w:rPr>
          <w:rFonts w:ascii="Times New Roman" w:hAnsi="Times New Roman" w:cs="Times New Roman"/>
        </w:rPr>
        <w:lastRenderedPageBreak/>
        <w:t xml:space="preserve">Aggregated </w:t>
      </w:r>
      <w:r w:rsidR="00A53FB5" w:rsidRPr="00770477">
        <w:rPr>
          <w:rFonts w:ascii="Times New Roman" w:hAnsi="Times New Roman" w:cs="Times New Roman"/>
        </w:rPr>
        <w:t>Fly Ash</w:t>
      </w:r>
      <w:bookmarkEnd w:id="40"/>
    </w:p>
    <w:p w14:paraId="38092891" w14:textId="47EBBAA0" w:rsidR="00D97988" w:rsidRPr="00770477" w:rsidRDefault="00432CBF" w:rsidP="00D97988">
      <w:pPr>
        <w:ind w:firstLine="720"/>
        <w:rPr>
          <w:rFonts w:cs="Times New Roman"/>
        </w:rPr>
      </w:pPr>
      <w:r w:rsidRPr="00770477">
        <w:rPr>
          <w:rFonts w:cs="Times New Roman"/>
        </w:rPr>
        <w:t xml:space="preserve">The fly ash and </w:t>
      </w:r>
      <w:r w:rsidR="40082317" w:rsidRPr="00770477">
        <w:rPr>
          <w:rFonts w:cs="Times New Roman"/>
        </w:rPr>
        <w:t>its</w:t>
      </w:r>
      <w:r w:rsidRPr="00770477">
        <w:rPr>
          <w:rFonts w:cs="Times New Roman"/>
        </w:rPr>
        <w:t xml:space="preserve"> properties used in this study were the same as was used in </w:t>
      </w:r>
      <w:r w:rsidRPr="00770477">
        <w:rPr>
          <w:rFonts w:cs="Times New Roman"/>
        </w:rPr>
        <w:fldChar w:fldCharType="begin"/>
      </w:r>
      <w:r w:rsidR="002074AD">
        <w:rPr>
          <w:rFonts w:cs="Times New Roman"/>
        </w:rPr>
        <w:instrText xml:space="preserve"> ADDIN ZOTERO_ITEM CSL_CITATION {"citationID":"pxn2PPBS","properties":{"formattedCitation":"(W. Zhang et al., 2008)","plainCitation":"(W. Zhang et al., 2008)","dontUpdate":true,"noteIndex":0},"citationItems":[{"id":85,"uris":["http://zotero.org/users/8423188/items/DFEUEDT5"],"itemData":{"id":85,"type":"article-journal","container-title":"Water Environment Research","DOI":"10.2175/106143008X266823","ISSN":"10614303","issue":"6","journalAbbreviation":"Water Environment Research","language":"en","page":"507-516","source":"DOI.org (Crossref)","title":"Fly-Ash-Amended Sand as Filter Media in Bioretention Cells to Improve Phosphorus Removal","volume":"80","author":[{"family":"Zhang","given":"Wei"},{"family":"Brown","given":"Glenn O."},{"family":"Storm","given":"Daniel E."},{"family":"Zhang","given":"Hailin"}],"issued":{"date-parts":[["2008",6]]}}}],"schema":"https://github.com/citation-style-language/schema/raw/master/csl-citation.json"} </w:instrText>
      </w:r>
      <w:r w:rsidRPr="00770477">
        <w:rPr>
          <w:rFonts w:cs="Times New Roman"/>
        </w:rPr>
        <w:fldChar w:fldCharType="separate"/>
      </w:r>
      <w:r w:rsidRPr="00770477">
        <w:rPr>
          <w:rFonts w:cs="Times New Roman"/>
          <w:noProof/>
        </w:rPr>
        <w:t>W. Zhang et al. (2008)</w:t>
      </w:r>
      <w:r w:rsidRPr="00770477">
        <w:rPr>
          <w:rFonts w:cs="Times New Roman"/>
        </w:rPr>
        <w:fldChar w:fldCharType="end"/>
      </w:r>
      <w:r w:rsidRPr="00770477">
        <w:rPr>
          <w:rFonts w:cs="Times New Roman"/>
        </w:rPr>
        <w:t xml:space="preserve">. </w:t>
      </w:r>
      <w:r w:rsidRPr="00770477">
        <w:rPr>
          <w:rFonts w:cs="Times New Roman"/>
        </w:rPr>
        <w:fldChar w:fldCharType="begin"/>
      </w:r>
      <w:r w:rsidR="002074AD">
        <w:rPr>
          <w:rFonts w:cs="Times New Roman"/>
        </w:rPr>
        <w:instrText xml:space="preserve"> ADDIN ZOTERO_ITEM CSL_CITATION {"citationID":"E1SOGpys","properties":{"formattedCitation":"(W. Zhang et al., 2008)","plainCitation":"(W. Zhang et al., 2008)","dontUpdate":true,"noteIndex":0},"citationItems":[{"id":85,"uris":["http://zotero.org/users/8423188/items/DFEUEDT5"],"itemData":{"id":85,"type":"article-journal","container-title":"Water Environment Research","DOI":"10.2175/106143008X266823","ISSN":"10614303","issue":"6","journalAbbreviation":"Water Environment Research","language":"en","page":"507-516","source":"DOI.org (Crossref)","title":"Fly-Ash-Amended Sand as Filter Media in Bioretention Cells to Improve Phosphorus Removal","volume":"80","author":[{"family":"Zhang","given":"Wei"},{"family":"Brown","given":"Glenn O."},{"family":"Storm","given":"Daniel E."},{"family":"Zhang","given":"Hailin"}],"issued":{"date-parts":[["2008",6]]}}}],"schema":"https://github.com/citation-style-language/schema/raw/master/csl-citation.json"} </w:instrText>
      </w:r>
      <w:r w:rsidRPr="00770477">
        <w:rPr>
          <w:rFonts w:cs="Times New Roman"/>
        </w:rPr>
        <w:fldChar w:fldCharType="separate"/>
      </w:r>
      <w:r w:rsidRPr="00770477">
        <w:rPr>
          <w:rFonts w:cs="Times New Roman"/>
          <w:noProof/>
        </w:rPr>
        <w:t>W. Zhang et al. (2008)</w:t>
      </w:r>
      <w:r w:rsidRPr="00770477">
        <w:rPr>
          <w:rFonts w:cs="Times New Roman"/>
        </w:rPr>
        <w:fldChar w:fldCharType="end"/>
      </w:r>
      <w:r w:rsidRPr="00770477">
        <w:rPr>
          <w:rFonts w:cs="Times New Roman"/>
        </w:rPr>
        <w:t xml:space="preserve"> characterized this fly ash as sourced from </w:t>
      </w:r>
      <w:r w:rsidR="005450E0" w:rsidRPr="00770477">
        <w:rPr>
          <w:rFonts w:cs="Times New Roman"/>
        </w:rPr>
        <w:t>“</w:t>
      </w:r>
      <w:r w:rsidRPr="00770477">
        <w:rPr>
          <w:rFonts w:cs="Times New Roman"/>
        </w:rPr>
        <w:t xml:space="preserve">sub-bituminous coal from the Powder River Basin, Wyoming, </w:t>
      </w:r>
      <w:r w:rsidR="005450E0" w:rsidRPr="00770477">
        <w:rPr>
          <w:rFonts w:cs="Times New Roman"/>
        </w:rPr>
        <w:t>[</w:t>
      </w:r>
      <w:r w:rsidRPr="00770477">
        <w:rPr>
          <w:rFonts w:cs="Times New Roman"/>
        </w:rPr>
        <w:t>USA</w:t>
      </w:r>
      <w:r w:rsidR="005450E0" w:rsidRPr="00770477">
        <w:rPr>
          <w:rFonts w:cs="Times New Roman"/>
        </w:rPr>
        <w:t xml:space="preserve">]” and obtained from the Sooner Power Plant in Red Rock, Oklahoma. </w:t>
      </w:r>
      <w:r w:rsidR="00AC4D79" w:rsidRPr="00770477">
        <w:rPr>
          <w:rFonts w:cs="Times New Roman"/>
        </w:rPr>
        <w:fldChar w:fldCharType="begin"/>
      </w:r>
      <w:r w:rsidR="00AC4D79" w:rsidRPr="00770477">
        <w:rPr>
          <w:rFonts w:cs="Times New Roman"/>
        </w:rPr>
        <w:instrText xml:space="preserve"> REF _Ref116935231 \h </w:instrText>
      </w:r>
      <w:r w:rsidR="00770477">
        <w:rPr>
          <w:rFonts w:cs="Times New Roman"/>
        </w:rPr>
        <w:instrText xml:space="preserve"> \* MERGEFORMAT </w:instrText>
      </w:r>
      <w:r w:rsidR="00AC4D79" w:rsidRPr="00770477">
        <w:rPr>
          <w:rFonts w:cs="Times New Roman"/>
        </w:rPr>
      </w:r>
      <w:r w:rsidR="00AC4D79" w:rsidRPr="00770477">
        <w:rPr>
          <w:rFonts w:cs="Times New Roman"/>
        </w:rPr>
        <w:fldChar w:fldCharType="separate"/>
      </w:r>
      <w:r w:rsidR="00061096" w:rsidRPr="00770477">
        <w:rPr>
          <w:rFonts w:cs="Times New Roman"/>
        </w:rPr>
        <w:t xml:space="preserve">Table </w:t>
      </w:r>
      <w:r w:rsidR="00061096">
        <w:rPr>
          <w:rFonts w:cs="Times New Roman"/>
          <w:noProof/>
        </w:rPr>
        <w:t>2</w:t>
      </w:r>
      <w:r w:rsidR="00061096">
        <w:rPr>
          <w:rFonts w:cs="Times New Roman"/>
          <w:noProof/>
        </w:rPr>
        <w:noBreakHyphen/>
        <w:t>4</w:t>
      </w:r>
      <w:r w:rsidR="00AC4D79" w:rsidRPr="00770477">
        <w:rPr>
          <w:rFonts w:cs="Times New Roman"/>
        </w:rPr>
        <w:fldChar w:fldCharType="end"/>
      </w:r>
      <w:r w:rsidR="00AC4D79" w:rsidRPr="00770477">
        <w:rPr>
          <w:rFonts w:cs="Times New Roman"/>
        </w:rPr>
        <w:t xml:space="preserve"> </w:t>
      </w:r>
      <w:r w:rsidR="005450E0" w:rsidRPr="00770477">
        <w:rPr>
          <w:rFonts w:cs="Times New Roman"/>
        </w:rPr>
        <w:t xml:space="preserve">below is a summary of the fly ash’s composition as reported by </w:t>
      </w:r>
      <w:r w:rsidR="005450E0" w:rsidRPr="00770477">
        <w:rPr>
          <w:rFonts w:cs="Times New Roman"/>
        </w:rPr>
        <w:fldChar w:fldCharType="begin"/>
      </w:r>
      <w:r w:rsidR="002074AD">
        <w:rPr>
          <w:rFonts w:cs="Times New Roman"/>
        </w:rPr>
        <w:instrText xml:space="preserve"> ADDIN ZOTERO_ITEM CSL_CITATION {"citationID":"0Eoq5CNq","properties":{"formattedCitation":"(W. Zhang et al., 2008)","plainCitation":"(W. Zhang et al., 2008)","dontUpdate":true,"noteIndex":0},"citationItems":[{"id":85,"uris":["http://zotero.org/users/8423188/items/DFEUEDT5"],"itemData":{"id":85,"type":"article-journal","container-title":"Water Environment Research","DOI":"10.2175/106143008X266823","ISSN":"10614303","issue":"6","journalAbbreviation":"Water Environment Research","language":"en","page":"507-516","source":"DOI.org (Crossref)","title":"Fly-Ash-Amended Sand as Filter Media in Bioretention Cells to Improve Phosphorus Removal","volume":"80","author":[{"family":"Zhang","given":"Wei"},{"family":"Brown","given":"Glenn O."},{"family":"Storm","given":"Daniel E."},{"family":"Zhang","given":"Hailin"}],"issued":{"date-parts":[["2008",6]]}}}],"schema":"https://github.com/citation-style-language/schema/raw/master/csl-citation.json"} </w:instrText>
      </w:r>
      <w:r w:rsidR="005450E0" w:rsidRPr="00770477">
        <w:rPr>
          <w:rFonts w:cs="Times New Roman"/>
        </w:rPr>
        <w:fldChar w:fldCharType="separate"/>
      </w:r>
      <w:r w:rsidR="005450E0" w:rsidRPr="00770477">
        <w:rPr>
          <w:rFonts w:cs="Times New Roman"/>
          <w:noProof/>
        </w:rPr>
        <w:t>W. Zhang et al. (2008)</w:t>
      </w:r>
      <w:r w:rsidR="005450E0" w:rsidRPr="00770477">
        <w:rPr>
          <w:rFonts w:cs="Times New Roman"/>
        </w:rPr>
        <w:fldChar w:fldCharType="end"/>
      </w:r>
      <w:r w:rsidR="005450E0" w:rsidRPr="00770477">
        <w:rPr>
          <w:rFonts w:cs="Times New Roman"/>
        </w:rPr>
        <w:t xml:space="preserve">. Notably, reported </w:t>
      </w:r>
      <w:r w:rsidR="46DED7FE" w:rsidRPr="00770477">
        <w:rPr>
          <w:rFonts w:cs="Times New Roman"/>
        </w:rPr>
        <w:t xml:space="preserve">composition </w:t>
      </w:r>
      <w:r w:rsidR="005450E0" w:rsidRPr="00770477">
        <w:rPr>
          <w:rFonts w:cs="Times New Roman"/>
        </w:rPr>
        <w:t xml:space="preserve">for Si-, Al-, Fe-, Mn-, and Ca-oxides were 38.1%, 18.4%, 5.93%, 0.02%, and 22.9%, respectively. </w:t>
      </w:r>
      <w:r w:rsidR="0839F2CD" w:rsidRPr="00770477">
        <w:rPr>
          <w:rFonts w:cs="Times New Roman"/>
        </w:rPr>
        <w:t xml:space="preserve">The powder </w:t>
      </w:r>
      <w:r w:rsidR="70391473" w:rsidRPr="00770477">
        <w:rPr>
          <w:rFonts w:cs="Times New Roman"/>
        </w:rPr>
        <w:t>f</w:t>
      </w:r>
      <w:r w:rsidR="005450E0" w:rsidRPr="00770477">
        <w:rPr>
          <w:rFonts w:cs="Times New Roman"/>
        </w:rPr>
        <w:t xml:space="preserve">ly ash was </w:t>
      </w:r>
      <w:r w:rsidR="447B97D4" w:rsidRPr="00770477">
        <w:rPr>
          <w:rFonts w:cs="Times New Roman"/>
        </w:rPr>
        <w:t xml:space="preserve">aggregated </w:t>
      </w:r>
      <w:r w:rsidR="7009C208" w:rsidRPr="00770477">
        <w:rPr>
          <w:rFonts w:cs="Times New Roman"/>
        </w:rPr>
        <w:t xml:space="preserve">by </w:t>
      </w:r>
      <w:r w:rsidR="005450E0" w:rsidRPr="00770477">
        <w:rPr>
          <w:rFonts w:cs="Times New Roman"/>
        </w:rPr>
        <w:t>mix</w:t>
      </w:r>
      <w:r w:rsidR="4D45EE13" w:rsidRPr="00770477">
        <w:rPr>
          <w:rFonts w:cs="Times New Roman"/>
        </w:rPr>
        <w:t>ing it</w:t>
      </w:r>
      <w:r w:rsidR="005450E0" w:rsidRPr="00770477">
        <w:rPr>
          <w:rFonts w:cs="Times New Roman"/>
        </w:rPr>
        <w:t xml:space="preserve"> with DI water at a ratio of </w:t>
      </w:r>
      <w:r w:rsidR="008230E4" w:rsidRPr="00770477">
        <w:rPr>
          <w:rFonts w:cs="Times New Roman"/>
        </w:rPr>
        <w:t>2:1 (</w:t>
      </w:r>
      <w:r w:rsidR="00D230E7" w:rsidRPr="00770477">
        <w:rPr>
          <w:rFonts w:cs="Times New Roman"/>
        </w:rPr>
        <w:t>fly ash (g</w:t>
      </w:r>
      <w:proofErr w:type="gramStart"/>
      <w:r w:rsidR="00D230E7" w:rsidRPr="00770477">
        <w:rPr>
          <w:rFonts w:cs="Times New Roman"/>
        </w:rPr>
        <w:t>):water</w:t>
      </w:r>
      <w:proofErr w:type="gramEnd"/>
      <w:r w:rsidR="00D230E7" w:rsidRPr="00770477">
        <w:rPr>
          <w:rFonts w:cs="Times New Roman"/>
        </w:rPr>
        <w:t xml:space="preserve"> (g))</w:t>
      </w:r>
      <w:r w:rsidR="005450E0" w:rsidRPr="00770477">
        <w:rPr>
          <w:rFonts w:cs="Times New Roman"/>
        </w:rPr>
        <w:t xml:space="preserve"> and allowed to cure for a minimum of 30 days. This hardened mixture was then crushed and </w:t>
      </w:r>
      <w:r w:rsidR="004371FB" w:rsidRPr="00770477">
        <w:rPr>
          <w:rFonts w:cs="Times New Roman"/>
        </w:rPr>
        <w:t>prepared to sieve.</w:t>
      </w:r>
    </w:p>
    <w:p w14:paraId="5CC61694" w14:textId="36125136" w:rsidR="004371FB" w:rsidRPr="00770477" w:rsidRDefault="00D97988" w:rsidP="00ED17B1">
      <w:pPr>
        <w:spacing w:line="240" w:lineRule="auto"/>
        <w:rPr>
          <w:rFonts w:cs="Times New Roman"/>
        </w:rPr>
      </w:pPr>
      <w:r w:rsidRPr="00770477">
        <w:rPr>
          <w:rFonts w:cs="Times New Roman"/>
        </w:rPr>
        <w:br w:type="page"/>
      </w:r>
    </w:p>
    <w:p w14:paraId="32F6B766" w14:textId="07F87118" w:rsidR="004E65F2" w:rsidRPr="00770477" w:rsidRDefault="004E65F2" w:rsidP="00AC4D79">
      <w:pPr>
        <w:pStyle w:val="Caption"/>
        <w:keepNext/>
        <w:spacing w:line="240" w:lineRule="auto"/>
        <w:rPr>
          <w:rFonts w:cs="Times New Roman"/>
        </w:rPr>
      </w:pPr>
      <w:bookmarkStart w:id="41" w:name="_Ref116935231"/>
      <w:bookmarkStart w:id="42" w:name="_Toc121495934"/>
      <w:r w:rsidRPr="00770477">
        <w:rPr>
          <w:rFonts w:cs="Times New Roman"/>
        </w:rPr>
        <w:lastRenderedPageBreak/>
        <w:t xml:space="preserve">Table </w:t>
      </w:r>
      <w:r w:rsidR="00B26DDF">
        <w:rPr>
          <w:rFonts w:cs="Times New Roman"/>
        </w:rPr>
        <w:fldChar w:fldCharType="begin"/>
      </w:r>
      <w:r w:rsidR="00B26DDF">
        <w:rPr>
          <w:rFonts w:cs="Times New Roman"/>
        </w:rPr>
        <w:instrText xml:space="preserve"> STYLEREF 1 \s </w:instrText>
      </w:r>
      <w:r w:rsidR="00B26DDF">
        <w:rPr>
          <w:rFonts w:cs="Times New Roman"/>
        </w:rPr>
        <w:fldChar w:fldCharType="separate"/>
      </w:r>
      <w:r w:rsidR="00061096">
        <w:rPr>
          <w:rFonts w:cs="Times New Roman"/>
          <w:noProof/>
        </w:rPr>
        <w:t>2</w:t>
      </w:r>
      <w:r w:rsidR="00B26DDF">
        <w:rPr>
          <w:rFonts w:cs="Times New Roman"/>
        </w:rPr>
        <w:fldChar w:fldCharType="end"/>
      </w:r>
      <w:r w:rsidR="00B26DDF">
        <w:rPr>
          <w:rFonts w:cs="Times New Roman"/>
        </w:rPr>
        <w:noBreakHyphen/>
      </w:r>
      <w:r w:rsidR="00B26DDF">
        <w:rPr>
          <w:rFonts w:cs="Times New Roman"/>
        </w:rPr>
        <w:fldChar w:fldCharType="begin"/>
      </w:r>
      <w:r w:rsidR="00B26DDF">
        <w:rPr>
          <w:rFonts w:cs="Times New Roman"/>
        </w:rPr>
        <w:instrText xml:space="preserve"> SEQ Table \* ARABIC \s 1 </w:instrText>
      </w:r>
      <w:r w:rsidR="00B26DDF">
        <w:rPr>
          <w:rFonts w:cs="Times New Roman"/>
        </w:rPr>
        <w:fldChar w:fldCharType="separate"/>
      </w:r>
      <w:r w:rsidR="00061096">
        <w:rPr>
          <w:rFonts w:cs="Times New Roman"/>
          <w:noProof/>
        </w:rPr>
        <w:t>4</w:t>
      </w:r>
      <w:r w:rsidR="00B26DDF">
        <w:rPr>
          <w:rFonts w:cs="Times New Roman"/>
        </w:rPr>
        <w:fldChar w:fldCharType="end"/>
      </w:r>
      <w:bookmarkEnd w:id="41"/>
      <w:r w:rsidRPr="00770477">
        <w:rPr>
          <w:rFonts w:cs="Times New Roman"/>
        </w:rPr>
        <w:t xml:space="preserve"> - Composition of</w:t>
      </w:r>
      <w:r w:rsidR="002F68C8">
        <w:rPr>
          <w:rFonts w:cs="Times New Roman"/>
        </w:rPr>
        <w:t xml:space="preserve"> the</w:t>
      </w:r>
      <w:r w:rsidRPr="00770477">
        <w:rPr>
          <w:rFonts w:cs="Times New Roman"/>
        </w:rPr>
        <w:t xml:space="preserve"> fly ash used</w:t>
      </w:r>
      <w:r w:rsidR="002F68C8">
        <w:rPr>
          <w:rFonts w:cs="Times New Roman"/>
        </w:rPr>
        <w:t xml:space="preserve"> in this study</w:t>
      </w:r>
      <w:r w:rsidRPr="00770477">
        <w:rPr>
          <w:rFonts w:cs="Times New Roman"/>
        </w:rPr>
        <w:t xml:space="preserve"> as reported by </w:t>
      </w:r>
      <w:r w:rsidRPr="00770477">
        <w:rPr>
          <w:rFonts w:cs="Times New Roman"/>
        </w:rPr>
        <w:fldChar w:fldCharType="begin"/>
      </w:r>
      <w:r w:rsidR="002074AD">
        <w:rPr>
          <w:rFonts w:cs="Times New Roman"/>
        </w:rPr>
        <w:instrText xml:space="preserve"> ADDIN ZOTERO_ITEM CSL_CITATION {"citationID":"eiZeRnT3","properties":{"formattedCitation":"(W. Zhang et al., 2008)","plainCitation":"(W. Zhang et al., 2008)","dontUpdate":true,"noteIndex":0},"citationItems":[{"id":85,"uris":["http://zotero.org/users/8423188/items/DFEUEDT5"],"itemData":{"id":85,"type":"article-journal","container-title":"Water Environment Research","DOI":"10.2175/106143008X266823","ISSN":"10614303","issue":"6","journalAbbreviation":"Water Environment Research","language":"en","page":"507-516","source":"DOI.org (Crossref)","title":"Fly-Ash-Amended Sand as Filter Media in Bioretention Cells to Improve Phosphorus Removal","volume":"80","author":[{"family":"Zhang","given":"Wei"},{"family":"Brown","given":"Glenn O."},{"family":"Storm","given":"Daniel E."},{"family":"Zhang","given":"Hailin"}],"issued":{"date-parts":[["2008",6]]}}}],"schema":"https://github.com/citation-style-language/schema/raw/master/csl-citation.json"} </w:instrText>
      </w:r>
      <w:r w:rsidRPr="00770477">
        <w:rPr>
          <w:rFonts w:cs="Times New Roman"/>
        </w:rPr>
        <w:fldChar w:fldCharType="separate"/>
      </w:r>
      <w:r w:rsidRPr="00770477">
        <w:rPr>
          <w:rFonts w:cs="Times New Roman"/>
          <w:noProof/>
        </w:rPr>
        <w:t>W. Zhang et al</w:t>
      </w:r>
      <w:r w:rsidR="00AC4D79" w:rsidRPr="00770477">
        <w:rPr>
          <w:rFonts w:cs="Times New Roman"/>
          <w:noProof/>
        </w:rPr>
        <w:t>.</w:t>
      </w:r>
      <w:r w:rsidRPr="00770477">
        <w:rPr>
          <w:rFonts w:cs="Times New Roman"/>
          <w:noProof/>
        </w:rPr>
        <w:t xml:space="preserve"> </w:t>
      </w:r>
      <w:r w:rsidR="00AC4D79" w:rsidRPr="00770477">
        <w:rPr>
          <w:rFonts w:cs="Times New Roman"/>
          <w:noProof/>
        </w:rPr>
        <w:t>(</w:t>
      </w:r>
      <w:r w:rsidRPr="00770477">
        <w:rPr>
          <w:rFonts w:cs="Times New Roman"/>
          <w:noProof/>
        </w:rPr>
        <w:t>2008)</w:t>
      </w:r>
      <w:r w:rsidRPr="00770477">
        <w:rPr>
          <w:rFonts w:cs="Times New Roman"/>
        </w:rPr>
        <w:fldChar w:fldCharType="end"/>
      </w:r>
      <w:r w:rsidR="002F68C8">
        <w:rPr>
          <w:rFonts w:cs="Times New Roman"/>
        </w:rPr>
        <w:t>.</w:t>
      </w:r>
      <w:bookmarkEnd w:id="42"/>
    </w:p>
    <w:tbl>
      <w:tblPr>
        <w:tblStyle w:val="PlainTable5"/>
        <w:tblW w:w="0" w:type="auto"/>
        <w:tblLook w:val="04A0" w:firstRow="1" w:lastRow="0" w:firstColumn="1" w:lastColumn="0" w:noHBand="0" w:noVBand="1"/>
      </w:tblPr>
      <w:tblGrid>
        <w:gridCol w:w="1890"/>
        <w:gridCol w:w="1890"/>
      </w:tblGrid>
      <w:tr w:rsidR="004E65F2" w:rsidRPr="00770477" w14:paraId="5C5D8082" w14:textId="77777777" w:rsidTr="004E65F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90" w:type="dxa"/>
          </w:tcPr>
          <w:p w14:paraId="36E41048" w14:textId="53E2211C" w:rsidR="004E65F2" w:rsidRPr="00770477" w:rsidRDefault="004E65F2" w:rsidP="004E65F2">
            <w:pPr>
              <w:spacing w:line="240" w:lineRule="auto"/>
              <w:rPr>
                <w:rFonts w:cs="Times New Roman"/>
              </w:rPr>
            </w:pPr>
            <w:r w:rsidRPr="00770477">
              <w:rPr>
                <w:rFonts w:cs="Times New Roman"/>
              </w:rPr>
              <w:t>Composition</w:t>
            </w:r>
          </w:p>
        </w:tc>
        <w:tc>
          <w:tcPr>
            <w:tcW w:w="1890" w:type="dxa"/>
          </w:tcPr>
          <w:p w14:paraId="66516A07" w14:textId="35D80B1B" w:rsidR="004E65F2" w:rsidRPr="00770477" w:rsidRDefault="004E65F2" w:rsidP="002F68C8">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70477">
              <w:rPr>
                <w:rFonts w:cs="Times New Roman"/>
              </w:rPr>
              <w:t>Content (%)</w:t>
            </w:r>
          </w:p>
        </w:tc>
      </w:tr>
      <w:tr w:rsidR="004E65F2" w:rsidRPr="00770477" w14:paraId="644FB6CE" w14:textId="77777777" w:rsidTr="004E65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0A17DFA2" w14:textId="1DEC29FF" w:rsidR="004E65F2" w:rsidRPr="00770477" w:rsidRDefault="004E65F2" w:rsidP="004E65F2">
            <w:pPr>
              <w:spacing w:line="240" w:lineRule="auto"/>
              <w:rPr>
                <w:rFonts w:cs="Times New Roman"/>
              </w:rPr>
            </w:pPr>
            <w:r w:rsidRPr="00770477">
              <w:rPr>
                <w:rFonts w:cs="Times New Roman"/>
              </w:rPr>
              <w:t>SiO</w:t>
            </w:r>
            <w:r w:rsidRPr="00770477">
              <w:rPr>
                <w:rFonts w:cs="Times New Roman"/>
                <w:vertAlign w:val="subscript"/>
              </w:rPr>
              <w:t>2</w:t>
            </w:r>
          </w:p>
        </w:tc>
        <w:tc>
          <w:tcPr>
            <w:tcW w:w="1890" w:type="dxa"/>
          </w:tcPr>
          <w:p w14:paraId="50EB0C9D" w14:textId="66B7A21F" w:rsidR="004E65F2" w:rsidRPr="00770477" w:rsidRDefault="004E65F2" w:rsidP="002F68C8">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38.1</w:t>
            </w:r>
          </w:p>
        </w:tc>
      </w:tr>
      <w:tr w:rsidR="004E65F2" w:rsidRPr="00770477" w14:paraId="38C58B8D" w14:textId="77777777" w:rsidTr="004E65F2">
        <w:tc>
          <w:tcPr>
            <w:cnfStyle w:val="001000000000" w:firstRow="0" w:lastRow="0" w:firstColumn="1" w:lastColumn="0" w:oddVBand="0" w:evenVBand="0" w:oddHBand="0" w:evenHBand="0" w:firstRowFirstColumn="0" w:firstRowLastColumn="0" w:lastRowFirstColumn="0" w:lastRowLastColumn="0"/>
            <w:tcW w:w="1890" w:type="dxa"/>
          </w:tcPr>
          <w:p w14:paraId="6124D985" w14:textId="479E2A50" w:rsidR="004E65F2" w:rsidRPr="00770477" w:rsidRDefault="004E65F2" w:rsidP="004E65F2">
            <w:pPr>
              <w:spacing w:line="240" w:lineRule="auto"/>
              <w:rPr>
                <w:rFonts w:cs="Times New Roman"/>
              </w:rPr>
            </w:pPr>
            <w:r w:rsidRPr="00770477">
              <w:rPr>
                <w:rFonts w:cs="Times New Roman"/>
              </w:rPr>
              <w:t>Al</w:t>
            </w:r>
            <w:r w:rsidRPr="00770477">
              <w:rPr>
                <w:rFonts w:cs="Times New Roman"/>
                <w:vertAlign w:val="subscript"/>
              </w:rPr>
              <w:t>2</w:t>
            </w:r>
            <w:r w:rsidRPr="00770477">
              <w:rPr>
                <w:rFonts w:cs="Times New Roman"/>
              </w:rPr>
              <w:t>O</w:t>
            </w:r>
            <w:r w:rsidRPr="00770477">
              <w:rPr>
                <w:rFonts w:cs="Times New Roman"/>
                <w:vertAlign w:val="subscript"/>
              </w:rPr>
              <w:t>3</w:t>
            </w:r>
          </w:p>
        </w:tc>
        <w:tc>
          <w:tcPr>
            <w:tcW w:w="1890" w:type="dxa"/>
          </w:tcPr>
          <w:p w14:paraId="5DB9B79B" w14:textId="3BBF4386" w:rsidR="004E65F2" w:rsidRPr="00770477" w:rsidRDefault="004E65F2" w:rsidP="002F68C8">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18.4</w:t>
            </w:r>
          </w:p>
        </w:tc>
      </w:tr>
      <w:tr w:rsidR="004E65F2" w:rsidRPr="00770477" w14:paraId="6FE1AD9B" w14:textId="77777777" w:rsidTr="004E65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0D877CB0" w14:textId="6B5063B5" w:rsidR="004E65F2" w:rsidRPr="00770477" w:rsidRDefault="004E65F2" w:rsidP="004E65F2">
            <w:pPr>
              <w:spacing w:line="240" w:lineRule="auto"/>
              <w:rPr>
                <w:rFonts w:cs="Times New Roman"/>
              </w:rPr>
            </w:pPr>
            <w:r w:rsidRPr="00770477">
              <w:rPr>
                <w:rFonts w:cs="Times New Roman"/>
              </w:rPr>
              <w:t>Fe</w:t>
            </w:r>
            <w:r w:rsidRPr="00770477">
              <w:rPr>
                <w:rFonts w:cs="Times New Roman"/>
                <w:vertAlign w:val="subscript"/>
              </w:rPr>
              <w:t>2</w:t>
            </w:r>
            <w:r w:rsidRPr="00770477">
              <w:rPr>
                <w:rFonts w:cs="Times New Roman"/>
              </w:rPr>
              <w:t>O</w:t>
            </w:r>
            <w:r w:rsidRPr="00770477">
              <w:rPr>
                <w:rFonts w:cs="Times New Roman"/>
                <w:vertAlign w:val="subscript"/>
              </w:rPr>
              <w:t>3</w:t>
            </w:r>
          </w:p>
        </w:tc>
        <w:tc>
          <w:tcPr>
            <w:tcW w:w="1890" w:type="dxa"/>
          </w:tcPr>
          <w:p w14:paraId="21C724F6" w14:textId="2A8AB999" w:rsidR="004E65F2" w:rsidRPr="00770477" w:rsidRDefault="004E65F2" w:rsidP="002F68C8">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5.93</w:t>
            </w:r>
          </w:p>
        </w:tc>
      </w:tr>
      <w:tr w:rsidR="004E65F2" w:rsidRPr="00770477" w14:paraId="4E49BB6A" w14:textId="77777777" w:rsidTr="004E65F2">
        <w:tc>
          <w:tcPr>
            <w:cnfStyle w:val="001000000000" w:firstRow="0" w:lastRow="0" w:firstColumn="1" w:lastColumn="0" w:oddVBand="0" w:evenVBand="0" w:oddHBand="0" w:evenHBand="0" w:firstRowFirstColumn="0" w:firstRowLastColumn="0" w:lastRowFirstColumn="0" w:lastRowLastColumn="0"/>
            <w:tcW w:w="1890" w:type="dxa"/>
          </w:tcPr>
          <w:p w14:paraId="3FCE1503" w14:textId="01D4463A" w:rsidR="004E65F2" w:rsidRPr="00770477" w:rsidRDefault="004E65F2" w:rsidP="004E65F2">
            <w:pPr>
              <w:spacing w:line="240" w:lineRule="auto"/>
              <w:rPr>
                <w:rFonts w:cs="Times New Roman"/>
              </w:rPr>
            </w:pPr>
            <w:proofErr w:type="spellStart"/>
            <w:r w:rsidRPr="00770477">
              <w:rPr>
                <w:rFonts w:cs="Times New Roman"/>
              </w:rPr>
              <w:t>MnO</w:t>
            </w:r>
            <w:proofErr w:type="spellEnd"/>
          </w:p>
        </w:tc>
        <w:tc>
          <w:tcPr>
            <w:tcW w:w="1890" w:type="dxa"/>
          </w:tcPr>
          <w:p w14:paraId="6008D7C0" w14:textId="5C79D9D6" w:rsidR="004E65F2" w:rsidRPr="00770477" w:rsidRDefault="004E65F2" w:rsidP="002F68C8">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0.02</w:t>
            </w:r>
          </w:p>
        </w:tc>
      </w:tr>
      <w:tr w:rsidR="004E65F2" w:rsidRPr="00770477" w14:paraId="7A204AC7" w14:textId="77777777" w:rsidTr="004E65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7DA7A31A" w14:textId="6AC88562" w:rsidR="004E65F2" w:rsidRPr="00770477" w:rsidRDefault="004E65F2" w:rsidP="004E65F2">
            <w:pPr>
              <w:spacing w:line="240" w:lineRule="auto"/>
              <w:rPr>
                <w:rFonts w:cs="Times New Roman"/>
              </w:rPr>
            </w:pPr>
            <w:r w:rsidRPr="00770477">
              <w:rPr>
                <w:rFonts w:cs="Times New Roman"/>
              </w:rPr>
              <w:t>MgO</w:t>
            </w:r>
          </w:p>
        </w:tc>
        <w:tc>
          <w:tcPr>
            <w:tcW w:w="1890" w:type="dxa"/>
          </w:tcPr>
          <w:p w14:paraId="2329153B" w14:textId="65C2BFB0" w:rsidR="004E65F2" w:rsidRPr="00770477" w:rsidRDefault="004E65F2" w:rsidP="002F68C8">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5.43</w:t>
            </w:r>
          </w:p>
        </w:tc>
      </w:tr>
      <w:tr w:rsidR="004E65F2" w:rsidRPr="00770477" w14:paraId="46FDF26F" w14:textId="77777777" w:rsidTr="004E65F2">
        <w:tc>
          <w:tcPr>
            <w:cnfStyle w:val="001000000000" w:firstRow="0" w:lastRow="0" w:firstColumn="1" w:lastColumn="0" w:oddVBand="0" w:evenVBand="0" w:oddHBand="0" w:evenHBand="0" w:firstRowFirstColumn="0" w:firstRowLastColumn="0" w:lastRowFirstColumn="0" w:lastRowLastColumn="0"/>
            <w:tcW w:w="1890" w:type="dxa"/>
          </w:tcPr>
          <w:p w14:paraId="43E1A609" w14:textId="315E6A69" w:rsidR="004E65F2" w:rsidRPr="00770477" w:rsidRDefault="004E65F2" w:rsidP="004E65F2">
            <w:pPr>
              <w:spacing w:line="240" w:lineRule="auto"/>
              <w:rPr>
                <w:rFonts w:cs="Times New Roman"/>
              </w:rPr>
            </w:pPr>
            <w:proofErr w:type="spellStart"/>
            <w:r w:rsidRPr="00770477">
              <w:rPr>
                <w:rFonts w:cs="Times New Roman"/>
              </w:rPr>
              <w:t>CaO</w:t>
            </w:r>
            <w:proofErr w:type="spellEnd"/>
          </w:p>
        </w:tc>
        <w:tc>
          <w:tcPr>
            <w:tcW w:w="1890" w:type="dxa"/>
          </w:tcPr>
          <w:p w14:paraId="42AB76EB" w14:textId="30D07105" w:rsidR="004E65F2" w:rsidRPr="00770477" w:rsidRDefault="004E65F2" w:rsidP="002F68C8">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22.9</w:t>
            </w:r>
          </w:p>
        </w:tc>
      </w:tr>
      <w:tr w:rsidR="004E65F2" w:rsidRPr="00770477" w14:paraId="5B58905F" w14:textId="77777777" w:rsidTr="004E65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174A56BB" w14:textId="4C3D7E66" w:rsidR="004E65F2" w:rsidRPr="00770477" w:rsidRDefault="004E65F2" w:rsidP="004E65F2">
            <w:pPr>
              <w:spacing w:line="240" w:lineRule="auto"/>
              <w:rPr>
                <w:rFonts w:cs="Times New Roman"/>
              </w:rPr>
            </w:pPr>
            <w:r w:rsidRPr="00770477">
              <w:rPr>
                <w:rFonts w:cs="Times New Roman"/>
              </w:rPr>
              <w:t>Na</w:t>
            </w:r>
            <w:r w:rsidRPr="00770477">
              <w:rPr>
                <w:rFonts w:cs="Times New Roman"/>
                <w:vertAlign w:val="subscript"/>
              </w:rPr>
              <w:t>2</w:t>
            </w:r>
            <w:r w:rsidRPr="00770477">
              <w:rPr>
                <w:rFonts w:cs="Times New Roman"/>
              </w:rPr>
              <w:t>O</w:t>
            </w:r>
          </w:p>
        </w:tc>
        <w:tc>
          <w:tcPr>
            <w:tcW w:w="1890" w:type="dxa"/>
          </w:tcPr>
          <w:p w14:paraId="19EE0593" w14:textId="312352BA" w:rsidR="004E65F2" w:rsidRPr="00770477" w:rsidRDefault="004E65F2" w:rsidP="002F68C8">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1.82</w:t>
            </w:r>
          </w:p>
        </w:tc>
      </w:tr>
      <w:tr w:rsidR="004E65F2" w:rsidRPr="00770477" w14:paraId="0B244B08" w14:textId="77777777" w:rsidTr="004E65F2">
        <w:tc>
          <w:tcPr>
            <w:cnfStyle w:val="001000000000" w:firstRow="0" w:lastRow="0" w:firstColumn="1" w:lastColumn="0" w:oddVBand="0" w:evenVBand="0" w:oddHBand="0" w:evenHBand="0" w:firstRowFirstColumn="0" w:firstRowLastColumn="0" w:lastRowFirstColumn="0" w:lastRowLastColumn="0"/>
            <w:tcW w:w="1890" w:type="dxa"/>
          </w:tcPr>
          <w:p w14:paraId="7F9E7762" w14:textId="79738FF1" w:rsidR="004E65F2" w:rsidRPr="00770477" w:rsidRDefault="004E65F2" w:rsidP="004E65F2">
            <w:pPr>
              <w:spacing w:line="240" w:lineRule="auto"/>
              <w:rPr>
                <w:rFonts w:cs="Times New Roman"/>
              </w:rPr>
            </w:pPr>
            <w:r w:rsidRPr="00770477">
              <w:rPr>
                <w:rFonts w:cs="Times New Roman"/>
              </w:rPr>
              <w:t>K</w:t>
            </w:r>
            <w:r w:rsidRPr="00770477">
              <w:rPr>
                <w:rFonts w:cs="Times New Roman"/>
                <w:vertAlign w:val="subscript"/>
              </w:rPr>
              <w:t>2</w:t>
            </w:r>
            <w:r w:rsidRPr="00770477">
              <w:rPr>
                <w:rFonts w:cs="Times New Roman"/>
              </w:rPr>
              <w:t>O</w:t>
            </w:r>
          </w:p>
        </w:tc>
        <w:tc>
          <w:tcPr>
            <w:tcW w:w="1890" w:type="dxa"/>
          </w:tcPr>
          <w:p w14:paraId="7D56EF39" w14:textId="09018E1C" w:rsidR="004E65F2" w:rsidRPr="00770477" w:rsidRDefault="004E65F2" w:rsidP="002F68C8">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0.56</w:t>
            </w:r>
          </w:p>
        </w:tc>
      </w:tr>
      <w:tr w:rsidR="004E65F2" w:rsidRPr="00770477" w14:paraId="55B20B67" w14:textId="77777777" w:rsidTr="004E65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52FCE9BE" w14:textId="71287DC5" w:rsidR="004E65F2" w:rsidRPr="00770477" w:rsidRDefault="004E65F2" w:rsidP="004E65F2">
            <w:pPr>
              <w:spacing w:line="240" w:lineRule="auto"/>
              <w:rPr>
                <w:rFonts w:cs="Times New Roman"/>
              </w:rPr>
            </w:pPr>
            <w:r w:rsidRPr="00770477">
              <w:rPr>
                <w:rFonts w:cs="Times New Roman"/>
              </w:rPr>
              <w:t>Ti</w:t>
            </w:r>
            <w:r w:rsidRPr="00770477">
              <w:rPr>
                <w:rFonts w:cs="Times New Roman"/>
                <w:vertAlign w:val="subscript"/>
              </w:rPr>
              <w:t>2</w:t>
            </w:r>
            <w:r w:rsidRPr="00770477">
              <w:rPr>
                <w:rFonts w:cs="Times New Roman"/>
              </w:rPr>
              <w:t>O</w:t>
            </w:r>
          </w:p>
        </w:tc>
        <w:tc>
          <w:tcPr>
            <w:tcW w:w="1890" w:type="dxa"/>
          </w:tcPr>
          <w:p w14:paraId="4BA00A25" w14:textId="01ECA7B5" w:rsidR="004E65F2" w:rsidRPr="00770477" w:rsidRDefault="004E65F2" w:rsidP="002F68C8">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1.39</w:t>
            </w:r>
          </w:p>
        </w:tc>
      </w:tr>
      <w:tr w:rsidR="004E65F2" w:rsidRPr="00770477" w14:paraId="3FFBE12F" w14:textId="77777777" w:rsidTr="004E65F2">
        <w:tc>
          <w:tcPr>
            <w:cnfStyle w:val="001000000000" w:firstRow="0" w:lastRow="0" w:firstColumn="1" w:lastColumn="0" w:oddVBand="0" w:evenVBand="0" w:oddHBand="0" w:evenHBand="0" w:firstRowFirstColumn="0" w:firstRowLastColumn="0" w:lastRowFirstColumn="0" w:lastRowLastColumn="0"/>
            <w:tcW w:w="1890" w:type="dxa"/>
          </w:tcPr>
          <w:p w14:paraId="1E2B04F5" w14:textId="275036FF" w:rsidR="004E65F2" w:rsidRPr="00770477" w:rsidRDefault="004E65F2" w:rsidP="004E65F2">
            <w:pPr>
              <w:spacing w:line="240" w:lineRule="auto"/>
              <w:rPr>
                <w:rFonts w:cs="Times New Roman"/>
              </w:rPr>
            </w:pPr>
            <w:r w:rsidRPr="00770477">
              <w:rPr>
                <w:rFonts w:cs="Times New Roman"/>
              </w:rPr>
              <w:t>P</w:t>
            </w:r>
            <w:r w:rsidRPr="00770477">
              <w:rPr>
                <w:rFonts w:cs="Times New Roman"/>
                <w:vertAlign w:val="subscript"/>
              </w:rPr>
              <w:t>2</w:t>
            </w:r>
            <w:r w:rsidRPr="00770477">
              <w:rPr>
                <w:rFonts w:cs="Times New Roman"/>
              </w:rPr>
              <w:t>O</w:t>
            </w:r>
            <w:r w:rsidRPr="00770477">
              <w:rPr>
                <w:rFonts w:cs="Times New Roman"/>
                <w:vertAlign w:val="subscript"/>
              </w:rPr>
              <w:t>5</w:t>
            </w:r>
          </w:p>
        </w:tc>
        <w:tc>
          <w:tcPr>
            <w:tcW w:w="1890" w:type="dxa"/>
          </w:tcPr>
          <w:p w14:paraId="7369E179" w14:textId="38C725C3" w:rsidR="004E65F2" w:rsidRPr="00770477" w:rsidRDefault="004E65F2" w:rsidP="002F68C8">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1.37</w:t>
            </w:r>
          </w:p>
        </w:tc>
      </w:tr>
      <w:tr w:rsidR="004E65F2" w:rsidRPr="00770477" w14:paraId="12EDE1CE" w14:textId="77777777" w:rsidTr="004E65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570D1A67" w14:textId="11313FB4" w:rsidR="004E65F2" w:rsidRPr="00770477" w:rsidRDefault="004E65F2" w:rsidP="004E65F2">
            <w:pPr>
              <w:spacing w:line="240" w:lineRule="auto"/>
              <w:rPr>
                <w:rFonts w:cs="Times New Roman"/>
              </w:rPr>
            </w:pPr>
            <w:proofErr w:type="spellStart"/>
            <w:r w:rsidRPr="00770477">
              <w:rPr>
                <w:rFonts w:cs="Times New Roman"/>
              </w:rPr>
              <w:t>BaO</w:t>
            </w:r>
            <w:proofErr w:type="spellEnd"/>
          </w:p>
        </w:tc>
        <w:tc>
          <w:tcPr>
            <w:tcW w:w="1890" w:type="dxa"/>
          </w:tcPr>
          <w:p w14:paraId="2CBABCE8" w14:textId="5888ED14" w:rsidR="004E65F2" w:rsidRPr="00770477" w:rsidRDefault="004E65F2" w:rsidP="002F68C8">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0.69</w:t>
            </w:r>
          </w:p>
        </w:tc>
      </w:tr>
      <w:tr w:rsidR="004E65F2" w:rsidRPr="00770477" w14:paraId="28B4865D" w14:textId="77777777" w:rsidTr="004E65F2">
        <w:tc>
          <w:tcPr>
            <w:cnfStyle w:val="001000000000" w:firstRow="0" w:lastRow="0" w:firstColumn="1" w:lastColumn="0" w:oddVBand="0" w:evenVBand="0" w:oddHBand="0" w:evenHBand="0" w:firstRowFirstColumn="0" w:firstRowLastColumn="0" w:lastRowFirstColumn="0" w:lastRowLastColumn="0"/>
            <w:tcW w:w="1890" w:type="dxa"/>
          </w:tcPr>
          <w:p w14:paraId="4B63C421" w14:textId="7609B4CF" w:rsidR="004E65F2" w:rsidRPr="00770477" w:rsidRDefault="004E65F2" w:rsidP="004E65F2">
            <w:pPr>
              <w:spacing w:line="240" w:lineRule="auto"/>
              <w:rPr>
                <w:rFonts w:cs="Times New Roman"/>
              </w:rPr>
            </w:pPr>
            <w:r w:rsidRPr="00770477">
              <w:rPr>
                <w:rFonts w:cs="Times New Roman"/>
              </w:rPr>
              <w:t>Cr</w:t>
            </w:r>
            <w:r w:rsidRPr="00770477">
              <w:rPr>
                <w:rFonts w:cs="Times New Roman"/>
                <w:vertAlign w:val="subscript"/>
              </w:rPr>
              <w:t>2</w:t>
            </w:r>
            <w:r w:rsidRPr="00770477">
              <w:rPr>
                <w:rFonts w:cs="Times New Roman"/>
              </w:rPr>
              <w:t>O</w:t>
            </w:r>
            <w:r w:rsidRPr="00770477">
              <w:rPr>
                <w:rFonts w:cs="Times New Roman"/>
                <w:vertAlign w:val="subscript"/>
              </w:rPr>
              <w:t>3</w:t>
            </w:r>
          </w:p>
        </w:tc>
        <w:tc>
          <w:tcPr>
            <w:tcW w:w="1890" w:type="dxa"/>
          </w:tcPr>
          <w:p w14:paraId="4D67F87C" w14:textId="17C6805C" w:rsidR="004E65F2" w:rsidRPr="00770477" w:rsidRDefault="004E65F2" w:rsidP="002F68C8">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0.01</w:t>
            </w:r>
          </w:p>
        </w:tc>
      </w:tr>
      <w:tr w:rsidR="004E65F2" w:rsidRPr="00770477" w14:paraId="28F7B232" w14:textId="77777777" w:rsidTr="004E65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10C9986C" w14:textId="5B4BA84C" w:rsidR="004E65F2" w:rsidRPr="00770477" w:rsidRDefault="004E65F2" w:rsidP="004E65F2">
            <w:pPr>
              <w:spacing w:line="240" w:lineRule="auto"/>
              <w:rPr>
                <w:rFonts w:cs="Times New Roman"/>
              </w:rPr>
            </w:pPr>
            <w:proofErr w:type="spellStart"/>
            <w:r w:rsidRPr="00770477">
              <w:rPr>
                <w:rFonts w:cs="Times New Roman"/>
              </w:rPr>
              <w:t>SrO</w:t>
            </w:r>
            <w:proofErr w:type="spellEnd"/>
          </w:p>
        </w:tc>
        <w:tc>
          <w:tcPr>
            <w:tcW w:w="1890" w:type="dxa"/>
          </w:tcPr>
          <w:p w14:paraId="20E915D8" w14:textId="2B7DCCC7" w:rsidR="004E65F2" w:rsidRPr="00770477" w:rsidRDefault="004E65F2" w:rsidP="002F68C8">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0.30</w:t>
            </w:r>
          </w:p>
        </w:tc>
      </w:tr>
      <w:tr w:rsidR="004E65F2" w:rsidRPr="00770477" w14:paraId="430D10AC" w14:textId="77777777" w:rsidTr="004E65F2">
        <w:tc>
          <w:tcPr>
            <w:cnfStyle w:val="001000000000" w:firstRow="0" w:lastRow="0" w:firstColumn="1" w:lastColumn="0" w:oddVBand="0" w:evenVBand="0" w:oddHBand="0" w:evenHBand="0" w:firstRowFirstColumn="0" w:firstRowLastColumn="0" w:lastRowFirstColumn="0" w:lastRowLastColumn="0"/>
            <w:tcW w:w="1890" w:type="dxa"/>
          </w:tcPr>
          <w:p w14:paraId="6E52A055" w14:textId="0A98AD6D" w:rsidR="004E65F2" w:rsidRPr="00770477" w:rsidRDefault="004E65F2" w:rsidP="004E65F2">
            <w:pPr>
              <w:spacing w:line="240" w:lineRule="auto"/>
              <w:rPr>
                <w:rFonts w:cs="Times New Roman"/>
              </w:rPr>
            </w:pPr>
            <w:r w:rsidRPr="00770477">
              <w:rPr>
                <w:rFonts w:cs="Times New Roman"/>
              </w:rPr>
              <w:t>Loss on ignition</w:t>
            </w:r>
          </w:p>
        </w:tc>
        <w:tc>
          <w:tcPr>
            <w:tcW w:w="1890" w:type="dxa"/>
          </w:tcPr>
          <w:p w14:paraId="72DDD3A3" w14:textId="010660BF" w:rsidR="004E65F2" w:rsidRPr="00770477" w:rsidRDefault="004E65F2" w:rsidP="002F68C8">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0.69</w:t>
            </w:r>
          </w:p>
        </w:tc>
      </w:tr>
      <w:tr w:rsidR="004E65F2" w:rsidRPr="00770477" w14:paraId="260BE2EF" w14:textId="77777777" w:rsidTr="004E65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2311CB78" w14:textId="0261126B" w:rsidR="004E65F2" w:rsidRPr="00770477" w:rsidRDefault="004E65F2" w:rsidP="004E65F2">
            <w:pPr>
              <w:spacing w:line="240" w:lineRule="auto"/>
              <w:rPr>
                <w:rFonts w:cs="Times New Roman"/>
              </w:rPr>
            </w:pPr>
            <w:r w:rsidRPr="00770477">
              <w:rPr>
                <w:rFonts w:cs="Times New Roman"/>
              </w:rPr>
              <w:t>Total</w:t>
            </w:r>
          </w:p>
        </w:tc>
        <w:tc>
          <w:tcPr>
            <w:tcW w:w="1890" w:type="dxa"/>
          </w:tcPr>
          <w:p w14:paraId="7CB77B8E" w14:textId="0B25B2C2" w:rsidR="004E65F2" w:rsidRPr="00770477" w:rsidRDefault="004E65F2" w:rsidP="002F68C8">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97.6</w:t>
            </w:r>
          </w:p>
        </w:tc>
      </w:tr>
    </w:tbl>
    <w:p w14:paraId="039497FB" w14:textId="77777777" w:rsidR="004E65F2" w:rsidRPr="00770477" w:rsidRDefault="004E65F2" w:rsidP="00432CBF">
      <w:pPr>
        <w:rPr>
          <w:rFonts w:cs="Times New Roman"/>
        </w:rPr>
      </w:pPr>
    </w:p>
    <w:p w14:paraId="446C94E3" w14:textId="365D1D35" w:rsidR="00A53FB5" w:rsidRPr="00770477" w:rsidRDefault="37635FDF" w:rsidP="00A53FB5">
      <w:pPr>
        <w:pStyle w:val="Heading4"/>
        <w:rPr>
          <w:rFonts w:ascii="Times New Roman" w:hAnsi="Times New Roman" w:cs="Times New Roman"/>
        </w:rPr>
      </w:pPr>
      <w:bookmarkStart w:id="43" w:name="_Toc121495985"/>
      <w:r w:rsidRPr="00770477">
        <w:rPr>
          <w:rFonts w:ascii="Times New Roman" w:hAnsi="Times New Roman" w:cs="Times New Roman"/>
        </w:rPr>
        <w:t>Steel Slag</w:t>
      </w:r>
      <w:bookmarkEnd w:id="43"/>
    </w:p>
    <w:p w14:paraId="678F55CB" w14:textId="7E1715DC" w:rsidR="004371FB" w:rsidRPr="00770477" w:rsidRDefault="004371FB" w:rsidP="00C95468">
      <w:pPr>
        <w:ind w:firstLine="720"/>
        <w:rPr>
          <w:rFonts w:cs="Times New Roman"/>
        </w:rPr>
      </w:pPr>
      <w:r w:rsidRPr="00770477">
        <w:rPr>
          <w:rFonts w:cs="Times New Roman"/>
        </w:rPr>
        <w:t xml:space="preserve">Steel slag was </w:t>
      </w:r>
      <w:r w:rsidR="00D70A18" w:rsidRPr="00770477">
        <w:rPr>
          <w:rFonts w:cs="Times New Roman"/>
        </w:rPr>
        <w:t xml:space="preserve">procured </w:t>
      </w:r>
      <w:r w:rsidR="001D7DE5" w:rsidRPr="00770477">
        <w:rPr>
          <w:rFonts w:cs="Times New Roman"/>
        </w:rPr>
        <w:t>from</w:t>
      </w:r>
      <w:r w:rsidR="00D70A18" w:rsidRPr="00770477">
        <w:rPr>
          <w:rFonts w:cs="Times New Roman"/>
        </w:rPr>
        <w:t xml:space="preserve"> Commercial Metals Corporation,</w:t>
      </w:r>
      <w:r w:rsidRPr="00770477">
        <w:rPr>
          <w:rFonts w:cs="Times New Roman"/>
        </w:rPr>
        <w:t xml:space="preserve"> a rebar manufacturing plant </w:t>
      </w:r>
      <w:r w:rsidR="00D70A18" w:rsidRPr="00770477">
        <w:rPr>
          <w:rFonts w:cs="Times New Roman"/>
        </w:rPr>
        <w:t>in Sayreville, New Jersey, United States</w:t>
      </w:r>
      <w:r w:rsidR="001D7DE5" w:rsidRPr="00770477">
        <w:rPr>
          <w:rFonts w:cs="Times New Roman"/>
        </w:rPr>
        <w:t xml:space="preserve"> by way of TMS International Corporation</w:t>
      </w:r>
      <w:r w:rsidR="001D7DE5" w:rsidRPr="00770477">
        <w:rPr>
          <w:rFonts w:cs="Times New Roman"/>
          <w:vertAlign w:val="superscript"/>
        </w:rPr>
        <w:t>©</w:t>
      </w:r>
      <w:r w:rsidR="00D70A18" w:rsidRPr="00770477">
        <w:rPr>
          <w:rFonts w:cs="Times New Roman"/>
        </w:rPr>
        <w:t xml:space="preserve">. </w:t>
      </w:r>
      <w:r w:rsidR="00173828" w:rsidRPr="00770477">
        <w:rPr>
          <w:rFonts w:cs="Times New Roman"/>
        </w:rPr>
        <w:t>The</w:t>
      </w:r>
      <w:r w:rsidR="007A55C0" w:rsidRPr="00770477">
        <w:rPr>
          <w:rFonts w:cs="Times New Roman"/>
        </w:rPr>
        <w:t xml:space="preserve"> toxicity characteristic leaching procedure (TCLP) report was provided </w:t>
      </w:r>
      <w:r w:rsidR="00982734" w:rsidRPr="00770477">
        <w:rPr>
          <w:rFonts w:cs="Times New Roman"/>
        </w:rPr>
        <w:t>which outlined the primary composition of the specific steel slag used</w:t>
      </w:r>
      <w:r w:rsidR="00CD37B7" w:rsidRPr="00770477">
        <w:rPr>
          <w:rFonts w:cs="Times New Roman"/>
        </w:rPr>
        <w:t xml:space="preserve"> </w:t>
      </w:r>
      <w:r w:rsidR="00CD37B7" w:rsidRPr="00770477">
        <w:rPr>
          <w:rFonts w:cs="Times New Roman"/>
        </w:rPr>
        <w:fldChar w:fldCharType="begin"/>
      </w:r>
      <w:r w:rsidR="002074AD">
        <w:rPr>
          <w:rFonts w:cs="Times New Roman"/>
        </w:rPr>
        <w:instrText xml:space="preserve"> ADDIN ZOTERO_ITEM CSL_CITATION {"citationID":"aocc0vn2fj","properties":{"formattedCitation":"(Bowen, 2021)","plainCitation":"(Bowen, 2021)","noteIndex":0},"citationItems":[{"id":1200,"uris":["http://zotero.org/users/8423188/items/GB9PF6I8"],"itemData":{"id":1200,"type":"report","event-place":"Sayreville, NJ","genre":"Analytical Report","number":"180-118695-1","publisher":"Eurofins","publisher-place":"Sayreville, NJ","title":"Steel Slag TCLP","author":[{"family":"Bowen","given":"Debra"}],"issued":{"date-parts":[["2021",4,13]]}}}],"schema":"https://github.com/citation-style-language/schema/raw/master/csl-citation.json"} </w:instrText>
      </w:r>
      <w:r w:rsidR="00CD37B7" w:rsidRPr="00770477">
        <w:rPr>
          <w:rFonts w:cs="Times New Roman"/>
        </w:rPr>
        <w:fldChar w:fldCharType="separate"/>
      </w:r>
      <w:r w:rsidR="002074AD" w:rsidRPr="002074AD">
        <w:rPr>
          <w:rFonts w:cs="Times New Roman"/>
        </w:rPr>
        <w:t>(Bowen, 2021)</w:t>
      </w:r>
      <w:r w:rsidR="00CD37B7" w:rsidRPr="00770477">
        <w:rPr>
          <w:rFonts w:cs="Times New Roman"/>
        </w:rPr>
        <w:fldChar w:fldCharType="end"/>
      </w:r>
      <w:r w:rsidR="00982734" w:rsidRPr="00770477">
        <w:rPr>
          <w:rFonts w:cs="Times New Roman"/>
        </w:rPr>
        <w:t xml:space="preserve">. </w:t>
      </w:r>
      <w:r w:rsidR="003E43E3" w:rsidRPr="00770477">
        <w:rPr>
          <w:rFonts w:cs="Times New Roman"/>
        </w:rPr>
        <w:t xml:space="preserve">The full elemental composition is provided in </w:t>
      </w:r>
      <w:r w:rsidR="00B54B11" w:rsidRPr="00770477">
        <w:rPr>
          <w:rFonts w:cs="Times New Roman"/>
        </w:rPr>
        <w:fldChar w:fldCharType="begin"/>
      </w:r>
      <w:r w:rsidR="00B54B11" w:rsidRPr="00770477">
        <w:rPr>
          <w:rFonts w:cs="Times New Roman"/>
        </w:rPr>
        <w:instrText xml:space="preserve"> REF _Ref121414333 \h </w:instrText>
      </w:r>
      <w:r w:rsidR="00770477">
        <w:rPr>
          <w:rFonts w:cs="Times New Roman"/>
        </w:rPr>
        <w:instrText xml:space="preserve"> \* MERGEFORMAT </w:instrText>
      </w:r>
      <w:r w:rsidR="00B54B11" w:rsidRPr="00770477">
        <w:rPr>
          <w:rFonts w:cs="Times New Roman"/>
        </w:rPr>
      </w:r>
      <w:r w:rsidR="00B54B11" w:rsidRPr="00770477">
        <w:rPr>
          <w:rFonts w:cs="Times New Roman"/>
        </w:rPr>
        <w:fldChar w:fldCharType="separate"/>
      </w:r>
      <w:r w:rsidR="00061096" w:rsidRPr="00770477">
        <w:rPr>
          <w:rFonts w:cs="Times New Roman"/>
        </w:rPr>
        <w:t xml:space="preserve">Table </w:t>
      </w:r>
      <w:r w:rsidR="00061096">
        <w:rPr>
          <w:rFonts w:cs="Times New Roman"/>
          <w:noProof/>
        </w:rPr>
        <w:t>2</w:t>
      </w:r>
      <w:r w:rsidR="00061096">
        <w:rPr>
          <w:rFonts w:cs="Times New Roman"/>
          <w:noProof/>
        </w:rPr>
        <w:noBreakHyphen/>
        <w:t>5</w:t>
      </w:r>
      <w:r w:rsidR="00B54B11" w:rsidRPr="00770477">
        <w:rPr>
          <w:rFonts w:cs="Times New Roman"/>
        </w:rPr>
        <w:fldChar w:fldCharType="end"/>
      </w:r>
      <w:r w:rsidR="00B54B11" w:rsidRPr="00770477">
        <w:rPr>
          <w:rFonts w:cs="Times New Roman"/>
        </w:rPr>
        <w:t xml:space="preserve"> </w:t>
      </w:r>
      <w:r w:rsidR="003E43E3" w:rsidRPr="00770477">
        <w:rPr>
          <w:rFonts w:cs="Times New Roman"/>
        </w:rPr>
        <w:t xml:space="preserve">below and the normalized </w:t>
      </w:r>
      <w:r w:rsidR="005F0F3F" w:rsidRPr="00770477">
        <w:rPr>
          <w:rFonts w:cs="Times New Roman"/>
        </w:rPr>
        <w:t xml:space="preserve">% elemental composition is provided in </w:t>
      </w:r>
      <w:r w:rsidR="005F0F3F" w:rsidRPr="00770477">
        <w:rPr>
          <w:rFonts w:cs="Times New Roman"/>
        </w:rPr>
        <w:fldChar w:fldCharType="begin"/>
      </w:r>
      <w:r w:rsidR="005F0F3F" w:rsidRPr="00770477">
        <w:rPr>
          <w:rFonts w:cs="Times New Roman"/>
        </w:rPr>
        <w:instrText xml:space="preserve"> REF _Ref121166695 \h </w:instrText>
      </w:r>
      <w:r w:rsidR="00770477">
        <w:rPr>
          <w:rFonts w:cs="Times New Roman"/>
        </w:rPr>
        <w:instrText xml:space="preserve"> \* MERGEFORMAT </w:instrText>
      </w:r>
      <w:r w:rsidR="005F0F3F" w:rsidRPr="00770477">
        <w:rPr>
          <w:rFonts w:cs="Times New Roman"/>
        </w:rPr>
      </w:r>
      <w:r w:rsidR="005F0F3F" w:rsidRPr="00770477">
        <w:rPr>
          <w:rFonts w:cs="Times New Roman"/>
        </w:rPr>
        <w:fldChar w:fldCharType="separate"/>
      </w:r>
      <w:r w:rsidR="00061096" w:rsidRPr="00770477">
        <w:rPr>
          <w:rFonts w:cs="Times New Roman"/>
        </w:rPr>
        <w:t xml:space="preserve">Table </w:t>
      </w:r>
      <w:r w:rsidR="00061096">
        <w:rPr>
          <w:rFonts w:cs="Times New Roman"/>
          <w:noProof/>
        </w:rPr>
        <w:t>2</w:t>
      </w:r>
      <w:r w:rsidR="00061096">
        <w:rPr>
          <w:rFonts w:cs="Times New Roman"/>
          <w:noProof/>
        </w:rPr>
        <w:noBreakHyphen/>
        <w:t>3</w:t>
      </w:r>
      <w:r w:rsidR="005F0F3F" w:rsidRPr="00770477">
        <w:rPr>
          <w:rFonts w:cs="Times New Roman"/>
        </w:rPr>
        <w:fldChar w:fldCharType="end"/>
      </w:r>
      <w:r w:rsidR="005F0F3F" w:rsidRPr="00770477">
        <w:rPr>
          <w:rFonts w:cs="Times New Roman"/>
        </w:rPr>
        <w:t xml:space="preserve"> </w:t>
      </w:r>
      <w:r w:rsidR="008B43B7" w:rsidRPr="00770477">
        <w:rPr>
          <w:rFonts w:cs="Times New Roman"/>
        </w:rPr>
        <w:t xml:space="preserve">above. </w:t>
      </w:r>
      <w:r w:rsidR="00C95468" w:rsidRPr="00770477">
        <w:rPr>
          <w:rFonts w:cs="Times New Roman"/>
        </w:rPr>
        <w:br w:type="page"/>
      </w:r>
    </w:p>
    <w:p w14:paraId="1E594285" w14:textId="7E2095DD" w:rsidR="00C95468" w:rsidRPr="00770477" w:rsidRDefault="00C95468" w:rsidP="00C95468">
      <w:pPr>
        <w:pStyle w:val="Caption"/>
        <w:keepNext/>
        <w:spacing w:line="240" w:lineRule="auto"/>
        <w:rPr>
          <w:rFonts w:cs="Times New Roman"/>
        </w:rPr>
      </w:pPr>
      <w:bookmarkStart w:id="44" w:name="_Ref121414333"/>
      <w:bookmarkStart w:id="45" w:name="_Toc121495935"/>
      <w:r w:rsidRPr="00770477">
        <w:rPr>
          <w:rFonts w:cs="Times New Roman"/>
        </w:rPr>
        <w:lastRenderedPageBreak/>
        <w:t xml:space="preserve">Table </w:t>
      </w:r>
      <w:r w:rsidR="00B26DDF">
        <w:rPr>
          <w:rFonts w:cs="Times New Roman"/>
        </w:rPr>
        <w:fldChar w:fldCharType="begin"/>
      </w:r>
      <w:r w:rsidR="00B26DDF">
        <w:rPr>
          <w:rFonts w:cs="Times New Roman"/>
        </w:rPr>
        <w:instrText xml:space="preserve"> STYLEREF 1 \s </w:instrText>
      </w:r>
      <w:r w:rsidR="00B26DDF">
        <w:rPr>
          <w:rFonts w:cs="Times New Roman"/>
        </w:rPr>
        <w:fldChar w:fldCharType="separate"/>
      </w:r>
      <w:r w:rsidR="00061096">
        <w:rPr>
          <w:rFonts w:cs="Times New Roman"/>
          <w:noProof/>
        </w:rPr>
        <w:t>2</w:t>
      </w:r>
      <w:r w:rsidR="00B26DDF">
        <w:rPr>
          <w:rFonts w:cs="Times New Roman"/>
        </w:rPr>
        <w:fldChar w:fldCharType="end"/>
      </w:r>
      <w:r w:rsidR="00B26DDF">
        <w:rPr>
          <w:rFonts w:cs="Times New Roman"/>
        </w:rPr>
        <w:noBreakHyphen/>
      </w:r>
      <w:r w:rsidR="00B26DDF">
        <w:rPr>
          <w:rFonts w:cs="Times New Roman"/>
        </w:rPr>
        <w:fldChar w:fldCharType="begin"/>
      </w:r>
      <w:r w:rsidR="00B26DDF">
        <w:rPr>
          <w:rFonts w:cs="Times New Roman"/>
        </w:rPr>
        <w:instrText xml:space="preserve"> SEQ Table \* ARABIC \s 1 </w:instrText>
      </w:r>
      <w:r w:rsidR="00B26DDF">
        <w:rPr>
          <w:rFonts w:cs="Times New Roman"/>
        </w:rPr>
        <w:fldChar w:fldCharType="separate"/>
      </w:r>
      <w:r w:rsidR="00061096">
        <w:rPr>
          <w:rFonts w:cs="Times New Roman"/>
          <w:noProof/>
        </w:rPr>
        <w:t>5</w:t>
      </w:r>
      <w:r w:rsidR="00B26DDF">
        <w:rPr>
          <w:rFonts w:cs="Times New Roman"/>
        </w:rPr>
        <w:fldChar w:fldCharType="end"/>
      </w:r>
      <w:bookmarkEnd w:id="44"/>
      <w:r w:rsidRPr="00770477">
        <w:rPr>
          <w:rFonts w:cs="Times New Roman"/>
        </w:rPr>
        <w:t xml:space="preserve"> Elemental composition of the steel slag used in this study </w:t>
      </w:r>
      <w:r w:rsidRPr="00770477">
        <w:rPr>
          <w:rFonts w:cs="Times New Roman"/>
        </w:rPr>
        <w:fldChar w:fldCharType="begin"/>
      </w:r>
      <w:r w:rsidR="002074AD">
        <w:rPr>
          <w:rFonts w:cs="Times New Roman"/>
        </w:rPr>
        <w:instrText xml:space="preserve"> ADDIN ZOTERO_ITEM CSL_CITATION {"citationID":"a9r7g9ru4b","properties":{"formattedCitation":"(Bowen, 2021)","plainCitation":"(Bowen, 2021)","noteIndex":0},"citationItems":[{"id":1200,"uris":["http://zotero.org/users/8423188/items/GB9PF6I8"],"itemData":{"id":1200,"type":"report","event-place":"Sayreville, NJ","genre":"Analytical Report","number":"180-118695-1","publisher":"Eurofins","publisher-place":"Sayreville, NJ","title":"Steel Slag TCLP","author":[{"family":"Bowen","given":"Debra"}],"issued":{"date-parts":[["2021",4,13]]}}}],"schema":"https://github.com/citation-style-language/schema/raw/master/csl-citation.json"} </w:instrText>
      </w:r>
      <w:r w:rsidRPr="00770477">
        <w:rPr>
          <w:rFonts w:cs="Times New Roman"/>
        </w:rPr>
        <w:fldChar w:fldCharType="separate"/>
      </w:r>
      <w:r w:rsidR="002074AD" w:rsidRPr="002074AD">
        <w:rPr>
          <w:rFonts w:cs="Times New Roman"/>
          <w:color w:val="808080"/>
        </w:rPr>
        <w:t>(Bowen, 2021)</w:t>
      </w:r>
      <w:r w:rsidRPr="00770477">
        <w:rPr>
          <w:rFonts w:cs="Times New Roman"/>
        </w:rPr>
        <w:fldChar w:fldCharType="end"/>
      </w:r>
      <w:r w:rsidRPr="00770477">
        <w:rPr>
          <w:rFonts w:cs="Times New Roman"/>
        </w:rPr>
        <w:t>. Elements measured at levels below the detection limits of the instrument are reported as BDL.</w:t>
      </w:r>
      <w:bookmarkEnd w:id="45"/>
    </w:p>
    <w:tbl>
      <w:tblPr>
        <w:tblStyle w:val="PlainTable5"/>
        <w:tblW w:w="0" w:type="auto"/>
        <w:tblLook w:val="04A0" w:firstRow="1" w:lastRow="0" w:firstColumn="1" w:lastColumn="0" w:noHBand="0" w:noVBand="1"/>
      </w:tblPr>
      <w:tblGrid>
        <w:gridCol w:w="1800"/>
        <w:gridCol w:w="2790"/>
      </w:tblGrid>
      <w:tr w:rsidR="008B43B7" w:rsidRPr="00770477" w14:paraId="6A1300DF" w14:textId="77777777" w:rsidTr="001C5B3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00" w:type="dxa"/>
          </w:tcPr>
          <w:p w14:paraId="1174AAF1" w14:textId="53658476" w:rsidR="008B43B7" w:rsidRPr="00770477" w:rsidRDefault="008B43B7" w:rsidP="00713673">
            <w:pPr>
              <w:spacing w:line="240" w:lineRule="auto"/>
              <w:rPr>
                <w:rFonts w:cs="Times New Roman"/>
              </w:rPr>
            </w:pPr>
            <w:r w:rsidRPr="00770477">
              <w:rPr>
                <w:rFonts w:cs="Times New Roman"/>
              </w:rPr>
              <w:t>Element</w:t>
            </w:r>
          </w:p>
        </w:tc>
        <w:tc>
          <w:tcPr>
            <w:tcW w:w="2790" w:type="dxa"/>
          </w:tcPr>
          <w:p w14:paraId="43CEA815" w14:textId="2DC16202" w:rsidR="008B43B7" w:rsidRPr="00770477" w:rsidRDefault="00CD37B7" w:rsidP="001C5B3F">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70477">
              <w:rPr>
                <w:rFonts w:cs="Times New Roman"/>
              </w:rPr>
              <w:t>Composition (mg</w:t>
            </w:r>
            <w:r w:rsidR="005A12E2">
              <w:rPr>
                <w:rFonts w:cs="Times New Roman"/>
              </w:rPr>
              <w:t xml:space="preserve"> </w:t>
            </w:r>
            <w:proofErr w:type="gramStart"/>
            <w:r w:rsidR="00C777B5">
              <w:rPr>
                <w:rFonts w:cs="Times New Roman"/>
              </w:rPr>
              <w:t>k</w:t>
            </w:r>
            <w:r w:rsidRPr="00770477">
              <w:rPr>
                <w:rFonts w:cs="Times New Roman"/>
              </w:rPr>
              <w:t>g</w:t>
            </w:r>
            <w:r w:rsidR="005A12E2">
              <w:rPr>
                <w:rFonts w:cs="Times New Roman"/>
                <w:vertAlign w:val="superscript"/>
              </w:rPr>
              <w:t>-1</w:t>
            </w:r>
            <w:proofErr w:type="gramEnd"/>
            <w:r w:rsidRPr="00770477">
              <w:rPr>
                <w:rFonts w:cs="Times New Roman"/>
              </w:rPr>
              <w:t>)</w:t>
            </w:r>
          </w:p>
        </w:tc>
      </w:tr>
      <w:tr w:rsidR="008B43B7" w:rsidRPr="00770477" w14:paraId="6C0E8F2C" w14:textId="77777777" w:rsidTr="001C5B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761563A5" w14:textId="7C5E2842" w:rsidR="008B43B7" w:rsidRPr="00770477" w:rsidRDefault="00713673" w:rsidP="00713673">
            <w:pPr>
              <w:spacing w:line="240" w:lineRule="auto"/>
              <w:rPr>
                <w:rFonts w:cs="Times New Roman"/>
              </w:rPr>
            </w:pPr>
            <w:r w:rsidRPr="00770477">
              <w:rPr>
                <w:rFonts w:cs="Times New Roman"/>
              </w:rPr>
              <w:t>Al</w:t>
            </w:r>
          </w:p>
        </w:tc>
        <w:tc>
          <w:tcPr>
            <w:tcW w:w="2790" w:type="dxa"/>
          </w:tcPr>
          <w:p w14:paraId="2D9C9BB7" w14:textId="2D85E472" w:rsidR="008B43B7" w:rsidRPr="00770477" w:rsidRDefault="00713673" w:rsidP="001C5B3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10000</w:t>
            </w:r>
          </w:p>
        </w:tc>
      </w:tr>
      <w:tr w:rsidR="008B43B7" w:rsidRPr="00770477" w14:paraId="33428593" w14:textId="77777777" w:rsidTr="001C5B3F">
        <w:tc>
          <w:tcPr>
            <w:cnfStyle w:val="001000000000" w:firstRow="0" w:lastRow="0" w:firstColumn="1" w:lastColumn="0" w:oddVBand="0" w:evenVBand="0" w:oddHBand="0" w:evenHBand="0" w:firstRowFirstColumn="0" w:firstRowLastColumn="0" w:lastRowFirstColumn="0" w:lastRowLastColumn="0"/>
            <w:tcW w:w="1800" w:type="dxa"/>
          </w:tcPr>
          <w:p w14:paraId="05978712" w14:textId="15AB96EA" w:rsidR="008B43B7" w:rsidRPr="00770477" w:rsidRDefault="00713673" w:rsidP="00713673">
            <w:pPr>
              <w:spacing w:line="240" w:lineRule="auto"/>
              <w:rPr>
                <w:rFonts w:cs="Times New Roman"/>
              </w:rPr>
            </w:pPr>
            <w:proofErr w:type="spellStart"/>
            <w:r w:rsidRPr="00770477">
              <w:rPr>
                <w:rFonts w:cs="Times New Roman"/>
              </w:rPr>
              <w:t>Ar</w:t>
            </w:r>
            <w:proofErr w:type="spellEnd"/>
          </w:p>
        </w:tc>
        <w:tc>
          <w:tcPr>
            <w:tcW w:w="2790" w:type="dxa"/>
          </w:tcPr>
          <w:p w14:paraId="21256939" w14:textId="6C152F5B" w:rsidR="008B43B7" w:rsidRPr="00770477" w:rsidRDefault="00713673" w:rsidP="001C5B3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0.71</w:t>
            </w:r>
          </w:p>
        </w:tc>
      </w:tr>
      <w:tr w:rsidR="008B43B7" w:rsidRPr="00770477" w14:paraId="1186B097" w14:textId="77777777" w:rsidTr="001C5B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1A0B3863" w14:textId="784845B9" w:rsidR="008B43B7" w:rsidRPr="00770477" w:rsidRDefault="00713673" w:rsidP="00713673">
            <w:pPr>
              <w:spacing w:line="240" w:lineRule="auto"/>
              <w:rPr>
                <w:rFonts w:cs="Times New Roman"/>
              </w:rPr>
            </w:pPr>
            <w:r w:rsidRPr="00770477">
              <w:rPr>
                <w:rFonts w:cs="Times New Roman"/>
              </w:rPr>
              <w:t>Ba</w:t>
            </w:r>
          </w:p>
        </w:tc>
        <w:tc>
          <w:tcPr>
            <w:tcW w:w="2790" w:type="dxa"/>
          </w:tcPr>
          <w:p w14:paraId="3B7EFB97" w14:textId="0984A965" w:rsidR="008B43B7" w:rsidRPr="00770477" w:rsidRDefault="00713673" w:rsidP="001C5B3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320</w:t>
            </w:r>
          </w:p>
        </w:tc>
      </w:tr>
      <w:tr w:rsidR="008B43B7" w:rsidRPr="00770477" w14:paraId="47846ECE" w14:textId="77777777" w:rsidTr="001C5B3F">
        <w:tc>
          <w:tcPr>
            <w:cnfStyle w:val="001000000000" w:firstRow="0" w:lastRow="0" w:firstColumn="1" w:lastColumn="0" w:oddVBand="0" w:evenVBand="0" w:oddHBand="0" w:evenHBand="0" w:firstRowFirstColumn="0" w:firstRowLastColumn="0" w:lastRowFirstColumn="0" w:lastRowLastColumn="0"/>
            <w:tcW w:w="1800" w:type="dxa"/>
          </w:tcPr>
          <w:p w14:paraId="7731576F" w14:textId="163AF9CC" w:rsidR="008B43B7" w:rsidRPr="00770477" w:rsidRDefault="00713673" w:rsidP="00713673">
            <w:pPr>
              <w:spacing w:line="240" w:lineRule="auto"/>
              <w:rPr>
                <w:rFonts w:cs="Times New Roman"/>
              </w:rPr>
            </w:pPr>
            <w:r w:rsidRPr="00770477">
              <w:rPr>
                <w:rFonts w:cs="Times New Roman"/>
              </w:rPr>
              <w:t>Be</w:t>
            </w:r>
          </w:p>
        </w:tc>
        <w:tc>
          <w:tcPr>
            <w:tcW w:w="2790" w:type="dxa"/>
          </w:tcPr>
          <w:p w14:paraId="3AF44193" w14:textId="00C1E6FC" w:rsidR="008B43B7" w:rsidRPr="00770477" w:rsidRDefault="00713673" w:rsidP="001C5B3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0.50</w:t>
            </w:r>
          </w:p>
        </w:tc>
      </w:tr>
      <w:tr w:rsidR="008B43B7" w:rsidRPr="00770477" w14:paraId="0C15990B" w14:textId="77777777" w:rsidTr="001C5B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3E9BBCD6" w14:textId="29C70A6B" w:rsidR="008B43B7" w:rsidRPr="00770477" w:rsidRDefault="00713673" w:rsidP="00713673">
            <w:pPr>
              <w:spacing w:line="240" w:lineRule="auto"/>
              <w:rPr>
                <w:rFonts w:cs="Times New Roman"/>
              </w:rPr>
            </w:pPr>
            <w:r w:rsidRPr="00770477">
              <w:rPr>
                <w:rFonts w:cs="Times New Roman"/>
              </w:rPr>
              <w:t>B</w:t>
            </w:r>
          </w:p>
        </w:tc>
        <w:tc>
          <w:tcPr>
            <w:tcW w:w="2790" w:type="dxa"/>
          </w:tcPr>
          <w:p w14:paraId="77A83C13" w14:textId="7314C036" w:rsidR="008B43B7" w:rsidRPr="00770477" w:rsidRDefault="00713673" w:rsidP="001C5B3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58</w:t>
            </w:r>
          </w:p>
        </w:tc>
      </w:tr>
      <w:tr w:rsidR="008B43B7" w:rsidRPr="00770477" w14:paraId="1E65F044" w14:textId="77777777" w:rsidTr="001C5B3F">
        <w:tc>
          <w:tcPr>
            <w:cnfStyle w:val="001000000000" w:firstRow="0" w:lastRow="0" w:firstColumn="1" w:lastColumn="0" w:oddVBand="0" w:evenVBand="0" w:oddHBand="0" w:evenHBand="0" w:firstRowFirstColumn="0" w:firstRowLastColumn="0" w:lastRowFirstColumn="0" w:lastRowLastColumn="0"/>
            <w:tcW w:w="1800" w:type="dxa"/>
          </w:tcPr>
          <w:p w14:paraId="339D0374" w14:textId="7F0B5350" w:rsidR="008B43B7" w:rsidRPr="00770477" w:rsidRDefault="00713673" w:rsidP="00713673">
            <w:pPr>
              <w:spacing w:line="240" w:lineRule="auto"/>
              <w:rPr>
                <w:rFonts w:cs="Times New Roman"/>
              </w:rPr>
            </w:pPr>
            <w:r w:rsidRPr="00770477">
              <w:rPr>
                <w:rFonts w:cs="Times New Roman"/>
              </w:rPr>
              <w:t>Cd</w:t>
            </w:r>
          </w:p>
        </w:tc>
        <w:tc>
          <w:tcPr>
            <w:tcW w:w="2790" w:type="dxa"/>
          </w:tcPr>
          <w:p w14:paraId="299A456B" w14:textId="2223E706" w:rsidR="008B43B7" w:rsidRPr="00770477" w:rsidRDefault="00713673" w:rsidP="001C5B3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BDL</w:t>
            </w:r>
          </w:p>
        </w:tc>
      </w:tr>
      <w:tr w:rsidR="008B43B7" w:rsidRPr="00770477" w14:paraId="63DCC4D3" w14:textId="77777777" w:rsidTr="001C5B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47BF24BD" w14:textId="1E7EFC13" w:rsidR="008B43B7" w:rsidRPr="00770477" w:rsidRDefault="00713673" w:rsidP="00713673">
            <w:pPr>
              <w:spacing w:line="240" w:lineRule="auto"/>
              <w:rPr>
                <w:rFonts w:cs="Times New Roman"/>
              </w:rPr>
            </w:pPr>
            <w:r w:rsidRPr="00770477">
              <w:rPr>
                <w:rFonts w:cs="Times New Roman"/>
              </w:rPr>
              <w:t>Cu</w:t>
            </w:r>
          </w:p>
        </w:tc>
        <w:tc>
          <w:tcPr>
            <w:tcW w:w="2790" w:type="dxa"/>
          </w:tcPr>
          <w:p w14:paraId="0AF13DCE" w14:textId="15B79780" w:rsidR="008B43B7" w:rsidRPr="00770477" w:rsidRDefault="00713673" w:rsidP="001C5B3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100</w:t>
            </w:r>
          </w:p>
        </w:tc>
      </w:tr>
      <w:tr w:rsidR="00713673" w:rsidRPr="00770477" w14:paraId="67A16FB8" w14:textId="77777777" w:rsidTr="001C5B3F">
        <w:trPr>
          <w:trHeight w:val="225"/>
        </w:trPr>
        <w:tc>
          <w:tcPr>
            <w:cnfStyle w:val="001000000000" w:firstRow="0" w:lastRow="0" w:firstColumn="1" w:lastColumn="0" w:oddVBand="0" w:evenVBand="0" w:oddHBand="0" w:evenHBand="0" w:firstRowFirstColumn="0" w:firstRowLastColumn="0" w:lastRowFirstColumn="0" w:lastRowLastColumn="0"/>
            <w:tcW w:w="1800" w:type="dxa"/>
          </w:tcPr>
          <w:p w14:paraId="0A0F8143" w14:textId="5A8540B9" w:rsidR="00713673" w:rsidRPr="00770477" w:rsidRDefault="00713673" w:rsidP="00713673">
            <w:pPr>
              <w:spacing w:line="240" w:lineRule="auto"/>
              <w:rPr>
                <w:rFonts w:cs="Times New Roman"/>
              </w:rPr>
            </w:pPr>
            <w:r w:rsidRPr="00770477">
              <w:rPr>
                <w:rFonts w:cs="Times New Roman"/>
              </w:rPr>
              <w:t>Fe</w:t>
            </w:r>
          </w:p>
        </w:tc>
        <w:tc>
          <w:tcPr>
            <w:tcW w:w="2790" w:type="dxa"/>
          </w:tcPr>
          <w:p w14:paraId="0FDE8BAF" w14:textId="1B0D6C70" w:rsidR="00713673" w:rsidRPr="00770477" w:rsidRDefault="00713673" w:rsidP="001C5B3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100000</w:t>
            </w:r>
          </w:p>
        </w:tc>
      </w:tr>
      <w:tr w:rsidR="00713673" w:rsidRPr="00770477" w14:paraId="42D69078" w14:textId="77777777" w:rsidTr="001C5B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35978286" w14:textId="6EE4D612" w:rsidR="00713673" w:rsidRPr="00770477" w:rsidRDefault="00A060CA" w:rsidP="00713673">
            <w:pPr>
              <w:spacing w:line="240" w:lineRule="auto"/>
              <w:rPr>
                <w:rFonts w:cs="Times New Roman"/>
              </w:rPr>
            </w:pPr>
            <w:r w:rsidRPr="00770477">
              <w:rPr>
                <w:rFonts w:cs="Times New Roman"/>
              </w:rPr>
              <w:t>Ag</w:t>
            </w:r>
          </w:p>
        </w:tc>
        <w:tc>
          <w:tcPr>
            <w:tcW w:w="2790" w:type="dxa"/>
          </w:tcPr>
          <w:p w14:paraId="10771112" w14:textId="1648B98E" w:rsidR="00713673" w:rsidRPr="00770477" w:rsidRDefault="00A060CA" w:rsidP="001C5B3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0.036</w:t>
            </w:r>
          </w:p>
        </w:tc>
      </w:tr>
      <w:tr w:rsidR="00A060CA" w:rsidRPr="00770477" w14:paraId="0079FC10" w14:textId="77777777" w:rsidTr="001C5B3F">
        <w:tc>
          <w:tcPr>
            <w:cnfStyle w:val="001000000000" w:firstRow="0" w:lastRow="0" w:firstColumn="1" w:lastColumn="0" w:oddVBand="0" w:evenVBand="0" w:oddHBand="0" w:evenHBand="0" w:firstRowFirstColumn="0" w:firstRowLastColumn="0" w:lastRowFirstColumn="0" w:lastRowLastColumn="0"/>
            <w:tcW w:w="1800" w:type="dxa"/>
          </w:tcPr>
          <w:p w14:paraId="4093ACB7" w14:textId="62C790E8" w:rsidR="00A060CA" w:rsidRPr="00770477" w:rsidRDefault="00A060CA" w:rsidP="00713673">
            <w:pPr>
              <w:spacing w:line="240" w:lineRule="auto"/>
              <w:rPr>
                <w:rFonts w:cs="Times New Roman"/>
              </w:rPr>
            </w:pPr>
            <w:r w:rsidRPr="00770477">
              <w:rPr>
                <w:rFonts w:cs="Times New Roman"/>
              </w:rPr>
              <w:t>K</w:t>
            </w:r>
          </w:p>
        </w:tc>
        <w:tc>
          <w:tcPr>
            <w:tcW w:w="2790" w:type="dxa"/>
          </w:tcPr>
          <w:p w14:paraId="7C55BE7F" w14:textId="63027F2D" w:rsidR="00A060CA" w:rsidRPr="00770477" w:rsidRDefault="00A060CA" w:rsidP="001C5B3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84</w:t>
            </w:r>
          </w:p>
        </w:tc>
      </w:tr>
      <w:tr w:rsidR="00A060CA" w:rsidRPr="00770477" w14:paraId="13C8D415" w14:textId="77777777" w:rsidTr="001C5B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1BD32AFD" w14:textId="3B37EBE3" w:rsidR="00A060CA" w:rsidRPr="00770477" w:rsidRDefault="00A060CA" w:rsidP="00713673">
            <w:pPr>
              <w:spacing w:line="240" w:lineRule="auto"/>
              <w:rPr>
                <w:rFonts w:cs="Times New Roman"/>
              </w:rPr>
            </w:pPr>
            <w:r w:rsidRPr="00770477">
              <w:rPr>
                <w:rFonts w:cs="Times New Roman"/>
              </w:rPr>
              <w:t>Magnesium</w:t>
            </w:r>
          </w:p>
        </w:tc>
        <w:tc>
          <w:tcPr>
            <w:tcW w:w="2790" w:type="dxa"/>
          </w:tcPr>
          <w:p w14:paraId="0F24D9EB" w14:textId="69D993A9" w:rsidR="00A060CA" w:rsidRPr="00770477" w:rsidRDefault="00A060CA" w:rsidP="001C5B3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29000</w:t>
            </w:r>
          </w:p>
        </w:tc>
      </w:tr>
      <w:tr w:rsidR="00A060CA" w:rsidRPr="00770477" w14:paraId="690D4C4B" w14:textId="77777777" w:rsidTr="001C5B3F">
        <w:tc>
          <w:tcPr>
            <w:cnfStyle w:val="001000000000" w:firstRow="0" w:lastRow="0" w:firstColumn="1" w:lastColumn="0" w:oddVBand="0" w:evenVBand="0" w:oddHBand="0" w:evenHBand="0" w:firstRowFirstColumn="0" w:firstRowLastColumn="0" w:lastRowFirstColumn="0" w:lastRowLastColumn="0"/>
            <w:tcW w:w="1800" w:type="dxa"/>
          </w:tcPr>
          <w:p w14:paraId="4533CD5B" w14:textId="0ADD7598" w:rsidR="00A060CA" w:rsidRPr="00770477" w:rsidRDefault="00A060CA" w:rsidP="00713673">
            <w:pPr>
              <w:spacing w:line="240" w:lineRule="auto"/>
              <w:rPr>
                <w:rFonts w:cs="Times New Roman"/>
              </w:rPr>
            </w:pPr>
            <w:r w:rsidRPr="00770477">
              <w:rPr>
                <w:rFonts w:cs="Times New Roman"/>
              </w:rPr>
              <w:t>Mn</w:t>
            </w:r>
          </w:p>
        </w:tc>
        <w:tc>
          <w:tcPr>
            <w:tcW w:w="2790" w:type="dxa"/>
          </w:tcPr>
          <w:p w14:paraId="6F59F4B2" w14:textId="24699D9E" w:rsidR="00A060CA" w:rsidRPr="00770477" w:rsidRDefault="00A060CA" w:rsidP="001C5B3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24000</w:t>
            </w:r>
          </w:p>
        </w:tc>
      </w:tr>
      <w:tr w:rsidR="00A060CA" w:rsidRPr="00770477" w14:paraId="72FB0F4F" w14:textId="77777777" w:rsidTr="001C5B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3D279378" w14:textId="75EB8C12" w:rsidR="00A060CA" w:rsidRPr="00770477" w:rsidRDefault="00A060CA" w:rsidP="00713673">
            <w:pPr>
              <w:spacing w:line="240" w:lineRule="auto"/>
              <w:rPr>
                <w:rFonts w:cs="Times New Roman"/>
              </w:rPr>
            </w:pPr>
            <w:r w:rsidRPr="00770477">
              <w:rPr>
                <w:rFonts w:cs="Times New Roman"/>
              </w:rPr>
              <w:t>Mo</w:t>
            </w:r>
          </w:p>
        </w:tc>
        <w:tc>
          <w:tcPr>
            <w:tcW w:w="2790" w:type="dxa"/>
          </w:tcPr>
          <w:p w14:paraId="3251461A" w14:textId="3578F6A1" w:rsidR="00A060CA" w:rsidRPr="00770477" w:rsidRDefault="00A060CA" w:rsidP="001C5B3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17</w:t>
            </w:r>
          </w:p>
        </w:tc>
      </w:tr>
      <w:tr w:rsidR="00A060CA" w:rsidRPr="00770477" w14:paraId="2D4C94B5" w14:textId="77777777" w:rsidTr="001C5B3F">
        <w:tc>
          <w:tcPr>
            <w:cnfStyle w:val="001000000000" w:firstRow="0" w:lastRow="0" w:firstColumn="1" w:lastColumn="0" w:oddVBand="0" w:evenVBand="0" w:oddHBand="0" w:evenHBand="0" w:firstRowFirstColumn="0" w:firstRowLastColumn="0" w:lastRowFirstColumn="0" w:lastRowLastColumn="0"/>
            <w:tcW w:w="1800" w:type="dxa"/>
          </w:tcPr>
          <w:p w14:paraId="6FEB6072" w14:textId="3D880168" w:rsidR="00A060CA" w:rsidRPr="00770477" w:rsidRDefault="00EC4A39" w:rsidP="00713673">
            <w:pPr>
              <w:spacing w:line="240" w:lineRule="auto"/>
              <w:rPr>
                <w:rFonts w:cs="Times New Roman"/>
              </w:rPr>
            </w:pPr>
            <w:r w:rsidRPr="00770477">
              <w:rPr>
                <w:rFonts w:cs="Times New Roman"/>
              </w:rPr>
              <w:t>Na</w:t>
            </w:r>
          </w:p>
        </w:tc>
        <w:tc>
          <w:tcPr>
            <w:tcW w:w="2790" w:type="dxa"/>
          </w:tcPr>
          <w:p w14:paraId="33DFD71F" w14:textId="4DD2B955" w:rsidR="00A060CA" w:rsidRPr="00770477" w:rsidRDefault="00EC4A39" w:rsidP="001C5B3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160</w:t>
            </w:r>
          </w:p>
        </w:tc>
      </w:tr>
      <w:tr w:rsidR="00EC4A39" w:rsidRPr="00770477" w14:paraId="5B4F1AE1" w14:textId="77777777" w:rsidTr="001C5B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211A6E6D" w14:textId="612EDE74" w:rsidR="00EC4A39" w:rsidRPr="00770477" w:rsidRDefault="00EC4A39" w:rsidP="00713673">
            <w:pPr>
              <w:spacing w:line="240" w:lineRule="auto"/>
              <w:rPr>
                <w:rFonts w:cs="Times New Roman"/>
              </w:rPr>
            </w:pPr>
            <w:r w:rsidRPr="00770477">
              <w:rPr>
                <w:rFonts w:cs="Times New Roman"/>
              </w:rPr>
              <w:t>Ni</w:t>
            </w:r>
          </w:p>
        </w:tc>
        <w:tc>
          <w:tcPr>
            <w:tcW w:w="2790" w:type="dxa"/>
          </w:tcPr>
          <w:p w14:paraId="0E0B1C73" w14:textId="7F5C80EA" w:rsidR="00EC4A39" w:rsidRPr="00770477" w:rsidRDefault="00EC4A39" w:rsidP="001C5B3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14</w:t>
            </w:r>
          </w:p>
        </w:tc>
      </w:tr>
      <w:tr w:rsidR="00EC4A39" w:rsidRPr="00770477" w14:paraId="21798D3E" w14:textId="77777777" w:rsidTr="001C5B3F">
        <w:tc>
          <w:tcPr>
            <w:cnfStyle w:val="001000000000" w:firstRow="0" w:lastRow="0" w:firstColumn="1" w:lastColumn="0" w:oddVBand="0" w:evenVBand="0" w:oddHBand="0" w:evenHBand="0" w:firstRowFirstColumn="0" w:firstRowLastColumn="0" w:lastRowFirstColumn="0" w:lastRowLastColumn="0"/>
            <w:tcW w:w="1800" w:type="dxa"/>
          </w:tcPr>
          <w:p w14:paraId="530AF7FE" w14:textId="707FF310" w:rsidR="00EC4A39" w:rsidRPr="00770477" w:rsidRDefault="00EC4A39" w:rsidP="00713673">
            <w:pPr>
              <w:spacing w:line="240" w:lineRule="auto"/>
              <w:rPr>
                <w:rFonts w:cs="Times New Roman"/>
              </w:rPr>
            </w:pPr>
            <w:r w:rsidRPr="00770477">
              <w:rPr>
                <w:rFonts w:cs="Times New Roman"/>
              </w:rPr>
              <w:t>Pb</w:t>
            </w:r>
          </w:p>
        </w:tc>
        <w:tc>
          <w:tcPr>
            <w:tcW w:w="2790" w:type="dxa"/>
          </w:tcPr>
          <w:p w14:paraId="66D8AD34" w14:textId="0DF7A8B5" w:rsidR="00EC4A39" w:rsidRPr="00770477" w:rsidRDefault="00EC4A39" w:rsidP="001C5B3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1.1</w:t>
            </w:r>
          </w:p>
        </w:tc>
      </w:tr>
      <w:tr w:rsidR="00EC4A39" w:rsidRPr="00770477" w14:paraId="221EC2C3" w14:textId="77777777" w:rsidTr="001C5B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159696D4" w14:textId="5C2420FB" w:rsidR="00EC4A39" w:rsidRPr="00770477" w:rsidRDefault="00EC4A39" w:rsidP="00713673">
            <w:pPr>
              <w:spacing w:line="240" w:lineRule="auto"/>
              <w:rPr>
                <w:rFonts w:cs="Times New Roman"/>
              </w:rPr>
            </w:pPr>
            <w:r w:rsidRPr="00770477">
              <w:rPr>
                <w:rFonts w:cs="Times New Roman"/>
              </w:rPr>
              <w:t>Sb</w:t>
            </w:r>
          </w:p>
        </w:tc>
        <w:tc>
          <w:tcPr>
            <w:tcW w:w="2790" w:type="dxa"/>
          </w:tcPr>
          <w:p w14:paraId="4D25118A" w14:textId="0D7108E2" w:rsidR="00EC4A39" w:rsidRPr="00770477" w:rsidRDefault="00EC4A39" w:rsidP="001C5B3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0.18</w:t>
            </w:r>
          </w:p>
        </w:tc>
      </w:tr>
      <w:tr w:rsidR="00EC4A39" w:rsidRPr="00770477" w14:paraId="02B2C29C" w14:textId="77777777" w:rsidTr="001C5B3F">
        <w:tc>
          <w:tcPr>
            <w:cnfStyle w:val="001000000000" w:firstRow="0" w:lastRow="0" w:firstColumn="1" w:lastColumn="0" w:oddVBand="0" w:evenVBand="0" w:oddHBand="0" w:evenHBand="0" w:firstRowFirstColumn="0" w:firstRowLastColumn="0" w:lastRowFirstColumn="0" w:lastRowLastColumn="0"/>
            <w:tcW w:w="1800" w:type="dxa"/>
          </w:tcPr>
          <w:p w14:paraId="4AFE81CF" w14:textId="29FBDF7C" w:rsidR="00EC4A39" w:rsidRPr="00770477" w:rsidRDefault="00EC4A39" w:rsidP="00713673">
            <w:pPr>
              <w:spacing w:line="240" w:lineRule="auto"/>
              <w:rPr>
                <w:rFonts w:cs="Times New Roman"/>
              </w:rPr>
            </w:pPr>
            <w:r w:rsidRPr="00770477">
              <w:rPr>
                <w:rFonts w:cs="Times New Roman"/>
              </w:rPr>
              <w:t>Se</w:t>
            </w:r>
          </w:p>
        </w:tc>
        <w:tc>
          <w:tcPr>
            <w:tcW w:w="2790" w:type="dxa"/>
          </w:tcPr>
          <w:p w14:paraId="20C6B8F8" w14:textId="6C462CB3" w:rsidR="00EC4A39" w:rsidRPr="00770477" w:rsidRDefault="00EC4A39" w:rsidP="001C5B3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0.41</w:t>
            </w:r>
          </w:p>
        </w:tc>
      </w:tr>
      <w:tr w:rsidR="00EC4A39" w:rsidRPr="00770477" w14:paraId="0BF303E8" w14:textId="77777777" w:rsidTr="001C5B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148F270D" w14:textId="0F0AFAAB" w:rsidR="00EC4A39" w:rsidRPr="00770477" w:rsidRDefault="00EC4A39" w:rsidP="00713673">
            <w:pPr>
              <w:spacing w:line="240" w:lineRule="auto"/>
              <w:rPr>
                <w:rFonts w:cs="Times New Roman"/>
              </w:rPr>
            </w:pPr>
            <w:r w:rsidRPr="00770477">
              <w:rPr>
                <w:rFonts w:cs="Times New Roman"/>
              </w:rPr>
              <w:t>Th</w:t>
            </w:r>
          </w:p>
        </w:tc>
        <w:tc>
          <w:tcPr>
            <w:tcW w:w="2790" w:type="dxa"/>
          </w:tcPr>
          <w:p w14:paraId="52D9E355" w14:textId="6A2E8B9A" w:rsidR="00EC4A39" w:rsidRPr="00770477" w:rsidRDefault="00EC4A39" w:rsidP="001C5B3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BDL</w:t>
            </w:r>
          </w:p>
        </w:tc>
      </w:tr>
      <w:tr w:rsidR="00EC4A39" w:rsidRPr="00770477" w14:paraId="17530781" w14:textId="77777777" w:rsidTr="001C5B3F">
        <w:tc>
          <w:tcPr>
            <w:cnfStyle w:val="001000000000" w:firstRow="0" w:lastRow="0" w:firstColumn="1" w:lastColumn="0" w:oddVBand="0" w:evenVBand="0" w:oddHBand="0" w:evenHBand="0" w:firstRowFirstColumn="0" w:firstRowLastColumn="0" w:lastRowFirstColumn="0" w:lastRowLastColumn="0"/>
            <w:tcW w:w="1800" w:type="dxa"/>
          </w:tcPr>
          <w:p w14:paraId="1AE80DA1" w14:textId="0D567620" w:rsidR="00EC4A39" w:rsidRPr="00770477" w:rsidRDefault="00EC4A39" w:rsidP="00713673">
            <w:pPr>
              <w:spacing w:line="240" w:lineRule="auto"/>
              <w:rPr>
                <w:rFonts w:cs="Times New Roman"/>
              </w:rPr>
            </w:pPr>
            <w:proofErr w:type="spellStart"/>
            <w:r w:rsidRPr="00770477">
              <w:rPr>
                <w:rFonts w:cs="Times New Roman"/>
              </w:rPr>
              <w:t>Ti</w:t>
            </w:r>
            <w:proofErr w:type="spellEnd"/>
          </w:p>
        </w:tc>
        <w:tc>
          <w:tcPr>
            <w:tcW w:w="2790" w:type="dxa"/>
          </w:tcPr>
          <w:p w14:paraId="535FA53D" w14:textId="379DD1C1" w:rsidR="00EC4A39" w:rsidRPr="00770477" w:rsidRDefault="00EC4A39" w:rsidP="001C5B3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1100</w:t>
            </w:r>
          </w:p>
        </w:tc>
      </w:tr>
      <w:tr w:rsidR="00EC4A39" w:rsidRPr="00770477" w14:paraId="2448FD19" w14:textId="77777777" w:rsidTr="001C5B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22473723" w14:textId="6F415BB4" w:rsidR="00EC4A39" w:rsidRPr="00770477" w:rsidRDefault="00C95468" w:rsidP="00713673">
            <w:pPr>
              <w:spacing w:line="240" w:lineRule="auto"/>
              <w:rPr>
                <w:rFonts w:cs="Times New Roman"/>
              </w:rPr>
            </w:pPr>
            <w:r w:rsidRPr="00770477">
              <w:rPr>
                <w:rFonts w:cs="Times New Roman"/>
              </w:rPr>
              <w:t>V</w:t>
            </w:r>
          </w:p>
        </w:tc>
        <w:tc>
          <w:tcPr>
            <w:tcW w:w="2790" w:type="dxa"/>
          </w:tcPr>
          <w:p w14:paraId="211B02D9" w14:textId="7AE81B40" w:rsidR="00EC4A39" w:rsidRPr="00770477" w:rsidRDefault="00C95468" w:rsidP="001C5B3F">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320</w:t>
            </w:r>
          </w:p>
        </w:tc>
      </w:tr>
      <w:tr w:rsidR="00C95468" w:rsidRPr="00770477" w14:paraId="5B612FEC" w14:textId="77777777" w:rsidTr="001C5B3F">
        <w:tc>
          <w:tcPr>
            <w:cnfStyle w:val="001000000000" w:firstRow="0" w:lastRow="0" w:firstColumn="1" w:lastColumn="0" w:oddVBand="0" w:evenVBand="0" w:oddHBand="0" w:evenHBand="0" w:firstRowFirstColumn="0" w:firstRowLastColumn="0" w:lastRowFirstColumn="0" w:lastRowLastColumn="0"/>
            <w:tcW w:w="1800" w:type="dxa"/>
          </w:tcPr>
          <w:p w14:paraId="5B9BE149" w14:textId="34B1F0FD" w:rsidR="00C95468" w:rsidRPr="00770477" w:rsidRDefault="00C95468" w:rsidP="00713673">
            <w:pPr>
              <w:spacing w:line="240" w:lineRule="auto"/>
              <w:rPr>
                <w:rFonts w:cs="Times New Roman"/>
              </w:rPr>
            </w:pPr>
            <w:r w:rsidRPr="00770477">
              <w:rPr>
                <w:rFonts w:cs="Times New Roman"/>
              </w:rPr>
              <w:t>Zn</w:t>
            </w:r>
          </w:p>
        </w:tc>
        <w:tc>
          <w:tcPr>
            <w:tcW w:w="2790" w:type="dxa"/>
          </w:tcPr>
          <w:p w14:paraId="061E81AB" w14:textId="5132F849" w:rsidR="00C95468" w:rsidRPr="00770477" w:rsidRDefault="00C95468" w:rsidP="001C5B3F">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18</w:t>
            </w:r>
          </w:p>
        </w:tc>
      </w:tr>
    </w:tbl>
    <w:p w14:paraId="0B8A3EA4" w14:textId="77777777" w:rsidR="008B43B7" w:rsidRPr="00770477" w:rsidRDefault="008B43B7" w:rsidP="00ED17B1">
      <w:pPr>
        <w:ind w:firstLine="720"/>
        <w:rPr>
          <w:rFonts w:cs="Times New Roman"/>
        </w:rPr>
      </w:pPr>
    </w:p>
    <w:p w14:paraId="171D97E3" w14:textId="77777777" w:rsidR="00DA6602" w:rsidRPr="00770477" w:rsidRDefault="00DA6602" w:rsidP="00ED17B1">
      <w:pPr>
        <w:rPr>
          <w:rFonts w:cs="Times New Roman"/>
        </w:rPr>
      </w:pPr>
    </w:p>
    <w:p w14:paraId="5966864D" w14:textId="6FCC992F" w:rsidR="00A53FB5" w:rsidRPr="00770477" w:rsidRDefault="00A53FB5" w:rsidP="00A53FB5">
      <w:pPr>
        <w:pStyle w:val="Heading4"/>
        <w:rPr>
          <w:rFonts w:ascii="Times New Roman" w:hAnsi="Times New Roman" w:cs="Times New Roman"/>
        </w:rPr>
      </w:pPr>
      <w:bookmarkStart w:id="46" w:name="_Toc121495986"/>
      <w:r w:rsidRPr="00770477">
        <w:rPr>
          <w:rFonts w:ascii="Times New Roman" w:hAnsi="Times New Roman" w:cs="Times New Roman"/>
        </w:rPr>
        <w:t>Biochar</w:t>
      </w:r>
      <w:bookmarkEnd w:id="46"/>
    </w:p>
    <w:p w14:paraId="151B2BAA" w14:textId="4810C5CE" w:rsidR="009C03BD" w:rsidRPr="00770477" w:rsidRDefault="00A24826" w:rsidP="009B6B15">
      <w:pPr>
        <w:ind w:firstLine="720"/>
        <w:rPr>
          <w:rFonts w:cs="Times New Roman"/>
        </w:rPr>
      </w:pPr>
      <w:r w:rsidRPr="00770477">
        <w:rPr>
          <w:rFonts w:cs="Times New Roman"/>
        </w:rPr>
        <w:t>Biochar was sourced from Biochar Now (</w:t>
      </w:r>
      <w:hyperlink r:id="rId17" w:history="1">
        <w:r w:rsidRPr="00770477">
          <w:rPr>
            <w:rStyle w:val="Hyperlink"/>
            <w:rFonts w:cs="Times New Roman"/>
          </w:rPr>
          <w:t>www.biocharnow.com</w:t>
        </w:r>
      </w:hyperlink>
      <w:r w:rsidRPr="00770477">
        <w:rPr>
          <w:rFonts w:cs="Times New Roman"/>
        </w:rPr>
        <w:t xml:space="preserve">). The “chip” size was selected because it was rated to be between 1” (2.54 cm) and 0.118” (0.3 cm) and therefore fit within the range of media sizes targeted. </w:t>
      </w:r>
      <w:r w:rsidR="00AC4D79" w:rsidRPr="00770477">
        <w:rPr>
          <w:rFonts w:cs="Times New Roman"/>
        </w:rPr>
        <w:t xml:space="preserve">Biochar was sourced from pine trees that had been killed by invasive beetles. This wood was shredded then underwent pyrolysis at around 550˚C. Testing results </w:t>
      </w:r>
      <w:r w:rsidR="00374459" w:rsidRPr="00770477">
        <w:rPr>
          <w:rFonts w:cs="Times New Roman"/>
        </w:rPr>
        <w:t xml:space="preserve">are shown in </w:t>
      </w:r>
      <w:r w:rsidR="00B51536" w:rsidRPr="00770477">
        <w:rPr>
          <w:rFonts w:cs="Times New Roman"/>
        </w:rPr>
        <w:fldChar w:fldCharType="begin"/>
      </w:r>
      <w:r w:rsidR="00B51536" w:rsidRPr="00770477">
        <w:rPr>
          <w:rFonts w:cs="Times New Roman"/>
        </w:rPr>
        <w:instrText xml:space="preserve"> REF _Ref116936194 \h </w:instrText>
      </w:r>
      <w:r w:rsidR="00770477">
        <w:rPr>
          <w:rFonts w:cs="Times New Roman"/>
        </w:rPr>
        <w:instrText xml:space="preserve"> \* MERGEFORMAT </w:instrText>
      </w:r>
      <w:r w:rsidR="00B51536" w:rsidRPr="00770477">
        <w:rPr>
          <w:rFonts w:cs="Times New Roman"/>
        </w:rPr>
      </w:r>
      <w:r w:rsidR="00B51536" w:rsidRPr="00770477">
        <w:rPr>
          <w:rFonts w:cs="Times New Roman"/>
        </w:rPr>
        <w:fldChar w:fldCharType="separate"/>
      </w:r>
      <w:r w:rsidR="00061096" w:rsidRPr="00770477">
        <w:rPr>
          <w:rFonts w:cs="Times New Roman"/>
        </w:rPr>
        <w:t xml:space="preserve">Table </w:t>
      </w:r>
      <w:r w:rsidR="00061096">
        <w:rPr>
          <w:rFonts w:cs="Times New Roman"/>
          <w:noProof/>
        </w:rPr>
        <w:t>2</w:t>
      </w:r>
      <w:r w:rsidR="00061096">
        <w:rPr>
          <w:rFonts w:cs="Times New Roman"/>
          <w:noProof/>
        </w:rPr>
        <w:noBreakHyphen/>
        <w:t>6</w:t>
      </w:r>
      <w:r w:rsidR="00B51536" w:rsidRPr="00770477">
        <w:rPr>
          <w:rFonts w:cs="Times New Roman"/>
        </w:rPr>
        <w:fldChar w:fldCharType="end"/>
      </w:r>
      <w:r w:rsidR="00374459" w:rsidRPr="00770477">
        <w:rPr>
          <w:rFonts w:cs="Times New Roman"/>
        </w:rPr>
        <w:t xml:space="preserve"> below </w:t>
      </w:r>
      <w:r w:rsidR="00374459" w:rsidRPr="00770477">
        <w:rPr>
          <w:rFonts w:cs="Times New Roman"/>
        </w:rPr>
        <w:fldChar w:fldCharType="begin"/>
      </w:r>
      <w:r w:rsidR="002074AD">
        <w:rPr>
          <w:rFonts w:cs="Times New Roman"/>
        </w:rPr>
        <w:instrText xml:space="preserve"> ADDIN ZOTERO_ITEM CSL_CITATION {"citationID":"4VgqSAfC","properties":{"formattedCitation":"(J. Gaspard, personal communication, October 10, 2022)","plainCitation":"(J. Gaspard, personal communication, October 10, 2022)","noteIndex":0},"citationItems":[{"id":1000,"uris":["http://zotero.org/users/8423188/items/JHQPHLP7"],"itemData":{"id":1000,"type":"interview","medium":"Phone Call","title":"Personal Communications","author":[{"family":"Gaspard","given":"James"}],"issued":{"date-parts":[["2022",10,10]]}}}],"schema":"https://github.com/citation-style-language/schema/raw/master/csl-citation.json"} </w:instrText>
      </w:r>
      <w:r w:rsidR="00374459" w:rsidRPr="00770477">
        <w:rPr>
          <w:rFonts w:cs="Times New Roman"/>
        </w:rPr>
        <w:fldChar w:fldCharType="separate"/>
      </w:r>
      <w:r w:rsidR="00E11E17" w:rsidRPr="00770477">
        <w:rPr>
          <w:rFonts w:cs="Times New Roman"/>
        </w:rPr>
        <w:t>(J. Gaspard, personal communication, October 10, 2022)</w:t>
      </w:r>
      <w:r w:rsidR="00374459" w:rsidRPr="00770477">
        <w:rPr>
          <w:rFonts w:cs="Times New Roman"/>
        </w:rPr>
        <w:fldChar w:fldCharType="end"/>
      </w:r>
      <w:r w:rsidR="00374459" w:rsidRPr="00770477">
        <w:rPr>
          <w:rFonts w:cs="Times New Roman"/>
        </w:rPr>
        <w:t>.</w:t>
      </w:r>
      <w:r w:rsidR="00AC4D79" w:rsidRPr="00770477">
        <w:rPr>
          <w:rFonts w:cs="Times New Roman"/>
        </w:rPr>
        <w:t xml:space="preserve"> </w:t>
      </w:r>
      <w:r w:rsidR="009B6B15" w:rsidRPr="00770477">
        <w:rPr>
          <w:rFonts w:cs="Times New Roman"/>
        </w:rPr>
        <w:br w:type="page"/>
      </w:r>
    </w:p>
    <w:p w14:paraId="7B70F1AA" w14:textId="2357C147" w:rsidR="00374459" w:rsidRPr="00770477" w:rsidRDefault="00374459" w:rsidP="00374459">
      <w:pPr>
        <w:pStyle w:val="Caption"/>
        <w:keepNext/>
        <w:spacing w:line="240" w:lineRule="auto"/>
        <w:rPr>
          <w:rFonts w:cs="Times New Roman"/>
        </w:rPr>
      </w:pPr>
      <w:bookmarkStart w:id="47" w:name="_Ref116936194"/>
      <w:bookmarkStart w:id="48" w:name="_Toc121495936"/>
      <w:r w:rsidRPr="00770477">
        <w:rPr>
          <w:rFonts w:cs="Times New Roman"/>
        </w:rPr>
        <w:lastRenderedPageBreak/>
        <w:t xml:space="preserve">Table </w:t>
      </w:r>
      <w:r w:rsidR="00B26DDF">
        <w:rPr>
          <w:rFonts w:cs="Times New Roman"/>
        </w:rPr>
        <w:fldChar w:fldCharType="begin"/>
      </w:r>
      <w:r w:rsidR="00B26DDF">
        <w:rPr>
          <w:rFonts w:cs="Times New Roman"/>
        </w:rPr>
        <w:instrText xml:space="preserve"> STYLEREF 1 \s </w:instrText>
      </w:r>
      <w:r w:rsidR="00B26DDF">
        <w:rPr>
          <w:rFonts w:cs="Times New Roman"/>
        </w:rPr>
        <w:fldChar w:fldCharType="separate"/>
      </w:r>
      <w:r w:rsidR="00061096">
        <w:rPr>
          <w:rFonts w:cs="Times New Roman"/>
          <w:noProof/>
        </w:rPr>
        <w:t>2</w:t>
      </w:r>
      <w:r w:rsidR="00B26DDF">
        <w:rPr>
          <w:rFonts w:cs="Times New Roman"/>
        </w:rPr>
        <w:fldChar w:fldCharType="end"/>
      </w:r>
      <w:r w:rsidR="00B26DDF">
        <w:rPr>
          <w:rFonts w:cs="Times New Roman"/>
        </w:rPr>
        <w:noBreakHyphen/>
      </w:r>
      <w:r w:rsidR="00B26DDF">
        <w:rPr>
          <w:rFonts w:cs="Times New Roman"/>
        </w:rPr>
        <w:fldChar w:fldCharType="begin"/>
      </w:r>
      <w:r w:rsidR="00B26DDF">
        <w:rPr>
          <w:rFonts w:cs="Times New Roman"/>
        </w:rPr>
        <w:instrText xml:space="preserve"> SEQ Table \* ARABIC \s 1 </w:instrText>
      </w:r>
      <w:r w:rsidR="00B26DDF">
        <w:rPr>
          <w:rFonts w:cs="Times New Roman"/>
        </w:rPr>
        <w:fldChar w:fldCharType="separate"/>
      </w:r>
      <w:r w:rsidR="00061096">
        <w:rPr>
          <w:rFonts w:cs="Times New Roman"/>
          <w:noProof/>
        </w:rPr>
        <w:t>6</w:t>
      </w:r>
      <w:r w:rsidR="00B26DDF">
        <w:rPr>
          <w:rFonts w:cs="Times New Roman"/>
        </w:rPr>
        <w:fldChar w:fldCharType="end"/>
      </w:r>
      <w:bookmarkEnd w:id="47"/>
      <w:r w:rsidRPr="00770477">
        <w:rPr>
          <w:rFonts w:cs="Times New Roman"/>
        </w:rPr>
        <w:t xml:space="preserve"> </w:t>
      </w:r>
      <w:r w:rsidR="009B6B15" w:rsidRPr="00770477">
        <w:rPr>
          <w:rFonts w:cs="Times New Roman"/>
          <w:noProof/>
        </w:rPr>
        <w:t>Reported compositions of the biochar used in this study</w:t>
      </w:r>
      <w:r w:rsidRPr="00770477">
        <w:rPr>
          <w:rFonts w:cs="Times New Roman"/>
          <w:noProof/>
        </w:rPr>
        <w:t xml:space="preserve"> </w:t>
      </w:r>
      <w:r w:rsidRPr="00770477">
        <w:rPr>
          <w:rFonts w:cs="Times New Roman"/>
          <w:noProof/>
        </w:rPr>
        <w:fldChar w:fldCharType="begin"/>
      </w:r>
      <w:r w:rsidR="002074AD">
        <w:rPr>
          <w:rFonts w:cs="Times New Roman"/>
          <w:noProof/>
        </w:rPr>
        <w:instrText xml:space="preserve"> ADDIN ZOTERO_ITEM CSL_CITATION {"citationID":"HuExRhG9","properties":{"formattedCitation":"(J. Gaspard, personal communication, October 10, 2022)","plainCitation":"(J. Gaspard, personal communication, October 10, 2022)","noteIndex":0},"citationItems":[{"id":1000,"uris":["http://zotero.org/users/8423188/items/JHQPHLP7"],"itemData":{"id":1000,"type":"interview","medium":"Phone Call","title":"Personal Communications","author":[{"family":"Gaspard","given":"James"}],"issued":{"date-parts":[["2022",10,10]]}}}],"schema":"https://github.com/citation-style-language/schema/raw/master/csl-citation.json"} </w:instrText>
      </w:r>
      <w:r w:rsidRPr="00770477">
        <w:rPr>
          <w:rFonts w:cs="Times New Roman"/>
          <w:noProof/>
        </w:rPr>
        <w:fldChar w:fldCharType="separate"/>
      </w:r>
      <w:r w:rsidR="00E11E17" w:rsidRPr="00770477">
        <w:rPr>
          <w:rFonts w:cs="Times New Roman"/>
        </w:rPr>
        <w:t>(J. Gaspard, personal communication, October 10, 2022)</w:t>
      </w:r>
      <w:bookmarkEnd w:id="48"/>
      <w:r w:rsidRPr="00770477">
        <w:rPr>
          <w:rFonts w:cs="Times New Roman"/>
          <w:noProof/>
        </w:rPr>
        <w:fldChar w:fldCharType="end"/>
      </w:r>
    </w:p>
    <w:tbl>
      <w:tblPr>
        <w:tblStyle w:val="PlainTable5"/>
        <w:tblW w:w="0" w:type="auto"/>
        <w:tblLook w:val="04A0" w:firstRow="1" w:lastRow="0" w:firstColumn="1" w:lastColumn="0" w:noHBand="0" w:noVBand="1"/>
      </w:tblPr>
      <w:tblGrid>
        <w:gridCol w:w="1546"/>
        <w:gridCol w:w="2070"/>
      </w:tblGrid>
      <w:tr w:rsidR="00374459" w:rsidRPr="00770477" w14:paraId="4F24CF5C" w14:textId="77777777" w:rsidTr="009B6B1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30" w:type="dxa"/>
          </w:tcPr>
          <w:p w14:paraId="1489600E" w14:textId="71DAFAEA" w:rsidR="00374459" w:rsidRPr="00770477" w:rsidRDefault="00374459" w:rsidP="00374459">
            <w:pPr>
              <w:spacing w:line="240" w:lineRule="auto"/>
              <w:rPr>
                <w:rFonts w:cs="Times New Roman"/>
              </w:rPr>
            </w:pPr>
            <w:r w:rsidRPr="00770477">
              <w:rPr>
                <w:rFonts w:cs="Times New Roman"/>
              </w:rPr>
              <w:t>Composition</w:t>
            </w:r>
          </w:p>
        </w:tc>
        <w:tc>
          <w:tcPr>
            <w:tcW w:w="2070" w:type="dxa"/>
          </w:tcPr>
          <w:p w14:paraId="7536B759" w14:textId="748CB6B1" w:rsidR="00374459" w:rsidRPr="00770477" w:rsidRDefault="00374459" w:rsidP="009B6B15">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70477">
              <w:rPr>
                <w:rFonts w:cs="Times New Roman"/>
              </w:rPr>
              <w:t>Content (mg</w:t>
            </w:r>
            <w:r w:rsidR="005A12E2">
              <w:rPr>
                <w:rFonts w:cs="Times New Roman"/>
              </w:rPr>
              <w:t xml:space="preserve"> </w:t>
            </w:r>
            <w:proofErr w:type="gramStart"/>
            <w:r w:rsidRPr="00770477">
              <w:rPr>
                <w:rFonts w:cs="Times New Roman"/>
              </w:rPr>
              <w:t>kg</w:t>
            </w:r>
            <w:r w:rsidR="005A12E2">
              <w:rPr>
                <w:rFonts w:cs="Times New Roman"/>
                <w:vertAlign w:val="superscript"/>
              </w:rPr>
              <w:t>-1</w:t>
            </w:r>
            <w:proofErr w:type="gramEnd"/>
            <w:r w:rsidRPr="00770477">
              <w:rPr>
                <w:rFonts w:cs="Times New Roman"/>
              </w:rPr>
              <w:t>)</w:t>
            </w:r>
          </w:p>
        </w:tc>
      </w:tr>
      <w:tr w:rsidR="00374459" w:rsidRPr="00770477" w14:paraId="426B192D" w14:textId="77777777" w:rsidTr="009B6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14:paraId="5233EA57" w14:textId="51328EF5" w:rsidR="00374459" w:rsidRPr="00770477" w:rsidRDefault="00374459" w:rsidP="00374459">
            <w:pPr>
              <w:spacing w:line="240" w:lineRule="auto"/>
              <w:rPr>
                <w:rFonts w:cs="Times New Roman"/>
              </w:rPr>
            </w:pPr>
            <w:r w:rsidRPr="00770477">
              <w:rPr>
                <w:rFonts w:cs="Times New Roman"/>
              </w:rPr>
              <w:t>As</w:t>
            </w:r>
          </w:p>
        </w:tc>
        <w:tc>
          <w:tcPr>
            <w:tcW w:w="2070" w:type="dxa"/>
          </w:tcPr>
          <w:p w14:paraId="2CB1F75B" w14:textId="2E2116A0" w:rsidR="00374459" w:rsidRPr="00770477" w:rsidRDefault="00374459" w:rsidP="009B6B15">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&lt;0.44</w:t>
            </w:r>
          </w:p>
        </w:tc>
      </w:tr>
      <w:tr w:rsidR="00374459" w:rsidRPr="00770477" w14:paraId="784A8FF4" w14:textId="77777777" w:rsidTr="009B6B15">
        <w:tc>
          <w:tcPr>
            <w:cnfStyle w:val="001000000000" w:firstRow="0" w:lastRow="0" w:firstColumn="1" w:lastColumn="0" w:oddVBand="0" w:evenVBand="0" w:oddHBand="0" w:evenHBand="0" w:firstRowFirstColumn="0" w:firstRowLastColumn="0" w:lastRowFirstColumn="0" w:lastRowLastColumn="0"/>
            <w:tcW w:w="1530" w:type="dxa"/>
          </w:tcPr>
          <w:p w14:paraId="21B1B941" w14:textId="5F3545B2" w:rsidR="00374459" w:rsidRPr="00770477" w:rsidRDefault="00374459" w:rsidP="00374459">
            <w:pPr>
              <w:spacing w:line="240" w:lineRule="auto"/>
              <w:rPr>
                <w:rFonts w:cs="Times New Roman"/>
              </w:rPr>
            </w:pPr>
            <w:r w:rsidRPr="00770477">
              <w:rPr>
                <w:rFonts w:cs="Times New Roman"/>
              </w:rPr>
              <w:t>Cd</w:t>
            </w:r>
          </w:p>
        </w:tc>
        <w:tc>
          <w:tcPr>
            <w:tcW w:w="2070" w:type="dxa"/>
          </w:tcPr>
          <w:p w14:paraId="3A1CA74A" w14:textId="33C60931" w:rsidR="00374459" w:rsidRPr="00770477" w:rsidRDefault="00374459" w:rsidP="009B6B15">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&lt;0.18</w:t>
            </w:r>
          </w:p>
        </w:tc>
      </w:tr>
      <w:tr w:rsidR="00374459" w:rsidRPr="00770477" w14:paraId="1ADB3089" w14:textId="77777777" w:rsidTr="009B6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14:paraId="40E6EDC8" w14:textId="1E1FD9CD" w:rsidR="00374459" w:rsidRPr="00770477" w:rsidRDefault="00374459" w:rsidP="00374459">
            <w:pPr>
              <w:spacing w:line="240" w:lineRule="auto"/>
              <w:rPr>
                <w:rFonts w:cs="Times New Roman"/>
              </w:rPr>
            </w:pPr>
            <w:r w:rsidRPr="00770477">
              <w:rPr>
                <w:rFonts w:cs="Times New Roman"/>
              </w:rPr>
              <w:t>Cr</w:t>
            </w:r>
          </w:p>
        </w:tc>
        <w:tc>
          <w:tcPr>
            <w:tcW w:w="2070" w:type="dxa"/>
          </w:tcPr>
          <w:p w14:paraId="763CF04A" w14:textId="5B830DFC" w:rsidR="00374459" w:rsidRPr="00770477" w:rsidRDefault="00374459" w:rsidP="009B6B15">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0.59</w:t>
            </w:r>
          </w:p>
        </w:tc>
      </w:tr>
      <w:tr w:rsidR="00374459" w:rsidRPr="00770477" w14:paraId="7E980908" w14:textId="77777777" w:rsidTr="009B6B15">
        <w:tc>
          <w:tcPr>
            <w:cnfStyle w:val="001000000000" w:firstRow="0" w:lastRow="0" w:firstColumn="1" w:lastColumn="0" w:oddVBand="0" w:evenVBand="0" w:oddHBand="0" w:evenHBand="0" w:firstRowFirstColumn="0" w:firstRowLastColumn="0" w:lastRowFirstColumn="0" w:lastRowLastColumn="0"/>
            <w:tcW w:w="1530" w:type="dxa"/>
          </w:tcPr>
          <w:p w14:paraId="1689F046" w14:textId="6260037E" w:rsidR="00374459" w:rsidRPr="00770477" w:rsidRDefault="00374459" w:rsidP="00374459">
            <w:pPr>
              <w:spacing w:line="240" w:lineRule="auto"/>
              <w:rPr>
                <w:rFonts w:cs="Times New Roman"/>
              </w:rPr>
            </w:pPr>
            <w:r w:rsidRPr="00770477">
              <w:rPr>
                <w:rFonts w:cs="Times New Roman"/>
              </w:rPr>
              <w:t>Co</w:t>
            </w:r>
          </w:p>
        </w:tc>
        <w:tc>
          <w:tcPr>
            <w:tcW w:w="2070" w:type="dxa"/>
          </w:tcPr>
          <w:p w14:paraId="44D370B7" w14:textId="1CA707C1" w:rsidR="00374459" w:rsidRPr="00770477" w:rsidRDefault="00374459" w:rsidP="009B6B15">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&lt;0.44</w:t>
            </w:r>
          </w:p>
        </w:tc>
      </w:tr>
      <w:tr w:rsidR="00374459" w:rsidRPr="00770477" w14:paraId="3E382AF8" w14:textId="77777777" w:rsidTr="009B6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14:paraId="18EEF611" w14:textId="0C7BFAF2" w:rsidR="00374459" w:rsidRPr="00770477" w:rsidRDefault="00374459" w:rsidP="00374459">
            <w:pPr>
              <w:spacing w:line="240" w:lineRule="auto"/>
              <w:rPr>
                <w:rFonts w:cs="Times New Roman"/>
              </w:rPr>
            </w:pPr>
            <w:r w:rsidRPr="00770477">
              <w:rPr>
                <w:rFonts w:cs="Times New Roman"/>
              </w:rPr>
              <w:t>Cu</w:t>
            </w:r>
          </w:p>
        </w:tc>
        <w:tc>
          <w:tcPr>
            <w:tcW w:w="2070" w:type="dxa"/>
          </w:tcPr>
          <w:p w14:paraId="2262AA9E" w14:textId="66C580CD" w:rsidR="00374459" w:rsidRPr="00770477" w:rsidRDefault="00374459" w:rsidP="009B6B15">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30.3</w:t>
            </w:r>
          </w:p>
        </w:tc>
      </w:tr>
      <w:tr w:rsidR="00374459" w:rsidRPr="00770477" w14:paraId="533F8BBB" w14:textId="77777777" w:rsidTr="009B6B15">
        <w:tc>
          <w:tcPr>
            <w:cnfStyle w:val="001000000000" w:firstRow="0" w:lastRow="0" w:firstColumn="1" w:lastColumn="0" w:oddVBand="0" w:evenVBand="0" w:oddHBand="0" w:evenHBand="0" w:firstRowFirstColumn="0" w:firstRowLastColumn="0" w:lastRowFirstColumn="0" w:lastRowLastColumn="0"/>
            <w:tcW w:w="1530" w:type="dxa"/>
          </w:tcPr>
          <w:p w14:paraId="0C969F66" w14:textId="07E5497B" w:rsidR="00374459" w:rsidRPr="00770477" w:rsidRDefault="00374459" w:rsidP="00374459">
            <w:pPr>
              <w:spacing w:line="240" w:lineRule="auto"/>
              <w:rPr>
                <w:rFonts w:cs="Times New Roman"/>
              </w:rPr>
            </w:pPr>
            <w:r w:rsidRPr="00770477">
              <w:rPr>
                <w:rFonts w:cs="Times New Roman"/>
              </w:rPr>
              <w:t>Pb</w:t>
            </w:r>
          </w:p>
        </w:tc>
        <w:tc>
          <w:tcPr>
            <w:tcW w:w="2070" w:type="dxa"/>
          </w:tcPr>
          <w:p w14:paraId="096DC587" w14:textId="1B4D48E3" w:rsidR="00374459" w:rsidRPr="00770477" w:rsidRDefault="00374459" w:rsidP="009B6B15">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2.0</w:t>
            </w:r>
          </w:p>
        </w:tc>
      </w:tr>
      <w:tr w:rsidR="00374459" w:rsidRPr="00770477" w14:paraId="0F44D79D" w14:textId="77777777" w:rsidTr="009B6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14:paraId="009E0B6A" w14:textId="13BB3117" w:rsidR="00374459" w:rsidRPr="00770477" w:rsidRDefault="00374459" w:rsidP="00374459">
            <w:pPr>
              <w:spacing w:line="240" w:lineRule="auto"/>
              <w:rPr>
                <w:rFonts w:cs="Times New Roman"/>
              </w:rPr>
            </w:pPr>
            <w:r w:rsidRPr="00770477">
              <w:rPr>
                <w:rFonts w:cs="Times New Roman"/>
              </w:rPr>
              <w:t>Mo</w:t>
            </w:r>
          </w:p>
        </w:tc>
        <w:tc>
          <w:tcPr>
            <w:tcW w:w="2070" w:type="dxa"/>
          </w:tcPr>
          <w:p w14:paraId="4A288360" w14:textId="5100FC0D" w:rsidR="00374459" w:rsidRPr="00770477" w:rsidRDefault="00374459" w:rsidP="009B6B15">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&lt;0.44</w:t>
            </w:r>
          </w:p>
        </w:tc>
      </w:tr>
      <w:tr w:rsidR="00374459" w:rsidRPr="00770477" w14:paraId="405DDE53" w14:textId="77777777" w:rsidTr="009B6B15">
        <w:tc>
          <w:tcPr>
            <w:cnfStyle w:val="001000000000" w:firstRow="0" w:lastRow="0" w:firstColumn="1" w:lastColumn="0" w:oddVBand="0" w:evenVBand="0" w:oddHBand="0" w:evenHBand="0" w:firstRowFirstColumn="0" w:firstRowLastColumn="0" w:lastRowFirstColumn="0" w:lastRowLastColumn="0"/>
            <w:tcW w:w="1530" w:type="dxa"/>
          </w:tcPr>
          <w:p w14:paraId="5F481EF3" w14:textId="2A7BCFD9" w:rsidR="00374459" w:rsidRPr="00770477" w:rsidRDefault="00374459" w:rsidP="00374459">
            <w:pPr>
              <w:spacing w:line="240" w:lineRule="auto"/>
              <w:rPr>
                <w:rFonts w:cs="Times New Roman"/>
              </w:rPr>
            </w:pPr>
            <w:r w:rsidRPr="00770477">
              <w:rPr>
                <w:rFonts w:cs="Times New Roman"/>
              </w:rPr>
              <w:t>Hg</w:t>
            </w:r>
          </w:p>
        </w:tc>
        <w:tc>
          <w:tcPr>
            <w:tcW w:w="2070" w:type="dxa"/>
          </w:tcPr>
          <w:p w14:paraId="6CD84863" w14:textId="04D9E575" w:rsidR="00374459" w:rsidRPr="00770477" w:rsidRDefault="00374459" w:rsidP="009B6B15">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&lt;0.001</w:t>
            </w:r>
          </w:p>
        </w:tc>
      </w:tr>
      <w:tr w:rsidR="00374459" w:rsidRPr="00770477" w14:paraId="6318C3C2" w14:textId="77777777" w:rsidTr="009B6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14:paraId="0C64CEA6" w14:textId="4B4A0C78" w:rsidR="00374459" w:rsidRPr="00770477" w:rsidRDefault="00374459" w:rsidP="00374459">
            <w:pPr>
              <w:spacing w:line="240" w:lineRule="auto"/>
              <w:rPr>
                <w:rFonts w:cs="Times New Roman"/>
              </w:rPr>
            </w:pPr>
            <w:r w:rsidRPr="00770477">
              <w:rPr>
                <w:rFonts w:cs="Times New Roman"/>
              </w:rPr>
              <w:t>Ni</w:t>
            </w:r>
          </w:p>
        </w:tc>
        <w:tc>
          <w:tcPr>
            <w:tcW w:w="2070" w:type="dxa"/>
          </w:tcPr>
          <w:p w14:paraId="12585DF2" w14:textId="3C28D8F6" w:rsidR="00374459" w:rsidRPr="00770477" w:rsidRDefault="00374459" w:rsidP="009B6B15">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0.57</w:t>
            </w:r>
          </w:p>
        </w:tc>
      </w:tr>
      <w:tr w:rsidR="00374459" w:rsidRPr="00770477" w14:paraId="0CCA5916" w14:textId="77777777" w:rsidTr="009B6B15">
        <w:tc>
          <w:tcPr>
            <w:cnfStyle w:val="001000000000" w:firstRow="0" w:lastRow="0" w:firstColumn="1" w:lastColumn="0" w:oddVBand="0" w:evenVBand="0" w:oddHBand="0" w:evenHBand="0" w:firstRowFirstColumn="0" w:firstRowLastColumn="0" w:lastRowFirstColumn="0" w:lastRowLastColumn="0"/>
            <w:tcW w:w="1530" w:type="dxa"/>
          </w:tcPr>
          <w:p w14:paraId="645E96E5" w14:textId="23AB44CC" w:rsidR="00374459" w:rsidRPr="00770477" w:rsidRDefault="00374459" w:rsidP="00374459">
            <w:pPr>
              <w:spacing w:line="240" w:lineRule="auto"/>
              <w:rPr>
                <w:rFonts w:cs="Times New Roman"/>
              </w:rPr>
            </w:pPr>
            <w:r w:rsidRPr="00770477">
              <w:rPr>
                <w:rFonts w:cs="Times New Roman"/>
              </w:rPr>
              <w:t>Se</w:t>
            </w:r>
          </w:p>
        </w:tc>
        <w:tc>
          <w:tcPr>
            <w:tcW w:w="2070" w:type="dxa"/>
          </w:tcPr>
          <w:p w14:paraId="1BCFC522" w14:textId="7C65DA87" w:rsidR="00374459" w:rsidRPr="00770477" w:rsidRDefault="00374459" w:rsidP="009B6B15">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&lt;0.89</w:t>
            </w:r>
          </w:p>
        </w:tc>
      </w:tr>
      <w:tr w:rsidR="00374459" w:rsidRPr="00770477" w14:paraId="1C288E49" w14:textId="77777777" w:rsidTr="009B6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14:paraId="6A48C426" w14:textId="746C3483" w:rsidR="00374459" w:rsidRPr="00770477" w:rsidRDefault="00374459" w:rsidP="00374459">
            <w:pPr>
              <w:spacing w:line="240" w:lineRule="auto"/>
              <w:rPr>
                <w:rFonts w:cs="Times New Roman"/>
              </w:rPr>
            </w:pPr>
            <w:r w:rsidRPr="00770477">
              <w:rPr>
                <w:rFonts w:cs="Times New Roman"/>
              </w:rPr>
              <w:t>Zn</w:t>
            </w:r>
          </w:p>
        </w:tc>
        <w:tc>
          <w:tcPr>
            <w:tcW w:w="2070" w:type="dxa"/>
          </w:tcPr>
          <w:p w14:paraId="0499D261" w14:textId="498C55EB" w:rsidR="00374459" w:rsidRPr="00770477" w:rsidRDefault="00374459" w:rsidP="009B6B15">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181</w:t>
            </w:r>
          </w:p>
        </w:tc>
      </w:tr>
      <w:tr w:rsidR="00374459" w:rsidRPr="00770477" w14:paraId="698761A6" w14:textId="77777777" w:rsidTr="009B6B15">
        <w:tc>
          <w:tcPr>
            <w:cnfStyle w:val="001000000000" w:firstRow="0" w:lastRow="0" w:firstColumn="1" w:lastColumn="0" w:oddVBand="0" w:evenVBand="0" w:oddHBand="0" w:evenHBand="0" w:firstRowFirstColumn="0" w:firstRowLastColumn="0" w:lastRowFirstColumn="0" w:lastRowLastColumn="0"/>
            <w:tcW w:w="1530" w:type="dxa"/>
          </w:tcPr>
          <w:p w14:paraId="7A64B6AA" w14:textId="09BA12CC" w:rsidR="00374459" w:rsidRPr="00770477" w:rsidRDefault="00374459" w:rsidP="00374459">
            <w:pPr>
              <w:spacing w:line="240" w:lineRule="auto"/>
              <w:rPr>
                <w:rFonts w:cs="Times New Roman"/>
              </w:rPr>
            </w:pPr>
            <w:r w:rsidRPr="00770477">
              <w:rPr>
                <w:rFonts w:cs="Times New Roman"/>
              </w:rPr>
              <w:t>B</w:t>
            </w:r>
          </w:p>
        </w:tc>
        <w:tc>
          <w:tcPr>
            <w:tcW w:w="2070" w:type="dxa"/>
          </w:tcPr>
          <w:p w14:paraId="04C08A54" w14:textId="2B915EBD" w:rsidR="00374459" w:rsidRPr="00770477" w:rsidRDefault="00374459" w:rsidP="009B6B15">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&lt;4.43</w:t>
            </w:r>
          </w:p>
        </w:tc>
      </w:tr>
      <w:tr w:rsidR="00374459" w:rsidRPr="00770477" w14:paraId="0D91126D" w14:textId="77777777" w:rsidTr="009B6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14:paraId="2E1A111B" w14:textId="745C637A" w:rsidR="00374459" w:rsidRPr="00770477" w:rsidRDefault="00374459" w:rsidP="00374459">
            <w:pPr>
              <w:spacing w:line="240" w:lineRule="auto"/>
              <w:rPr>
                <w:rFonts w:cs="Times New Roman"/>
              </w:rPr>
            </w:pPr>
            <w:r w:rsidRPr="00770477">
              <w:rPr>
                <w:rFonts w:cs="Times New Roman"/>
              </w:rPr>
              <w:t>Cl</w:t>
            </w:r>
          </w:p>
        </w:tc>
        <w:tc>
          <w:tcPr>
            <w:tcW w:w="2070" w:type="dxa"/>
          </w:tcPr>
          <w:p w14:paraId="390EF31B" w14:textId="03B3622F" w:rsidR="00374459" w:rsidRPr="00770477" w:rsidRDefault="00374459" w:rsidP="009B6B15">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92.3</w:t>
            </w:r>
          </w:p>
        </w:tc>
      </w:tr>
      <w:tr w:rsidR="00374459" w:rsidRPr="00770477" w14:paraId="779AE624" w14:textId="77777777" w:rsidTr="009B6B15">
        <w:tc>
          <w:tcPr>
            <w:cnfStyle w:val="001000000000" w:firstRow="0" w:lastRow="0" w:firstColumn="1" w:lastColumn="0" w:oddVBand="0" w:evenVBand="0" w:oddHBand="0" w:evenHBand="0" w:firstRowFirstColumn="0" w:firstRowLastColumn="0" w:lastRowFirstColumn="0" w:lastRowLastColumn="0"/>
            <w:tcW w:w="1530" w:type="dxa"/>
          </w:tcPr>
          <w:p w14:paraId="6870A926" w14:textId="0B16D88F" w:rsidR="00374459" w:rsidRPr="00770477" w:rsidRDefault="00374459" w:rsidP="00374459">
            <w:pPr>
              <w:spacing w:line="240" w:lineRule="auto"/>
              <w:rPr>
                <w:rFonts w:cs="Times New Roman"/>
              </w:rPr>
            </w:pPr>
            <w:r w:rsidRPr="00770477">
              <w:rPr>
                <w:rFonts w:cs="Times New Roman"/>
              </w:rPr>
              <w:t>Na</w:t>
            </w:r>
          </w:p>
        </w:tc>
        <w:tc>
          <w:tcPr>
            <w:tcW w:w="2070" w:type="dxa"/>
          </w:tcPr>
          <w:p w14:paraId="4515FD15" w14:textId="12F78234" w:rsidR="00374459" w:rsidRPr="00770477" w:rsidRDefault="00374459" w:rsidP="009B6B15">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582</w:t>
            </w:r>
          </w:p>
        </w:tc>
      </w:tr>
      <w:tr w:rsidR="00374459" w:rsidRPr="00770477" w14:paraId="1E3BAAAA" w14:textId="77777777" w:rsidTr="009B6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14:paraId="3C292451" w14:textId="45BF9725" w:rsidR="00374459" w:rsidRPr="00770477" w:rsidRDefault="00374459" w:rsidP="00374459">
            <w:pPr>
              <w:spacing w:line="240" w:lineRule="auto"/>
              <w:rPr>
                <w:rFonts w:cs="Times New Roman"/>
              </w:rPr>
            </w:pPr>
            <w:r w:rsidRPr="00770477">
              <w:rPr>
                <w:rFonts w:cs="Times New Roman"/>
              </w:rPr>
              <w:t>Fe</w:t>
            </w:r>
          </w:p>
        </w:tc>
        <w:tc>
          <w:tcPr>
            <w:tcW w:w="2070" w:type="dxa"/>
          </w:tcPr>
          <w:p w14:paraId="11630175" w14:textId="01070131" w:rsidR="00374459" w:rsidRPr="00770477" w:rsidRDefault="00374459" w:rsidP="009B6B15">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210</w:t>
            </w:r>
          </w:p>
        </w:tc>
      </w:tr>
      <w:tr w:rsidR="00374459" w:rsidRPr="00770477" w14:paraId="1E0C92C9" w14:textId="77777777" w:rsidTr="009B6B15">
        <w:tc>
          <w:tcPr>
            <w:cnfStyle w:val="001000000000" w:firstRow="0" w:lastRow="0" w:firstColumn="1" w:lastColumn="0" w:oddVBand="0" w:evenVBand="0" w:oddHBand="0" w:evenHBand="0" w:firstRowFirstColumn="0" w:firstRowLastColumn="0" w:lastRowFirstColumn="0" w:lastRowLastColumn="0"/>
            <w:tcW w:w="1530" w:type="dxa"/>
          </w:tcPr>
          <w:p w14:paraId="0CE6E8F9" w14:textId="225ED76D" w:rsidR="00374459" w:rsidRPr="00770477" w:rsidRDefault="00374459" w:rsidP="00374459">
            <w:pPr>
              <w:spacing w:line="240" w:lineRule="auto"/>
              <w:rPr>
                <w:rFonts w:cs="Times New Roman"/>
              </w:rPr>
            </w:pPr>
            <w:r w:rsidRPr="00770477">
              <w:rPr>
                <w:rFonts w:cs="Times New Roman"/>
              </w:rPr>
              <w:t>Mg</w:t>
            </w:r>
          </w:p>
        </w:tc>
        <w:tc>
          <w:tcPr>
            <w:tcW w:w="2070" w:type="dxa"/>
          </w:tcPr>
          <w:p w14:paraId="11845DBB" w14:textId="3F38B253" w:rsidR="00374459" w:rsidRPr="00770477" w:rsidRDefault="00374459" w:rsidP="009B6B15">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164</w:t>
            </w:r>
          </w:p>
        </w:tc>
      </w:tr>
      <w:tr w:rsidR="00736BF4" w:rsidRPr="00770477" w14:paraId="7D351CAB" w14:textId="77777777" w:rsidTr="009B6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14:paraId="1E254C4E" w14:textId="0C2DA6E3" w:rsidR="00736BF4" w:rsidRPr="00770477" w:rsidRDefault="007443AA" w:rsidP="00374459">
            <w:pPr>
              <w:spacing w:line="240" w:lineRule="auto"/>
              <w:rPr>
                <w:rFonts w:cs="Times New Roman"/>
              </w:rPr>
            </w:pPr>
            <w:r w:rsidRPr="00770477">
              <w:rPr>
                <w:rFonts w:cs="Times New Roman"/>
              </w:rPr>
              <w:t>K</w:t>
            </w:r>
          </w:p>
        </w:tc>
        <w:tc>
          <w:tcPr>
            <w:tcW w:w="2070" w:type="dxa"/>
          </w:tcPr>
          <w:p w14:paraId="17ED146B" w14:textId="7EBC7C08" w:rsidR="00736BF4" w:rsidRPr="00770477" w:rsidRDefault="007443AA" w:rsidP="009B6B15">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1422</w:t>
            </w:r>
          </w:p>
        </w:tc>
      </w:tr>
      <w:tr w:rsidR="00E33ED1" w:rsidRPr="00770477" w14:paraId="3EC371B0" w14:textId="77777777" w:rsidTr="009B6B15">
        <w:tc>
          <w:tcPr>
            <w:cnfStyle w:val="001000000000" w:firstRow="0" w:lastRow="0" w:firstColumn="1" w:lastColumn="0" w:oddVBand="0" w:evenVBand="0" w:oddHBand="0" w:evenHBand="0" w:firstRowFirstColumn="0" w:firstRowLastColumn="0" w:lastRowFirstColumn="0" w:lastRowLastColumn="0"/>
            <w:tcW w:w="1530" w:type="dxa"/>
          </w:tcPr>
          <w:p w14:paraId="289658DA" w14:textId="3871A5A0" w:rsidR="00E33ED1" w:rsidRPr="00770477" w:rsidRDefault="007443AA" w:rsidP="00374459">
            <w:pPr>
              <w:spacing w:line="240" w:lineRule="auto"/>
              <w:rPr>
                <w:rFonts w:cs="Times New Roman"/>
              </w:rPr>
            </w:pPr>
            <w:r w:rsidRPr="00770477">
              <w:rPr>
                <w:rFonts w:cs="Times New Roman"/>
              </w:rPr>
              <w:t>P</w:t>
            </w:r>
          </w:p>
        </w:tc>
        <w:tc>
          <w:tcPr>
            <w:tcW w:w="2070" w:type="dxa"/>
          </w:tcPr>
          <w:p w14:paraId="2ADB6BCD" w14:textId="7BDC463A" w:rsidR="00E33ED1" w:rsidRPr="00770477" w:rsidRDefault="007443AA" w:rsidP="009B6B15">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324</w:t>
            </w:r>
          </w:p>
        </w:tc>
      </w:tr>
      <w:tr w:rsidR="007443AA" w:rsidRPr="00770477" w14:paraId="358A184A" w14:textId="77777777" w:rsidTr="009B6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14:paraId="7AD1732C" w14:textId="1C080524" w:rsidR="007443AA" w:rsidRPr="00770477" w:rsidRDefault="007443AA" w:rsidP="00374459">
            <w:pPr>
              <w:spacing w:line="240" w:lineRule="auto"/>
              <w:rPr>
                <w:rFonts w:cs="Times New Roman"/>
              </w:rPr>
            </w:pPr>
            <w:r w:rsidRPr="00770477">
              <w:rPr>
                <w:rFonts w:cs="Times New Roman"/>
              </w:rPr>
              <w:t>Organic N</w:t>
            </w:r>
          </w:p>
        </w:tc>
        <w:tc>
          <w:tcPr>
            <w:tcW w:w="2070" w:type="dxa"/>
          </w:tcPr>
          <w:p w14:paraId="503C54B2" w14:textId="535B6B93" w:rsidR="007443AA" w:rsidRPr="00770477" w:rsidRDefault="007F7127" w:rsidP="009B6B15">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5280</w:t>
            </w:r>
          </w:p>
        </w:tc>
      </w:tr>
      <w:tr w:rsidR="007F7127" w:rsidRPr="00770477" w14:paraId="79CD3344" w14:textId="77777777" w:rsidTr="009B6B15">
        <w:tc>
          <w:tcPr>
            <w:cnfStyle w:val="001000000000" w:firstRow="0" w:lastRow="0" w:firstColumn="1" w:lastColumn="0" w:oddVBand="0" w:evenVBand="0" w:oddHBand="0" w:evenHBand="0" w:firstRowFirstColumn="0" w:firstRowLastColumn="0" w:lastRowFirstColumn="0" w:lastRowLastColumn="0"/>
            <w:tcW w:w="1530" w:type="dxa"/>
          </w:tcPr>
          <w:p w14:paraId="7311119B" w14:textId="5996102E" w:rsidR="007F7127" w:rsidRPr="00770477" w:rsidRDefault="007F7127" w:rsidP="00374459">
            <w:pPr>
              <w:spacing w:line="240" w:lineRule="auto"/>
              <w:rPr>
                <w:rFonts w:cs="Times New Roman"/>
              </w:rPr>
            </w:pPr>
            <w:r w:rsidRPr="00770477">
              <w:rPr>
                <w:rFonts w:cs="Times New Roman"/>
              </w:rPr>
              <w:t>Organic C</w:t>
            </w:r>
          </w:p>
        </w:tc>
        <w:tc>
          <w:tcPr>
            <w:tcW w:w="2070" w:type="dxa"/>
          </w:tcPr>
          <w:p w14:paraId="70DD6DE1" w14:textId="430521DB" w:rsidR="007F7127" w:rsidRPr="00770477" w:rsidRDefault="00AF3C4C" w:rsidP="009B6B15">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874000</w:t>
            </w:r>
            <w:r w:rsidR="00EB6682" w:rsidRPr="00770477">
              <w:rPr>
                <w:rFonts w:cs="Times New Roman"/>
              </w:rPr>
              <w:t>*</w:t>
            </w:r>
          </w:p>
        </w:tc>
      </w:tr>
    </w:tbl>
    <w:p w14:paraId="61B6E1B3" w14:textId="61D494AC" w:rsidR="00374459" w:rsidRPr="00770477" w:rsidRDefault="00EB6682" w:rsidP="008D33BA">
      <w:pPr>
        <w:ind w:firstLine="720"/>
        <w:rPr>
          <w:rFonts w:cs="Times New Roman"/>
          <w:i/>
          <w:iCs/>
          <w:sz w:val="20"/>
          <w:szCs w:val="20"/>
        </w:rPr>
      </w:pPr>
      <w:r w:rsidRPr="00770477">
        <w:rPr>
          <w:rFonts w:cs="Times New Roman"/>
          <w:i/>
          <w:iCs/>
          <w:sz w:val="20"/>
          <w:szCs w:val="20"/>
        </w:rPr>
        <w:t xml:space="preserve">*Organic C is given as </w:t>
      </w:r>
      <w:r w:rsidR="008D33BA" w:rsidRPr="00770477">
        <w:rPr>
          <w:rFonts w:cs="Times New Roman"/>
          <w:i/>
          <w:iCs/>
          <w:sz w:val="20"/>
          <w:szCs w:val="20"/>
        </w:rPr>
        <w:t>87.4%</w:t>
      </w:r>
      <w:r w:rsidR="005C5602" w:rsidRPr="00770477">
        <w:rPr>
          <w:rFonts w:cs="Times New Roman"/>
          <w:i/>
          <w:iCs/>
          <w:sz w:val="20"/>
          <w:szCs w:val="20"/>
        </w:rPr>
        <w:t xml:space="preserve"> </w:t>
      </w:r>
      <w:r w:rsidR="008D33BA" w:rsidRPr="00770477">
        <w:rPr>
          <w:rFonts w:cs="Times New Roman"/>
          <w:i/>
          <w:iCs/>
          <w:sz w:val="20"/>
          <w:szCs w:val="20"/>
        </w:rPr>
        <w:t>of total dry mass of biochar</w:t>
      </w:r>
    </w:p>
    <w:p w14:paraId="13DD3BDC" w14:textId="77777777" w:rsidR="005F3EA1" w:rsidRPr="00770477" w:rsidRDefault="005F3EA1" w:rsidP="005F3EA1">
      <w:pPr>
        <w:rPr>
          <w:rFonts w:cs="Times New Roman"/>
        </w:rPr>
      </w:pPr>
    </w:p>
    <w:p w14:paraId="23159FF5" w14:textId="18343E7C" w:rsidR="00020398" w:rsidRPr="00770477" w:rsidRDefault="1C89FC54" w:rsidP="00020398">
      <w:pPr>
        <w:pStyle w:val="Heading3"/>
        <w:rPr>
          <w:rFonts w:cs="Times New Roman"/>
        </w:rPr>
      </w:pPr>
      <w:bookmarkStart w:id="49" w:name="_Toc121495987"/>
      <w:r w:rsidRPr="00770477">
        <w:rPr>
          <w:rFonts w:cs="Times New Roman"/>
        </w:rPr>
        <w:t>Vertical Columns</w:t>
      </w:r>
      <w:bookmarkEnd w:id="49"/>
    </w:p>
    <w:p w14:paraId="3A984641" w14:textId="0D640DEA" w:rsidR="006377C1" w:rsidRPr="00770477" w:rsidRDefault="00A24826" w:rsidP="006377C1">
      <w:pPr>
        <w:ind w:firstLine="720"/>
        <w:rPr>
          <w:rFonts w:cs="Times New Roman"/>
        </w:rPr>
      </w:pPr>
      <w:r w:rsidRPr="00770477">
        <w:rPr>
          <w:rFonts w:cs="Times New Roman"/>
        </w:rPr>
        <w:t xml:space="preserve">Columns </w:t>
      </w:r>
      <w:r w:rsidR="00D70A18" w:rsidRPr="00770477">
        <w:rPr>
          <w:rFonts w:cs="Times New Roman"/>
        </w:rPr>
        <w:t>were made of acrylic and had an inside diameter of 1.5 in. (4 cm) and a length of 5.9 in (15 cm)</w:t>
      </w:r>
      <w:r w:rsidRPr="00770477">
        <w:rPr>
          <w:rFonts w:cs="Times New Roman"/>
        </w:rPr>
        <w:t xml:space="preserve">. </w:t>
      </w:r>
      <w:r w:rsidR="007A6FB9" w:rsidRPr="00770477">
        <w:rPr>
          <w:rFonts w:cs="Times New Roman"/>
        </w:rPr>
        <w:t xml:space="preserve">Column caps included a rubber gasket to </w:t>
      </w:r>
      <w:r w:rsidR="003149AC" w:rsidRPr="00770477">
        <w:rPr>
          <w:rFonts w:cs="Times New Roman"/>
        </w:rPr>
        <w:t>ensure</w:t>
      </w:r>
      <w:r w:rsidR="007A6FB9" w:rsidRPr="00770477">
        <w:rPr>
          <w:rFonts w:cs="Times New Roman"/>
        </w:rPr>
        <w:t xml:space="preserve"> a water-tight seal. Inlet and outlet ports were threaded to allow for a </w:t>
      </w:r>
      <w:r w:rsidR="00D70A18" w:rsidRPr="00770477">
        <w:rPr>
          <w:rFonts w:cs="Times New Roman"/>
        </w:rPr>
        <w:t>1</w:t>
      </w:r>
      <w:r w:rsidR="007A6FB9" w:rsidRPr="00770477">
        <w:rPr>
          <w:rFonts w:cs="Times New Roman"/>
        </w:rPr>
        <w:t>/</w:t>
      </w:r>
      <w:r w:rsidR="00D70A18" w:rsidRPr="00770477">
        <w:rPr>
          <w:rFonts w:cs="Times New Roman"/>
        </w:rPr>
        <w:t>16</w:t>
      </w:r>
      <w:r w:rsidR="007A6FB9" w:rsidRPr="00770477">
        <w:rPr>
          <w:rFonts w:cs="Times New Roman"/>
        </w:rPr>
        <w:t>” (</w:t>
      </w:r>
      <w:r w:rsidR="00D70A18" w:rsidRPr="00770477">
        <w:rPr>
          <w:rFonts w:cs="Times New Roman"/>
        </w:rPr>
        <w:t>0.159</w:t>
      </w:r>
      <w:r w:rsidR="007A6FB9" w:rsidRPr="00770477">
        <w:rPr>
          <w:rFonts w:cs="Times New Roman"/>
        </w:rPr>
        <w:t xml:space="preserve"> cm) barb to be screwed into place for hose attachment. Clean columns were filled with DI water then filled with one of the media. Throughout the filling process, the sides of the column were gently tapped to encourage media to pack without tamping the media and therefore risk crushing. The media in the column was soaked in DI water for 24 hours prior to introducing any SSW. </w:t>
      </w:r>
      <w:r w:rsidR="004D1EF5" w:rsidRPr="00770477">
        <w:rPr>
          <w:rFonts w:cs="Times New Roman"/>
        </w:rPr>
        <w:t xml:space="preserve">The columns </w:t>
      </w:r>
      <w:r w:rsidR="009F58C0" w:rsidRPr="00770477">
        <w:rPr>
          <w:rFonts w:cs="Times New Roman"/>
        </w:rPr>
        <w:t xml:space="preserve">weights were noted and recorded when the columns were empty. After filling the columns with DI water and media, they were left to soak </w:t>
      </w:r>
      <w:r w:rsidR="009F58C0" w:rsidRPr="00770477">
        <w:rPr>
          <w:rFonts w:cs="Times New Roman"/>
        </w:rPr>
        <w:lastRenderedPageBreak/>
        <w:t>for 24 hours then the weight was taken and recorded again.</w:t>
      </w:r>
      <w:r w:rsidR="009C03BD" w:rsidRPr="00770477">
        <w:rPr>
          <w:rFonts w:cs="Times New Roman"/>
        </w:rPr>
        <w:t xml:space="preserve"> </w:t>
      </w:r>
      <w:r w:rsidR="00E03D92" w:rsidRPr="00770477">
        <w:rPr>
          <w:rFonts w:cs="Times New Roman"/>
        </w:rPr>
        <w:t>T</w:t>
      </w:r>
      <w:r w:rsidR="009C03BD" w:rsidRPr="00770477">
        <w:rPr>
          <w:rFonts w:cs="Times New Roman"/>
        </w:rPr>
        <w:t>he media used to fill the column was weighed</w:t>
      </w:r>
      <w:r w:rsidR="00E03D92" w:rsidRPr="00770477">
        <w:rPr>
          <w:rFonts w:cs="Times New Roman"/>
        </w:rPr>
        <w:t xml:space="preserve"> and recorded</w:t>
      </w:r>
      <w:r w:rsidR="009C03BD" w:rsidRPr="00770477">
        <w:rPr>
          <w:rFonts w:cs="Times New Roman"/>
        </w:rPr>
        <w:t xml:space="preserve"> before being placed in the column. Using the assumption that 1 g of water equates to 1 mL of water, </w:t>
      </w:r>
      <w:r w:rsidR="00C86ED4" w:rsidRPr="00770477">
        <w:rPr>
          <w:rFonts w:cs="Times New Roman"/>
        </w:rPr>
        <w:fldChar w:fldCharType="begin"/>
      </w:r>
      <w:r w:rsidR="00C86ED4" w:rsidRPr="00770477">
        <w:rPr>
          <w:rFonts w:cs="Times New Roman"/>
        </w:rPr>
        <w:instrText xml:space="preserve"> REF _Ref116310433 \h </w:instrText>
      </w:r>
      <w:r w:rsidR="00770477">
        <w:rPr>
          <w:rFonts w:cs="Times New Roman"/>
        </w:rPr>
        <w:instrText xml:space="preserve"> \* MERGEFORMAT </w:instrText>
      </w:r>
      <w:r w:rsidR="00C86ED4" w:rsidRPr="00770477">
        <w:rPr>
          <w:rFonts w:cs="Times New Roman"/>
        </w:rPr>
      </w:r>
      <w:r w:rsidR="00C86ED4" w:rsidRPr="00770477">
        <w:rPr>
          <w:rFonts w:cs="Times New Roman"/>
        </w:rPr>
        <w:fldChar w:fldCharType="separate"/>
      </w:r>
      <w:r w:rsidR="00061096" w:rsidRPr="00770477">
        <w:rPr>
          <w:rFonts w:cs="Times New Roman"/>
        </w:rPr>
        <w:t xml:space="preserve">Equation </w:t>
      </w:r>
      <w:r w:rsidR="00061096">
        <w:rPr>
          <w:rFonts w:cs="Times New Roman"/>
          <w:noProof/>
        </w:rPr>
        <w:t>2</w:t>
      </w:r>
      <w:r w:rsidR="00061096" w:rsidRPr="00770477">
        <w:rPr>
          <w:rFonts w:cs="Times New Roman"/>
          <w:noProof/>
        </w:rPr>
        <w:noBreakHyphen/>
      </w:r>
      <w:r w:rsidR="00061096">
        <w:rPr>
          <w:rFonts w:cs="Times New Roman"/>
          <w:noProof/>
        </w:rPr>
        <w:t>1</w:t>
      </w:r>
      <w:r w:rsidR="00C86ED4" w:rsidRPr="00770477">
        <w:rPr>
          <w:rFonts w:cs="Times New Roman"/>
        </w:rPr>
        <w:fldChar w:fldCharType="end"/>
      </w:r>
      <w:r w:rsidR="009C03BD" w:rsidRPr="00770477">
        <w:rPr>
          <w:rFonts w:cs="Times New Roman"/>
        </w:rPr>
        <w:t xml:space="preserve"> below was used to determine the pore volume of a column.</w:t>
      </w:r>
      <w:r w:rsidR="00551B70" w:rsidRPr="00770477">
        <w:rPr>
          <w:rFonts w:cs="Times New Roman"/>
        </w:rPr>
        <w:t xml:space="preserve"> </w:t>
      </w:r>
    </w:p>
    <w:p w14:paraId="68E0C7D0" w14:textId="77777777" w:rsidR="00D22EE9" w:rsidRPr="00770477" w:rsidRDefault="00D22EE9" w:rsidP="00A24826">
      <w:pPr>
        <w:rPr>
          <w:rFonts w:cs="Times New Roman"/>
        </w:rPr>
      </w:pPr>
    </w:p>
    <w:p w14:paraId="4D2BF858" w14:textId="2C3307E6" w:rsidR="00C86ED4" w:rsidRPr="00770477" w:rsidRDefault="00C86ED4" w:rsidP="00C86ED4">
      <w:pPr>
        <w:pStyle w:val="Caption"/>
        <w:keepNext/>
        <w:spacing w:line="240" w:lineRule="auto"/>
        <w:rPr>
          <w:rFonts w:cs="Times New Roman"/>
        </w:rPr>
      </w:pPr>
      <w:bookmarkStart w:id="50" w:name="_Ref116310433"/>
      <w:bookmarkStart w:id="51" w:name="_Toc121486641"/>
      <w:r w:rsidRPr="00770477">
        <w:rPr>
          <w:rFonts w:cs="Times New Roman"/>
        </w:rPr>
        <w:t xml:space="preserve">Equation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2</w:t>
      </w:r>
      <w:r w:rsidRPr="00770477">
        <w:rPr>
          <w:rFonts w:cs="Times New Roman"/>
          <w:noProof/>
        </w:rPr>
        <w:fldChar w:fldCharType="end"/>
      </w:r>
      <w:r w:rsidR="008B1ECE" w:rsidRPr="00770477">
        <w:rPr>
          <w:rFonts w:cs="Times New Roman"/>
        </w:rPr>
        <w:noBreakHyphen/>
      </w:r>
      <w:r w:rsidRPr="00770477">
        <w:rPr>
          <w:rFonts w:cs="Times New Roman"/>
        </w:rPr>
        <w:fldChar w:fldCharType="begin"/>
      </w:r>
      <w:r w:rsidRPr="00770477">
        <w:rPr>
          <w:rFonts w:cs="Times New Roman"/>
        </w:rPr>
        <w:instrText xml:space="preserve"> SEQ Equation \* ARABIC \s 1 </w:instrText>
      </w:r>
      <w:r w:rsidRPr="00770477">
        <w:rPr>
          <w:rFonts w:cs="Times New Roman"/>
        </w:rPr>
        <w:fldChar w:fldCharType="separate"/>
      </w:r>
      <w:r w:rsidR="00061096">
        <w:rPr>
          <w:rFonts w:cs="Times New Roman"/>
          <w:noProof/>
        </w:rPr>
        <w:t>1</w:t>
      </w:r>
      <w:r w:rsidRPr="00770477">
        <w:rPr>
          <w:rFonts w:cs="Times New Roman"/>
          <w:noProof/>
        </w:rPr>
        <w:fldChar w:fldCharType="end"/>
      </w:r>
      <w:bookmarkEnd w:id="50"/>
      <w:r w:rsidR="004A6B66">
        <w:rPr>
          <w:rFonts w:cs="Times New Roman"/>
        </w:rPr>
        <w:t xml:space="preserve"> </w:t>
      </w:r>
      <w:r w:rsidRPr="00770477">
        <w:rPr>
          <w:rFonts w:cs="Times New Roman"/>
        </w:rPr>
        <w:t>Equation used for pore volume determination</w:t>
      </w:r>
      <w:r w:rsidR="004A6B66">
        <w:rPr>
          <w:rFonts w:cs="Times New Roman"/>
        </w:rPr>
        <w:t>.</w:t>
      </w:r>
      <w:bookmarkEnd w:id="51"/>
    </w:p>
    <w:p w14:paraId="33D41C1E" w14:textId="06F09C21" w:rsidR="009C03BD" w:rsidRPr="00770477" w:rsidRDefault="00C86ED4" w:rsidP="00A24826">
      <w:pPr>
        <w:rPr>
          <w:rFonts w:eastAsiaTheme="minorEastAsia" w:cs="Times New Roman"/>
          <w:sz w:val="22"/>
          <w:szCs w:val="22"/>
        </w:rPr>
      </w:pPr>
      <m:oMathPara>
        <m:oMath>
          <m:r>
            <w:rPr>
              <w:rFonts w:ascii="Cambria Math" w:hAnsi="Cambria Math" w:cs="Times New Roman"/>
              <w:sz w:val="22"/>
              <w:szCs w:val="22"/>
            </w:rPr>
            <m:t xml:space="preserve">Water Wt. or Pore Vol. </m:t>
          </m:r>
          <m:d>
            <m:dPr>
              <m:ctrlPr>
                <w:rPr>
                  <w:rFonts w:ascii="Cambria Math" w:hAnsi="Cambria Math" w:cs="Times New Roman"/>
                  <w:i/>
                  <w:sz w:val="22"/>
                  <w:szCs w:val="22"/>
                </w:rPr>
              </m:ctrlPr>
            </m:dPr>
            <m:e>
              <m:r>
                <w:rPr>
                  <w:rFonts w:ascii="Cambria Math" w:hAnsi="Cambria Math" w:cs="Times New Roman"/>
                  <w:sz w:val="22"/>
                  <w:szCs w:val="22"/>
                </w:rPr>
                <m:t>g or mL</m:t>
              </m:r>
            </m:e>
          </m:d>
          <m:r>
            <w:rPr>
              <w:rFonts w:ascii="Cambria Math" w:hAnsi="Cambria Math" w:cs="Times New Roman"/>
              <w:sz w:val="22"/>
              <w:szCs w:val="22"/>
            </w:rPr>
            <m:t xml:space="preserve">=Soaked Wt. </m:t>
          </m:r>
          <m:d>
            <m:dPr>
              <m:ctrlPr>
                <w:rPr>
                  <w:rFonts w:ascii="Cambria Math" w:hAnsi="Cambria Math" w:cs="Times New Roman"/>
                  <w:i/>
                  <w:sz w:val="22"/>
                  <w:szCs w:val="22"/>
                </w:rPr>
              </m:ctrlPr>
            </m:dPr>
            <m:e>
              <m:r>
                <w:rPr>
                  <w:rFonts w:ascii="Cambria Math" w:hAnsi="Cambria Math" w:cs="Times New Roman"/>
                  <w:sz w:val="22"/>
                  <w:szCs w:val="22"/>
                </w:rPr>
                <m:t>g</m:t>
              </m:r>
            </m:e>
          </m:d>
          <m:r>
            <w:rPr>
              <w:rFonts w:ascii="Cambria Math" w:hAnsi="Cambria Math" w:cs="Times New Roman"/>
              <w:sz w:val="22"/>
              <w:szCs w:val="22"/>
            </w:rPr>
            <m:t xml:space="preserve">-Empty Wt. </m:t>
          </m:r>
          <m:d>
            <m:dPr>
              <m:ctrlPr>
                <w:rPr>
                  <w:rFonts w:ascii="Cambria Math" w:hAnsi="Cambria Math" w:cs="Times New Roman"/>
                  <w:i/>
                  <w:sz w:val="22"/>
                  <w:szCs w:val="22"/>
                </w:rPr>
              </m:ctrlPr>
            </m:dPr>
            <m:e>
              <m:r>
                <w:rPr>
                  <w:rFonts w:ascii="Cambria Math" w:hAnsi="Cambria Math" w:cs="Times New Roman"/>
                  <w:sz w:val="22"/>
                  <w:szCs w:val="22"/>
                </w:rPr>
                <m:t>g</m:t>
              </m:r>
            </m:e>
          </m:d>
          <m:r>
            <w:rPr>
              <w:rFonts w:ascii="Cambria Math" w:hAnsi="Cambria Math" w:cs="Times New Roman"/>
              <w:sz w:val="22"/>
              <w:szCs w:val="22"/>
            </w:rPr>
            <m:t>-Media Wt. (g)</m:t>
          </m:r>
        </m:oMath>
      </m:oMathPara>
    </w:p>
    <w:p w14:paraId="4C8EF3EB" w14:textId="77777777" w:rsidR="00D22EE9" w:rsidRPr="00770477" w:rsidRDefault="00D22EE9" w:rsidP="00BA07EB">
      <w:pPr>
        <w:rPr>
          <w:rFonts w:cs="Times New Roman"/>
        </w:rPr>
      </w:pPr>
    </w:p>
    <w:p w14:paraId="482C420F" w14:textId="313811E0" w:rsidR="00C86ED4" w:rsidRPr="00770477" w:rsidRDefault="7AC9F614" w:rsidP="00C86ED4">
      <w:pPr>
        <w:rPr>
          <w:rFonts w:cs="Times New Roman"/>
        </w:rPr>
      </w:pPr>
      <w:r w:rsidRPr="00770477">
        <w:rPr>
          <w:rFonts w:cs="Times New Roman"/>
        </w:rPr>
        <w:t>At t</w:t>
      </w:r>
      <w:r w:rsidR="5DC15B62" w:rsidRPr="00770477">
        <w:rPr>
          <w:rFonts w:cs="Times New Roman"/>
        </w:rPr>
        <w:t>he</w:t>
      </w:r>
      <w:r w:rsidRPr="00770477">
        <w:rPr>
          <w:rFonts w:cs="Times New Roman"/>
        </w:rPr>
        <w:t xml:space="preserve"> influent</w:t>
      </w:r>
      <w:r w:rsidR="29AC316C" w:rsidRPr="00770477">
        <w:rPr>
          <w:rFonts w:cs="Times New Roman"/>
        </w:rPr>
        <w:t>,</w:t>
      </w:r>
      <w:r w:rsidRPr="00770477">
        <w:rPr>
          <w:rFonts w:cs="Times New Roman"/>
        </w:rPr>
        <w:t xml:space="preserve"> tubing (</w:t>
      </w:r>
      <w:proofErr w:type="spellStart"/>
      <w:r w:rsidRPr="00770477">
        <w:rPr>
          <w:rFonts w:cs="Times New Roman"/>
        </w:rPr>
        <w:t>Masterflex</w:t>
      </w:r>
      <w:proofErr w:type="spellEnd"/>
      <w:r w:rsidRPr="00770477">
        <w:rPr>
          <w:rFonts w:cs="Times New Roman"/>
        </w:rPr>
        <w:t>® L/S®16 Precision Pump Tubing)</w:t>
      </w:r>
      <w:r w:rsidR="381C0AD6" w:rsidRPr="00770477">
        <w:rPr>
          <w:rFonts w:cs="Times New Roman"/>
        </w:rPr>
        <w:t xml:space="preserve"> </w:t>
      </w:r>
      <w:r w:rsidR="2236E52F" w:rsidRPr="00770477">
        <w:rPr>
          <w:rFonts w:cs="Times New Roman"/>
        </w:rPr>
        <w:t>was</w:t>
      </w:r>
      <w:r w:rsidRPr="00770477">
        <w:rPr>
          <w:rFonts w:cs="Times New Roman"/>
        </w:rPr>
        <w:t xml:space="preserve"> </w:t>
      </w:r>
      <w:r w:rsidR="00B36D7C" w:rsidRPr="00770477">
        <w:rPr>
          <w:rFonts w:cs="Times New Roman"/>
        </w:rPr>
        <w:t>attached,</w:t>
      </w:r>
      <w:r w:rsidRPr="00770477">
        <w:rPr>
          <w:rFonts w:cs="Times New Roman"/>
        </w:rPr>
        <w:t xml:space="preserve"> and SSW </w:t>
      </w:r>
      <w:r w:rsidR="19B5AE2F" w:rsidRPr="00770477">
        <w:rPr>
          <w:rFonts w:cs="Times New Roman"/>
        </w:rPr>
        <w:t xml:space="preserve">was introduced into </w:t>
      </w:r>
      <w:r w:rsidRPr="00770477">
        <w:rPr>
          <w:rFonts w:cs="Times New Roman"/>
        </w:rPr>
        <w:t xml:space="preserve">the columns via </w:t>
      </w:r>
      <w:r w:rsidR="73E3F148" w:rsidRPr="00770477">
        <w:rPr>
          <w:rFonts w:cs="Times New Roman"/>
        </w:rPr>
        <w:t xml:space="preserve">a Cole-Palmer </w:t>
      </w:r>
      <w:proofErr w:type="spellStart"/>
      <w:r w:rsidR="73E3F148" w:rsidRPr="00770477">
        <w:rPr>
          <w:rFonts w:cs="Times New Roman"/>
        </w:rPr>
        <w:t>Masterflex</w:t>
      </w:r>
      <w:proofErr w:type="spellEnd"/>
      <w:r w:rsidR="73E3F148" w:rsidRPr="00770477">
        <w:rPr>
          <w:rFonts w:cs="Times New Roman"/>
        </w:rPr>
        <w:t>® L/S®</w:t>
      </w:r>
      <w:r w:rsidR="381C0AD6" w:rsidRPr="00770477">
        <w:rPr>
          <w:rFonts w:cs="Times New Roman"/>
        </w:rPr>
        <w:t xml:space="preserve"> </w:t>
      </w:r>
      <w:r w:rsidR="73E3F148" w:rsidRPr="00770477">
        <w:rPr>
          <w:rFonts w:cs="Times New Roman"/>
        </w:rPr>
        <w:t>P</w:t>
      </w:r>
      <w:r w:rsidRPr="00770477">
        <w:rPr>
          <w:rFonts w:cs="Times New Roman"/>
        </w:rPr>
        <w:t xml:space="preserve">eristaltic </w:t>
      </w:r>
      <w:r w:rsidR="73E3F148" w:rsidRPr="00770477">
        <w:rPr>
          <w:rFonts w:cs="Times New Roman"/>
        </w:rPr>
        <w:t>P</w:t>
      </w:r>
      <w:r w:rsidRPr="00770477">
        <w:rPr>
          <w:rFonts w:cs="Times New Roman"/>
        </w:rPr>
        <w:t>ump</w:t>
      </w:r>
      <w:r w:rsidR="73E3F148" w:rsidRPr="00770477">
        <w:rPr>
          <w:rFonts w:cs="Times New Roman"/>
        </w:rPr>
        <w:t xml:space="preserve"> </w:t>
      </w:r>
      <w:r w:rsidR="006009A6" w:rsidRPr="00770477">
        <w:rPr>
          <w:rFonts w:cs="Times New Roman"/>
        </w:rPr>
        <w:t>pumping</w:t>
      </w:r>
      <w:r w:rsidRPr="00770477">
        <w:rPr>
          <w:rFonts w:cs="Times New Roman"/>
        </w:rPr>
        <w:t xml:space="preserve"> </w:t>
      </w:r>
      <w:r w:rsidR="381C0AD6" w:rsidRPr="00770477">
        <w:rPr>
          <w:rFonts w:cs="Times New Roman"/>
        </w:rPr>
        <w:t xml:space="preserve">at a </w:t>
      </w:r>
      <w:r w:rsidR="001D6E5B" w:rsidRPr="00770477">
        <w:rPr>
          <w:rFonts w:cs="Times New Roman"/>
        </w:rPr>
        <w:t xml:space="preserve">volumetrically calibrated </w:t>
      </w:r>
      <w:r w:rsidR="381C0AD6" w:rsidRPr="00770477">
        <w:rPr>
          <w:rFonts w:cs="Times New Roman"/>
        </w:rPr>
        <w:t xml:space="preserve">rate </w:t>
      </w:r>
      <w:r w:rsidR="001D6E5B" w:rsidRPr="00770477">
        <w:rPr>
          <w:rFonts w:cs="Times New Roman"/>
        </w:rPr>
        <w:t>of</w:t>
      </w:r>
      <w:r w:rsidR="381C0AD6" w:rsidRPr="00770477">
        <w:rPr>
          <w:rFonts w:cs="Times New Roman"/>
        </w:rPr>
        <w:t xml:space="preserve"> 6 mL</w:t>
      </w:r>
      <w:r w:rsidR="00F431CD">
        <w:rPr>
          <w:rFonts w:cs="Times New Roman"/>
        </w:rPr>
        <w:t xml:space="preserve"> </w:t>
      </w:r>
      <w:r w:rsidR="381C0AD6" w:rsidRPr="00770477">
        <w:rPr>
          <w:rFonts w:cs="Times New Roman"/>
        </w:rPr>
        <w:t>min</w:t>
      </w:r>
      <w:r w:rsidR="00F431CD">
        <w:rPr>
          <w:rFonts w:cs="Times New Roman"/>
          <w:vertAlign w:val="superscript"/>
        </w:rPr>
        <w:t>-1</w:t>
      </w:r>
      <w:r w:rsidR="381C0AD6" w:rsidRPr="00770477">
        <w:rPr>
          <w:rFonts w:cs="Times New Roman"/>
        </w:rPr>
        <w:t xml:space="preserve">. SSW flowed from the bottom of the column to the top to ensure a full saturation. Effluent tubing was placed in a graduated carboy to help ensure the flow rate was consistent across all columns. Sampling points were determined to be at the 10, 40, 90, 160, 270, 430, and 670 pore volumes to achieve a semi-logarithmic sampling schedule where the most change in </w:t>
      </w:r>
      <w:r w:rsidR="2089AD61" w:rsidRPr="00770477">
        <w:rPr>
          <w:rFonts w:cs="Times New Roman"/>
        </w:rPr>
        <w:t xml:space="preserve">contaminant </w:t>
      </w:r>
      <w:r w:rsidR="381C0AD6" w:rsidRPr="00770477">
        <w:rPr>
          <w:rFonts w:cs="Times New Roman"/>
        </w:rPr>
        <w:t xml:space="preserve">removal is expected to be early in the experiment with </w:t>
      </w:r>
      <w:r w:rsidR="2089AD61" w:rsidRPr="00770477">
        <w:rPr>
          <w:rFonts w:cs="Times New Roman"/>
        </w:rPr>
        <w:t xml:space="preserve">contaminant </w:t>
      </w:r>
      <w:r w:rsidR="381C0AD6" w:rsidRPr="00770477">
        <w:rPr>
          <w:rFonts w:cs="Times New Roman"/>
        </w:rPr>
        <w:t>removal declining with time. Samples were collected in 1 L amber glass containers and where possible, were prepared for analysis immediately. However, in some cases, samples were unable to be immediately prepared and instead were promptly refrigerated (4˚C) after collection to be prepared for analysis as soon as possible.</w:t>
      </w:r>
      <w:r w:rsidR="006377C1" w:rsidRPr="00770477">
        <w:rPr>
          <w:rFonts w:cs="Times New Roman"/>
        </w:rPr>
        <w:t xml:space="preserve"> </w:t>
      </w:r>
      <w:r w:rsidR="00160029" w:rsidRPr="00770477">
        <w:rPr>
          <w:rFonts w:cs="Times New Roman"/>
        </w:rPr>
        <w:t>An image outlining the vertical experimental setup is provided below</w:t>
      </w:r>
      <w:r w:rsidR="0026333D" w:rsidRPr="00770477">
        <w:rPr>
          <w:rFonts w:cs="Times New Roman"/>
        </w:rPr>
        <w:t xml:space="preserve"> (</w:t>
      </w:r>
      <w:r w:rsidR="0026333D" w:rsidRPr="00770477">
        <w:rPr>
          <w:rFonts w:cs="Times New Roman"/>
        </w:rPr>
        <w:fldChar w:fldCharType="begin"/>
      </w:r>
      <w:r w:rsidR="0026333D" w:rsidRPr="00770477">
        <w:rPr>
          <w:rFonts w:cs="Times New Roman"/>
        </w:rPr>
        <w:instrText xml:space="preserve"> REF _Ref121241771 \h </w:instrText>
      </w:r>
      <w:r w:rsidR="00770477">
        <w:rPr>
          <w:rFonts w:cs="Times New Roman"/>
        </w:rPr>
        <w:instrText xml:space="preserve"> \* MERGEFORMAT </w:instrText>
      </w:r>
      <w:r w:rsidR="0026333D" w:rsidRPr="00770477">
        <w:rPr>
          <w:rFonts w:cs="Times New Roman"/>
        </w:rPr>
      </w:r>
      <w:r w:rsidR="0026333D" w:rsidRPr="00770477">
        <w:rPr>
          <w:rFonts w:cs="Times New Roman"/>
        </w:rPr>
        <w:fldChar w:fldCharType="separate"/>
      </w:r>
      <w:r w:rsidR="00061096" w:rsidRPr="00061096">
        <w:rPr>
          <w:rFonts w:cs="Times New Roman"/>
        </w:rPr>
        <w:t xml:space="preserve">Figure </w:t>
      </w:r>
      <w:r w:rsidR="00061096" w:rsidRPr="00061096">
        <w:rPr>
          <w:rFonts w:cs="Times New Roman"/>
          <w:noProof/>
        </w:rPr>
        <w:t>2</w:t>
      </w:r>
      <w:r w:rsidR="00061096" w:rsidRPr="00061096">
        <w:rPr>
          <w:rFonts w:cs="Times New Roman"/>
          <w:noProof/>
        </w:rPr>
        <w:noBreakHyphen/>
        <w:t>1</w:t>
      </w:r>
      <w:r w:rsidR="0026333D" w:rsidRPr="00770477">
        <w:rPr>
          <w:rFonts w:cs="Times New Roman"/>
        </w:rPr>
        <w:fldChar w:fldCharType="end"/>
      </w:r>
      <w:r w:rsidR="0026333D" w:rsidRPr="00770477">
        <w:rPr>
          <w:rFonts w:cs="Times New Roman"/>
        </w:rPr>
        <w:t>).</w:t>
      </w:r>
      <w:r w:rsidR="00CB38B2" w:rsidRPr="00770477">
        <w:rPr>
          <w:rFonts w:cs="Times New Roman"/>
        </w:rPr>
        <w:br w:type="page"/>
      </w:r>
    </w:p>
    <w:p w14:paraId="05E7DA13" w14:textId="70C155E1" w:rsidR="00CB38B2" w:rsidRPr="00770477" w:rsidRDefault="000E47B4" w:rsidP="00C86ED4">
      <w:pPr>
        <w:rPr>
          <w:rFonts w:cs="Times New Roman"/>
        </w:rPr>
      </w:pPr>
      <w:r w:rsidRPr="00770477">
        <w:rPr>
          <w:rFonts w:cs="Times New Roman"/>
          <w:noProof/>
        </w:rPr>
        <w:lastRenderedPageBreak/>
        <mc:AlternateContent>
          <mc:Choice Requires="wps">
            <w:drawing>
              <wp:anchor distT="0" distB="0" distL="114300" distR="114300" simplePos="0" relativeHeight="251664391" behindDoc="0" locked="0" layoutInCell="1" allowOverlap="1" wp14:anchorId="44089BA3" wp14:editId="416CBC03">
                <wp:simplePos x="0" y="0"/>
                <wp:positionH relativeFrom="column">
                  <wp:posOffset>351790</wp:posOffset>
                </wp:positionH>
                <wp:positionV relativeFrom="paragraph">
                  <wp:posOffset>3714750</wp:posOffset>
                </wp:positionV>
                <wp:extent cx="5239385" cy="635"/>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5239385" cy="635"/>
                        </a:xfrm>
                        <a:prstGeom prst="rect">
                          <a:avLst/>
                        </a:prstGeom>
                        <a:solidFill>
                          <a:prstClr val="white"/>
                        </a:solidFill>
                        <a:ln>
                          <a:noFill/>
                        </a:ln>
                      </wps:spPr>
                      <wps:txbx>
                        <w:txbxContent>
                          <w:p w14:paraId="2DB36529" w14:textId="3E3F729D" w:rsidR="000E47B4" w:rsidRDefault="000E47B4" w:rsidP="000E47B4">
                            <w:pPr>
                              <w:pStyle w:val="Caption"/>
                              <w:spacing w:line="240" w:lineRule="auto"/>
                            </w:pPr>
                            <w:bookmarkStart w:id="52" w:name="_Ref121241771"/>
                            <w:bookmarkStart w:id="53" w:name="_Toc121489494"/>
                            <w:r>
                              <w:t xml:space="preserve">Figure </w:t>
                            </w:r>
                            <w:fldSimple w:instr=" STYLEREF 1 \s ">
                              <w:r w:rsidR="00061096">
                                <w:rPr>
                                  <w:noProof/>
                                </w:rPr>
                                <w:t>2</w:t>
                              </w:r>
                            </w:fldSimple>
                            <w:r w:rsidR="007B0879">
                              <w:noBreakHyphen/>
                            </w:r>
                            <w:fldSimple w:instr=" SEQ Figure \* ARABIC \s 1 ">
                              <w:r w:rsidR="00061096">
                                <w:rPr>
                                  <w:noProof/>
                                </w:rPr>
                                <w:t>1</w:t>
                              </w:r>
                            </w:fldSimple>
                            <w:bookmarkEnd w:id="52"/>
                            <w:r>
                              <w:t xml:space="preserve"> Photograph of vertical column setup. Pictured from left to right is the sample bottles (collection point), vertical columns containing the media of interest, the peristaltic pumps, and the synthetic stormwater influent tank.</w:t>
                            </w:r>
                            <w:bookmarkEnd w:id="53"/>
                          </w:p>
                          <w:p w14:paraId="3EED647C" w14:textId="77777777" w:rsidR="000E47B4" w:rsidRPr="000E47B4" w:rsidRDefault="000E47B4" w:rsidP="000E47B4"/>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4089BA3" id="_x0000_t202" coordsize="21600,21600" o:spt="202" path="m,l,21600r21600,l21600,xe">
                <v:stroke joinstyle="miter"/>
                <v:path gradientshapeok="t" o:connecttype="rect"/>
              </v:shapetype>
              <v:shape id="Text Box 11" o:spid="_x0000_s1026" type="#_x0000_t202" style="position:absolute;left:0;text-align:left;margin-left:27.7pt;margin-top:292.5pt;width:412.55pt;height:.05pt;z-index:25166439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DYt9FgIAADgEAAAOAAAAZHJzL2Uyb0RvYy54bWysU01v2zAMvQ/YfxB0X5wPpOiMOEWWIsOA&#13;&#10;oC2QDj0rshwbkEWNUmJnv36UbCddt1PRi0yL1KP43tPirq01Oyl0FZiMT0ZjzpSRkFfmkPGfz5sv&#13;&#10;t5w5L0wuNBiV8bNy/G75+dOisamaQgk6V8gIxLi0sRkvvbdpkjhZqlq4EVhlKFkA1sLTLx6SHEVD&#13;&#10;6LVOpuPxTdIA5hZBKudo975L8mXELwol/WNROOWZzjjdzccV47oPa7JciPSAwpaV7K8h3nGLWlSG&#13;&#10;ml6g7oUX7IjVP1B1JREcFH4koU6gKCqp4gw0zWT8ZppdKayKsxA5zl5och8HKx9OO/uEzLffoCUB&#13;&#10;AyGNdamjzTBPW2AdvnRTRnmi8HyhTbWeSdqcT2dfZ7dzziTlbmbzgJFcj1p0/ruCmoUg40iaRKrE&#13;&#10;aet8VzqUhE4OdJVvKq3DT0isNbKTIP2asvKqB/+rSptQayCc6gDDTnKdI0S+3bf9cHvIzzQzQmcH&#13;&#10;Z+WmokZb4fyTQNKfxiRP+0daCg1NxqGPOCsBf/9vP9STLJTlrCE/Zdz9OgpUnOkfhgQL5hsCHIL9&#13;&#10;EJhjvQYacUKvxcoY0gH0eggLhPqFrL4KXSgljKReGfdDuPadq+mpSLVaxSKymBV+a3ZWBuiB0Of2&#13;&#10;RaDt5fCk4gMMThPpG1W62qiLXR09URwlC4R2LPY8kz2j6P1TCv5//R+rrg9++QcAAP//AwBQSwME&#13;&#10;FAAGAAgAAAAhAKB7TBrjAAAADwEAAA8AAABkcnMvZG93bnJldi54bWxMT01PwzAMvSPxHyJP4oJY&#13;&#10;Ominqms6TQMOcJkou3DLGq/paJIqSbfy7zFc4GLL9vP7KNeT6dkZfeicFbCYJ8DQNk51thWwf3++&#13;&#10;y4GFKK2SvbMo4AsDrKvrq1IWyl3sG57r2DIisaGQAnSMQ8F5aDQaGeZuQEu3o/NGRhp9y5WXFyI3&#13;&#10;Pb9PkiU3srOkoOWAW43NZz0aAbv0Y6dvx+PT6yZ98C/7cbs8tbUQN7PpcUVlswIWcYp/H/CTgfxD&#13;&#10;RcYObrQqsF5AlqWEpJ5nFIwAeZ5kwA6/mwXwquT/c1TfAAAA//8DAFBLAQItABQABgAIAAAAIQC2&#13;&#10;gziS/gAAAOEBAAATAAAAAAAAAAAAAAAAAAAAAABbQ29udGVudF9UeXBlc10ueG1sUEsBAi0AFAAG&#13;&#10;AAgAAAAhADj9If/WAAAAlAEAAAsAAAAAAAAAAAAAAAAALwEAAF9yZWxzLy5yZWxzUEsBAi0AFAAG&#13;&#10;AAgAAAAhAFANi30WAgAAOAQAAA4AAAAAAAAAAAAAAAAALgIAAGRycy9lMm9Eb2MueG1sUEsBAi0A&#13;&#10;FAAGAAgAAAAhAKB7TBrjAAAADwEAAA8AAAAAAAAAAAAAAAAAcAQAAGRycy9kb3ducmV2LnhtbFBL&#13;&#10;BQYAAAAABAAEAPMAAACABQAAAAA=&#13;&#10;" stroked="f">
                <v:textbox style="mso-fit-shape-to-text:t" inset="0,0,0,0">
                  <w:txbxContent>
                    <w:p w14:paraId="2DB36529" w14:textId="3E3F729D" w:rsidR="000E47B4" w:rsidRDefault="000E47B4" w:rsidP="000E47B4">
                      <w:pPr>
                        <w:pStyle w:val="Caption"/>
                        <w:spacing w:line="240" w:lineRule="auto"/>
                      </w:pPr>
                      <w:bookmarkStart w:id="54" w:name="_Ref121241771"/>
                      <w:bookmarkStart w:id="55" w:name="_Toc121489494"/>
                      <w:r>
                        <w:t xml:space="preserve">Figure </w:t>
                      </w:r>
                      <w:fldSimple w:instr=" STYLEREF 1 \s ">
                        <w:r w:rsidR="00061096">
                          <w:rPr>
                            <w:noProof/>
                          </w:rPr>
                          <w:t>2</w:t>
                        </w:r>
                      </w:fldSimple>
                      <w:r w:rsidR="007B0879">
                        <w:noBreakHyphen/>
                      </w:r>
                      <w:fldSimple w:instr=" SEQ Figure \* ARABIC \s 1 ">
                        <w:r w:rsidR="00061096">
                          <w:rPr>
                            <w:noProof/>
                          </w:rPr>
                          <w:t>1</w:t>
                        </w:r>
                      </w:fldSimple>
                      <w:bookmarkEnd w:id="54"/>
                      <w:r>
                        <w:t xml:space="preserve"> Photograph of vertical column setup. Pictured from left to right is the sample bottles (collection point), vertical columns containing the media of interest, the peristaltic pumps, and the synthetic stormwater influent tank.</w:t>
                      </w:r>
                      <w:bookmarkEnd w:id="55"/>
                    </w:p>
                    <w:p w14:paraId="3EED647C" w14:textId="77777777" w:rsidR="000E47B4" w:rsidRPr="000E47B4" w:rsidRDefault="000E47B4" w:rsidP="000E47B4"/>
                  </w:txbxContent>
                </v:textbox>
                <w10:wrap type="square"/>
              </v:shape>
            </w:pict>
          </mc:Fallback>
        </mc:AlternateContent>
      </w:r>
      <w:r w:rsidR="00CB38B2" w:rsidRPr="00770477">
        <w:rPr>
          <w:rFonts w:cs="Times New Roman"/>
          <w:noProof/>
        </w:rPr>
        <w:drawing>
          <wp:anchor distT="0" distB="0" distL="114300" distR="114300" simplePos="0" relativeHeight="251662343" behindDoc="0" locked="0" layoutInCell="1" allowOverlap="1" wp14:anchorId="252649BF" wp14:editId="7CEB37BF">
            <wp:simplePos x="914400" y="914400"/>
            <wp:positionH relativeFrom="margin">
              <wp:align>center</wp:align>
            </wp:positionH>
            <wp:positionV relativeFrom="margin">
              <wp:align>top</wp:align>
            </wp:positionV>
            <wp:extent cx="5239512" cy="3657600"/>
            <wp:effectExtent l="0" t="0" r="0" b="0"/>
            <wp:wrapSquare wrapText="bothSides"/>
            <wp:docPr id="3" name="Picture 4" descr="A picture containing text, indoor, cabinet, cluttered&#10;&#10;Description automatically generated">
              <a:extLst xmlns:a="http://schemas.openxmlformats.org/drawingml/2006/main">
                <a:ext uri="{FF2B5EF4-FFF2-40B4-BE49-F238E27FC236}">
                  <a16:creationId xmlns:a16="http://schemas.microsoft.com/office/drawing/2014/main" id="{7BD22D6C-1195-F3FC-CEC2-713FADDB84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icture containing text, indoor, cabinet, cluttered&#10;&#10;Description automatically generated">
                      <a:extLst>
                        <a:ext uri="{FF2B5EF4-FFF2-40B4-BE49-F238E27FC236}">
                          <a16:creationId xmlns:a16="http://schemas.microsoft.com/office/drawing/2014/main" id="{7BD22D6C-1195-F3FC-CEC2-713FADDB841C}"/>
                        </a:ext>
                      </a:extLst>
                    </pic:cNvPr>
                    <pic:cNvPicPr>
                      <a:picLocks noChangeAspect="1"/>
                    </pic:cNvPicPr>
                  </pic:nvPicPr>
                  <pic:blipFill rotWithShape="1">
                    <a:blip r:embed="rId18">
                      <a:extLst>
                        <a:ext uri="{28A0092B-C50C-407E-A947-70E740481C1C}">
                          <a14:useLocalDpi xmlns:a14="http://schemas.microsoft.com/office/drawing/2010/main" val="0"/>
                        </a:ext>
                      </a:extLst>
                    </a:blip>
                    <a:srcRect b="6988"/>
                    <a:stretch/>
                  </pic:blipFill>
                  <pic:spPr>
                    <a:xfrm>
                      <a:off x="0" y="0"/>
                      <a:ext cx="5239512" cy="3657600"/>
                    </a:xfrm>
                    <a:prstGeom prst="rect">
                      <a:avLst/>
                    </a:prstGeom>
                  </pic:spPr>
                </pic:pic>
              </a:graphicData>
            </a:graphic>
          </wp:anchor>
        </w:drawing>
      </w:r>
    </w:p>
    <w:p w14:paraId="3FD99EE5" w14:textId="77777777" w:rsidR="00D22EE9" w:rsidRPr="00770477" w:rsidRDefault="00D22EE9" w:rsidP="00C86ED4">
      <w:pPr>
        <w:rPr>
          <w:rFonts w:cs="Times New Roman"/>
        </w:rPr>
      </w:pPr>
    </w:p>
    <w:p w14:paraId="5767512F" w14:textId="77777777" w:rsidR="000E47B4" w:rsidRPr="00770477" w:rsidRDefault="000E47B4" w:rsidP="00C86ED4">
      <w:pPr>
        <w:rPr>
          <w:rFonts w:cs="Times New Roman"/>
        </w:rPr>
      </w:pPr>
    </w:p>
    <w:p w14:paraId="1AAFB428" w14:textId="3E92488B" w:rsidR="00B16B70" w:rsidRPr="00770477" w:rsidRDefault="1C89FC54" w:rsidP="00B16B70">
      <w:pPr>
        <w:pStyle w:val="Heading3"/>
        <w:rPr>
          <w:rFonts w:cs="Times New Roman"/>
        </w:rPr>
      </w:pPr>
      <w:bookmarkStart w:id="54" w:name="_Toc121495988"/>
      <w:r w:rsidRPr="00770477">
        <w:rPr>
          <w:rFonts w:cs="Times New Roman"/>
        </w:rPr>
        <w:t>Horizontal Columns</w:t>
      </w:r>
      <w:bookmarkEnd w:id="54"/>
    </w:p>
    <w:p w14:paraId="3A2AACA6" w14:textId="284219A5" w:rsidR="0026333D" w:rsidRPr="00770477" w:rsidRDefault="00D22EE9" w:rsidP="0026333D">
      <w:pPr>
        <w:ind w:firstLine="720"/>
        <w:rPr>
          <w:rFonts w:cs="Times New Roman"/>
        </w:rPr>
      </w:pPr>
      <w:r w:rsidRPr="00770477">
        <w:rPr>
          <w:rFonts w:cs="Times New Roman"/>
        </w:rPr>
        <w:t xml:space="preserve">Horizontal columns were composed of translucent, schedule 40, </w:t>
      </w:r>
      <w:r w:rsidR="00922AE4" w:rsidRPr="00770477">
        <w:rPr>
          <w:rFonts w:cs="Times New Roman"/>
        </w:rPr>
        <w:t>1.5</w:t>
      </w:r>
      <w:r w:rsidRPr="00770477">
        <w:rPr>
          <w:rFonts w:cs="Times New Roman"/>
        </w:rPr>
        <w:t>” (</w:t>
      </w:r>
      <w:r w:rsidR="00922AE4" w:rsidRPr="00770477">
        <w:rPr>
          <w:rFonts w:cs="Times New Roman"/>
        </w:rPr>
        <w:t>3.81</w:t>
      </w:r>
      <w:r w:rsidRPr="00770477">
        <w:rPr>
          <w:rFonts w:cs="Times New Roman"/>
        </w:rPr>
        <w:t xml:space="preserve"> cm) PVC. Because this sampling orientation was to simulate bioretention, the sample setup was broken into two main components. First was the vertical tube which was comprised of 1</w:t>
      </w:r>
      <w:r w:rsidR="00700028" w:rsidRPr="00770477">
        <w:rPr>
          <w:rFonts w:cs="Times New Roman"/>
        </w:rPr>
        <w:t xml:space="preserve"> ft</w:t>
      </w:r>
      <w:r w:rsidRPr="00770477">
        <w:rPr>
          <w:rFonts w:cs="Times New Roman"/>
        </w:rPr>
        <w:t xml:space="preserve"> (30.48 cm) of concrete sand and 6</w:t>
      </w:r>
      <w:r w:rsidR="006E3492" w:rsidRPr="00770477">
        <w:rPr>
          <w:rFonts w:cs="Times New Roman"/>
        </w:rPr>
        <w:t xml:space="preserve"> in.</w:t>
      </w:r>
      <w:r w:rsidRPr="00770477">
        <w:rPr>
          <w:rFonts w:cs="Times New Roman"/>
        </w:rPr>
        <w:t xml:space="preserve"> (15.24 cm) of SSW ponding. An overflow port which flowed back to the influent tank was placed at the 18</w:t>
      </w:r>
      <w:r w:rsidR="006E3492" w:rsidRPr="00770477">
        <w:rPr>
          <w:rFonts w:cs="Times New Roman"/>
        </w:rPr>
        <w:t xml:space="preserve"> in.</w:t>
      </w:r>
      <w:r w:rsidRPr="00770477">
        <w:rPr>
          <w:rFonts w:cs="Times New Roman"/>
        </w:rPr>
        <w:t xml:space="preserve"> (45.72 cm) mark to ensure a constant head</w:t>
      </w:r>
      <w:r w:rsidR="00922AE4" w:rsidRPr="00770477">
        <w:rPr>
          <w:rFonts w:cs="Times New Roman"/>
        </w:rPr>
        <w:t xml:space="preserve"> of 6</w:t>
      </w:r>
      <w:r w:rsidR="006E3492" w:rsidRPr="00770477">
        <w:rPr>
          <w:rFonts w:cs="Times New Roman"/>
        </w:rPr>
        <w:t xml:space="preserve"> in. (15.24 cm)</w:t>
      </w:r>
      <w:r w:rsidR="00922AE4" w:rsidRPr="00770477">
        <w:rPr>
          <w:rFonts w:cs="Times New Roman"/>
        </w:rPr>
        <w:t xml:space="preserve"> above the 1</w:t>
      </w:r>
      <w:r w:rsidR="006E3492" w:rsidRPr="00770477">
        <w:rPr>
          <w:rFonts w:cs="Times New Roman"/>
        </w:rPr>
        <w:t xml:space="preserve"> ft (30.48 cm)</w:t>
      </w:r>
      <w:r w:rsidR="00922AE4" w:rsidRPr="00770477">
        <w:rPr>
          <w:rFonts w:cs="Times New Roman"/>
        </w:rPr>
        <w:t xml:space="preserve"> of sand</w:t>
      </w:r>
      <w:r w:rsidRPr="00770477">
        <w:rPr>
          <w:rFonts w:cs="Times New Roman"/>
        </w:rPr>
        <w:t xml:space="preserve"> was achieved throughout. The vertical tube then connected to a 90˚ elbow joint where the horizontal tube was also connected. The horizontal tube was </w:t>
      </w:r>
      <w:proofErr w:type="gramStart"/>
      <w:r w:rsidRPr="00770477">
        <w:rPr>
          <w:rFonts w:cs="Times New Roman"/>
        </w:rPr>
        <w:t>completely filled</w:t>
      </w:r>
      <w:proofErr w:type="gramEnd"/>
      <w:r w:rsidRPr="00770477">
        <w:rPr>
          <w:rFonts w:cs="Times New Roman"/>
        </w:rPr>
        <w:t xml:space="preserve"> with one of the small</w:t>
      </w:r>
      <w:r w:rsidR="007B63CB" w:rsidRPr="00770477">
        <w:rPr>
          <w:rFonts w:cs="Times New Roman"/>
        </w:rPr>
        <w:t xml:space="preserve">-grained </w:t>
      </w:r>
      <w:r w:rsidR="00922AE4" w:rsidRPr="00770477">
        <w:rPr>
          <w:rFonts w:cs="Times New Roman"/>
        </w:rPr>
        <w:t>fractions</w:t>
      </w:r>
      <w:r w:rsidR="007B63CB" w:rsidRPr="00770477">
        <w:rPr>
          <w:rFonts w:cs="Times New Roman"/>
        </w:rPr>
        <w:t xml:space="preserve"> of the media of study. A cap was placed on the end with a </w:t>
      </w:r>
      <w:r w:rsidR="00922AE4" w:rsidRPr="00770477">
        <w:rPr>
          <w:rFonts w:cs="Times New Roman"/>
        </w:rPr>
        <w:t>1/16</w:t>
      </w:r>
      <w:r w:rsidR="007B63CB" w:rsidRPr="00770477">
        <w:rPr>
          <w:rFonts w:cs="Times New Roman"/>
        </w:rPr>
        <w:t>” (</w:t>
      </w:r>
      <w:r w:rsidR="00922AE4" w:rsidRPr="00770477">
        <w:rPr>
          <w:rFonts w:cs="Times New Roman"/>
        </w:rPr>
        <w:t>0.159</w:t>
      </w:r>
      <w:r w:rsidR="007B63CB" w:rsidRPr="00770477">
        <w:rPr>
          <w:rFonts w:cs="Times New Roman"/>
        </w:rPr>
        <w:t xml:space="preserve"> cm) barb to assist in sample collection. Differing from the vertical column setup, columns were filled dry due to the difficulties of filling and assembling the columns </w:t>
      </w:r>
      <w:r w:rsidR="007B63CB" w:rsidRPr="00770477">
        <w:rPr>
          <w:rFonts w:cs="Times New Roman"/>
        </w:rPr>
        <w:lastRenderedPageBreak/>
        <w:t xml:space="preserve">while wet. Each component (vertical and horizontal) was wetted separately (to prevent fines from getting trapped in the horizontal portion) but were assembled to ultimately be saturated for the 24 hours prior to sampling. The sample setup was weighed while empty, while filled with media, and while filled with media and saturated with DI water to determine the pore volume of each column in concordance with </w:t>
      </w:r>
      <w:r w:rsidR="007B63CB" w:rsidRPr="00770477">
        <w:rPr>
          <w:rFonts w:cs="Times New Roman"/>
        </w:rPr>
        <w:fldChar w:fldCharType="begin"/>
      </w:r>
      <w:r w:rsidR="007B63CB" w:rsidRPr="00770477">
        <w:rPr>
          <w:rFonts w:cs="Times New Roman"/>
        </w:rPr>
        <w:instrText xml:space="preserve"> REF _Ref116310433 \h </w:instrText>
      </w:r>
      <w:r w:rsidR="00770477">
        <w:rPr>
          <w:rFonts w:cs="Times New Roman"/>
        </w:rPr>
        <w:instrText xml:space="preserve"> \* MERGEFORMAT </w:instrText>
      </w:r>
      <w:r w:rsidR="007B63CB" w:rsidRPr="00770477">
        <w:rPr>
          <w:rFonts w:cs="Times New Roman"/>
        </w:rPr>
      </w:r>
      <w:r w:rsidR="007B63CB" w:rsidRPr="00770477">
        <w:rPr>
          <w:rFonts w:cs="Times New Roman"/>
        </w:rPr>
        <w:fldChar w:fldCharType="separate"/>
      </w:r>
      <w:r w:rsidR="00061096" w:rsidRPr="00770477">
        <w:rPr>
          <w:rFonts w:cs="Times New Roman"/>
        </w:rPr>
        <w:t xml:space="preserve">Equation </w:t>
      </w:r>
      <w:r w:rsidR="00061096">
        <w:rPr>
          <w:rFonts w:cs="Times New Roman"/>
          <w:noProof/>
        </w:rPr>
        <w:t>2</w:t>
      </w:r>
      <w:r w:rsidR="00061096" w:rsidRPr="00770477">
        <w:rPr>
          <w:rFonts w:cs="Times New Roman"/>
          <w:noProof/>
        </w:rPr>
        <w:noBreakHyphen/>
      </w:r>
      <w:r w:rsidR="00061096">
        <w:rPr>
          <w:rFonts w:cs="Times New Roman"/>
          <w:noProof/>
        </w:rPr>
        <w:t>1</w:t>
      </w:r>
      <w:r w:rsidR="007B63CB" w:rsidRPr="00770477">
        <w:rPr>
          <w:rFonts w:cs="Times New Roman"/>
        </w:rPr>
        <w:fldChar w:fldCharType="end"/>
      </w:r>
      <w:r w:rsidR="007B63CB" w:rsidRPr="00770477">
        <w:rPr>
          <w:rFonts w:cs="Times New Roman"/>
        </w:rPr>
        <w:t xml:space="preserve"> above. Ultimately, the decision was made to sample each column based on a total volume passed convention rather than one based on pore volumes as was with the vertical columns. The sample points were also semi-logarithmic sampling at 0, 1, 2, 4, 6, 10, 17, </w:t>
      </w:r>
      <w:r w:rsidR="00154AF7" w:rsidRPr="00770477">
        <w:rPr>
          <w:rFonts w:cs="Times New Roman"/>
        </w:rPr>
        <w:t xml:space="preserve">and 27 L passed through. The “0” sampling point was determined to be 1 pore volume (as previously determined) based on a simple </w:t>
      </w:r>
      <w:r w:rsidR="00A74F68" w:rsidRPr="00770477">
        <w:rPr>
          <w:rFonts w:cs="Times New Roman"/>
        </w:rPr>
        <w:t>contaminant</w:t>
      </w:r>
      <w:r w:rsidR="00154AF7" w:rsidRPr="00770477">
        <w:rPr>
          <w:rFonts w:cs="Times New Roman"/>
        </w:rPr>
        <w:t>-front experiment performed on a replica of the sample setup as described above</w:t>
      </w:r>
      <w:r w:rsidR="00ED6273" w:rsidRPr="00770477">
        <w:rPr>
          <w:rFonts w:cs="Times New Roman"/>
        </w:rPr>
        <w:t xml:space="preserve"> (</w:t>
      </w:r>
      <w:r w:rsidR="00302953">
        <w:rPr>
          <w:rFonts w:cs="Times New Roman"/>
        </w:rPr>
        <w:fldChar w:fldCharType="begin"/>
      </w:r>
      <w:r w:rsidR="00302953">
        <w:rPr>
          <w:rFonts w:cs="Times New Roman"/>
        </w:rPr>
        <w:instrText xml:space="preserve"> REF _Ref121495957 \h </w:instrText>
      </w:r>
      <w:r w:rsidR="00302953">
        <w:rPr>
          <w:rFonts w:cs="Times New Roman"/>
        </w:rPr>
      </w:r>
      <w:r w:rsidR="00302953">
        <w:rPr>
          <w:rFonts w:cs="Times New Roman"/>
        </w:rPr>
        <w:fldChar w:fldCharType="separate"/>
      </w:r>
      <w:r w:rsidR="00061096">
        <w:t xml:space="preserve">Table </w:t>
      </w:r>
      <w:r w:rsidR="00061096">
        <w:rPr>
          <w:noProof/>
        </w:rPr>
        <w:t>10</w:t>
      </w:r>
      <w:r w:rsidR="00061096">
        <w:noBreakHyphen/>
      </w:r>
      <w:r w:rsidR="00061096">
        <w:rPr>
          <w:noProof/>
        </w:rPr>
        <w:t>12</w:t>
      </w:r>
      <w:r w:rsidR="00302953">
        <w:rPr>
          <w:rFonts w:cs="Times New Roman"/>
        </w:rPr>
        <w:fldChar w:fldCharType="end"/>
      </w:r>
      <w:r w:rsidR="00ED6273" w:rsidRPr="00770477">
        <w:rPr>
          <w:rFonts w:cs="Times New Roman"/>
        </w:rPr>
        <w:t>)</w:t>
      </w:r>
      <w:r w:rsidR="00154AF7" w:rsidRPr="00770477">
        <w:rPr>
          <w:rFonts w:cs="Times New Roman"/>
        </w:rPr>
        <w:t xml:space="preserve">. Samples were also collected into 1 L amber glass and, where possible, prepared for analysis immediately. Some samples were required to be refrigerated (4˚C) and prepared for analysis </w:t>
      </w:r>
      <w:r w:rsidR="001A02B1" w:rsidRPr="00770477">
        <w:rPr>
          <w:rFonts w:cs="Times New Roman"/>
        </w:rPr>
        <w:t>within 8 hours</w:t>
      </w:r>
      <w:r w:rsidR="00154AF7" w:rsidRPr="00770477">
        <w:rPr>
          <w:rFonts w:cs="Times New Roman"/>
        </w:rPr>
        <w:t>.</w:t>
      </w:r>
      <w:r w:rsidR="0026333D" w:rsidRPr="00770477">
        <w:rPr>
          <w:rFonts w:cs="Times New Roman"/>
        </w:rPr>
        <w:t xml:space="preserve"> An image of the horizontal sample setup is provided below.</w:t>
      </w:r>
      <w:r w:rsidR="0026333D" w:rsidRPr="00770477">
        <w:rPr>
          <w:rFonts w:cs="Times New Roman"/>
        </w:rPr>
        <w:br w:type="page"/>
      </w:r>
    </w:p>
    <w:p w14:paraId="27B4217D" w14:textId="23983AAF" w:rsidR="00D22EE9" w:rsidRPr="00770477" w:rsidRDefault="007B0879" w:rsidP="00901F6F">
      <w:pPr>
        <w:ind w:firstLine="720"/>
        <w:rPr>
          <w:rFonts w:cs="Times New Roman"/>
        </w:rPr>
      </w:pPr>
      <w:r w:rsidRPr="00770477">
        <w:rPr>
          <w:rFonts w:cs="Times New Roman"/>
          <w:noProof/>
        </w:rPr>
        <w:lastRenderedPageBreak/>
        <mc:AlternateContent>
          <mc:Choice Requires="wps">
            <w:drawing>
              <wp:anchor distT="0" distB="0" distL="114300" distR="114300" simplePos="0" relativeHeight="251667463" behindDoc="0" locked="0" layoutInCell="1" allowOverlap="1" wp14:anchorId="2EC7F7B4" wp14:editId="4819DD34">
                <wp:simplePos x="0" y="0"/>
                <wp:positionH relativeFrom="column">
                  <wp:posOffset>350520</wp:posOffset>
                </wp:positionH>
                <wp:positionV relativeFrom="paragraph">
                  <wp:posOffset>3752850</wp:posOffset>
                </wp:positionV>
                <wp:extent cx="5242560" cy="635"/>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5242560" cy="635"/>
                        </a:xfrm>
                        <a:prstGeom prst="rect">
                          <a:avLst/>
                        </a:prstGeom>
                        <a:solidFill>
                          <a:prstClr val="white"/>
                        </a:solidFill>
                        <a:ln>
                          <a:noFill/>
                        </a:ln>
                      </wps:spPr>
                      <wps:txbx>
                        <w:txbxContent>
                          <w:p w14:paraId="197B6A08" w14:textId="066A8FEB" w:rsidR="007B0879" w:rsidRPr="00CF1B3F" w:rsidRDefault="007B0879" w:rsidP="007B0879">
                            <w:pPr>
                              <w:pStyle w:val="Caption"/>
                              <w:spacing w:line="240" w:lineRule="auto"/>
                              <w:rPr>
                                <w:sz w:val="24"/>
                                <w:szCs w:val="24"/>
                              </w:rPr>
                            </w:pPr>
                            <w:bookmarkStart w:id="55" w:name="_Toc121489495"/>
                            <w:r>
                              <w:t xml:space="preserve">Figure </w:t>
                            </w:r>
                            <w:fldSimple w:instr=" STYLEREF 1 \s ">
                              <w:r w:rsidR="00061096">
                                <w:rPr>
                                  <w:noProof/>
                                </w:rPr>
                                <w:t>2</w:t>
                              </w:r>
                            </w:fldSimple>
                            <w:r>
                              <w:noBreakHyphen/>
                            </w:r>
                            <w:fldSimple w:instr=" SEQ Figure \* ARABIC \s 1 ">
                              <w:r w:rsidR="00061096">
                                <w:rPr>
                                  <w:noProof/>
                                </w:rPr>
                                <w:t>2</w:t>
                              </w:r>
                            </w:fldSimple>
                            <w:r>
                              <w:t xml:space="preserve"> Photograph of the horizontal column setup. Pictured from left to right are the experimental columns, peristaltic pumps, and the synthetic stormwater influent tank. Experimental columns each demonstrate 6 inches of ponding in the upper portion of the vertical tube</w:t>
                            </w:r>
                            <w:r w:rsidR="00EC7F7C">
                              <w:t xml:space="preserve"> followed by 12 inches of bioretention simulation sand, a 90 degree elbow, 12 inches of </w:t>
                            </w:r>
                            <w:r w:rsidR="00901F6F">
                              <w:t>a media packed tube, and lastly a cap with a 1/16 inch orifice outlet.</w:t>
                            </w:r>
                            <w:bookmarkEnd w:id="5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EC7F7B4" id="Text Box 14" o:spid="_x0000_s1027" type="#_x0000_t202" style="position:absolute;left:0;text-align:left;margin-left:27.6pt;margin-top:295.5pt;width:412.8pt;height:.05pt;z-index:25166746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tu2YFwIAAD8EAAAOAAAAZHJzL2Uyb0RvYy54bWysU1GP2jAMfp+0/xDlfRTYQFNFOTFOTJPQ&#13;&#10;3UncdM8hTWmkNM6cQMt+/ZyUwu22p2kvqWs7dvx9nxd3XWPYSaHXYAs+GY05U1ZCqe2h4N+fNx8+&#13;&#10;c+aDsKUwYFXBz8rzu+X7d4vW5WoKNZhSIaMi1uetK3gdgsuzzMtaNcKPwClLwQqwEYF+8ZCVKFqq&#13;&#10;3phsOh7PsxawdAhSeU/e+z7Il6l+VSkZHqvKq8BMweltIZ2Yzn08s+VC5AcUrtby8gzxD69ohLbU&#13;&#10;9FrqXgTBjqj/KNVoieChCiMJTQZVpaVKM9A0k/GbaXa1cCrNQuB4d4XJ/7+y8uG0c0/IQvcFOiIw&#13;&#10;AtI6n3tyxnm6Cpv4pZcyihOE5ytsqgtMknM2/TSdzSkkKTb/OIs1sttVhz58VdCwaBQciZMElTht&#13;&#10;fehTh5TYyYPR5UYbE39iYG2QnQTx19Y6qEvx37KMjbkW4q2+YPRktzmiFbp9x3T5asY9lGcaHaFX&#13;&#10;hXdyo6nfVvjwJJBkQCORtMMjHZWBtuBwsTirAX/+zR/ziR2KctaSrArufxwFKs7MN0u8RQ0OBg7G&#13;&#10;fjDssVkDTTqhpXEymXQBgxnMCqF5IcWvYhcKCSupV8HDYK5DL27aGKlWq5RESnMibO3OyVh6wPW5&#13;&#10;exHoLqwEIvMBBsGJ/A05fW6ix62OgZBOzEVcexQvcJNKE/eXjYpr8Po/Zd32fvkLAAD//wMAUEsD&#13;&#10;BBQABgAIAAAAIQAvW0sP5AAAAA8BAAAPAAAAZHJzL2Rvd25yZXYueG1sTI89T8MwEIZ3JP6DdUgs&#13;&#10;iDopbRXSOFVVYChLRejC5sZuHIjPke204d/3YIHlTvf13vsUq9F27KR9aB0KSCcJMI21Uy02Avbv&#13;&#10;L/cZsBAlKtk51AK+dYBVeX1VyFy5M77pUxUbRiIYcinAxNjnnIfaaCvDxPUaaXZ03spIpW+48vJM&#13;&#10;4rbj0yRZcCtbpA9G9npjdP1VDVbAbvaxM3fD8fl1PXvw2/2wWXw2lRC3N+PTksJ6CSzqMf5dwA8D&#13;&#10;+YeSjB3cgCqwTsB8PqVNyo8pgdFCliUEdPjtpMDLgv/nKC8AAAD//wMAUEsBAi0AFAAGAAgAAAAh&#13;&#10;ALaDOJL+AAAA4QEAABMAAAAAAAAAAAAAAAAAAAAAAFtDb250ZW50X1R5cGVzXS54bWxQSwECLQAU&#13;&#10;AAYACAAAACEAOP0h/9YAAACUAQAACwAAAAAAAAAAAAAAAAAvAQAAX3JlbHMvLnJlbHNQSwECLQAU&#13;&#10;AAYACAAAACEA7rbtmBcCAAA/BAAADgAAAAAAAAAAAAAAAAAuAgAAZHJzL2Uyb0RvYy54bWxQSwEC&#13;&#10;LQAUAAYACAAAACEAL1tLD+QAAAAPAQAADwAAAAAAAAAAAAAAAABxBAAAZHJzL2Rvd25yZXYueG1s&#13;&#10;UEsFBgAAAAAEAAQA8wAAAIIFAAAAAA==&#13;&#10;" stroked="f">
                <v:textbox style="mso-fit-shape-to-text:t" inset="0,0,0,0">
                  <w:txbxContent>
                    <w:p w14:paraId="197B6A08" w14:textId="066A8FEB" w:rsidR="007B0879" w:rsidRPr="00CF1B3F" w:rsidRDefault="007B0879" w:rsidP="007B0879">
                      <w:pPr>
                        <w:pStyle w:val="Caption"/>
                        <w:spacing w:line="240" w:lineRule="auto"/>
                        <w:rPr>
                          <w:sz w:val="24"/>
                          <w:szCs w:val="24"/>
                        </w:rPr>
                      </w:pPr>
                      <w:bookmarkStart w:id="58" w:name="_Toc121489495"/>
                      <w:r>
                        <w:t xml:space="preserve">Figure </w:t>
                      </w:r>
                      <w:fldSimple w:instr=" STYLEREF 1 \s ">
                        <w:r w:rsidR="00061096">
                          <w:rPr>
                            <w:noProof/>
                          </w:rPr>
                          <w:t>2</w:t>
                        </w:r>
                      </w:fldSimple>
                      <w:r>
                        <w:noBreakHyphen/>
                      </w:r>
                      <w:fldSimple w:instr=" SEQ Figure \* ARABIC \s 1 ">
                        <w:r w:rsidR="00061096">
                          <w:rPr>
                            <w:noProof/>
                          </w:rPr>
                          <w:t>2</w:t>
                        </w:r>
                      </w:fldSimple>
                      <w:r>
                        <w:t xml:space="preserve"> Photograph of the horizontal column setup. Pictured from left to right are the experimental columns, peristaltic pumps, and the synthetic stormwater influent tank. Experimental columns each demonstrate 6 inches of ponding in the upper portion of the vertical tube</w:t>
                      </w:r>
                      <w:r w:rsidR="00EC7F7C">
                        <w:t xml:space="preserve"> followed by 12 inches of bioretention simulation sand, a 90 degree elbow, 12 inches of </w:t>
                      </w:r>
                      <w:r w:rsidR="00901F6F">
                        <w:t>a media packed tube, and lastly a cap with a 1/16 inch orifice outlet.</w:t>
                      </w:r>
                      <w:bookmarkEnd w:id="58"/>
                    </w:p>
                  </w:txbxContent>
                </v:textbox>
                <w10:wrap type="square"/>
              </v:shape>
            </w:pict>
          </mc:Fallback>
        </mc:AlternateContent>
      </w:r>
      <w:r w:rsidRPr="00770477">
        <w:rPr>
          <w:rFonts w:cs="Times New Roman"/>
          <w:noProof/>
        </w:rPr>
        <w:drawing>
          <wp:anchor distT="0" distB="0" distL="114300" distR="114300" simplePos="0" relativeHeight="251665415" behindDoc="0" locked="0" layoutInCell="1" allowOverlap="1" wp14:anchorId="213EC975" wp14:editId="0805C646">
            <wp:simplePos x="914400" y="1266825"/>
            <wp:positionH relativeFrom="margin">
              <wp:align>center</wp:align>
            </wp:positionH>
            <wp:positionV relativeFrom="margin">
              <wp:align>top</wp:align>
            </wp:positionV>
            <wp:extent cx="5242745" cy="3657600"/>
            <wp:effectExtent l="0" t="0" r="0" b="0"/>
            <wp:wrapSquare wrapText="bothSides"/>
            <wp:docPr id="13" name="Content Placeholder 8" descr="A picture containing indoor, cluttered&#10;&#10;Description automatically generated">
              <a:extLst xmlns:a="http://schemas.openxmlformats.org/drawingml/2006/main">
                <a:ext uri="{FF2B5EF4-FFF2-40B4-BE49-F238E27FC236}">
                  <a16:creationId xmlns:a16="http://schemas.microsoft.com/office/drawing/2014/main" id="{70F4B5AE-ACB0-9C69-A3AB-5B575661CC4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8" descr="A picture containing indoor, cluttered&#10;&#10;Description automatically generated">
                      <a:extLst>
                        <a:ext uri="{FF2B5EF4-FFF2-40B4-BE49-F238E27FC236}">
                          <a16:creationId xmlns:a16="http://schemas.microsoft.com/office/drawing/2014/main" id="{70F4B5AE-ACB0-9C69-A3AB-5B575661CC42}"/>
                        </a:ext>
                      </a:extLst>
                    </pic:cNvPr>
                    <pic:cNvPicPr>
                      <a:picLocks noGrp="1" noChangeAspect="1"/>
                    </pic:cNvPicPr>
                  </pic:nvPicPr>
                  <pic:blipFill rotWithShape="1">
                    <a:blip r:embed="rId19">
                      <a:extLst>
                        <a:ext uri="{28A0092B-C50C-407E-A947-70E740481C1C}">
                          <a14:useLocalDpi xmlns:a14="http://schemas.microsoft.com/office/drawing/2010/main" val="0"/>
                        </a:ext>
                      </a:extLst>
                    </a:blip>
                    <a:srcRect t="3138" b="3834"/>
                    <a:stretch/>
                  </pic:blipFill>
                  <pic:spPr>
                    <a:xfrm>
                      <a:off x="0" y="0"/>
                      <a:ext cx="5242745" cy="3657600"/>
                    </a:xfrm>
                    <a:prstGeom prst="rect">
                      <a:avLst/>
                    </a:prstGeom>
                  </pic:spPr>
                </pic:pic>
              </a:graphicData>
            </a:graphic>
          </wp:anchor>
        </w:drawing>
      </w:r>
    </w:p>
    <w:p w14:paraId="515496BC" w14:textId="6E178176" w:rsidR="00740388" w:rsidRPr="00770477" w:rsidRDefault="1C89FC54" w:rsidP="00740388">
      <w:pPr>
        <w:pStyle w:val="Heading3"/>
        <w:rPr>
          <w:rFonts w:cs="Times New Roman"/>
        </w:rPr>
      </w:pPr>
      <w:bookmarkStart w:id="56" w:name="_Toc121495989"/>
      <w:r w:rsidRPr="00770477">
        <w:rPr>
          <w:rFonts w:cs="Times New Roman"/>
        </w:rPr>
        <w:t>Sample Preparation and Analysis</w:t>
      </w:r>
      <w:bookmarkEnd w:id="56"/>
    </w:p>
    <w:p w14:paraId="147727A2" w14:textId="3522513F" w:rsidR="00154AF7" w:rsidRPr="00770477" w:rsidRDefault="00154AF7" w:rsidP="00154AF7">
      <w:pPr>
        <w:pStyle w:val="Heading4"/>
        <w:rPr>
          <w:rFonts w:ascii="Times New Roman" w:hAnsi="Times New Roman" w:cs="Times New Roman"/>
        </w:rPr>
      </w:pPr>
      <w:bookmarkStart w:id="57" w:name="_Toc121495990"/>
      <w:r w:rsidRPr="00770477">
        <w:rPr>
          <w:rFonts w:ascii="Times New Roman" w:hAnsi="Times New Roman" w:cs="Times New Roman"/>
        </w:rPr>
        <w:t>General Chemistry</w:t>
      </w:r>
      <w:bookmarkEnd w:id="57"/>
    </w:p>
    <w:p w14:paraId="1434E510" w14:textId="00AF5A76" w:rsidR="00FA7D37" w:rsidRPr="00770477" w:rsidRDefault="0CFE967B" w:rsidP="00832CC7">
      <w:pPr>
        <w:ind w:firstLine="720"/>
        <w:rPr>
          <w:rFonts w:cs="Times New Roman"/>
        </w:rPr>
      </w:pPr>
      <w:r w:rsidRPr="00770477">
        <w:rPr>
          <w:rFonts w:cs="Times New Roman"/>
        </w:rPr>
        <w:t xml:space="preserve">The </w:t>
      </w:r>
      <w:r w:rsidR="00740388" w:rsidRPr="00770477">
        <w:rPr>
          <w:rFonts w:cs="Times New Roman"/>
        </w:rPr>
        <w:t>pH, specific conductivity (µS</w:t>
      </w:r>
      <w:r w:rsidR="00F431CD">
        <w:rPr>
          <w:rFonts w:cs="Times New Roman"/>
        </w:rPr>
        <w:t xml:space="preserve"> </w:t>
      </w:r>
      <w:r w:rsidR="00740388" w:rsidRPr="00770477">
        <w:rPr>
          <w:rFonts w:cs="Times New Roman"/>
        </w:rPr>
        <w:t>cm</w:t>
      </w:r>
      <w:r w:rsidR="00F431CD">
        <w:rPr>
          <w:rFonts w:cs="Times New Roman"/>
          <w:vertAlign w:val="superscript"/>
        </w:rPr>
        <w:t>-`</w:t>
      </w:r>
      <w:r w:rsidR="00740388" w:rsidRPr="00770477">
        <w:rPr>
          <w:rFonts w:cs="Times New Roman"/>
        </w:rPr>
        <w:t xml:space="preserve">), and temperature (˚C) were measured in the lab during sample preparation. </w:t>
      </w:r>
      <w:r w:rsidR="00866DD4" w:rsidRPr="00770477">
        <w:rPr>
          <w:rFonts w:cs="Times New Roman"/>
        </w:rPr>
        <w:t xml:space="preserve">Initially </w:t>
      </w:r>
      <w:r w:rsidR="0095151A" w:rsidRPr="00770477">
        <w:rPr>
          <w:rFonts w:cs="Times New Roman"/>
        </w:rPr>
        <w:t xml:space="preserve">a </w:t>
      </w:r>
      <w:proofErr w:type="spellStart"/>
      <w:r w:rsidR="0095151A" w:rsidRPr="00770477">
        <w:rPr>
          <w:rFonts w:cs="Times New Roman"/>
        </w:rPr>
        <w:t>bluelab</w:t>
      </w:r>
      <w:r w:rsidR="0095151A" w:rsidRPr="00770477">
        <w:rPr>
          <w:rFonts w:eastAsia="Symbol" w:cs="Times New Roman"/>
          <w:vertAlign w:val="superscript"/>
        </w:rPr>
        <w:t>Ò</w:t>
      </w:r>
      <w:proofErr w:type="spellEnd"/>
      <w:r w:rsidR="0095151A" w:rsidRPr="00770477">
        <w:rPr>
          <w:rFonts w:cs="Times New Roman"/>
        </w:rPr>
        <w:t xml:space="preserve"> Combo Meter</w:t>
      </w:r>
      <w:r w:rsidR="00866DD4" w:rsidRPr="00770477">
        <w:rPr>
          <w:rFonts w:cs="Times New Roman"/>
        </w:rPr>
        <w:t xml:space="preserve"> measured pH, conductivity, and temperature. Irregularities were found in SC results which </w:t>
      </w:r>
      <w:r w:rsidR="00994D17" w:rsidRPr="00770477">
        <w:rPr>
          <w:rFonts w:cs="Times New Roman"/>
        </w:rPr>
        <w:t>led</w:t>
      </w:r>
      <w:r w:rsidR="00866DD4" w:rsidRPr="00770477">
        <w:rPr>
          <w:rFonts w:cs="Times New Roman"/>
        </w:rPr>
        <w:t xml:space="preserve"> to eventually </w:t>
      </w:r>
      <w:r w:rsidR="00740388" w:rsidRPr="00770477">
        <w:rPr>
          <w:rFonts w:cs="Times New Roman"/>
        </w:rPr>
        <w:t>purchasing and deploying</w:t>
      </w:r>
      <w:r w:rsidR="0095151A" w:rsidRPr="00770477">
        <w:rPr>
          <w:rFonts w:cs="Times New Roman"/>
        </w:rPr>
        <w:t xml:space="preserve"> an</w:t>
      </w:r>
      <w:r w:rsidR="00740388" w:rsidRPr="00770477">
        <w:rPr>
          <w:rFonts w:cs="Times New Roman"/>
        </w:rPr>
        <w:t xml:space="preserve"> </w:t>
      </w:r>
      <w:proofErr w:type="spellStart"/>
      <w:r w:rsidR="0095151A" w:rsidRPr="00770477">
        <w:rPr>
          <w:rFonts w:cs="Times New Roman"/>
        </w:rPr>
        <w:t>Apera</w:t>
      </w:r>
      <w:proofErr w:type="spellEnd"/>
      <w:r w:rsidR="0095151A" w:rsidRPr="00770477">
        <w:rPr>
          <w:rFonts w:cs="Times New Roman"/>
        </w:rPr>
        <w:t xml:space="preserve"> Instruments AI311 Premium Series PH60 multiprobe </w:t>
      </w:r>
      <w:r w:rsidR="00740388" w:rsidRPr="00770477">
        <w:rPr>
          <w:rFonts w:cs="Times New Roman"/>
        </w:rPr>
        <w:t xml:space="preserve">which calibrated and performed well throughout the remaining experiments. </w:t>
      </w:r>
      <w:r w:rsidR="00B27EED" w:rsidRPr="00770477">
        <w:rPr>
          <w:rFonts w:cs="Times New Roman"/>
        </w:rPr>
        <w:t>Specific conductivity results</w:t>
      </w:r>
      <w:r w:rsidR="009A66E6" w:rsidRPr="00770477">
        <w:rPr>
          <w:rFonts w:cs="Times New Roman"/>
        </w:rPr>
        <w:t xml:space="preserve"> measured</w:t>
      </w:r>
      <w:r w:rsidR="00B27EED" w:rsidRPr="00770477">
        <w:rPr>
          <w:rFonts w:cs="Times New Roman"/>
        </w:rPr>
        <w:t xml:space="preserve"> from the </w:t>
      </w:r>
      <w:proofErr w:type="spellStart"/>
      <w:r w:rsidR="00B27EED" w:rsidRPr="00770477">
        <w:rPr>
          <w:rFonts w:cs="Times New Roman"/>
        </w:rPr>
        <w:t>bluelab</w:t>
      </w:r>
      <w:proofErr w:type="spellEnd"/>
      <w:proofErr w:type="gramStart"/>
      <w:r w:rsidR="00832CC7">
        <w:rPr>
          <w:rFonts w:eastAsia="Symbol" w:cs="Times New Roman"/>
          <w:vertAlign w:val="superscript"/>
        </w:rPr>
        <w:t xml:space="preserve">™ </w:t>
      </w:r>
      <w:r w:rsidR="008C33A1" w:rsidRPr="00770477">
        <w:rPr>
          <w:rFonts w:eastAsia="Symbol" w:cs="Times New Roman"/>
        </w:rPr>
        <w:t xml:space="preserve"> </w:t>
      </w:r>
      <w:r w:rsidR="00061DAB" w:rsidRPr="00770477">
        <w:rPr>
          <w:rFonts w:cs="Times New Roman"/>
        </w:rPr>
        <w:t>meter</w:t>
      </w:r>
      <w:proofErr w:type="gramEnd"/>
      <w:r w:rsidR="00061DAB" w:rsidRPr="00770477">
        <w:rPr>
          <w:rFonts w:cs="Times New Roman"/>
        </w:rPr>
        <w:t xml:space="preserve"> were thrown out and not considered for analysis. </w:t>
      </w:r>
      <w:r w:rsidR="00832CC7">
        <w:rPr>
          <w:rFonts w:cs="Times New Roman"/>
        </w:rPr>
        <w:br w:type="page"/>
      </w:r>
    </w:p>
    <w:p w14:paraId="08FD8715" w14:textId="07B8FAB8" w:rsidR="00154AF7" w:rsidRPr="00770477" w:rsidRDefault="00154AF7" w:rsidP="00154AF7">
      <w:pPr>
        <w:pStyle w:val="Heading4"/>
        <w:rPr>
          <w:rFonts w:ascii="Times New Roman" w:hAnsi="Times New Roman" w:cs="Times New Roman"/>
        </w:rPr>
      </w:pPr>
      <w:bookmarkStart w:id="58" w:name="_Toc121495991"/>
      <w:r w:rsidRPr="00770477">
        <w:rPr>
          <w:rFonts w:ascii="Times New Roman" w:hAnsi="Times New Roman" w:cs="Times New Roman"/>
        </w:rPr>
        <w:lastRenderedPageBreak/>
        <w:t>Metals</w:t>
      </w:r>
      <w:bookmarkEnd w:id="58"/>
    </w:p>
    <w:p w14:paraId="5E7726EE" w14:textId="785FDCCB" w:rsidR="00866DD4" w:rsidRPr="00770477" w:rsidRDefault="721CAC13" w:rsidP="00FA7D37">
      <w:pPr>
        <w:ind w:firstLine="720"/>
        <w:rPr>
          <w:rFonts w:cs="Times New Roman"/>
        </w:rPr>
      </w:pPr>
      <w:r w:rsidRPr="00770477">
        <w:rPr>
          <w:rFonts w:cs="Times New Roman"/>
        </w:rPr>
        <w:t>Dissolved metals were syringed through a</w:t>
      </w:r>
      <w:r w:rsidR="593215ED" w:rsidRPr="00770477">
        <w:rPr>
          <w:rFonts w:cs="Times New Roman"/>
        </w:rPr>
        <w:t xml:space="preserve">n </w:t>
      </w:r>
      <w:proofErr w:type="spellStart"/>
      <w:r w:rsidR="593215ED" w:rsidRPr="00770477">
        <w:rPr>
          <w:rFonts w:cs="Times New Roman"/>
        </w:rPr>
        <w:t>Allpure</w:t>
      </w:r>
      <w:proofErr w:type="spellEnd"/>
      <w:r w:rsidRPr="00770477">
        <w:rPr>
          <w:rFonts w:cs="Times New Roman"/>
        </w:rPr>
        <w:t xml:space="preserve"> 0.45-micron nylon </w:t>
      </w:r>
      <w:r w:rsidR="593215ED" w:rsidRPr="00770477">
        <w:rPr>
          <w:rFonts w:cs="Times New Roman"/>
        </w:rPr>
        <w:t xml:space="preserve">syringe </w:t>
      </w:r>
      <w:r w:rsidRPr="00770477">
        <w:rPr>
          <w:rFonts w:cs="Times New Roman"/>
        </w:rPr>
        <w:t>filter</w:t>
      </w:r>
      <w:r w:rsidR="593215ED" w:rsidRPr="00770477">
        <w:rPr>
          <w:rFonts w:cs="Times New Roman"/>
        </w:rPr>
        <w:t xml:space="preserve"> tip</w:t>
      </w:r>
      <w:r w:rsidRPr="00770477">
        <w:rPr>
          <w:rFonts w:cs="Times New Roman"/>
        </w:rPr>
        <w:t xml:space="preserve"> into a 15 mL conical centrifuge tube. Each tube was preserved with a single drop of concentrated HPLC grade nitric acid (HNO</w:t>
      </w:r>
      <w:r w:rsidRPr="00770477">
        <w:rPr>
          <w:rFonts w:cs="Times New Roman"/>
          <w:vertAlign w:val="subscript"/>
        </w:rPr>
        <w:t>3</w:t>
      </w:r>
      <w:r w:rsidRPr="00770477">
        <w:rPr>
          <w:rFonts w:cs="Times New Roman"/>
        </w:rPr>
        <w:t xml:space="preserve">) and refrigerated at 4˚C. Both metals fractions were measured </w:t>
      </w:r>
      <w:r w:rsidR="593215ED" w:rsidRPr="00770477">
        <w:rPr>
          <w:rFonts w:cs="Times New Roman"/>
        </w:rPr>
        <w:t xml:space="preserve">via </w:t>
      </w:r>
      <w:proofErr w:type="spellStart"/>
      <w:r w:rsidR="593215ED" w:rsidRPr="00770477">
        <w:rPr>
          <w:rFonts w:cs="Times New Roman"/>
        </w:rPr>
        <w:t>ThermoFisher</w:t>
      </w:r>
      <w:proofErr w:type="spellEnd"/>
      <w:r w:rsidR="593215ED" w:rsidRPr="00770477">
        <w:rPr>
          <w:rFonts w:cs="Times New Roman"/>
        </w:rPr>
        <w:t xml:space="preserve"> Scientific </w:t>
      </w:r>
      <w:proofErr w:type="spellStart"/>
      <w:r w:rsidR="593215ED" w:rsidRPr="00770477">
        <w:rPr>
          <w:rFonts w:cs="Times New Roman"/>
        </w:rPr>
        <w:t>iCap</w:t>
      </w:r>
      <w:proofErr w:type="spellEnd"/>
      <w:r w:rsidR="593215ED" w:rsidRPr="00770477">
        <w:rPr>
          <w:rFonts w:cs="Times New Roman"/>
        </w:rPr>
        <w:t xml:space="preserve"> Pro XP Duo Inductively Coupled Plasma-Optical Emission Spectrometry (ICP-OES) </w:t>
      </w:r>
      <w:r w:rsidR="0C6B0805" w:rsidRPr="00770477">
        <w:rPr>
          <w:rFonts w:cs="Times New Roman"/>
        </w:rPr>
        <w:t>instrument</w:t>
      </w:r>
      <w:r w:rsidR="593215ED" w:rsidRPr="00770477">
        <w:rPr>
          <w:rFonts w:cs="Times New Roman"/>
        </w:rPr>
        <w:t xml:space="preserve"> utilizing the Teledyne AXS-560 Autosampler. </w:t>
      </w:r>
      <w:r w:rsidR="00FA2044" w:rsidRPr="00770477">
        <w:rPr>
          <w:rFonts w:cs="Times New Roman"/>
        </w:rPr>
        <w:t xml:space="preserve">EPA method 200.7 </w:t>
      </w:r>
      <w:r w:rsidR="00FA2044" w:rsidRPr="00770477">
        <w:rPr>
          <w:rFonts w:cs="Times New Roman"/>
        </w:rPr>
        <w:fldChar w:fldCharType="begin"/>
      </w:r>
      <w:r w:rsidR="002074AD">
        <w:rPr>
          <w:rFonts w:cs="Times New Roman"/>
        </w:rPr>
        <w:instrText xml:space="preserve"> ADDIN ZOTERO_ITEM CSL_CITATION {"citationID":"a1c34k055t6","properties":{"formattedCitation":"(Martin et al., 1996)","plainCitation":"(Martin et al., 1996)","noteIndex":0},"citationItems":[{"id":1205,"uris":["http://zotero.org/users/8423188/items/R7XXLAL6"],"itemData":{"id":1205,"type":"report","language":"en","note":"DOI: 10.1016/B978-0-8155-1398-8.50010-0","number":"Method 200.7","source":"DOI.org (Crossref)","title":"DETERMINATION OF METALS AND TRACE ELEMENTS IN WATER AND WASTES BY INDUCTIVELY COUPLED PLASMA-ATOMIC EMISSION SPECTROMETRY","URL":"https://www.epa.gov/sites/default/files/2015-06/documents/epa-200.7.pdf","author":[{"family":"Martin","given":"T.D."},{"family":"Brockhoff","given":"C.A."},{"family":"Creed","given":"J.T."},{"family":"Kopp","given":"J.F."},{"family":"Martin","given":"E.R."},{"family":"EMMC Methods Work Group","given":""}],"accessed":{"date-parts":[["2022",12,6]]},"issued":{"date-parts":[["1996"]]}}}],"schema":"https://github.com/citation-style-language/schema/raw/master/csl-citation.json"} </w:instrText>
      </w:r>
      <w:r w:rsidR="00FA2044" w:rsidRPr="00770477">
        <w:rPr>
          <w:rFonts w:cs="Times New Roman"/>
        </w:rPr>
        <w:fldChar w:fldCharType="separate"/>
      </w:r>
      <w:r w:rsidR="003D5078" w:rsidRPr="00770477">
        <w:rPr>
          <w:rFonts w:cs="Times New Roman"/>
        </w:rPr>
        <w:t>(Martin et al., 1996)</w:t>
      </w:r>
      <w:r w:rsidR="00FA2044" w:rsidRPr="00770477">
        <w:rPr>
          <w:rFonts w:cs="Times New Roman"/>
        </w:rPr>
        <w:fldChar w:fldCharType="end"/>
      </w:r>
      <w:r w:rsidR="00BC1055" w:rsidRPr="00770477">
        <w:rPr>
          <w:rFonts w:cs="Times New Roman"/>
        </w:rPr>
        <w:t xml:space="preserve"> was used to analyze metals results</w:t>
      </w:r>
      <w:r w:rsidR="00D40176" w:rsidRPr="00770477">
        <w:rPr>
          <w:rFonts w:cs="Times New Roman"/>
        </w:rPr>
        <w:t>.</w:t>
      </w:r>
      <w:r w:rsidR="71A9EDD5" w:rsidRPr="00770477">
        <w:rPr>
          <w:rFonts w:cs="Times New Roman"/>
        </w:rPr>
        <w:t xml:space="preserve"> </w:t>
      </w:r>
      <w:r w:rsidR="0C6B0805" w:rsidRPr="00770477">
        <w:rPr>
          <w:rFonts w:cs="Times New Roman"/>
        </w:rPr>
        <w:t>Results from this method are reported in</w:t>
      </w:r>
      <w:r w:rsidR="593215ED" w:rsidRPr="00770477">
        <w:rPr>
          <w:rFonts w:cs="Times New Roman"/>
        </w:rPr>
        <w:t xml:space="preserve"> </w:t>
      </w:r>
      <w:r w:rsidR="00EC33E1">
        <w:rPr>
          <w:rFonts w:cs="Times New Roman"/>
        </w:rPr>
        <w:t>µg L</w:t>
      </w:r>
      <w:r w:rsidR="00EC33E1" w:rsidRPr="00D94174">
        <w:rPr>
          <w:rFonts w:cs="Times New Roman"/>
          <w:vertAlign w:val="superscript"/>
        </w:rPr>
        <w:t>-1</w:t>
      </w:r>
      <w:r w:rsidR="0C6B0805" w:rsidRPr="00770477">
        <w:rPr>
          <w:rFonts w:cs="Times New Roman"/>
        </w:rPr>
        <w:t xml:space="preserve"> elemental concentrations.</w:t>
      </w:r>
    </w:p>
    <w:p w14:paraId="2D1BD7F0" w14:textId="77777777" w:rsidR="00866DD4" w:rsidRPr="00770477" w:rsidRDefault="00866DD4" w:rsidP="00866DD4">
      <w:pPr>
        <w:rPr>
          <w:rFonts w:cs="Times New Roman"/>
        </w:rPr>
      </w:pPr>
    </w:p>
    <w:p w14:paraId="3EEE0C63" w14:textId="182D2E79" w:rsidR="00154AF7" w:rsidRPr="00770477" w:rsidRDefault="00154AF7" w:rsidP="00154AF7">
      <w:pPr>
        <w:pStyle w:val="Heading4"/>
        <w:rPr>
          <w:rFonts w:ascii="Times New Roman" w:hAnsi="Times New Roman" w:cs="Times New Roman"/>
        </w:rPr>
      </w:pPr>
      <w:bookmarkStart w:id="59" w:name="_Toc121495992"/>
      <w:r w:rsidRPr="00770477">
        <w:rPr>
          <w:rFonts w:ascii="Times New Roman" w:hAnsi="Times New Roman" w:cs="Times New Roman"/>
        </w:rPr>
        <w:t>Phosphorus</w:t>
      </w:r>
      <w:bookmarkEnd w:id="59"/>
    </w:p>
    <w:p w14:paraId="03FAA764" w14:textId="13D3B47A" w:rsidR="0052241C" w:rsidRPr="00770477" w:rsidRDefault="00F06EB2" w:rsidP="003D3441">
      <w:pPr>
        <w:ind w:firstLine="720"/>
        <w:rPr>
          <w:rFonts w:cs="Times New Roman"/>
        </w:rPr>
      </w:pPr>
      <w:r w:rsidRPr="00770477">
        <w:rPr>
          <w:rFonts w:cs="Times New Roman"/>
        </w:rPr>
        <w:t>Phosphorus samples were prepared and analyzed in accordance to the Soil, Water, and Forage Analytical Laboratory (SWFAL) at Oklahoma State University</w:t>
      </w:r>
      <w:r w:rsidR="00EB17A7" w:rsidRPr="00770477">
        <w:rPr>
          <w:rFonts w:cs="Times New Roman"/>
        </w:rPr>
        <w:t xml:space="preserve"> </w:t>
      </w:r>
      <w:r w:rsidR="00EB17A7" w:rsidRPr="00770477">
        <w:rPr>
          <w:rFonts w:cs="Times New Roman"/>
        </w:rPr>
        <w:fldChar w:fldCharType="begin"/>
      </w:r>
      <w:r w:rsidR="002074AD">
        <w:rPr>
          <w:rFonts w:cs="Times New Roman"/>
        </w:rPr>
        <w:instrText xml:space="preserve"> ADDIN ZOTERO_ITEM CSL_CITATION {"citationID":"a1ov8hctp75","properties":{"formattedCitation":"({\\i{}OSU SWFAL Procedures}, 2018)","plainCitation":"(OSU SWFAL Procedures, 2018)","noteIndex":0},"citationItems":[{"id":1208,"uris":["http://zotero.org/users/8423188/items/P6V997ED"],"itemData":{"id":1208,"type":"webpage","abstract":"The tests and procedures the Oklahoma State University Soil, Water and Forage Analytical Lab (SWFAL) offer and analysis.","language":"en","title":"Procedures Used by OSU Soil, Water, and Forage Analytical Laboratory - Oklahoma State University","title-short":"OSU SWFAL Procedures","URL":"https://extension.okstate.edu/fact-sheets/procedures-used-by-osu-soil-water-and-forage-analytical-laboratory.html","accessed":{"date-parts":[["2022",12,8]]},"issued":{"date-parts":[["2018",5,1]]}}}],"schema":"https://github.com/citation-style-language/schema/raw/master/csl-citation.json"} </w:instrText>
      </w:r>
      <w:r w:rsidR="00EB17A7" w:rsidRPr="00770477">
        <w:rPr>
          <w:rFonts w:cs="Times New Roman"/>
        </w:rPr>
        <w:fldChar w:fldCharType="separate"/>
      </w:r>
      <w:r w:rsidR="002074AD" w:rsidRPr="002074AD">
        <w:rPr>
          <w:rFonts w:cs="Times New Roman"/>
        </w:rPr>
        <w:t>(</w:t>
      </w:r>
      <w:r w:rsidR="002074AD" w:rsidRPr="002074AD">
        <w:rPr>
          <w:rFonts w:cs="Times New Roman"/>
          <w:i/>
          <w:iCs/>
        </w:rPr>
        <w:t>OSU SWFAL Procedures</w:t>
      </w:r>
      <w:r w:rsidR="002074AD" w:rsidRPr="002074AD">
        <w:rPr>
          <w:rFonts w:cs="Times New Roman"/>
        </w:rPr>
        <w:t>, 2018)</w:t>
      </w:r>
      <w:r w:rsidR="00EB17A7" w:rsidRPr="00770477">
        <w:rPr>
          <w:rFonts w:cs="Times New Roman"/>
        </w:rPr>
        <w:fldChar w:fldCharType="end"/>
      </w:r>
      <w:r w:rsidRPr="00770477">
        <w:rPr>
          <w:rFonts w:cs="Times New Roman"/>
        </w:rPr>
        <w:t xml:space="preserve">. </w:t>
      </w:r>
      <w:r w:rsidR="0000444B" w:rsidRPr="00770477">
        <w:rPr>
          <w:rFonts w:cs="Times New Roman"/>
        </w:rPr>
        <w:t xml:space="preserve">The </w:t>
      </w:r>
      <w:r w:rsidRPr="00770477">
        <w:rPr>
          <w:rFonts w:cs="Times New Roman"/>
        </w:rPr>
        <w:t>SWFAL used ICP-</w:t>
      </w:r>
      <w:r w:rsidR="0000444B" w:rsidRPr="00770477">
        <w:rPr>
          <w:rFonts w:cs="Times New Roman"/>
        </w:rPr>
        <w:t>OES</w:t>
      </w:r>
      <w:r w:rsidR="009B73A4" w:rsidRPr="00770477">
        <w:rPr>
          <w:rFonts w:cs="Times New Roman"/>
        </w:rPr>
        <w:t xml:space="preserve"> (Spectro </w:t>
      </w:r>
      <w:proofErr w:type="spellStart"/>
      <w:r w:rsidR="009B73A4" w:rsidRPr="00770477">
        <w:rPr>
          <w:rFonts w:cs="Times New Roman"/>
        </w:rPr>
        <w:t>Ametek</w:t>
      </w:r>
      <w:proofErr w:type="spellEnd"/>
      <w:r w:rsidR="009B73A4" w:rsidRPr="00770477">
        <w:rPr>
          <w:rFonts w:cs="Times New Roman"/>
          <w:vertAlign w:val="superscript"/>
        </w:rPr>
        <w:t>®</w:t>
      </w:r>
      <w:r w:rsidR="009B73A4" w:rsidRPr="00770477">
        <w:rPr>
          <w:rFonts w:cs="Times New Roman"/>
        </w:rPr>
        <w:t>)</w:t>
      </w:r>
      <w:r w:rsidR="0000444B" w:rsidRPr="00770477">
        <w:rPr>
          <w:rFonts w:cs="Times New Roman"/>
        </w:rPr>
        <w:t xml:space="preserve"> </w:t>
      </w:r>
      <w:r w:rsidRPr="00770477">
        <w:rPr>
          <w:rFonts w:cs="Times New Roman"/>
        </w:rPr>
        <w:t>analysis on phosphorus samples and reported results as</w:t>
      </w:r>
      <w:r w:rsidR="0000444B" w:rsidRPr="00770477">
        <w:rPr>
          <w:rFonts w:cs="Times New Roman"/>
        </w:rPr>
        <w:t xml:space="preserve"> phosphorus</w:t>
      </w:r>
      <w:r w:rsidRPr="00770477">
        <w:rPr>
          <w:rFonts w:cs="Times New Roman"/>
        </w:rPr>
        <w:t xml:space="preserve"> (</w:t>
      </w:r>
      <w:r w:rsidR="00C74611">
        <w:rPr>
          <w:rFonts w:cs="Times New Roman"/>
        </w:rPr>
        <w:t>mg L</w:t>
      </w:r>
      <w:r w:rsidR="00C74611" w:rsidRPr="00C74611">
        <w:rPr>
          <w:rFonts w:cs="Times New Roman"/>
          <w:vertAlign w:val="superscript"/>
        </w:rPr>
        <w:t>-1</w:t>
      </w:r>
      <w:r w:rsidRPr="00770477">
        <w:rPr>
          <w:rFonts w:cs="Times New Roman"/>
        </w:rPr>
        <w:t>).</w:t>
      </w:r>
      <w:r w:rsidR="0000444B" w:rsidRPr="00770477">
        <w:rPr>
          <w:rFonts w:cs="Times New Roman"/>
        </w:rPr>
        <w:t xml:space="preserve"> Adherence to </w:t>
      </w:r>
      <w:r w:rsidRPr="00770477">
        <w:rPr>
          <w:rFonts w:cs="Times New Roman"/>
        </w:rPr>
        <w:fldChar w:fldCharType="begin"/>
      </w:r>
      <w:r w:rsidR="002074AD">
        <w:rPr>
          <w:rFonts w:cs="Times New Roman"/>
        </w:rPr>
        <w:instrText xml:space="preserve"> ADDIN ZOTERO_ITEM CSL_CITATION {"citationID":"kNWAcURF","properties":{"formattedCitation":"(\\uc0\\u8220{}Method 3120 B,\\uc0\\u8221{} 2005)","plainCitation":"(“Method 3120 B,” 2005)","dontUpdate":true,"noteIndex":0},"citationItems":[{"id":999,"uris":["http://zotero.org/users/8423188/items/SN4SGY6J"],"itemData":{"id":999,"type":"article-journal","container-title":"Standard Methods for the Examination of Water and Wastewater","page":"3-39 to 3-44","title":"Method 3120 B","volume":"21th Edition","issued":{"date-parts":[["2005"]]}}}],"schema":"https://github.com/citation-style-language/schema/raw/master/csl-citation.json"} </w:instrText>
      </w:r>
      <w:r w:rsidRPr="00770477">
        <w:rPr>
          <w:rFonts w:cs="Times New Roman"/>
        </w:rPr>
        <w:fldChar w:fldCharType="separate"/>
      </w:r>
      <w:r w:rsidR="0000444B" w:rsidRPr="00770477">
        <w:rPr>
          <w:rFonts w:cs="Times New Roman"/>
        </w:rPr>
        <w:t>“Method 3120 B” (2005)</w:t>
      </w:r>
      <w:r w:rsidRPr="00770477">
        <w:rPr>
          <w:rFonts w:cs="Times New Roman"/>
        </w:rPr>
        <w:fldChar w:fldCharType="end"/>
      </w:r>
      <w:r w:rsidR="0000444B" w:rsidRPr="00770477">
        <w:rPr>
          <w:rFonts w:cs="Times New Roman"/>
        </w:rPr>
        <w:t xml:space="preserve"> was used for analyzing phosphorus samples. </w:t>
      </w:r>
    </w:p>
    <w:p w14:paraId="057DC61A" w14:textId="77777777" w:rsidR="003D3441" w:rsidRPr="00770477" w:rsidRDefault="003D3441" w:rsidP="003D3441">
      <w:pPr>
        <w:ind w:firstLine="720"/>
        <w:rPr>
          <w:rFonts w:cs="Times New Roman"/>
        </w:rPr>
      </w:pPr>
    </w:p>
    <w:p w14:paraId="63702419" w14:textId="24C8599B" w:rsidR="00154AF7" w:rsidRPr="00770477" w:rsidRDefault="00154AF7" w:rsidP="00154AF7">
      <w:pPr>
        <w:pStyle w:val="Heading4"/>
        <w:rPr>
          <w:rFonts w:ascii="Times New Roman" w:hAnsi="Times New Roman" w:cs="Times New Roman"/>
        </w:rPr>
      </w:pPr>
      <w:bookmarkStart w:id="60" w:name="_Toc121495993"/>
      <w:r w:rsidRPr="00770477">
        <w:rPr>
          <w:rFonts w:ascii="Times New Roman" w:hAnsi="Times New Roman" w:cs="Times New Roman"/>
        </w:rPr>
        <w:t>Neonicotinoids</w:t>
      </w:r>
      <w:bookmarkEnd w:id="60"/>
    </w:p>
    <w:p w14:paraId="180DECE7" w14:textId="2F2DFA52" w:rsidR="00154AF7" w:rsidRPr="00770477" w:rsidRDefault="00F06EB2" w:rsidP="00072C0A">
      <w:pPr>
        <w:ind w:firstLine="720"/>
        <w:rPr>
          <w:rFonts w:cs="Times New Roman"/>
        </w:rPr>
      </w:pPr>
      <w:r w:rsidRPr="00770477">
        <w:rPr>
          <w:rFonts w:cs="Times New Roman"/>
        </w:rPr>
        <w:t xml:space="preserve">Neonicotinoid samples were prepared in accordance to </w:t>
      </w:r>
      <w:r w:rsidRPr="00770477">
        <w:rPr>
          <w:rFonts w:cs="Times New Roman"/>
        </w:rPr>
        <w:fldChar w:fldCharType="begin"/>
      </w:r>
      <w:r w:rsidR="002074AD">
        <w:rPr>
          <w:rFonts w:cs="Times New Roman"/>
        </w:rPr>
        <w:instrText xml:space="preserve"> ADDIN ZOTERO_ITEM CSL_CITATION {"citationID":"RUBdDeCH","properties":{"formattedCitation":"(Magalhaes et al., 2009)","plainCitation":"(Magalhaes et al., 2009)","dontUpdate":true,"noteIndex":0},"citationItems":[{"id":67,"uris":["http://zotero.org/users/8423188/items/8GA3GQCW"],"itemData":{"id":67,"type":"article-journal","abstract":"The soybean aphid, Aphis glycines Matsumura (Hemiptera: Aphididae), is native to Asia and was recently (2000) detected in North America. Since then, it has become a signiÞcant threat to U.S. soybean production. Although neonicotinoid insecticide seed treatments, imidacloprid and thiamethoxam, have been suggested as a method of control, the season-long efÞcacy is still uncertain. Therefore, the use of imidacloprid and thiamethoxam seed treatments to control soybean aphid in Nebraska were examined. Soybean aphid populations were monitored weekly in an irrigated Þeld study planted during the later half of the typical Nebraska planting window during 2005 and 2006. Imidacloprid and thiamethoxam were quantiÞed by leaves through time, and leaf speciÞc bioassays were conducted. In 2005, aphid populations were very low; however, in 2006 aphid numbers were signiÞcantly higher than 2005, reaching Ϸ1,200 aphids per plant in the untreated plots. Aphid injury signiÞcantly reduced yield and individual seed size in 2006. Imidacloprid signiÞcantly reduced aphid densities in 2006 but not below the economic threshold. In 2006, thiamethoxam held aphid densities below the economic threshold. Leaf speciÞc bioassays and leaf speciÞc imidacloprid and thiamethoxam quantiÞcation indicated that thiamethoxam was present in the plant at higher concentrations and for a longer period.","container-title":"Journal of Economic Entomology","DOI":"10.1603/029.102.0127","ISSN":"00220493, 00220493","issue":"1","journalAbbreviation":"ec","language":"en","page":"187-195","source":"DOI.org (Crossref)","title":"Efficacy of Neonicotinoid Seed Treatments to Reduce Soybean Aphid Populations Under Field and Controlled Conditions in Nebraska","volume":"102","author":[{"family":"Magalhaes","given":"Leonardo C."},{"family":"Hunt","given":"Thomas E."},{"family":"Siegfried","given":"Blair D."}],"issued":{"date-parts":[["2009",2,1]]}}}],"schema":"https://github.com/citation-style-language/schema/raw/master/csl-citation.json"} </w:instrText>
      </w:r>
      <w:r w:rsidRPr="00770477">
        <w:rPr>
          <w:rFonts w:cs="Times New Roman"/>
        </w:rPr>
        <w:fldChar w:fldCharType="separate"/>
      </w:r>
      <w:r w:rsidRPr="00770477">
        <w:rPr>
          <w:rFonts w:cs="Times New Roman"/>
          <w:noProof/>
        </w:rPr>
        <w:t>Magalhaes et al. (2009)</w:t>
      </w:r>
      <w:r w:rsidRPr="00770477">
        <w:rPr>
          <w:rFonts w:cs="Times New Roman"/>
        </w:rPr>
        <w:fldChar w:fldCharType="end"/>
      </w:r>
      <w:r w:rsidRPr="00770477">
        <w:rPr>
          <w:rFonts w:cs="Times New Roman"/>
        </w:rPr>
        <w:t>. 50 mL of sample was passed through a Waters</w:t>
      </w:r>
      <w:r w:rsidR="00B84517">
        <w:rPr>
          <w:rFonts w:eastAsia="Symbol" w:cs="Times New Roman"/>
        </w:rPr>
        <w:t>™</w:t>
      </w:r>
      <w:r w:rsidRPr="00770477">
        <w:rPr>
          <w:rFonts w:cs="Times New Roman"/>
        </w:rPr>
        <w:t xml:space="preserve"> Oasis HLB 30 µm cartridge which was preconditioned with 6 mL of acetonitrile, </w:t>
      </w:r>
      <w:r w:rsidR="00130553" w:rsidRPr="00770477">
        <w:rPr>
          <w:rFonts w:cs="Times New Roman"/>
        </w:rPr>
        <w:t xml:space="preserve">6 mL </w:t>
      </w:r>
      <w:r w:rsidRPr="00770477">
        <w:rPr>
          <w:rFonts w:cs="Times New Roman"/>
        </w:rPr>
        <w:t xml:space="preserve">methanol, and </w:t>
      </w:r>
      <w:r w:rsidR="00130553" w:rsidRPr="00770477">
        <w:rPr>
          <w:rFonts w:cs="Times New Roman"/>
        </w:rPr>
        <w:t xml:space="preserve">6 mL </w:t>
      </w:r>
      <w:r w:rsidRPr="00770477">
        <w:rPr>
          <w:rFonts w:cs="Times New Roman"/>
        </w:rPr>
        <w:t xml:space="preserve">DI water, respectively. Cartridges were immediately frozen at -20˚C until being packaged and expressed shipped to </w:t>
      </w:r>
      <w:r w:rsidR="00D10403" w:rsidRPr="00770477">
        <w:rPr>
          <w:rFonts w:cs="Times New Roman"/>
        </w:rPr>
        <w:t xml:space="preserve">the Water Sciences Laboratory at the University of Nebraska – Lincoln. Samples were then eluted and “analyzed by reverse-phase high performance liquid chromatography (HPLC)/tandem mass spectrometry </w:t>
      </w:r>
      <w:r w:rsidR="00D10403" w:rsidRPr="00770477">
        <w:rPr>
          <w:rFonts w:cs="Times New Roman"/>
        </w:rPr>
        <w:lastRenderedPageBreak/>
        <w:t>(MS/MS) by using a Waters 2695 HPLC autosampler/pump coupled to a Finnegan LCQ (</w:t>
      </w:r>
      <w:proofErr w:type="spellStart"/>
      <w:r w:rsidR="00D10403" w:rsidRPr="00770477">
        <w:rPr>
          <w:rFonts w:cs="Times New Roman"/>
        </w:rPr>
        <w:t>Thermo</w:t>
      </w:r>
      <w:proofErr w:type="spellEnd"/>
      <w:r w:rsidR="00D10403" w:rsidRPr="00770477">
        <w:rPr>
          <w:rFonts w:cs="Times New Roman"/>
        </w:rPr>
        <w:t xml:space="preserve"> Fisher Scientific) ion-trap mass spectrometer” </w:t>
      </w:r>
      <w:r w:rsidRPr="00770477">
        <w:rPr>
          <w:rFonts w:cs="Times New Roman"/>
        </w:rPr>
        <w:fldChar w:fldCharType="begin"/>
      </w:r>
      <w:r w:rsidR="002074AD">
        <w:rPr>
          <w:rFonts w:cs="Times New Roman"/>
        </w:rPr>
        <w:instrText xml:space="preserve"> ADDIN ZOTERO_ITEM CSL_CITATION {"citationID":"LpHPiwpO","properties":{"formattedCitation":"(Magalhaes et al., 2009)","plainCitation":"(Magalhaes et al., 2009)","noteIndex":0},"citationItems":[{"id":67,"uris":["http://zotero.org/users/8423188/items/8GA3GQCW"],"itemData":{"id":67,"type":"article-journal","abstract":"The soybean aphid, Aphis glycines Matsumura (Hemiptera: Aphididae), is native to Asia and was recently (2000) detected in North America. Since then, it has become a signiÞcant threat to U.S. soybean production. Although neonicotinoid insecticide seed treatments, imidacloprid and thiamethoxam, have been suggested as a method of control, the season-long efÞcacy is still uncertain. Therefore, the use of imidacloprid and thiamethoxam seed treatments to control soybean aphid in Nebraska were examined. Soybean aphid populations were monitored weekly in an irrigated Þeld study planted during the later half of the typical Nebraska planting window during 2005 and 2006. Imidacloprid and thiamethoxam were quantiÞed by leaves through time, and leaf speciÞc bioassays were conducted. In 2005, aphid populations were very low; however, in 2006 aphid numbers were signiÞcantly higher than 2005, reaching Ϸ1,200 aphids per plant in the untreated plots. Aphid injury signiÞcantly reduced yield and individual seed size in 2006. Imidacloprid signiÞcantly reduced aphid densities in 2006 but not below the economic threshold. In 2006, thiamethoxam held aphid densities below the economic threshold. Leaf speciÞc bioassays and leaf speciÞc imidacloprid and thiamethoxam quantiÞcation indicated that thiamethoxam was present in the plant at higher concentrations and for a longer period.","container-title":"Journal of Economic Entomology","DOI":"10.1603/029.102.0127","ISSN":"00220493, 00220493","issue":"1","journalAbbreviation":"ec","language":"en","page":"187-195","source":"DOI.org (Crossref)","title":"Efficacy of Neonicotinoid Seed Treatments to Reduce Soybean Aphid Populations Under Field and Controlled Conditions in Nebraska","volume":"102","author":[{"family":"Magalhaes","given":"Leonardo C."},{"family":"Hunt","given":"Thomas E."},{"family":"Siegfried","given":"Blair D."}],"issued":{"date-parts":[["2009",2,1]]}}}],"schema":"https://github.com/citation-style-language/schema/raw/master/csl-citation.json"} </w:instrText>
      </w:r>
      <w:r w:rsidRPr="00770477">
        <w:rPr>
          <w:rFonts w:cs="Times New Roman"/>
        </w:rPr>
        <w:fldChar w:fldCharType="separate"/>
      </w:r>
      <w:r w:rsidR="00E11E17" w:rsidRPr="00770477">
        <w:rPr>
          <w:rFonts w:cs="Times New Roman"/>
        </w:rPr>
        <w:t>(Magalhaes et al., 2009)</w:t>
      </w:r>
      <w:r w:rsidRPr="00770477">
        <w:rPr>
          <w:rFonts w:cs="Times New Roman"/>
        </w:rPr>
        <w:fldChar w:fldCharType="end"/>
      </w:r>
      <w:r w:rsidR="00D10403" w:rsidRPr="00770477">
        <w:rPr>
          <w:rFonts w:cs="Times New Roman"/>
        </w:rPr>
        <w:t xml:space="preserve">. Concentrations were reported in </w:t>
      </w:r>
      <w:r w:rsidR="00EC33E1">
        <w:rPr>
          <w:rFonts w:cs="Times New Roman"/>
        </w:rPr>
        <w:t>µg L</w:t>
      </w:r>
      <w:r w:rsidR="00EC33E1" w:rsidRPr="00D94174">
        <w:rPr>
          <w:rFonts w:cs="Times New Roman"/>
          <w:vertAlign w:val="superscript"/>
        </w:rPr>
        <w:t>-1</w:t>
      </w:r>
      <w:r w:rsidR="00D10403" w:rsidRPr="00770477">
        <w:rPr>
          <w:rFonts w:cs="Times New Roman"/>
        </w:rPr>
        <w:t xml:space="preserve"> as individual species of neonicotinoid (acetamiprid, dinotefuran, and imidacloprid).</w:t>
      </w:r>
    </w:p>
    <w:p w14:paraId="2F405336" w14:textId="77777777" w:rsidR="00F06EB2" w:rsidRPr="00770477" w:rsidRDefault="00F06EB2" w:rsidP="00154AF7">
      <w:pPr>
        <w:rPr>
          <w:rFonts w:cs="Times New Roman"/>
        </w:rPr>
      </w:pPr>
    </w:p>
    <w:p w14:paraId="04B6F2F2" w14:textId="05FA2775" w:rsidR="00094AF7" w:rsidRPr="00770477" w:rsidRDefault="1C89FC54" w:rsidP="007C3258">
      <w:pPr>
        <w:pStyle w:val="Heading2"/>
        <w:rPr>
          <w:rFonts w:cs="Times New Roman"/>
        </w:rPr>
      </w:pPr>
      <w:bookmarkStart w:id="61" w:name="_Toc121495994"/>
      <w:r w:rsidRPr="00770477">
        <w:rPr>
          <w:rFonts w:cs="Times New Roman"/>
        </w:rPr>
        <w:t>Data Analysis</w:t>
      </w:r>
      <w:bookmarkEnd w:id="61"/>
    </w:p>
    <w:p w14:paraId="59061730" w14:textId="73203705" w:rsidR="00BA26E0" w:rsidRDefault="00D10403" w:rsidP="00BA26E0">
      <w:pPr>
        <w:ind w:firstLine="720"/>
        <w:rPr>
          <w:rFonts w:cs="Times New Roman"/>
        </w:rPr>
      </w:pPr>
      <w:r w:rsidRPr="00770477">
        <w:rPr>
          <w:rFonts w:cs="Times New Roman"/>
        </w:rPr>
        <w:t xml:space="preserve">Data </w:t>
      </w:r>
      <w:r w:rsidR="0086329B" w:rsidRPr="00770477">
        <w:rPr>
          <w:rFonts w:cs="Times New Roman"/>
        </w:rPr>
        <w:t>were</w:t>
      </w:r>
      <w:r w:rsidRPr="00770477">
        <w:rPr>
          <w:rFonts w:cs="Times New Roman"/>
        </w:rPr>
        <w:t xml:space="preserve"> compiled in Microsoft Excel and matched with its parent sample ID. For vertical column experiments, influent samples were taken at the beginning and end points of the experiments with </w:t>
      </w:r>
      <w:r w:rsidR="001B5B40" w:rsidRPr="00770477">
        <w:rPr>
          <w:rFonts w:cs="Times New Roman"/>
        </w:rPr>
        <w:t>samples</w:t>
      </w:r>
      <w:r w:rsidRPr="00770477">
        <w:rPr>
          <w:rFonts w:cs="Times New Roman"/>
        </w:rPr>
        <w:t xml:space="preserve"> taken at the </w:t>
      </w:r>
      <w:proofErr w:type="gramStart"/>
      <w:r w:rsidRPr="00770477">
        <w:rPr>
          <w:rFonts w:cs="Times New Roman"/>
        </w:rPr>
        <w:t>160 pore</w:t>
      </w:r>
      <w:proofErr w:type="gramEnd"/>
      <w:r w:rsidRPr="00770477">
        <w:rPr>
          <w:rFonts w:cs="Times New Roman"/>
        </w:rPr>
        <w:t xml:space="preserve"> volume </w:t>
      </w:r>
      <w:r w:rsidR="001B5B40" w:rsidRPr="00770477">
        <w:rPr>
          <w:rFonts w:cs="Times New Roman"/>
        </w:rPr>
        <w:t xml:space="preserve">sampling point. This was initially employed as a cost-savings measure, however initial results from vertical column experiments </w:t>
      </w:r>
      <w:r w:rsidR="00AC15E4" w:rsidRPr="00770477">
        <w:rPr>
          <w:rFonts w:cs="Times New Roman"/>
        </w:rPr>
        <w:t xml:space="preserve">led </w:t>
      </w:r>
      <w:r w:rsidR="001B5B40" w:rsidRPr="00770477">
        <w:rPr>
          <w:rFonts w:cs="Times New Roman"/>
        </w:rPr>
        <w:t xml:space="preserve">to preferring direct measurement of influent concentrations for all contaminants at every sampling point for the horizontal column experiments. </w:t>
      </w:r>
    </w:p>
    <w:p w14:paraId="1E649369" w14:textId="77777777" w:rsidR="00832CC7" w:rsidRPr="00770477" w:rsidRDefault="00832CC7" w:rsidP="00832CC7">
      <w:pPr>
        <w:rPr>
          <w:rFonts w:cs="Times New Roman"/>
        </w:rPr>
      </w:pPr>
    </w:p>
    <w:p w14:paraId="7942FDC5" w14:textId="79D026C3" w:rsidR="00BA26E0" w:rsidRPr="00770477" w:rsidRDefault="00BA26E0" w:rsidP="00BA26E0">
      <w:pPr>
        <w:pStyle w:val="Heading3"/>
        <w:rPr>
          <w:rFonts w:cs="Times New Roman"/>
        </w:rPr>
      </w:pPr>
      <w:bookmarkStart w:id="62" w:name="_Toc121495995"/>
      <w:r w:rsidRPr="00770477">
        <w:rPr>
          <w:rFonts w:cs="Times New Roman"/>
        </w:rPr>
        <w:t>Influent-Effluent Ratio Analysis</w:t>
      </w:r>
      <w:bookmarkEnd w:id="62"/>
    </w:p>
    <w:p w14:paraId="5828FA81" w14:textId="33479B8A" w:rsidR="00D10403" w:rsidRPr="00770477" w:rsidRDefault="001B5B40" w:rsidP="00072C0A">
      <w:pPr>
        <w:ind w:firstLine="720"/>
        <w:rPr>
          <w:rFonts w:cs="Times New Roman"/>
        </w:rPr>
      </w:pPr>
      <w:r w:rsidRPr="00770477">
        <w:rPr>
          <w:rFonts w:cs="Times New Roman"/>
        </w:rPr>
        <w:t xml:space="preserve">For the vertical column experiments, influent values that corresponded to each sampling point were </w:t>
      </w:r>
      <w:r w:rsidR="00152C33" w:rsidRPr="00770477">
        <w:rPr>
          <w:rFonts w:cs="Times New Roman"/>
        </w:rPr>
        <w:t>interpolated</w:t>
      </w:r>
      <w:r w:rsidRPr="00770477">
        <w:rPr>
          <w:rFonts w:cs="Times New Roman"/>
        </w:rPr>
        <w:t xml:space="preserve"> using simple linear regression since influent concentrations differed slightly throughout the duration of the experiment. These measured or </w:t>
      </w:r>
      <w:r w:rsidR="002712EA" w:rsidRPr="00770477">
        <w:rPr>
          <w:rFonts w:cs="Times New Roman"/>
        </w:rPr>
        <w:t>interpolated</w:t>
      </w:r>
      <w:r w:rsidR="002712EA" w:rsidRPr="00770477">
        <w:rPr>
          <w:rStyle w:val="CommentReference"/>
          <w:rFonts w:cs="Times New Roman"/>
          <w:sz w:val="24"/>
          <w:szCs w:val="24"/>
        </w:rPr>
        <w:t xml:space="preserve"> values</w:t>
      </w:r>
      <w:r w:rsidRPr="00770477">
        <w:rPr>
          <w:rFonts w:cs="Times New Roman"/>
        </w:rPr>
        <w:t xml:space="preserve"> were paired with their equivalent effluent concentrations to determine the influent-effluent </w:t>
      </w:r>
      <w:r w:rsidR="005C13F5" w:rsidRPr="00770477">
        <w:rPr>
          <w:rFonts w:cs="Times New Roman"/>
        </w:rPr>
        <w:t xml:space="preserve">(IE) </w:t>
      </w:r>
      <w:r w:rsidRPr="00770477">
        <w:rPr>
          <w:rFonts w:cs="Times New Roman"/>
        </w:rPr>
        <w:t>ratio (</w:t>
      </w:r>
      <w:r w:rsidRPr="00770477">
        <w:rPr>
          <w:rFonts w:cs="Times New Roman"/>
        </w:rPr>
        <w:fldChar w:fldCharType="begin"/>
      </w:r>
      <w:r w:rsidRPr="00770477">
        <w:rPr>
          <w:rFonts w:cs="Times New Roman"/>
        </w:rPr>
        <w:instrText xml:space="preserve"> REF _Ref116316947 \h </w:instrText>
      </w:r>
      <w:r w:rsidR="00770477">
        <w:rPr>
          <w:rFonts w:cs="Times New Roman"/>
        </w:rPr>
        <w:instrText xml:space="preserve"> \* MERGEFORMAT </w:instrText>
      </w:r>
      <w:r w:rsidRPr="00770477">
        <w:rPr>
          <w:rFonts w:cs="Times New Roman"/>
        </w:rPr>
      </w:r>
      <w:r w:rsidRPr="00770477">
        <w:rPr>
          <w:rFonts w:cs="Times New Roman"/>
        </w:rPr>
        <w:fldChar w:fldCharType="separate"/>
      </w:r>
      <w:r w:rsidR="00061096" w:rsidRPr="00770477">
        <w:rPr>
          <w:rFonts w:cs="Times New Roman"/>
        </w:rPr>
        <w:t xml:space="preserve">Equation </w:t>
      </w:r>
      <w:r w:rsidR="00061096">
        <w:rPr>
          <w:rFonts w:cs="Times New Roman"/>
          <w:noProof/>
        </w:rPr>
        <w:t>2</w:t>
      </w:r>
      <w:r w:rsidR="00061096" w:rsidRPr="00770477">
        <w:rPr>
          <w:rFonts w:cs="Times New Roman"/>
          <w:noProof/>
        </w:rPr>
        <w:noBreakHyphen/>
      </w:r>
      <w:r w:rsidR="00061096">
        <w:rPr>
          <w:rFonts w:cs="Times New Roman"/>
          <w:noProof/>
        </w:rPr>
        <w:t>2</w:t>
      </w:r>
      <w:r w:rsidRPr="00770477">
        <w:rPr>
          <w:rFonts w:cs="Times New Roman"/>
        </w:rPr>
        <w:fldChar w:fldCharType="end"/>
      </w:r>
      <w:r w:rsidRPr="00770477">
        <w:rPr>
          <w:rFonts w:cs="Times New Roman"/>
        </w:rPr>
        <w:t xml:space="preserve">). As mentioned, for horizontal column experiments, influent values were directly measured and paired with their effluent value to determine the </w:t>
      </w:r>
      <w:r w:rsidR="005C13F5" w:rsidRPr="00770477">
        <w:rPr>
          <w:rFonts w:cs="Times New Roman"/>
        </w:rPr>
        <w:t>IE</w:t>
      </w:r>
      <w:r w:rsidRPr="00770477">
        <w:rPr>
          <w:rFonts w:cs="Times New Roman"/>
        </w:rPr>
        <w:t xml:space="preserve"> ratio (</w:t>
      </w:r>
      <w:r w:rsidRPr="00770477">
        <w:rPr>
          <w:rFonts w:cs="Times New Roman"/>
        </w:rPr>
        <w:fldChar w:fldCharType="begin"/>
      </w:r>
      <w:r w:rsidRPr="00770477">
        <w:rPr>
          <w:rFonts w:cs="Times New Roman"/>
        </w:rPr>
        <w:instrText xml:space="preserve"> REF _Ref116316947 \h </w:instrText>
      </w:r>
      <w:r w:rsidR="00770477">
        <w:rPr>
          <w:rFonts w:cs="Times New Roman"/>
        </w:rPr>
        <w:instrText xml:space="preserve"> \* MERGEFORMAT </w:instrText>
      </w:r>
      <w:r w:rsidRPr="00770477">
        <w:rPr>
          <w:rFonts w:cs="Times New Roman"/>
        </w:rPr>
      </w:r>
      <w:r w:rsidRPr="00770477">
        <w:rPr>
          <w:rFonts w:cs="Times New Roman"/>
        </w:rPr>
        <w:fldChar w:fldCharType="separate"/>
      </w:r>
      <w:r w:rsidR="00061096" w:rsidRPr="00770477">
        <w:rPr>
          <w:rFonts w:cs="Times New Roman"/>
        </w:rPr>
        <w:t xml:space="preserve">Equation </w:t>
      </w:r>
      <w:r w:rsidR="00061096">
        <w:rPr>
          <w:rFonts w:cs="Times New Roman"/>
          <w:noProof/>
        </w:rPr>
        <w:t>2</w:t>
      </w:r>
      <w:r w:rsidR="00061096" w:rsidRPr="00770477">
        <w:rPr>
          <w:rFonts w:cs="Times New Roman"/>
          <w:noProof/>
        </w:rPr>
        <w:noBreakHyphen/>
      </w:r>
      <w:r w:rsidR="00061096">
        <w:rPr>
          <w:rFonts w:cs="Times New Roman"/>
          <w:noProof/>
        </w:rPr>
        <w:t>2</w:t>
      </w:r>
      <w:r w:rsidRPr="00770477">
        <w:rPr>
          <w:rFonts w:cs="Times New Roman"/>
        </w:rPr>
        <w:fldChar w:fldCharType="end"/>
      </w:r>
      <w:r w:rsidRPr="00770477">
        <w:rPr>
          <w:rFonts w:cs="Times New Roman"/>
        </w:rPr>
        <w:t xml:space="preserve">). </w:t>
      </w:r>
    </w:p>
    <w:p w14:paraId="22A166C5" w14:textId="77777777" w:rsidR="001B5B40" w:rsidRPr="00770477" w:rsidRDefault="001B5B40" w:rsidP="00154AF7">
      <w:pPr>
        <w:rPr>
          <w:rFonts w:cs="Times New Roman"/>
        </w:rPr>
      </w:pPr>
    </w:p>
    <w:p w14:paraId="0C3D1B4F" w14:textId="50B04B0F" w:rsidR="001B5B40" w:rsidRPr="00770477" w:rsidRDefault="001B5B40" w:rsidP="00832CC7">
      <w:pPr>
        <w:pStyle w:val="Caption"/>
        <w:keepNext/>
        <w:spacing w:line="240" w:lineRule="auto"/>
        <w:jc w:val="center"/>
        <w:rPr>
          <w:rFonts w:cs="Times New Roman"/>
        </w:rPr>
      </w:pPr>
      <w:bookmarkStart w:id="63" w:name="_Ref116316947"/>
      <w:bookmarkStart w:id="64" w:name="_Toc121486642"/>
      <w:r w:rsidRPr="00770477">
        <w:rPr>
          <w:rFonts w:cs="Times New Roman"/>
        </w:rPr>
        <w:t xml:space="preserve">Equation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2</w:t>
      </w:r>
      <w:r w:rsidRPr="00770477">
        <w:rPr>
          <w:rFonts w:cs="Times New Roman"/>
          <w:noProof/>
        </w:rPr>
        <w:fldChar w:fldCharType="end"/>
      </w:r>
      <w:r w:rsidR="008B1ECE" w:rsidRPr="00770477">
        <w:rPr>
          <w:rFonts w:cs="Times New Roman"/>
        </w:rPr>
        <w:noBreakHyphen/>
      </w:r>
      <w:r w:rsidRPr="00770477">
        <w:rPr>
          <w:rFonts w:cs="Times New Roman"/>
        </w:rPr>
        <w:fldChar w:fldCharType="begin"/>
      </w:r>
      <w:r w:rsidRPr="00770477">
        <w:rPr>
          <w:rFonts w:cs="Times New Roman"/>
        </w:rPr>
        <w:instrText xml:space="preserve"> SEQ Equation \* ARABIC \s 1 </w:instrText>
      </w:r>
      <w:r w:rsidRPr="00770477">
        <w:rPr>
          <w:rFonts w:cs="Times New Roman"/>
        </w:rPr>
        <w:fldChar w:fldCharType="separate"/>
      </w:r>
      <w:r w:rsidR="00061096">
        <w:rPr>
          <w:rFonts w:cs="Times New Roman"/>
          <w:noProof/>
        </w:rPr>
        <w:t>2</w:t>
      </w:r>
      <w:r w:rsidRPr="00770477">
        <w:rPr>
          <w:rFonts w:cs="Times New Roman"/>
          <w:noProof/>
        </w:rPr>
        <w:fldChar w:fldCharType="end"/>
      </w:r>
      <w:bookmarkEnd w:id="63"/>
      <w:r w:rsidR="004A6B66">
        <w:rPr>
          <w:rFonts w:cs="Times New Roman"/>
        </w:rPr>
        <w:t xml:space="preserve"> </w:t>
      </w:r>
      <w:r w:rsidRPr="00770477">
        <w:rPr>
          <w:rFonts w:cs="Times New Roman"/>
        </w:rPr>
        <w:t xml:space="preserve">Influent - effluent </w:t>
      </w:r>
      <w:r w:rsidR="004F7656" w:rsidRPr="00770477">
        <w:rPr>
          <w:rFonts w:cs="Times New Roman"/>
        </w:rPr>
        <w:t>ratio</w:t>
      </w:r>
      <w:r w:rsidRPr="00770477">
        <w:rPr>
          <w:rFonts w:cs="Times New Roman"/>
        </w:rPr>
        <w:t xml:space="preserve"> calculation</w:t>
      </w:r>
      <w:bookmarkEnd w:id="64"/>
    </w:p>
    <w:p w14:paraId="128E97F5" w14:textId="60CFDEAB" w:rsidR="005C13F5" w:rsidRPr="00770477" w:rsidRDefault="004F7656" w:rsidP="00832CC7">
      <w:pPr>
        <w:jc w:val="center"/>
        <w:rPr>
          <w:rFonts w:eastAsiaTheme="minorEastAsia" w:cs="Times New Roman"/>
        </w:rPr>
      </w:pPr>
      <m:oMath>
        <m:r>
          <w:rPr>
            <w:rFonts w:ascii="Cambria Math" w:hAnsi="Cambria Math" w:cs="Times New Roman"/>
          </w:rPr>
          <m:t>Influent Effluent (IE) Ratio=</m:t>
        </m:r>
        <m:f>
          <m:fPr>
            <m:ctrlPr>
              <w:rPr>
                <w:rFonts w:ascii="Cambria Math" w:hAnsi="Cambria Math" w:cs="Times New Roman"/>
                <w:i/>
              </w:rPr>
            </m:ctrlPr>
          </m:fPr>
          <m:num>
            <m:r>
              <w:rPr>
                <w:rFonts w:ascii="Cambria Math" w:hAnsi="Cambria Math" w:cs="Times New Roman"/>
              </w:rPr>
              <m:t>Effluent Concentration</m:t>
            </m:r>
          </m:num>
          <m:den>
            <m:r>
              <w:rPr>
                <w:rFonts w:ascii="Cambria Math" w:hAnsi="Cambria Math" w:cs="Times New Roman"/>
              </w:rPr>
              <m:t>Influent Concentration</m:t>
            </m:r>
          </m:den>
        </m:f>
      </m:oMath>
      <w:r w:rsidR="00832CC7">
        <w:rPr>
          <w:rFonts w:eastAsiaTheme="minorEastAsia" w:cs="Times New Roman"/>
        </w:rPr>
        <w:br w:type="page"/>
      </w:r>
    </w:p>
    <w:p w14:paraId="51ABB7F3" w14:textId="3B54B0E4" w:rsidR="005C13F5" w:rsidRPr="00770477" w:rsidRDefault="005C13F5" w:rsidP="00E17803">
      <w:pPr>
        <w:ind w:firstLine="720"/>
        <w:rPr>
          <w:rFonts w:eastAsiaTheme="minorEastAsia" w:cs="Times New Roman"/>
        </w:rPr>
      </w:pPr>
      <w:r w:rsidRPr="00770477">
        <w:rPr>
          <w:rFonts w:eastAsiaTheme="minorEastAsia" w:cs="Times New Roman"/>
        </w:rPr>
        <w:lastRenderedPageBreak/>
        <w:t xml:space="preserve">The IE ratio was then plotted using the statistical software R </w:t>
      </w:r>
      <w:r w:rsidRPr="00770477">
        <w:rPr>
          <w:rFonts w:eastAsiaTheme="minorEastAsia" w:cs="Times New Roman"/>
        </w:rPr>
        <w:fldChar w:fldCharType="begin"/>
      </w:r>
      <w:r w:rsidR="002074AD">
        <w:rPr>
          <w:rFonts w:eastAsiaTheme="minorEastAsia" w:cs="Times New Roman"/>
        </w:rPr>
        <w:instrText xml:space="preserve"> ADDIN ZOTERO_ITEM CSL_CITATION {"citationID":"j8NI7bJe","properties":{"formattedCitation":"(R Core Team, 2022)","plainCitation":"(R Core Team, 2022)","noteIndex":0},"citationItems":[{"id":986,"uris":["http://zotero.org/users/8423188/items/HNW2HQL8"],"itemData":{"id":986,"type":"software","event-place":"Vienna, Austria","genre":"R","publisher":"R Foundation for Statistical Computing","publisher-place":"Vienna, Austria","title":"R: A language and environment for statistical computing.","URL":"https://R-project.org/","version":"4.2.1","author":[{"family":"R Core Team","given":""}],"issued":{"date-parts":[["2022"]]}}}],"schema":"https://github.com/citation-style-language/schema/raw/master/csl-citation.json"} </w:instrText>
      </w:r>
      <w:r w:rsidRPr="00770477">
        <w:rPr>
          <w:rFonts w:eastAsiaTheme="minorEastAsia" w:cs="Times New Roman"/>
        </w:rPr>
        <w:fldChar w:fldCharType="separate"/>
      </w:r>
      <w:r w:rsidR="00E11E17" w:rsidRPr="00770477">
        <w:rPr>
          <w:rFonts w:cs="Times New Roman"/>
        </w:rPr>
        <w:t>(R Core Team, 2022)</w:t>
      </w:r>
      <w:r w:rsidRPr="00770477">
        <w:rPr>
          <w:rFonts w:eastAsiaTheme="minorEastAsia" w:cs="Times New Roman"/>
        </w:rPr>
        <w:fldChar w:fldCharType="end"/>
      </w:r>
      <w:r w:rsidRPr="00770477">
        <w:rPr>
          <w:rFonts w:eastAsiaTheme="minorEastAsia" w:cs="Times New Roman"/>
        </w:rPr>
        <w:t xml:space="preserve"> with pore volumes or total volume passed as the predictor variable and the IE ratio as the response variable. This visualization shows whether the media was measured to be removing a specific contaminant (IE ratio &lt;1), leaching it (IE ratio &gt; 1) or was ineffective at removing the contaminant yet did not leach it (IE ratio = 1). An “error zone” was determined to be ±0.1 unit on either side of EI ratio of 1, meaning, any EI ratio value between 0.9 and 1.1 was interpreted to be neither removing </w:t>
      </w:r>
      <w:r w:rsidR="00F55CD9" w:rsidRPr="00770477">
        <w:rPr>
          <w:rFonts w:eastAsiaTheme="minorEastAsia" w:cs="Times New Roman"/>
        </w:rPr>
        <w:t xml:space="preserve">nor </w:t>
      </w:r>
      <w:r w:rsidRPr="00770477">
        <w:rPr>
          <w:rFonts w:eastAsiaTheme="minorEastAsia" w:cs="Times New Roman"/>
        </w:rPr>
        <w:t xml:space="preserve">leaching the contaminant. </w:t>
      </w:r>
    </w:p>
    <w:p w14:paraId="6B7EA1CE" w14:textId="77777777" w:rsidR="00037CBC" w:rsidRPr="00770477" w:rsidRDefault="00037CBC" w:rsidP="00037CBC">
      <w:pPr>
        <w:rPr>
          <w:rFonts w:eastAsiaTheme="minorEastAsia" w:cs="Times New Roman"/>
        </w:rPr>
      </w:pPr>
    </w:p>
    <w:p w14:paraId="7BA48884" w14:textId="0E5A3243" w:rsidR="00037CBC" w:rsidRPr="00770477" w:rsidRDefault="00D756CB" w:rsidP="00037CBC">
      <w:pPr>
        <w:pStyle w:val="Heading3"/>
        <w:rPr>
          <w:rFonts w:cs="Times New Roman"/>
        </w:rPr>
      </w:pPr>
      <w:bookmarkStart w:id="65" w:name="_Toc121495996"/>
      <w:r w:rsidRPr="00770477">
        <w:rPr>
          <w:rFonts w:cs="Times New Roman"/>
        </w:rPr>
        <w:t>Modeling Results</w:t>
      </w:r>
      <w:bookmarkEnd w:id="65"/>
    </w:p>
    <w:p w14:paraId="4CDAE791" w14:textId="43E995A5" w:rsidR="00CC5F3A" w:rsidRPr="00770477" w:rsidRDefault="00E2759C" w:rsidP="00072C0A">
      <w:pPr>
        <w:ind w:firstLine="720"/>
        <w:rPr>
          <w:rFonts w:cs="Times New Roman"/>
        </w:rPr>
      </w:pPr>
      <w:r w:rsidRPr="00770477">
        <w:rPr>
          <w:rFonts w:eastAsiaTheme="minorEastAsia" w:cs="Times New Roman"/>
        </w:rPr>
        <w:t>Logistic r</w:t>
      </w:r>
      <w:r w:rsidR="005C13F5" w:rsidRPr="00770477">
        <w:rPr>
          <w:rFonts w:eastAsiaTheme="minorEastAsia" w:cs="Times New Roman"/>
        </w:rPr>
        <w:t xml:space="preserve">egression analysis was used to best fit the data’s behavior over </w:t>
      </w:r>
      <w:r w:rsidR="007D4217" w:rsidRPr="00770477">
        <w:rPr>
          <w:rFonts w:eastAsiaTheme="minorEastAsia" w:cs="Times New Roman"/>
        </w:rPr>
        <w:t xml:space="preserve">time. The power law Gompertz equation was used to fit an asymmetric breakthrough curve to the IE ratio data. This method is supported for its use in column sorption experiments as well as dosing-response and population studies due to its ability to fit asymmetric growth/breakthrough data, especially in column studies where sorption sites are near or at saturation </w:t>
      </w:r>
      <w:r w:rsidR="007D4217" w:rsidRPr="00770477">
        <w:rPr>
          <w:rFonts w:eastAsiaTheme="minorEastAsia" w:cs="Times New Roman"/>
        </w:rPr>
        <w:fldChar w:fldCharType="begin"/>
      </w:r>
      <w:r w:rsidR="002074AD">
        <w:rPr>
          <w:rFonts w:eastAsiaTheme="minorEastAsia" w:cs="Times New Roman"/>
        </w:rPr>
        <w:instrText xml:space="preserve"> ADDIN ZOTERO_ITEM CSL_CITATION {"citationID":"WKd2dZCn","properties":{"formattedCitation":"(Chu, 2020)","plainCitation":"(Chu, 2020)","noteIndex":0},"citationItems":[{"id":969,"uris":["http://zotero.org/users/8423188/items/VQ7BYHES"],"itemData":{"id":969,"type":"article-journal","container-title":"Journal of Environmental Chemical Engineering","DOI":"10.1016/j.jece.2020.103713","ISSN":"22133437","issue":"3","journalAbbreviation":"Journal of Environmental Chemical Engineering","language":"en","page":"103713","source":"DOI.org (Crossref)","title":"Fitting the Gompertz equation to asymmetric breakthrough curves","volume":"8","author":[{"family":"Chu","given":"Khim Hoong"}],"issued":{"date-parts":[["2020",6]]}}}],"schema":"https://github.com/citation-style-language/schema/raw/master/csl-citation.json"} </w:instrText>
      </w:r>
      <w:r w:rsidR="007D4217" w:rsidRPr="00770477">
        <w:rPr>
          <w:rFonts w:eastAsiaTheme="minorEastAsia" w:cs="Times New Roman"/>
        </w:rPr>
        <w:fldChar w:fldCharType="separate"/>
      </w:r>
      <w:r w:rsidR="00E11E17" w:rsidRPr="00770477">
        <w:rPr>
          <w:rFonts w:cs="Times New Roman"/>
        </w:rPr>
        <w:t>(Chu, 2020)</w:t>
      </w:r>
      <w:r w:rsidR="007D4217" w:rsidRPr="00770477">
        <w:rPr>
          <w:rFonts w:eastAsiaTheme="minorEastAsia" w:cs="Times New Roman"/>
        </w:rPr>
        <w:fldChar w:fldCharType="end"/>
      </w:r>
      <w:r w:rsidR="007D4217" w:rsidRPr="00770477">
        <w:rPr>
          <w:rFonts w:eastAsiaTheme="minorEastAsia" w:cs="Times New Roman"/>
        </w:rPr>
        <w:t xml:space="preserve">. </w:t>
      </w:r>
    </w:p>
    <w:p w14:paraId="13FF56D0" w14:textId="77777777" w:rsidR="00CC5F3A" w:rsidRPr="00770477" w:rsidRDefault="00CC5F3A" w:rsidP="005C13F5">
      <w:pPr>
        <w:rPr>
          <w:rFonts w:eastAsiaTheme="minorEastAsia" w:cs="Times New Roman"/>
        </w:rPr>
      </w:pPr>
    </w:p>
    <w:p w14:paraId="59AF4945" w14:textId="2E7BB2E2" w:rsidR="00CC5F3A" w:rsidRPr="00770477" w:rsidRDefault="00CC5F3A" w:rsidP="00CC5F3A">
      <w:pPr>
        <w:pStyle w:val="Caption"/>
        <w:keepNext/>
        <w:spacing w:line="240" w:lineRule="auto"/>
        <w:rPr>
          <w:rFonts w:cs="Times New Roman"/>
        </w:rPr>
      </w:pPr>
      <w:bookmarkStart w:id="66" w:name="_Toc121486643"/>
      <w:r w:rsidRPr="00770477">
        <w:rPr>
          <w:rFonts w:cs="Times New Roman"/>
        </w:rPr>
        <w:t xml:space="preserve">Equation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2</w:t>
      </w:r>
      <w:r w:rsidRPr="00770477">
        <w:rPr>
          <w:rFonts w:cs="Times New Roman"/>
          <w:noProof/>
        </w:rPr>
        <w:fldChar w:fldCharType="end"/>
      </w:r>
      <w:r w:rsidR="008B1ECE" w:rsidRPr="00770477">
        <w:rPr>
          <w:rFonts w:cs="Times New Roman"/>
        </w:rPr>
        <w:noBreakHyphen/>
      </w:r>
      <w:r w:rsidRPr="00770477">
        <w:rPr>
          <w:rFonts w:cs="Times New Roman"/>
        </w:rPr>
        <w:fldChar w:fldCharType="begin"/>
      </w:r>
      <w:r w:rsidRPr="00770477">
        <w:rPr>
          <w:rFonts w:cs="Times New Roman"/>
        </w:rPr>
        <w:instrText xml:space="preserve"> SEQ Equation \* ARABIC \s 1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Pr="00770477">
        <w:rPr>
          <w:rFonts w:cs="Times New Roman"/>
        </w:rPr>
        <w:t xml:space="preserve"> Simplified Gompertz function as defined by </w:t>
      </w:r>
      <w:r w:rsidRPr="00770477">
        <w:rPr>
          <w:rFonts w:cs="Times New Roman"/>
        </w:rPr>
        <w:fldChar w:fldCharType="begin"/>
      </w:r>
      <w:r w:rsidR="002074AD">
        <w:rPr>
          <w:rFonts w:cs="Times New Roman"/>
        </w:rPr>
        <w:instrText xml:space="preserve"> ADDIN ZOTERO_ITEM CSL_CITATION {"citationID":"KY03VMaK","properties":{"formattedCitation":"(Chu, 2020)","plainCitation":"(Chu, 2020)","noteIndex":0},"citationItems":[{"id":969,"uris":["http://zotero.org/users/8423188/items/VQ7BYHES"],"itemData":{"id":969,"type":"article-journal","container-title":"Journal of Environmental Chemical Engineering","DOI":"10.1016/j.jece.2020.103713","ISSN":"22133437","issue":"3","journalAbbreviation":"Journal of Environmental Chemical Engineering","language":"en","page":"103713","source":"DOI.org (Crossref)","title":"Fitting the Gompertz equation to asymmetric breakthrough curves","volume":"8","author":[{"family":"Chu","given":"Khim Hoong"}],"issued":{"date-parts":[["2020",6]]}}}],"schema":"https://github.com/citation-style-language/schema/raw/master/csl-citation.json"} </w:instrText>
      </w:r>
      <w:r w:rsidRPr="00770477">
        <w:rPr>
          <w:rFonts w:cs="Times New Roman"/>
        </w:rPr>
        <w:fldChar w:fldCharType="separate"/>
      </w:r>
      <w:r w:rsidR="00E11E17" w:rsidRPr="00770477">
        <w:rPr>
          <w:rFonts w:cs="Times New Roman"/>
        </w:rPr>
        <w:t>(Chu, 2020)</w:t>
      </w:r>
      <w:r w:rsidRPr="00770477">
        <w:rPr>
          <w:rFonts w:cs="Times New Roman"/>
        </w:rPr>
        <w:fldChar w:fldCharType="end"/>
      </w:r>
      <w:r w:rsidR="004A6B66">
        <w:rPr>
          <w:rFonts w:cs="Times New Roman"/>
        </w:rPr>
        <w:t>.</w:t>
      </w:r>
      <w:bookmarkEnd w:id="66"/>
    </w:p>
    <w:p w14:paraId="68E43C29" w14:textId="42A906E3" w:rsidR="00CC5F3A" w:rsidRPr="00770477" w:rsidRDefault="00CC5F3A" w:rsidP="00CC5F3A">
      <w:pPr>
        <w:spacing w:line="240" w:lineRule="auto"/>
        <w:rPr>
          <w:rFonts w:eastAsiaTheme="minorEastAsia" w:cs="Times New Roman"/>
          <w:i/>
        </w:rPr>
      </w:pPr>
      <m:oMathPara>
        <m:oMath>
          <m:r>
            <w:rPr>
              <w:rFonts w:ascii="Cambria Math" w:eastAsiaTheme="minorEastAsia" w:hAnsi="Cambria Math" w:cs="Times New Roman"/>
            </w:rPr>
            <m:t>f</m:t>
          </m:r>
          <m:d>
            <m:dPr>
              <m:ctrlPr>
                <w:rPr>
                  <w:rFonts w:ascii="Cambria Math" w:eastAsiaTheme="minorEastAsia" w:hAnsi="Cambria Math" w:cs="Times New Roman"/>
                  <w:i/>
                </w:rPr>
              </m:ctrlPr>
            </m:dPr>
            <m:e>
              <m:r>
                <w:rPr>
                  <w:rFonts w:ascii="Cambria Math" w:eastAsiaTheme="minorEastAsia" w:hAnsi="Cambria Math" w:cs="Times New Roman"/>
                </w:rPr>
                <m:t>x</m:t>
              </m:r>
            </m:e>
          </m:d>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Y</m:t>
              </m:r>
            </m:e>
            <m:sub>
              <m:r>
                <w:rPr>
                  <w:rFonts w:ascii="Cambria Math" w:eastAsiaTheme="minorEastAsia" w:hAnsi="Cambria Math" w:cs="Times New Roman"/>
                </w:rPr>
                <m:t>max</m:t>
              </m:r>
            </m:sub>
          </m:sSub>
          <m:func>
            <m:funcPr>
              <m:ctrlPr>
                <w:rPr>
                  <w:rFonts w:ascii="Cambria Math" w:eastAsiaTheme="minorEastAsia" w:hAnsi="Cambria Math" w:cs="Times New Roman"/>
                </w:rPr>
              </m:ctrlPr>
            </m:funcPr>
            <m:fName>
              <m:r>
                <m:rPr>
                  <m:sty m:val="p"/>
                </m:rPr>
                <w:rPr>
                  <w:rFonts w:ascii="Cambria Math" w:eastAsiaTheme="minorEastAsia" w:hAnsi="Cambria Math" w:cs="Times New Roman"/>
                </w:rPr>
                <m:t>exp</m:t>
              </m:r>
            </m:fName>
            <m:e>
              <m:d>
                <m:dPr>
                  <m:begChr m:val="["/>
                  <m:endChr m:val="]"/>
                  <m:ctrlPr>
                    <w:rPr>
                      <w:rFonts w:ascii="Cambria Math" w:eastAsiaTheme="minorEastAsia" w:hAnsi="Cambria Math" w:cs="Times New Roman"/>
                      <w:i/>
                    </w:rPr>
                  </m:ctrlPr>
                </m:dPr>
                <m:e>
                  <m:r>
                    <w:rPr>
                      <w:rFonts w:ascii="Cambria Math" w:eastAsiaTheme="minorEastAsia" w:hAnsi="Cambria Math" w:cs="Times New Roman"/>
                    </w:rPr>
                    <m:t>-</m:t>
                  </m:r>
                  <m:func>
                    <m:funcPr>
                      <m:ctrlPr>
                        <w:rPr>
                          <w:rFonts w:ascii="Cambria Math" w:eastAsiaTheme="minorEastAsia" w:hAnsi="Cambria Math" w:cs="Times New Roman"/>
                        </w:rPr>
                      </m:ctrlPr>
                    </m:funcPr>
                    <m:fName>
                      <m:r>
                        <m:rPr>
                          <m:sty m:val="p"/>
                        </m:rPr>
                        <w:rPr>
                          <w:rFonts w:ascii="Cambria Math" w:eastAsiaTheme="minorEastAsia" w:hAnsi="Cambria Math" w:cs="Times New Roman"/>
                        </w:rPr>
                        <m:t>exp</m:t>
                      </m:r>
                      <m:ctrlPr>
                        <w:rPr>
                          <w:rFonts w:ascii="Cambria Math" w:eastAsiaTheme="minorEastAsia" w:hAnsi="Cambria Math" w:cs="Times New Roman"/>
                          <w:i/>
                        </w:rPr>
                      </m:ctrlPr>
                    </m:fName>
                    <m:e>
                      <m:r>
                        <w:rPr>
                          <w:rFonts w:ascii="Cambria Math" w:eastAsiaTheme="minorEastAsia" w:hAnsi="Cambria Math" w:cs="Times New Roman"/>
                        </w:rPr>
                        <m:t>β</m:t>
                      </m:r>
                      <m:d>
                        <m:dPr>
                          <m:ctrlPr>
                            <w:rPr>
                              <w:rFonts w:ascii="Cambria Math" w:eastAsiaTheme="minorEastAsia" w:hAnsi="Cambria Math" w:cs="Times New Roman"/>
                              <w:i/>
                            </w:rPr>
                          </m:ctrlPr>
                        </m:dPr>
                        <m:e>
                          <m:r>
                            <w:rPr>
                              <w:rFonts w:ascii="Cambria Math" w:eastAsiaTheme="minorEastAsia" w:hAnsi="Cambria Math" w:cs="Times New Roman"/>
                            </w:rPr>
                            <m:t>x-α</m:t>
                          </m:r>
                        </m:e>
                      </m:d>
                    </m:e>
                  </m:func>
                </m:e>
              </m:d>
            </m:e>
          </m:func>
          <m:r>
            <w:rPr>
              <w:rFonts w:ascii="Cambria Math" w:eastAsiaTheme="minorEastAsia" w:hAnsi="Cambria Math" w:cs="Times New Roman"/>
            </w:rPr>
            <m:t xml:space="preserve"> </m:t>
          </m:r>
        </m:oMath>
      </m:oMathPara>
    </w:p>
    <w:p w14:paraId="13B7F0AF" w14:textId="77777777" w:rsidR="00CC5F3A" w:rsidRPr="00770477" w:rsidRDefault="00CC5F3A" w:rsidP="00CC5F3A">
      <w:pPr>
        <w:spacing w:line="240" w:lineRule="auto"/>
        <w:rPr>
          <w:rFonts w:eastAsiaTheme="minorEastAsia" w:cs="Times New Roman"/>
          <w:i/>
        </w:rPr>
      </w:pPr>
    </w:p>
    <w:p w14:paraId="1E64B4E5" w14:textId="50D01FA7" w:rsidR="00CC5F3A" w:rsidRPr="00770477" w:rsidRDefault="00CC5F3A" w:rsidP="00CC5F3A">
      <w:pPr>
        <w:spacing w:line="240" w:lineRule="auto"/>
        <w:ind w:firstLine="2970"/>
        <w:rPr>
          <w:rFonts w:eastAsiaTheme="minorEastAsia" w:cs="Times New Roman"/>
          <w:i/>
        </w:rPr>
      </w:pPr>
      <w:proofErr w:type="spellStart"/>
      <w:r w:rsidRPr="00770477">
        <w:rPr>
          <w:rFonts w:eastAsiaTheme="minorEastAsia" w:cs="Times New Roman"/>
          <w:i/>
        </w:rPr>
        <w:t>Y</w:t>
      </w:r>
      <w:r w:rsidRPr="00770477">
        <w:rPr>
          <w:rFonts w:eastAsiaTheme="minorEastAsia" w:cs="Times New Roman"/>
          <w:i/>
          <w:vertAlign w:val="subscript"/>
        </w:rPr>
        <w:t>max</w:t>
      </w:r>
      <w:proofErr w:type="spellEnd"/>
      <w:r w:rsidRPr="00770477">
        <w:rPr>
          <w:rFonts w:eastAsiaTheme="minorEastAsia" w:cs="Times New Roman"/>
          <w:i/>
        </w:rPr>
        <w:t xml:space="preserve"> = upper asymptote</w:t>
      </w:r>
    </w:p>
    <w:p w14:paraId="0C2FA9C4" w14:textId="77777777" w:rsidR="00CC5F3A" w:rsidRPr="00770477" w:rsidRDefault="00CC5F3A" w:rsidP="00CC5F3A">
      <w:pPr>
        <w:spacing w:line="240" w:lineRule="auto"/>
        <w:ind w:firstLine="2970"/>
        <w:rPr>
          <w:rFonts w:eastAsiaTheme="minorEastAsia" w:cs="Times New Roman"/>
          <w:i/>
        </w:rPr>
      </w:pPr>
      <w:r w:rsidRPr="00770477">
        <w:rPr>
          <w:rFonts w:eastAsiaTheme="minorEastAsia" w:cs="Times New Roman"/>
          <w:i/>
        </w:rPr>
        <w:t>a = fitting parameter</w:t>
      </w:r>
    </w:p>
    <w:p w14:paraId="26183EDB" w14:textId="1F28E0A8" w:rsidR="00CC5F3A" w:rsidRPr="00770477" w:rsidRDefault="00CC5F3A" w:rsidP="00CC5F3A">
      <w:pPr>
        <w:spacing w:line="240" w:lineRule="auto"/>
        <w:ind w:firstLine="2970"/>
        <w:rPr>
          <w:rFonts w:eastAsiaTheme="minorEastAsia" w:cs="Times New Roman"/>
          <w:i/>
        </w:rPr>
      </w:pPr>
      <w:r w:rsidRPr="00770477">
        <w:rPr>
          <w:rFonts w:eastAsiaTheme="minorEastAsia" w:cs="Times New Roman"/>
          <w:i/>
        </w:rPr>
        <w:t>b = fitting parameter</w:t>
      </w:r>
    </w:p>
    <w:p w14:paraId="7E3F48BF" w14:textId="160FEACB" w:rsidR="00CC5F3A" w:rsidRPr="00770477" w:rsidRDefault="00C51245" w:rsidP="00CC5F3A">
      <w:pPr>
        <w:spacing w:line="240" w:lineRule="auto"/>
        <w:ind w:firstLine="2970"/>
        <w:rPr>
          <w:rFonts w:eastAsiaTheme="minorEastAsia" w:cs="Times New Roman"/>
          <w:i/>
        </w:rPr>
      </w:pPr>
      <w:r w:rsidRPr="00770477">
        <w:rPr>
          <w:rFonts w:eastAsiaTheme="minorEastAsia" w:cs="Times New Roman"/>
          <w:i/>
        </w:rPr>
        <w:t>x</w:t>
      </w:r>
      <w:r w:rsidR="00CC5F3A" w:rsidRPr="00770477">
        <w:rPr>
          <w:rFonts w:eastAsiaTheme="minorEastAsia" w:cs="Times New Roman"/>
          <w:i/>
        </w:rPr>
        <w:t xml:space="preserve"> = pore/total volume passed</w:t>
      </w:r>
    </w:p>
    <w:p w14:paraId="5F278240" w14:textId="77777777" w:rsidR="00CC5F3A" w:rsidRPr="00770477" w:rsidRDefault="00CC5F3A" w:rsidP="005C13F5">
      <w:pPr>
        <w:rPr>
          <w:rFonts w:eastAsiaTheme="minorEastAsia" w:cs="Times New Roman"/>
        </w:rPr>
      </w:pPr>
    </w:p>
    <w:p w14:paraId="2A2FD4BE" w14:textId="3AE45BA2" w:rsidR="00212E80" w:rsidRPr="00770477" w:rsidRDefault="007D4217" w:rsidP="6324C1E6">
      <w:pPr>
        <w:rPr>
          <w:rFonts w:eastAsiaTheme="minorEastAsia" w:cs="Times New Roman"/>
        </w:rPr>
      </w:pPr>
      <w:r w:rsidRPr="00770477">
        <w:rPr>
          <w:rFonts w:eastAsiaTheme="minorEastAsia" w:cs="Times New Roman"/>
        </w:rPr>
        <w:t>Statistical package “Dose Response Curve” (DRC)</w:t>
      </w:r>
      <w:r w:rsidRPr="00770477">
        <w:rPr>
          <w:rFonts w:eastAsiaTheme="minorEastAsia" w:cs="Times New Roman"/>
        </w:rPr>
        <w:fldChar w:fldCharType="begin"/>
      </w:r>
      <w:r w:rsidR="002074AD">
        <w:rPr>
          <w:rFonts w:eastAsiaTheme="minorEastAsia" w:cs="Times New Roman"/>
        </w:rPr>
        <w:instrText xml:space="preserve"> ADDIN ZOTERO_ITEM CSL_CITATION {"citationID":"SaqN170l","properties":{"formattedCitation":"(Ritz et al., 2015)","plainCitation":"(Ritz et al., 2015)","dontUpdate":true,"noteIndex":0},"citationItems":[{"id":980,"uris":["http://zotero.org/users/8423188/items/SUY86NQU"],"itemData":{"id":980,"type":"article-journal","container-title":"PLOS ONE","DOI":"10.1371/journal.pone.0146021","ISSN":"1932-6203","issue":"12","journalAbbreviation":"PLoS ONE","language":"en","page":"e0146021","source":"DOI.org (Crossref)","title":"Dose-Response Analysis Using R","volume":"10","author":[{"family":"Ritz","given":"Christian"},{"family":"Baty","given":"Florent"},{"family":"Streibig","given":"Jens C."},{"family":"Gerhard","given":"Daniel"}],"editor":[{"family":"Xia","given":"Yinglin"}],"issued":{"date-parts":[["2015",12,30]]}}}],"schema":"https://github.com/citation-style-language/schema/raw/master/csl-citation.json"} </w:instrText>
      </w:r>
      <w:r w:rsidRPr="00770477">
        <w:rPr>
          <w:rFonts w:eastAsiaTheme="minorEastAsia" w:cs="Times New Roman"/>
        </w:rPr>
        <w:fldChar w:fldCharType="separate"/>
      </w:r>
      <w:r w:rsidRPr="00770477">
        <w:rPr>
          <w:rFonts w:eastAsiaTheme="minorEastAsia" w:cs="Times New Roman"/>
        </w:rPr>
        <w:t xml:space="preserve"> </w:t>
      </w:r>
      <w:r w:rsidRPr="00770477">
        <w:rPr>
          <w:rFonts w:eastAsiaTheme="minorEastAsia" w:cs="Times New Roman"/>
          <w:noProof/>
        </w:rPr>
        <w:t>(Ritz et al., 2015)</w:t>
      </w:r>
      <w:r w:rsidRPr="00770477">
        <w:rPr>
          <w:rFonts w:eastAsiaTheme="minorEastAsia" w:cs="Times New Roman"/>
        </w:rPr>
        <w:fldChar w:fldCharType="end"/>
      </w:r>
      <w:r w:rsidRPr="00770477">
        <w:rPr>
          <w:rFonts w:eastAsiaTheme="minorEastAsia" w:cs="Times New Roman"/>
        </w:rPr>
        <w:t xml:space="preserve"> was used to fit Gompertz curves to the data</w:t>
      </w:r>
      <w:r w:rsidR="00C1033E" w:rsidRPr="00770477">
        <w:rPr>
          <w:rFonts w:eastAsiaTheme="minorEastAsia" w:cs="Times New Roman"/>
        </w:rPr>
        <w:t>. We used</w:t>
      </w:r>
      <w:r w:rsidRPr="00770477">
        <w:rPr>
          <w:rFonts w:eastAsiaTheme="minorEastAsia" w:cs="Times New Roman"/>
        </w:rPr>
        <w:t xml:space="preserve"> </w:t>
      </w:r>
      <w:r w:rsidR="00CC5F3A" w:rsidRPr="00770477">
        <w:rPr>
          <w:rFonts w:eastAsiaTheme="minorEastAsia" w:cs="Times New Roman"/>
        </w:rPr>
        <w:t>other statistical packages such as</w:t>
      </w:r>
      <w:r w:rsidRPr="00770477">
        <w:rPr>
          <w:rFonts w:eastAsiaTheme="minorEastAsia" w:cs="Times New Roman"/>
        </w:rPr>
        <w:t xml:space="preserve"> “DPLYR” </w:t>
      </w:r>
      <w:r w:rsidRPr="00770477">
        <w:rPr>
          <w:rFonts w:eastAsiaTheme="minorEastAsia" w:cs="Times New Roman"/>
        </w:rPr>
        <w:fldChar w:fldCharType="begin"/>
      </w:r>
      <w:r w:rsidR="002074AD">
        <w:rPr>
          <w:rFonts w:eastAsiaTheme="minorEastAsia" w:cs="Times New Roman"/>
        </w:rPr>
        <w:instrText xml:space="preserve"> ADDIN ZOTERO_ITEM CSL_CITATION {"citationID":"CTZfVboU","properties":{"formattedCitation":"(Wickham et al., 2022)","plainCitation":"(Wickham et al., 2022)","noteIndex":0},"citationItems":[{"id":987,"uris":["http://zotero.org/users/8423188/items/V8GSLBDT"],"itemData":{"id":987,"type":"software","title":"dplyr: A Grammar of Data Manipulation","URL":"https://CRAN.R-project.org/package=dplyr","version":"1.0.10","author":[{"family":"Wickham","given":"Hadley"},{"family":"François","given":"Romain"},{"family":"Henry","given":"Lionel"},{"family":"Müller","given":"Kirill"}],"issued":{"date-parts":[["2022"]]}}}],"schema":"https://github.com/citation-style-language/schema/raw/master/csl-citation.json"} </w:instrText>
      </w:r>
      <w:r w:rsidRPr="00770477">
        <w:rPr>
          <w:rFonts w:eastAsiaTheme="minorEastAsia" w:cs="Times New Roman"/>
        </w:rPr>
        <w:fldChar w:fldCharType="separate"/>
      </w:r>
      <w:r w:rsidR="00E11E17" w:rsidRPr="00770477">
        <w:rPr>
          <w:rFonts w:cs="Times New Roman"/>
        </w:rPr>
        <w:t>(Wickham et al., 2022)</w:t>
      </w:r>
      <w:r w:rsidRPr="00770477">
        <w:rPr>
          <w:rFonts w:eastAsiaTheme="minorEastAsia" w:cs="Times New Roman"/>
        </w:rPr>
        <w:fldChar w:fldCharType="end"/>
      </w:r>
      <w:r w:rsidRPr="00770477">
        <w:rPr>
          <w:rFonts w:eastAsiaTheme="minorEastAsia" w:cs="Times New Roman"/>
        </w:rPr>
        <w:t xml:space="preserve"> and “</w:t>
      </w:r>
      <w:proofErr w:type="spellStart"/>
      <w:r w:rsidRPr="00770477">
        <w:rPr>
          <w:rFonts w:eastAsiaTheme="minorEastAsia" w:cs="Times New Roman"/>
        </w:rPr>
        <w:t>SciViews</w:t>
      </w:r>
      <w:proofErr w:type="spellEnd"/>
      <w:r w:rsidRPr="00770477">
        <w:rPr>
          <w:rFonts w:eastAsiaTheme="minorEastAsia" w:cs="Times New Roman"/>
        </w:rPr>
        <w:t xml:space="preserve">” </w:t>
      </w:r>
      <w:r w:rsidRPr="00770477">
        <w:rPr>
          <w:rFonts w:eastAsiaTheme="minorEastAsia" w:cs="Times New Roman"/>
        </w:rPr>
        <w:fldChar w:fldCharType="begin"/>
      </w:r>
      <w:r w:rsidR="002074AD">
        <w:rPr>
          <w:rFonts w:eastAsiaTheme="minorEastAsia" w:cs="Times New Roman"/>
        </w:rPr>
        <w:instrText xml:space="preserve"> ADDIN ZOTERO_ITEM CSL_CITATION {"citationID":"gShjWMgH","properties":{"formattedCitation":"(Grosjean, 2022)","plainCitation":"(Grosjean, 2022)","noteIndex":0},"citationItems":[{"id":990,"uris":["http://zotero.org/users/8423188/items/V7P4Z75B"],"itemData":{"id":990,"type":"software","event-place":"Mons, Belgium","publisher":"UMONS","publisher-place":"Mons, Belgium","title":"SciViews-R","URL":"http://www.sciviews.org/SciViews-R","author":[{"family":"Grosjean","given":"Philippe"}],"issued":{"date-parts":[["2022"]]}}}],"schema":"https://github.com/citation-style-language/schema/raw/master/csl-citation.json"} </w:instrText>
      </w:r>
      <w:r w:rsidRPr="00770477">
        <w:rPr>
          <w:rFonts w:eastAsiaTheme="minorEastAsia" w:cs="Times New Roman"/>
        </w:rPr>
        <w:fldChar w:fldCharType="separate"/>
      </w:r>
      <w:r w:rsidR="00E11E17" w:rsidRPr="00770477">
        <w:rPr>
          <w:rFonts w:cs="Times New Roman"/>
        </w:rPr>
        <w:t>(Grosjean, 2022)</w:t>
      </w:r>
      <w:r w:rsidRPr="00770477">
        <w:rPr>
          <w:rFonts w:eastAsiaTheme="minorEastAsia" w:cs="Times New Roman"/>
        </w:rPr>
        <w:fldChar w:fldCharType="end"/>
      </w:r>
      <w:r w:rsidRPr="00770477">
        <w:rPr>
          <w:rFonts w:eastAsiaTheme="minorEastAsia" w:cs="Times New Roman"/>
        </w:rPr>
        <w:t xml:space="preserve"> </w:t>
      </w:r>
      <w:r w:rsidR="00D61785" w:rsidRPr="00770477">
        <w:rPr>
          <w:rFonts w:eastAsiaTheme="minorEastAsia" w:cs="Times New Roman"/>
        </w:rPr>
        <w:t>to filter</w:t>
      </w:r>
      <w:r w:rsidR="00CC5F3A" w:rsidRPr="00770477">
        <w:rPr>
          <w:rFonts w:eastAsiaTheme="minorEastAsia" w:cs="Times New Roman"/>
        </w:rPr>
        <w:t xml:space="preserve"> and </w:t>
      </w:r>
      <w:r w:rsidR="00D61785" w:rsidRPr="00770477">
        <w:rPr>
          <w:rFonts w:eastAsiaTheme="minorEastAsia" w:cs="Times New Roman"/>
        </w:rPr>
        <w:t xml:space="preserve">plot </w:t>
      </w:r>
      <w:r w:rsidR="00CC5F3A" w:rsidRPr="00770477">
        <w:rPr>
          <w:rFonts w:eastAsiaTheme="minorEastAsia" w:cs="Times New Roman"/>
        </w:rPr>
        <w:t xml:space="preserve">data. </w:t>
      </w:r>
      <w:r w:rsidR="00212E80" w:rsidRPr="00770477">
        <w:rPr>
          <w:rFonts w:eastAsiaTheme="minorEastAsia" w:cs="Times New Roman"/>
        </w:rPr>
        <w:t xml:space="preserve">Gompertz curves were fit to the data using two primary methods. First, the two fitting parameters and the upper asymptote were all optimized </w:t>
      </w:r>
      <w:r w:rsidR="00B62DAC" w:rsidRPr="00770477">
        <w:rPr>
          <w:rFonts w:eastAsiaTheme="minorEastAsia" w:cs="Times New Roman"/>
        </w:rPr>
        <w:lastRenderedPageBreak/>
        <w:t>which yielded</w:t>
      </w:r>
      <w:r w:rsidR="00212E80" w:rsidRPr="00770477">
        <w:rPr>
          <w:rFonts w:eastAsiaTheme="minorEastAsia" w:cs="Times New Roman"/>
        </w:rPr>
        <w:t xml:space="preserve"> the best fit curve for the data. This is the intended use for this function; however, it does not always yield an upper asymptote near or equal to one (media exhaustion). The second method was to hold the upper asymptote equal to 1. This forces the equation to be fit using only the two fitting parameters and will approach 1 on the IE ratio vs. volume graph despite what upper limit the data suggests is being measured. However, it is worth noting that for data that finish with IE Ratios &gt;1, this asymptote-fixing could underestimate various precipitation/dissolution or sorption/desorption reactions. Furthermore, with data that never approached an IE ratio equal to 1 during our experiment, the curve will model the exponential growth of the Gompertz curve while leaving the optimization to </w:t>
      </w:r>
      <w:r w:rsidR="00F35F1E" w:rsidRPr="00770477">
        <w:rPr>
          <w:rFonts w:eastAsiaTheme="minorEastAsia" w:cs="Times New Roman"/>
        </w:rPr>
        <w:t>interpolate</w:t>
      </w:r>
      <w:r w:rsidR="00212E80" w:rsidRPr="00770477">
        <w:rPr>
          <w:rFonts w:eastAsiaTheme="minorEastAsia" w:cs="Times New Roman"/>
        </w:rPr>
        <w:t xml:space="preserve"> the breakthrough (inflection) point and exponential decay without any data. This renders the Gompertz equation </w:t>
      </w:r>
      <w:r w:rsidR="006F7A0E" w:rsidRPr="00770477">
        <w:rPr>
          <w:rFonts w:eastAsiaTheme="minorEastAsia" w:cs="Times New Roman"/>
        </w:rPr>
        <w:t xml:space="preserve">statistically inaccurate, however it does allow us to make </w:t>
      </w:r>
      <w:r w:rsidR="00747E71" w:rsidRPr="00770477">
        <w:rPr>
          <w:rFonts w:eastAsiaTheme="minorEastAsia" w:cs="Times New Roman"/>
        </w:rPr>
        <w:t xml:space="preserve">an approximation </w:t>
      </w:r>
      <w:r w:rsidR="0014643F" w:rsidRPr="00770477">
        <w:rPr>
          <w:rFonts w:eastAsiaTheme="minorEastAsia" w:cs="Times New Roman"/>
        </w:rPr>
        <w:t>as to</w:t>
      </w:r>
      <w:r w:rsidR="004A18DF" w:rsidRPr="00770477">
        <w:rPr>
          <w:rFonts w:eastAsiaTheme="minorEastAsia" w:cs="Times New Roman"/>
        </w:rPr>
        <w:t xml:space="preserve"> </w:t>
      </w:r>
      <w:r w:rsidR="006F7A0E" w:rsidRPr="00770477">
        <w:rPr>
          <w:rFonts w:eastAsiaTheme="minorEastAsia" w:cs="Times New Roman"/>
        </w:rPr>
        <w:t xml:space="preserve">when media exhaustion may occur. </w:t>
      </w:r>
      <w:r w:rsidR="00935696" w:rsidRPr="00770477">
        <w:rPr>
          <w:rFonts w:eastAsiaTheme="minorEastAsia" w:cs="Times New Roman"/>
        </w:rPr>
        <w:t xml:space="preserve">These </w:t>
      </w:r>
      <w:r w:rsidR="006D0720" w:rsidRPr="00770477">
        <w:rPr>
          <w:rFonts w:eastAsiaTheme="minorEastAsia" w:cs="Times New Roman"/>
        </w:rPr>
        <w:t>approximations of media exhaustion</w:t>
      </w:r>
      <w:r w:rsidR="006F7A0E" w:rsidRPr="00770477">
        <w:rPr>
          <w:rFonts w:eastAsiaTheme="minorEastAsia" w:cs="Times New Roman"/>
        </w:rPr>
        <w:t xml:space="preserve"> could be used in developing further studies of contaminant-medium combination interactions in sorption experiments. </w:t>
      </w:r>
    </w:p>
    <w:p w14:paraId="32D11415" w14:textId="4521DF49" w:rsidR="006F7A0E" w:rsidRPr="00770477" w:rsidRDefault="006F7A0E" w:rsidP="001E05B7">
      <w:pPr>
        <w:ind w:firstLine="720"/>
        <w:rPr>
          <w:rFonts w:eastAsiaTheme="minorEastAsia" w:cs="Times New Roman"/>
        </w:rPr>
      </w:pPr>
      <w:r w:rsidRPr="00770477">
        <w:rPr>
          <w:rFonts w:eastAsiaTheme="minorEastAsia" w:cs="Times New Roman"/>
        </w:rPr>
        <w:t>By finding the optimized fitting parameters for each Gompertz curve then rearranging the Gompertz function and setting the upper asymptote to 0.95 (</w:t>
      </w:r>
      <w:r w:rsidR="00304193" w:rsidRPr="00770477">
        <w:rPr>
          <w:rFonts w:eastAsiaTheme="minorEastAsia" w:cs="Times New Roman"/>
          <w:highlight w:val="yellow"/>
        </w:rPr>
        <w:fldChar w:fldCharType="begin"/>
      </w:r>
      <w:r w:rsidR="00304193" w:rsidRPr="00770477">
        <w:rPr>
          <w:rFonts w:eastAsiaTheme="minorEastAsia" w:cs="Times New Roman"/>
        </w:rPr>
        <w:instrText xml:space="preserve"> REF _Ref116321450 \h </w:instrText>
      </w:r>
      <w:r w:rsidR="00770477">
        <w:rPr>
          <w:rFonts w:eastAsiaTheme="minorEastAsia" w:cs="Times New Roman"/>
          <w:highlight w:val="yellow"/>
        </w:rPr>
        <w:instrText xml:space="preserve"> \* MERGEFORMAT </w:instrText>
      </w:r>
      <w:r w:rsidR="00304193" w:rsidRPr="00770477">
        <w:rPr>
          <w:rFonts w:eastAsiaTheme="minorEastAsia" w:cs="Times New Roman"/>
          <w:highlight w:val="yellow"/>
        </w:rPr>
      </w:r>
      <w:r w:rsidR="00304193" w:rsidRPr="00770477">
        <w:rPr>
          <w:rFonts w:eastAsiaTheme="minorEastAsia" w:cs="Times New Roman"/>
          <w:highlight w:val="yellow"/>
        </w:rPr>
        <w:fldChar w:fldCharType="separate"/>
      </w:r>
      <w:r w:rsidR="00061096" w:rsidRPr="00770477">
        <w:rPr>
          <w:rFonts w:cs="Times New Roman"/>
        </w:rPr>
        <w:t xml:space="preserve">Equation </w:t>
      </w:r>
      <w:r w:rsidR="00061096">
        <w:rPr>
          <w:rFonts w:cs="Times New Roman"/>
          <w:noProof/>
        </w:rPr>
        <w:t>2</w:t>
      </w:r>
      <w:r w:rsidR="00061096" w:rsidRPr="00770477">
        <w:rPr>
          <w:rFonts w:cs="Times New Roman"/>
          <w:noProof/>
        </w:rPr>
        <w:noBreakHyphen/>
      </w:r>
      <w:r w:rsidR="00061096">
        <w:rPr>
          <w:rFonts w:cs="Times New Roman"/>
          <w:noProof/>
        </w:rPr>
        <w:t>4</w:t>
      </w:r>
      <w:r w:rsidR="00304193" w:rsidRPr="00770477">
        <w:rPr>
          <w:rFonts w:eastAsiaTheme="minorEastAsia" w:cs="Times New Roman"/>
          <w:highlight w:val="yellow"/>
        </w:rPr>
        <w:fldChar w:fldCharType="end"/>
      </w:r>
      <w:r w:rsidRPr="00770477">
        <w:rPr>
          <w:rFonts w:eastAsiaTheme="minorEastAsia" w:cs="Times New Roman"/>
        </w:rPr>
        <w:t>), we can estimate where each media reached exhaustion (</w:t>
      </w:r>
      <w:proofErr w:type="gramStart"/>
      <w:r w:rsidRPr="00770477">
        <w:rPr>
          <w:rFonts w:eastAsiaTheme="minorEastAsia" w:cs="Times New Roman"/>
        </w:rPr>
        <w:t>i.e.</w:t>
      </w:r>
      <w:proofErr w:type="gramEnd"/>
      <w:r w:rsidRPr="00770477">
        <w:rPr>
          <w:rFonts w:eastAsiaTheme="minorEastAsia" w:cs="Times New Roman"/>
        </w:rPr>
        <w:t xml:space="preserve"> the media could no longer remove the contaminant). </w:t>
      </w:r>
      <w:r w:rsidR="0041323B" w:rsidRPr="00770477">
        <w:rPr>
          <w:rFonts w:eastAsiaTheme="minorEastAsia" w:cs="Times New Roman"/>
        </w:rPr>
        <w:t xml:space="preserve">When an upper IE asymptote above 0.95 is reached within the domain of the collected data, the exhaustion point is accurately characterized by the Gompertz model. When the </w:t>
      </w:r>
      <w:r w:rsidR="00A00301" w:rsidRPr="00770477">
        <w:rPr>
          <w:rFonts w:eastAsiaTheme="minorEastAsia" w:cs="Times New Roman"/>
        </w:rPr>
        <w:t xml:space="preserve">upper IE asymptote reaches above 0.95 </w:t>
      </w:r>
      <w:r w:rsidR="006D41E7" w:rsidRPr="00770477">
        <w:rPr>
          <w:rFonts w:eastAsiaTheme="minorEastAsia" w:cs="Times New Roman"/>
        </w:rPr>
        <w:t xml:space="preserve">outside the domain of the collected data, the exhaustion point is not appropriately characterized by the Gompertz </w:t>
      </w:r>
      <w:r w:rsidR="001F1250" w:rsidRPr="00770477">
        <w:rPr>
          <w:rFonts w:eastAsiaTheme="minorEastAsia" w:cs="Times New Roman"/>
        </w:rPr>
        <w:t>model, but rather this point serves as a best estimate of exhaustion. Likewise, if the model never reaches an upper IE ratio asymptote above 0.95 and the</w:t>
      </w:r>
      <w:r w:rsidR="00E2356E" w:rsidRPr="00770477">
        <w:rPr>
          <w:rFonts w:eastAsiaTheme="minorEastAsia" w:cs="Times New Roman"/>
        </w:rPr>
        <w:t xml:space="preserve"> upper IE ratio asymptote is fixed to 1.00</w:t>
      </w:r>
      <w:r w:rsidR="00557905" w:rsidRPr="00770477">
        <w:rPr>
          <w:rFonts w:eastAsiaTheme="minorEastAsia" w:cs="Times New Roman"/>
        </w:rPr>
        <w:t xml:space="preserve">, this exhaustion point is also </w:t>
      </w:r>
      <w:r w:rsidR="00CD3695" w:rsidRPr="00770477">
        <w:rPr>
          <w:rFonts w:eastAsiaTheme="minorEastAsia" w:cs="Times New Roman"/>
        </w:rPr>
        <w:t>merely</w:t>
      </w:r>
      <w:r w:rsidR="00557905" w:rsidRPr="00770477">
        <w:rPr>
          <w:rFonts w:eastAsiaTheme="minorEastAsia" w:cs="Times New Roman"/>
        </w:rPr>
        <w:t xml:space="preserve"> an estimate </w:t>
      </w:r>
      <w:r w:rsidR="00CD3695" w:rsidRPr="00770477">
        <w:rPr>
          <w:rFonts w:eastAsiaTheme="minorEastAsia" w:cs="Times New Roman"/>
        </w:rPr>
        <w:t>and does not accurately reflect the true exhaustion point of the media to remove the contaminant.</w:t>
      </w:r>
      <w:r w:rsidR="00CD3695" w:rsidRPr="00770477">
        <w:rPr>
          <w:rStyle w:val="CommentReference"/>
          <w:rFonts w:cs="Times New Roman"/>
        </w:rPr>
        <w:t xml:space="preserve"> </w:t>
      </w:r>
      <w:r w:rsidR="00CD3695" w:rsidRPr="00770477">
        <w:rPr>
          <w:rFonts w:eastAsiaTheme="minorEastAsia" w:cs="Times New Roman"/>
        </w:rPr>
        <w:t>Media</w:t>
      </w:r>
      <w:r w:rsidRPr="00770477">
        <w:rPr>
          <w:rFonts w:eastAsiaTheme="minorEastAsia" w:cs="Times New Roman"/>
        </w:rPr>
        <w:t xml:space="preserve"> exhaustion was </w:t>
      </w:r>
      <w:r w:rsidRPr="00770477">
        <w:rPr>
          <w:rFonts w:eastAsiaTheme="minorEastAsia" w:cs="Times New Roman"/>
        </w:rPr>
        <w:lastRenderedPageBreak/>
        <w:t xml:space="preserve">selected to be at IE ratio equal to 0.95 since in a </w:t>
      </w:r>
      <w:r w:rsidR="00922D44" w:rsidRPr="00770477">
        <w:rPr>
          <w:rFonts w:eastAsiaTheme="minorEastAsia" w:cs="Times New Roman"/>
        </w:rPr>
        <w:t>theoretical</w:t>
      </w:r>
      <w:r w:rsidRPr="00770477">
        <w:rPr>
          <w:rFonts w:eastAsiaTheme="minorEastAsia" w:cs="Times New Roman"/>
        </w:rPr>
        <w:t xml:space="preserve"> perfect flow through sorption column experiment, the upper asymptote would be IE ratio equal to 1, meaning the model would never reach 1. Setting the upper asymptote to &gt; 0.95 is likely to well overestimate the effective exhaustion point where anything &lt; 0.95 would likely define exhaustion too early. </w:t>
      </w:r>
    </w:p>
    <w:p w14:paraId="09CAFF36" w14:textId="77777777" w:rsidR="00922D44" w:rsidRPr="00770477" w:rsidRDefault="00922D44" w:rsidP="00212E80">
      <w:pPr>
        <w:rPr>
          <w:rFonts w:eastAsiaTheme="minorEastAsia" w:cs="Times New Roman"/>
        </w:rPr>
      </w:pPr>
    </w:p>
    <w:p w14:paraId="4F3D3F3C" w14:textId="53320C9C" w:rsidR="00922D44" w:rsidRPr="00770477" w:rsidRDefault="00922D44" w:rsidP="00922D44">
      <w:pPr>
        <w:pStyle w:val="Caption"/>
        <w:keepNext/>
        <w:spacing w:line="240" w:lineRule="auto"/>
        <w:rPr>
          <w:rFonts w:cs="Times New Roman"/>
        </w:rPr>
      </w:pPr>
      <w:bookmarkStart w:id="67" w:name="_Ref116321450"/>
      <w:bookmarkStart w:id="68" w:name="_Toc121486644"/>
      <w:r w:rsidRPr="00770477">
        <w:rPr>
          <w:rFonts w:cs="Times New Roman"/>
        </w:rPr>
        <w:t xml:space="preserve">Equation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2</w:t>
      </w:r>
      <w:r w:rsidRPr="00770477">
        <w:rPr>
          <w:rFonts w:cs="Times New Roman"/>
          <w:noProof/>
        </w:rPr>
        <w:fldChar w:fldCharType="end"/>
      </w:r>
      <w:r w:rsidR="008B1ECE" w:rsidRPr="00770477">
        <w:rPr>
          <w:rFonts w:cs="Times New Roman"/>
        </w:rPr>
        <w:noBreakHyphen/>
      </w:r>
      <w:r w:rsidRPr="00770477">
        <w:rPr>
          <w:rFonts w:cs="Times New Roman"/>
        </w:rPr>
        <w:fldChar w:fldCharType="begin"/>
      </w:r>
      <w:r w:rsidRPr="00770477">
        <w:rPr>
          <w:rFonts w:cs="Times New Roman"/>
        </w:rPr>
        <w:instrText xml:space="preserve"> SEQ Equation \* ARABIC \s 1 </w:instrText>
      </w:r>
      <w:r w:rsidRPr="00770477">
        <w:rPr>
          <w:rFonts w:cs="Times New Roman"/>
        </w:rPr>
        <w:fldChar w:fldCharType="separate"/>
      </w:r>
      <w:r w:rsidR="00061096">
        <w:rPr>
          <w:rFonts w:cs="Times New Roman"/>
          <w:noProof/>
        </w:rPr>
        <w:t>4</w:t>
      </w:r>
      <w:r w:rsidRPr="00770477">
        <w:rPr>
          <w:rFonts w:cs="Times New Roman"/>
          <w:noProof/>
        </w:rPr>
        <w:fldChar w:fldCharType="end"/>
      </w:r>
      <w:bookmarkEnd w:id="67"/>
      <w:r w:rsidRPr="00770477">
        <w:rPr>
          <w:rFonts w:cs="Times New Roman"/>
        </w:rPr>
        <w:t xml:space="preserve"> Rearranged Gompertz equation to determine volume at which media exhaustion occurs</w:t>
      </w:r>
      <w:bookmarkEnd w:id="68"/>
    </w:p>
    <w:p w14:paraId="50C59E5B" w14:textId="0CBB8BB6" w:rsidR="00922D44" w:rsidRPr="00770477" w:rsidRDefault="00922D44" w:rsidP="00212E80">
      <w:pPr>
        <w:rPr>
          <w:rFonts w:eastAsiaTheme="minorEastAsia" w:cs="Times New Roman"/>
        </w:rPr>
      </w:pPr>
      <m:oMathPara>
        <m:oMath>
          <m:r>
            <w:rPr>
              <w:rFonts w:ascii="Cambria Math" w:eastAsiaTheme="minorEastAsia" w:hAnsi="Cambria Math" w:cs="Times New Roman"/>
            </w:rPr>
            <m:t>x=</m:t>
          </m:r>
          <m:f>
            <m:fPr>
              <m:ctrlPr>
                <w:rPr>
                  <w:rFonts w:ascii="Cambria Math" w:eastAsiaTheme="minorEastAsia" w:hAnsi="Cambria Math" w:cs="Times New Roman"/>
                  <w:i/>
                </w:rPr>
              </m:ctrlPr>
            </m:fPr>
            <m:num>
              <m:func>
                <m:funcPr>
                  <m:ctrlPr>
                    <w:rPr>
                      <w:rFonts w:ascii="Cambria Math" w:eastAsiaTheme="minorEastAsia" w:hAnsi="Cambria Math" w:cs="Times New Roman"/>
                    </w:rPr>
                  </m:ctrlPr>
                </m:funcPr>
                <m:fName>
                  <m:r>
                    <m:rPr>
                      <m:sty m:val="p"/>
                    </m:rPr>
                    <w:rPr>
                      <w:rFonts w:ascii="Cambria Math" w:eastAsiaTheme="minorEastAsia" w:hAnsi="Cambria Math" w:cs="Times New Roman"/>
                    </w:rPr>
                    <m:t>ln[-ln</m:t>
                  </m:r>
                  <m:ctrlPr>
                    <w:rPr>
                      <w:rFonts w:ascii="Cambria Math" w:eastAsiaTheme="minorEastAsia" w:hAnsi="Cambria Math" w:cs="Times New Roman"/>
                      <w:i/>
                    </w:rPr>
                  </m:ctrlPr>
                </m:fName>
                <m:e>
                  <m:d>
                    <m:dPr>
                      <m:ctrlPr>
                        <w:rPr>
                          <w:rFonts w:ascii="Cambria Math" w:eastAsiaTheme="minorEastAsia" w:hAnsi="Cambria Math" w:cs="Times New Roman"/>
                          <w:i/>
                        </w:rPr>
                      </m:ctrlPr>
                    </m:dPr>
                    <m:e>
                      <m:f>
                        <m:fPr>
                          <m:ctrlPr>
                            <w:rPr>
                              <w:rFonts w:ascii="Cambria Math" w:eastAsiaTheme="minorEastAsia" w:hAnsi="Cambria Math" w:cs="Times New Roman"/>
                              <w:i/>
                            </w:rPr>
                          </m:ctrlPr>
                        </m:fPr>
                        <m:num>
                          <m:r>
                            <w:rPr>
                              <w:rFonts w:ascii="Cambria Math" w:eastAsiaTheme="minorEastAsia" w:hAnsi="Cambria Math" w:cs="Times New Roman"/>
                            </w:rPr>
                            <m:t>Y</m:t>
                          </m:r>
                        </m:num>
                        <m:den>
                          <m:r>
                            <w:rPr>
                              <w:rFonts w:ascii="Cambria Math" w:eastAsiaTheme="minorEastAsia" w:hAnsi="Cambria Math" w:cs="Times New Roman"/>
                            </w:rPr>
                            <m:t>0.95</m:t>
                          </m:r>
                        </m:den>
                      </m:f>
                    </m:e>
                  </m:d>
                  <m:r>
                    <w:rPr>
                      <w:rFonts w:ascii="Cambria Math" w:eastAsiaTheme="minorEastAsia" w:hAnsi="Cambria Math" w:cs="Times New Roman"/>
                    </w:rPr>
                    <m:t>]+α</m:t>
                  </m:r>
                </m:e>
              </m:func>
            </m:num>
            <m:den>
              <m:r>
                <w:rPr>
                  <w:rFonts w:ascii="Cambria Math" w:eastAsiaTheme="minorEastAsia" w:hAnsi="Cambria Math" w:cs="Times New Roman"/>
                </w:rPr>
                <m:t>β</m:t>
              </m:r>
            </m:den>
          </m:f>
        </m:oMath>
      </m:oMathPara>
    </w:p>
    <w:p w14:paraId="0E4E1A88" w14:textId="77777777" w:rsidR="00304193" w:rsidRPr="00770477" w:rsidRDefault="00304193" w:rsidP="00922D44">
      <w:pPr>
        <w:rPr>
          <w:rFonts w:cs="Times New Roman"/>
        </w:rPr>
      </w:pPr>
    </w:p>
    <w:p w14:paraId="7A77A2C5" w14:textId="6AD14167" w:rsidR="00D756CB" w:rsidRPr="00770477" w:rsidRDefault="00D756CB" w:rsidP="00D756CB">
      <w:pPr>
        <w:pStyle w:val="Heading3"/>
        <w:rPr>
          <w:rFonts w:cs="Times New Roman"/>
        </w:rPr>
      </w:pPr>
      <w:bookmarkStart w:id="69" w:name="_Toc121495997"/>
      <w:r w:rsidRPr="00770477">
        <w:rPr>
          <w:rFonts w:cs="Times New Roman"/>
        </w:rPr>
        <w:t>Statistical Analysis</w:t>
      </w:r>
      <w:bookmarkEnd w:id="69"/>
    </w:p>
    <w:p w14:paraId="3031AC9B" w14:textId="6282C01E" w:rsidR="00D756CB" w:rsidRPr="00770477" w:rsidRDefault="00631E48" w:rsidP="00F9129F">
      <w:pPr>
        <w:ind w:firstLine="720"/>
        <w:rPr>
          <w:rFonts w:cs="Times New Roman"/>
        </w:rPr>
      </w:pPr>
      <w:r w:rsidRPr="00770477">
        <w:rPr>
          <w:rFonts w:cs="Times New Roman"/>
        </w:rPr>
        <w:t xml:space="preserve">Two different statistical analyses were conducted to test the significance </w:t>
      </w:r>
      <w:r w:rsidR="00F9129F" w:rsidRPr="00770477">
        <w:rPr>
          <w:rFonts w:cs="Times New Roman"/>
        </w:rPr>
        <w:t xml:space="preserve">of the Gompertz model fit to each individual data set. First, </w:t>
      </w:r>
      <w:r w:rsidR="00DA043A" w:rsidRPr="00770477">
        <w:rPr>
          <w:rFonts w:cs="Times New Roman"/>
        </w:rPr>
        <w:t xml:space="preserve">analysis of variance (ANOVA) was conducted which compared the </w:t>
      </w:r>
      <w:r w:rsidR="00270507" w:rsidRPr="00770477">
        <w:rPr>
          <w:rFonts w:cs="Times New Roman"/>
        </w:rPr>
        <w:t>uniqueness of each size and media combination</w:t>
      </w:r>
      <w:r w:rsidR="008605F8" w:rsidRPr="00770477">
        <w:rPr>
          <w:rFonts w:cs="Times New Roman"/>
        </w:rPr>
        <w:t xml:space="preserve">’s Gompertz model to a Gompertz model fit to the whole of the data </w:t>
      </w:r>
      <w:r w:rsidR="00772F65" w:rsidRPr="00770477">
        <w:rPr>
          <w:rFonts w:cs="Times New Roman"/>
        </w:rPr>
        <w:t>for each</w:t>
      </w:r>
      <w:r w:rsidR="008605F8" w:rsidRPr="00770477">
        <w:rPr>
          <w:rFonts w:cs="Times New Roman"/>
        </w:rPr>
        <w:t xml:space="preserve"> </w:t>
      </w:r>
      <w:r w:rsidR="00376AB1" w:rsidRPr="00770477">
        <w:rPr>
          <w:rFonts w:cs="Times New Roman"/>
        </w:rPr>
        <w:t xml:space="preserve">column orientation. </w:t>
      </w:r>
      <w:r w:rsidR="00772F65" w:rsidRPr="00770477">
        <w:rPr>
          <w:rFonts w:cs="Times New Roman"/>
        </w:rPr>
        <w:t xml:space="preserve">This will test the null hypothesis </w:t>
      </w:r>
      <w:r w:rsidR="00895E43" w:rsidRPr="00770477">
        <w:rPr>
          <w:rFonts w:cs="Times New Roman"/>
        </w:rPr>
        <w:t>of “</w:t>
      </w:r>
      <w:r w:rsidR="00C0712B" w:rsidRPr="00770477">
        <w:rPr>
          <w:rFonts w:cs="Times New Roman"/>
        </w:rPr>
        <w:t xml:space="preserve">no significant </w:t>
      </w:r>
      <w:r w:rsidR="00895E43" w:rsidRPr="00770477">
        <w:rPr>
          <w:rFonts w:cs="Times New Roman"/>
        </w:rPr>
        <w:t>uniqueness</w:t>
      </w:r>
      <w:r w:rsidR="00C0712B" w:rsidRPr="00770477">
        <w:rPr>
          <w:rFonts w:cs="Times New Roman"/>
        </w:rPr>
        <w:t xml:space="preserve"> between </w:t>
      </w:r>
      <w:r w:rsidR="004678A3" w:rsidRPr="00770477">
        <w:rPr>
          <w:rFonts w:cs="Times New Roman"/>
        </w:rPr>
        <w:t xml:space="preserve">a specific media’s Gompertz model.” </w:t>
      </w:r>
      <w:r w:rsidR="00283E5E" w:rsidRPr="00770477">
        <w:rPr>
          <w:rFonts w:cs="Times New Roman"/>
        </w:rPr>
        <w:t>A</w:t>
      </w:r>
      <w:r w:rsidR="00895E43" w:rsidRPr="00770477">
        <w:rPr>
          <w:rFonts w:cs="Times New Roman"/>
        </w:rPr>
        <w:t>ccept</w:t>
      </w:r>
      <w:r w:rsidR="00283E5E" w:rsidRPr="00770477">
        <w:rPr>
          <w:rFonts w:cs="Times New Roman"/>
        </w:rPr>
        <w:t>ing</w:t>
      </w:r>
      <w:r w:rsidR="00895E43" w:rsidRPr="00770477">
        <w:rPr>
          <w:rFonts w:cs="Times New Roman"/>
        </w:rPr>
        <w:t xml:space="preserve"> the null hypothesis tells us that relative to the whole of Gompertz model results, one individual media</w:t>
      </w:r>
      <w:r w:rsidR="00283E5E" w:rsidRPr="00770477">
        <w:rPr>
          <w:rFonts w:cs="Times New Roman"/>
        </w:rPr>
        <w:t xml:space="preserve">’s results are not unique. Conversely, rejecting the null hypothesis </w:t>
      </w:r>
      <w:r w:rsidR="00484531" w:rsidRPr="00770477">
        <w:rPr>
          <w:rFonts w:cs="Times New Roman"/>
        </w:rPr>
        <w:t>indicates that relative to the whole of the data, one individual media’s results are unique</w:t>
      </w:r>
      <w:r w:rsidR="009479CF" w:rsidRPr="00770477">
        <w:rPr>
          <w:rFonts w:cs="Times New Roman"/>
        </w:rPr>
        <w:t xml:space="preserve">. </w:t>
      </w:r>
    </w:p>
    <w:p w14:paraId="25EBA571" w14:textId="610E602E" w:rsidR="009479CF" w:rsidRDefault="009479CF" w:rsidP="00F9129F">
      <w:pPr>
        <w:ind w:firstLine="720"/>
        <w:rPr>
          <w:rFonts w:cs="Times New Roman"/>
        </w:rPr>
      </w:pPr>
      <w:r w:rsidRPr="00770477">
        <w:rPr>
          <w:rFonts w:cs="Times New Roman"/>
        </w:rPr>
        <w:t>The second statistical analysis was a pairwise ANOVA</w:t>
      </w:r>
      <w:r w:rsidR="000E2FEE" w:rsidRPr="00770477">
        <w:rPr>
          <w:rFonts w:cs="Times New Roman"/>
        </w:rPr>
        <w:t xml:space="preserve"> was conducted for each parameter in each media’s fitted Gompertz model. </w:t>
      </w:r>
      <w:r w:rsidR="009D56B2" w:rsidRPr="00770477">
        <w:rPr>
          <w:rFonts w:cs="Times New Roman"/>
        </w:rPr>
        <w:t xml:space="preserve">The null hypothesis is “no significant variation between </w:t>
      </w:r>
      <w:r w:rsidR="00276058" w:rsidRPr="00770477">
        <w:rPr>
          <w:rFonts w:cs="Times New Roman"/>
        </w:rPr>
        <w:t xml:space="preserve">two models’ individual parameter.” Accepting the null hypothesis would indicate that a parameter is not statistically unique compared to the same parameter </w:t>
      </w:r>
      <w:r w:rsidR="00B9710A" w:rsidRPr="00770477">
        <w:rPr>
          <w:rFonts w:cs="Times New Roman"/>
        </w:rPr>
        <w:t xml:space="preserve">on another Gompertz curve. Rejecting the null hypothesis indicates that the analyzed parameter varies significantly between the two compared Gompertz curves. Because </w:t>
      </w:r>
      <w:r w:rsidR="00A66838" w:rsidRPr="00770477">
        <w:rPr>
          <w:rFonts w:cs="Times New Roman"/>
        </w:rPr>
        <w:t xml:space="preserve">each Gompertz curve has three fitted parameters, a pairwise </w:t>
      </w:r>
      <w:r w:rsidR="00A66838" w:rsidRPr="00770477">
        <w:rPr>
          <w:rFonts w:cs="Times New Roman"/>
        </w:rPr>
        <w:lastRenderedPageBreak/>
        <w:t xml:space="preserve">ANOVA analysis was conducted for each parameter. For each pair of compared models, </w:t>
      </w:r>
      <w:r w:rsidR="00034917" w:rsidRPr="00770477">
        <w:rPr>
          <w:rFonts w:cs="Times New Roman"/>
        </w:rPr>
        <w:t xml:space="preserve">the total of parameters that </w:t>
      </w:r>
      <w:r w:rsidR="00AD3686" w:rsidRPr="00770477">
        <w:rPr>
          <w:rFonts w:cs="Times New Roman"/>
        </w:rPr>
        <w:t xml:space="preserve">successfully rejected the null hypothesis were totaled. Rejecting the null hypothesis for all three parameters indicated </w:t>
      </w:r>
      <w:r w:rsidR="003844C1" w:rsidRPr="00770477">
        <w:rPr>
          <w:rFonts w:cs="Times New Roman"/>
        </w:rPr>
        <w:t xml:space="preserve">entire uniqueness between each Gompertz model. When two parameters rejected the null hypothesis, the curves were still considered unique, </w:t>
      </w:r>
      <w:r w:rsidR="004563B9" w:rsidRPr="00770477">
        <w:rPr>
          <w:rFonts w:cs="Times New Roman"/>
        </w:rPr>
        <w:t xml:space="preserve">but are shown to share at least one parameter that is not. Finally, pairs that </w:t>
      </w:r>
      <w:r w:rsidR="0076110F" w:rsidRPr="00770477">
        <w:rPr>
          <w:rFonts w:cs="Times New Roman"/>
        </w:rPr>
        <w:t xml:space="preserve">had one or zero parameters that rejected the null hypothesis were considered </w:t>
      </w:r>
      <w:r w:rsidR="00760A9E" w:rsidRPr="00770477">
        <w:rPr>
          <w:rFonts w:cs="Times New Roman"/>
        </w:rPr>
        <w:t xml:space="preserve">similar, or better yet, not unique. </w:t>
      </w:r>
    </w:p>
    <w:p w14:paraId="0B3E78A8" w14:textId="77777777" w:rsidR="00636575" w:rsidRPr="00770477" w:rsidRDefault="00636575" w:rsidP="00636575">
      <w:pPr>
        <w:rPr>
          <w:rFonts w:cs="Times New Roman"/>
        </w:rPr>
      </w:pPr>
    </w:p>
    <w:p w14:paraId="024E1A36" w14:textId="5EF9448F" w:rsidR="00D756CB" w:rsidRPr="00770477" w:rsidRDefault="00D756CB" w:rsidP="00D756CB">
      <w:pPr>
        <w:pStyle w:val="Heading3"/>
        <w:rPr>
          <w:rFonts w:cs="Times New Roman"/>
        </w:rPr>
      </w:pPr>
      <w:bookmarkStart w:id="70" w:name="_Toc121495998"/>
      <w:r w:rsidRPr="00770477">
        <w:rPr>
          <w:rFonts w:cs="Times New Roman"/>
        </w:rPr>
        <w:t>Mass Removal Rate Analysis</w:t>
      </w:r>
      <w:bookmarkEnd w:id="70"/>
    </w:p>
    <w:p w14:paraId="11C2C4C5" w14:textId="415885CB" w:rsidR="008B1ECE" w:rsidRPr="00770477" w:rsidRDefault="000039C1" w:rsidP="008B1ECE">
      <w:pPr>
        <w:ind w:firstLine="576"/>
        <w:rPr>
          <w:rFonts w:cs="Times New Roman"/>
        </w:rPr>
      </w:pPr>
      <w:r w:rsidRPr="00770477">
        <w:rPr>
          <w:rFonts w:cs="Times New Roman"/>
        </w:rPr>
        <w:t xml:space="preserve">Mass removal rate per underdrain unit volume is important in understanding the longevity of a medium’s ability to remove a particular contaminant over time. </w:t>
      </w:r>
      <w:r w:rsidR="00090DF9" w:rsidRPr="00770477">
        <w:rPr>
          <w:rFonts w:cs="Times New Roman"/>
        </w:rPr>
        <w:t xml:space="preserve">For vertical column effluent results, </w:t>
      </w:r>
      <w:r w:rsidR="002121FD" w:rsidRPr="00770477">
        <w:rPr>
          <w:rFonts w:cs="Times New Roman"/>
        </w:rPr>
        <w:t xml:space="preserve">calculating this was achieved by </w:t>
      </w:r>
      <w:r w:rsidR="0086555F" w:rsidRPr="00770477">
        <w:rPr>
          <w:rFonts w:cs="Times New Roman"/>
        </w:rPr>
        <w:fldChar w:fldCharType="begin"/>
      </w:r>
      <w:r w:rsidR="0086555F" w:rsidRPr="00770477">
        <w:rPr>
          <w:rFonts w:cs="Times New Roman"/>
        </w:rPr>
        <w:instrText xml:space="preserve"> REF _Ref120975509 \h </w:instrText>
      </w:r>
      <w:r w:rsidR="00770477">
        <w:rPr>
          <w:rFonts w:cs="Times New Roman"/>
        </w:rPr>
        <w:instrText xml:space="preserve"> \* MERGEFORMAT </w:instrText>
      </w:r>
      <w:r w:rsidR="0086555F" w:rsidRPr="00770477">
        <w:rPr>
          <w:rFonts w:cs="Times New Roman"/>
        </w:rPr>
      </w:r>
      <w:r w:rsidR="0086555F" w:rsidRPr="00770477">
        <w:rPr>
          <w:rFonts w:cs="Times New Roman"/>
        </w:rPr>
        <w:fldChar w:fldCharType="separate"/>
      </w:r>
      <w:r w:rsidR="00061096" w:rsidRPr="00770477">
        <w:rPr>
          <w:rFonts w:cs="Times New Roman"/>
        </w:rPr>
        <w:t xml:space="preserve">Equation </w:t>
      </w:r>
      <w:r w:rsidR="00061096">
        <w:rPr>
          <w:rFonts w:cs="Times New Roman"/>
          <w:noProof/>
        </w:rPr>
        <w:t>2</w:t>
      </w:r>
      <w:r w:rsidR="00061096" w:rsidRPr="00770477">
        <w:rPr>
          <w:rFonts w:cs="Times New Roman"/>
          <w:noProof/>
        </w:rPr>
        <w:noBreakHyphen/>
      </w:r>
      <w:r w:rsidR="00061096">
        <w:rPr>
          <w:rFonts w:cs="Times New Roman"/>
          <w:noProof/>
        </w:rPr>
        <w:t>5</w:t>
      </w:r>
      <w:r w:rsidR="0086555F" w:rsidRPr="00770477">
        <w:rPr>
          <w:rFonts w:cs="Times New Roman"/>
        </w:rPr>
        <w:fldChar w:fldCharType="end"/>
      </w:r>
      <w:r w:rsidR="0086555F" w:rsidRPr="00770477">
        <w:rPr>
          <w:rFonts w:cs="Times New Roman"/>
        </w:rPr>
        <w:t xml:space="preserve"> </w:t>
      </w:r>
      <w:r w:rsidR="00D9421A" w:rsidRPr="00770477">
        <w:rPr>
          <w:rFonts w:cs="Times New Roman"/>
        </w:rPr>
        <w:t>below.</w:t>
      </w:r>
      <w:r w:rsidR="00D354D3" w:rsidRPr="00770477">
        <w:rPr>
          <w:rFonts w:cs="Times New Roman"/>
        </w:rPr>
        <w:br w:type="page"/>
      </w:r>
    </w:p>
    <w:p w14:paraId="78036698" w14:textId="3666BD47" w:rsidR="008B1ECE" w:rsidRPr="00770477" w:rsidRDefault="008B1ECE" w:rsidP="008B1ECE">
      <w:pPr>
        <w:pStyle w:val="Caption"/>
        <w:keepNext/>
        <w:spacing w:line="240" w:lineRule="auto"/>
        <w:jc w:val="center"/>
        <w:rPr>
          <w:rFonts w:cs="Times New Roman"/>
        </w:rPr>
      </w:pPr>
      <w:bookmarkStart w:id="71" w:name="_Ref120975509"/>
      <w:bookmarkStart w:id="72" w:name="_Toc121486645"/>
      <w:r w:rsidRPr="00770477">
        <w:rPr>
          <w:rFonts w:cs="Times New Roman"/>
        </w:rPr>
        <w:lastRenderedPageBreak/>
        <w:t xml:space="preserve">Equation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2</w:t>
      </w:r>
      <w:r w:rsidRPr="00770477">
        <w:rPr>
          <w:rFonts w:cs="Times New Roman"/>
          <w:noProof/>
        </w:rPr>
        <w:fldChar w:fldCharType="end"/>
      </w:r>
      <w:r w:rsidRPr="00770477">
        <w:rPr>
          <w:rFonts w:cs="Times New Roman"/>
        </w:rPr>
        <w:noBreakHyphen/>
      </w:r>
      <w:r w:rsidRPr="00770477">
        <w:rPr>
          <w:rFonts w:cs="Times New Roman"/>
        </w:rPr>
        <w:fldChar w:fldCharType="begin"/>
      </w:r>
      <w:r w:rsidRPr="00770477">
        <w:rPr>
          <w:rFonts w:cs="Times New Roman"/>
        </w:rPr>
        <w:instrText xml:space="preserve"> SEQ Equation \* ARABIC \s 1 </w:instrText>
      </w:r>
      <w:r w:rsidRPr="00770477">
        <w:rPr>
          <w:rFonts w:cs="Times New Roman"/>
        </w:rPr>
        <w:fldChar w:fldCharType="separate"/>
      </w:r>
      <w:r w:rsidR="00061096">
        <w:rPr>
          <w:rFonts w:cs="Times New Roman"/>
          <w:noProof/>
        </w:rPr>
        <w:t>5</w:t>
      </w:r>
      <w:r w:rsidRPr="00770477">
        <w:rPr>
          <w:rFonts w:cs="Times New Roman"/>
          <w:noProof/>
        </w:rPr>
        <w:fldChar w:fldCharType="end"/>
      </w:r>
      <w:bookmarkEnd w:id="71"/>
      <w:r w:rsidRPr="00770477">
        <w:rPr>
          <w:rFonts w:cs="Times New Roman"/>
        </w:rPr>
        <w:t xml:space="preserve"> Mass removal rate calculation</w:t>
      </w:r>
      <w:bookmarkEnd w:id="72"/>
    </w:p>
    <w:p w14:paraId="356E0BF0" w14:textId="0D890BAB" w:rsidR="00D9421A" w:rsidRPr="00676CC2" w:rsidRDefault="008B1ECE" w:rsidP="000039C1">
      <w:pPr>
        <w:ind w:firstLine="576"/>
        <w:rPr>
          <w:rFonts w:eastAsiaTheme="minorEastAsia" w:cs="Times New Roman"/>
        </w:rPr>
      </w:pPr>
      <m:oMathPara>
        <m:oMathParaPr>
          <m:jc m:val="center"/>
        </m:oMathParaPr>
        <m:oMath>
          <m:r>
            <w:rPr>
              <w:rFonts w:ascii="Cambria Math" w:hAnsi="Cambria Math" w:cs="Times New Roman"/>
            </w:rPr>
            <m:t xml:space="preserve">Mass Removal Rate </m:t>
          </m:r>
          <m:d>
            <m:dPr>
              <m:ctrlPr>
                <w:rPr>
                  <w:rFonts w:ascii="Cambria Math" w:hAnsi="Cambria Math" w:cs="Times New Roman"/>
                  <w:i/>
                </w:rPr>
              </m:ctrlPr>
            </m:dPr>
            <m:e>
              <m:r>
                <w:rPr>
                  <w:rFonts w:ascii="Cambria Math" w:hAnsi="Cambria Math" w:cs="Times New Roman"/>
                </w:rPr>
                <m:t>MRR</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e</m:t>
              </m:r>
            </m:sub>
          </m:sSub>
          <m:r>
            <w:rPr>
              <w:rFonts w:ascii="Cambria Math" w:hAnsi="Cambria Math" w:cs="Times New Roman"/>
            </w:rPr>
            <m:t>) × Q</m:t>
          </m:r>
        </m:oMath>
      </m:oMathPara>
    </w:p>
    <w:p w14:paraId="01E9CBF4" w14:textId="39497141" w:rsidR="00D354D3" w:rsidRPr="00676CC2" w:rsidRDefault="00D354D3" w:rsidP="00D354D3">
      <w:pPr>
        <w:spacing w:line="240" w:lineRule="auto"/>
        <w:ind w:firstLine="576"/>
        <w:jc w:val="center"/>
        <w:rPr>
          <w:rFonts w:eastAsiaTheme="minorEastAsia" w:cs="Times New Roman"/>
          <w:i/>
          <w:iCs/>
        </w:rPr>
      </w:pPr>
      <w:r w:rsidRPr="00676CC2">
        <w:rPr>
          <w:rFonts w:eastAsiaTheme="minorEastAsia" w:cs="Times New Roman"/>
          <w:i/>
          <w:iCs/>
        </w:rPr>
        <w:t>MRR = Mass removal rate</w:t>
      </w:r>
    </w:p>
    <w:p w14:paraId="73356F57" w14:textId="0D293BDA" w:rsidR="00C80362" w:rsidRPr="00676CC2" w:rsidRDefault="00C80362" w:rsidP="00D354D3">
      <w:pPr>
        <w:spacing w:line="240" w:lineRule="auto"/>
        <w:ind w:firstLine="576"/>
        <w:jc w:val="center"/>
        <w:rPr>
          <w:rFonts w:eastAsiaTheme="minorEastAsia" w:cs="Times New Roman"/>
          <w:i/>
          <w:iCs/>
        </w:rPr>
      </w:pPr>
      <w:r w:rsidRPr="00676CC2">
        <w:rPr>
          <w:rFonts w:eastAsiaTheme="minorEastAsia" w:cs="Times New Roman"/>
          <w:i/>
          <w:iCs/>
        </w:rPr>
        <w:t>C</w:t>
      </w:r>
      <w:r w:rsidRPr="00676CC2">
        <w:rPr>
          <w:rFonts w:eastAsiaTheme="minorEastAsia" w:cs="Times New Roman"/>
          <w:i/>
          <w:iCs/>
          <w:vertAlign w:val="subscript"/>
        </w:rPr>
        <w:t>i</w:t>
      </w:r>
      <w:r w:rsidRPr="00676CC2">
        <w:rPr>
          <w:rFonts w:eastAsiaTheme="minorEastAsia" w:cs="Times New Roman"/>
          <w:i/>
          <w:iCs/>
        </w:rPr>
        <w:t xml:space="preserve"> = Influent concentration</w:t>
      </w:r>
    </w:p>
    <w:p w14:paraId="0061A107" w14:textId="075C66B8" w:rsidR="00C80362" w:rsidRPr="00676CC2" w:rsidRDefault="00C80362" w:rsidP="00D354D3">
      <w:pPr>
        <w:spacing w:line="240" w:lineRule="auto"/>
        <w:ind w:firstLine="576"/>
        <w:jc w:val="center"/>
        <w:rPr>
          <w:rFonts w:eastAsiaTheme="minorEastAsia" w:cs="Times New Roman"/>
          <w:i/>
          <w:iCs/>
        </w:rPr>
      </w:pPr>
      <w:r w:rsidRPr="00676CC2">
        <w:rPr>
          <w:rFonts w:eastAsiaTheme="minorEastAsia" w:cs="Times New Roman"/>
          <w:i/>
          <w:iCs/>
        </w:rPr>
        <w:t>C</w:t>
      </w:r>
      <w:r w:rsidRPr="00676CC2">
        <w:rPr>
          <w:rFonts w:eastAsiaTheme="minorEastAsia" w:cs="Times New Roman"/>
          <w:i/>
          <w:iCs/>
          <w:vertAlign w:val="subscript"/>
        </w:rPr>
        <w:t>e</w:t>
      </w:r>
      <w:r w:rsidRPr="00676CC2">
        <w:rPr>
          <w:rFonts w:eastAsiaTheme="minorEastAsia" w:cs="Times New Roman"/>
          <w:i/>
          <w:iCs/>
          <w:vertAlign w:val="subscript"/>
        </w:rPr>
        <w:softHyphen/>
      </w:r>
      <w:r w:rsidRPr="00676CC2">
        <w:rPr>
          <w:rFonts w:eastAsiaTheme="minorEastAsia" w:cs="Times New Roman"/>
          <w:i/>
          <w:iCs/>
        </w:rPr>
        <w:t xml:space="preserve"> = Effluent concentration</w:t>
      </w:r>
    </w:p>
    <w:p w14:paraId="36B07695" w14:textId="664F597F" w:rsidR="00D354D3" w:rsidRPr="00676CC2" w:rsidRDefault="00D354D3" w:rsidP="00D354D3">
      <w:pPr>
        <w:spacing w:line="240" w:lineRule="auto"/>
        <w:ind w:firstLine="576"/>
        <w:jc w:val="center"/>
        <w:rPr>
          <w:rFonts w:eastAsiaTheme="minorEastAsia" w:cs="Times New Roman"/>
          <w:i/>
          <w:iCs/>
        </w:rPr>
      </w:pPr>
      <w:r w:rsidRPr="00676CC2">
        <w:rPr>
          <w:rFonts w:eastAsiaTheme="minorEastAsia" w:cs="Times New Roman"/>
          <w:i/>
          <w:iCs/>
        </w:rPr>
        <w:t>Q = Flow rate</w:t>
      </w:r>
    </w:p>
    <w:p w14:paraId="723F3F74" w14:textId="77777777" w:rsidR="000039C1" w:rsidRPr="00770477" w:rsidRDefault="000039C1" w:rsidP="000039C1">
      <w:pPr>
        <w:rPr>
          <w:rFonts w:cs="Times New Roman"/>
        </w:rPr>
      </w:pPr>
    </w:p>
    <w:p w14:paraId="1F0DB256" w14:textId="0FCFB9AC" w:rsidR="008B1ECE" w:rsidRPr="00770477" w:rsidRDefault="007E0435" w:rsidP="000039C1">
      <w:pPr>
        <w:rPr>
          <w:rFonts w:cs="Times New Roman"/>
        </w:rPr>
      </w:pPr>
      <w:r w:rsidRPr="00770477">
        <w:rPr>
          <w:rFonts w:cs="Times New Roman"/>
        </w:rPr>
        <w:tab/>
        <w:t>MRR was then divided by the area of the column, refer</w:t>
      </w:r>
      <w:r w:rsidR="003B567E" w:rsidRPr="00770477">
        <w:rPr>
          <w:rFonts w:cs="Times New Roman"/>
        </w:rPr>
        <w:t>r</w:t>
      </w:r>
      <w:r w:rsidRPr="00770477">
        <w:rPr>
          <w:rFonts w:cs="Times New Roman"/>
        </w:rPr>
        <w:t>ed to as “media volume” (MV)</w:t>
      </w:r>
      <w:r w:rsidR="00861610" w:rsidRPr="00770477">
        <w:rPr>
          <w:rFonts w:cs="Times New Roman"/>
        </w:rPr>
        <w:t>,</w:t>
      </w:r>
      <w:r w:rsidRPr="00770477">
        <w:rPr>
          <w:rFonts w:cs="Times New Roman"/>
        </w:rPr>
        <w:t xml:space="preserve"> </w:t>
      </w:r>
      <w:r w:rsidR="00F21734" w:rsidRPr="00770477">
        <w:rPr>
          <w:rFonts w:cs="Times New Roman"/>
        </w:rPr>
        <w:t>to</w:t>
      </w:r>
      <w:r w:rsidR="00861610" w:rsidRPr="00770477">
        <w:rPr>
          <w:rFonts w:cs="Times New Roman"/>
        </w:rPr>
        <w:t xml:space="preserve"> produce the mass removal rate per unit volume (MMR</w:t>
      </w:r>
      <w:r w:rsidR="00942DBF">
        <w:rPr>
          <w:rFonts w:cs="Times New Roman"/>
        </w:rPr>
        <w:t xml:space="preserve"> </w:t>
      </w:r>
      <w:r w:rsidR="00861610" w:rsidRPr="00770477">
        <w:rPr>
          <w:rFonts w:cs="Times New Roman"/>
        </w:rPr>
        <w:t>MV</w:t>
      </w:r>
      <w:r w:rsidR="00942DBF">
        <w:rPr>
          <w:rFonts w:cs="Times New Roman"/>
          <w:vertAlign w:val="superscript"/>
        </w:rPr>
        <w:t>-1</w:t>
      </w:r>
      <w:r w:rsidR="00861610" w:rsidRPr="00770477">
        <w:rPr>
          <w:rFonts w:cs="Times New Roman"/>
        </w:rPr>
        <w:t xml:space="preserve">) value. This </w:t>
      </w:r>
      <w:r w:rsidR="009716C8" w:rsidRPr="00770477">
        <w:rPr>
          <w:rFonts w:cs="Times New Roman"/>
        </w:rPr>
        <w:t xml:space="preserve">value was plotted against the cumulative </w:t>
      </w:r>
      <w:r w:rsidR="00F21734" w:rsidRPr="00770477">
        <w:rPr>
          <w:rFonts w:cs="Times New Roman"/>
        </w:rPr>
        <w:t xml:space="preserve">contaminant </w:t>
      </w:r>
      <w:r w:rsidR="009716C8" w:rsidRPr="00770477">
        <w:rPr>
          <w:rFonts w:cs="Times New Roman"/>
        </w:rPr>
        <w:t xml:space="preserve">mass input </w:t>
      </w:r>
      <w:r w:rsidR="00855730" w:rsidRPr="00770477">
        <w:rPr>
          <w:rFonts w:cs="Times New Roman"/>
        </w:rPr>
        <w:t xml:space="preserve">to yield </w:t>
      </w:r>
      <w:r w:rsidR="009C4481" w:rsidRPr="00770477">
        <w:rPr>
          <w:rFonts w:cs="Times New Roman"/>
        </w:rPr>
        <w:t>the</w:t>
      </w:r>
      <w:r w:rsidR="003A034E" w:rsidRPr="00770477">
        <w:rPr>
          <w:rFonts w:cs="Times New Roman"/>
        </w:rPr>
        <w:t xml:space="preserve"> analysis referred to</w:t>
      </w:r>
      <w:r w:rsidR="009C4481" w:rsidRPr="00770477">
        <w:rPr>
          <w:rFonts w:cs="Times New Roman"/>
        </w:rPr>
        <w:t xml:space="preserve"> </w:t>
      </w:r>
      <w:r w:rsidR="003A034E" w:rsidRPr="00770477">
        <w:rPr>
          <w:rFonts w:cs="Times New Roman"/>
        </w:rPr>
        <w:t>“</w:t>
      </w:r>
      <w:r w:rsidR="009C4481" w:rsidRPr="00770477">
        <w:rPr>
          <w:rFonts w:cs="Times New Roman"/>
        </w:rPr>
        <w:t>mass removal</w:t>
      </w:r>
      <w:r w:rsidR="003A034E" w:rsidRPr="00770477">
        <w:rPr>
          <w:rFonts w:cs="Times New Roman"/>
        </w:rPr>
        <w:t xml:space="preserve"> rate analysis.” </w:t>
      </w:r>
      <w:r w:rsidR="003B567E" w:rsidRPr="00770477">
        <w:rPr>
          <w:rFonts w:cs="Times New Roman"/>
        </w:rPr>
        <w:t>For horizontal column experiments, there was one notable exception. C</w:t>
      </w:r>
      <w:r w:rsidR="003B567E" w:rsidRPr="00770477">
        <w:rPr>
          <w:rFonts w:cs="Times New Roman"/>
          <w:vertAlign w:val="subscript"/>
        </w:rPr>
        <w:t>i</w:t>
      </w:r>
      <w:r w:rsidR="003B567E" w:rsidRPr="00770477">
        <w:rPr>
          <w:rFonts w:cs="Times New Roman"/>
        </w:rPr>
        <w:t xml:space="preserve"> from </w:t>
      </w:r>
      <w:r w:rsidR="003B567E" w:rsidRPr="00770477">
        <w:rPr>
          <w:rFonts w:cs="Times New Roman"/>
        </w:rPr>
        <w:fldChar w:fldCharType="begin"/>
      </w:r>
      <w:r w:rsidR="003B567E" w:rsidRPr="00770477">
        <w:rPr>
          <w:rFonts w:cs="Times New Roman"/>
        </w:rPr>
        <w:instrText xml:space="preserve"> REF _Ref120975509 \h </w:instrText>
      </w:r>
      <w:r w:rsidR="00770477">
        <w:rPr>
          <w:rFonts w:cs="Times New Roman"/>
        </w:rPr>
        <w:instrText xml:space="preserve"> \* MERGEFORMAT </w:instrText>
      </w:r>
      <w:r w:rsidR="003B567E" w:rsidRPr="00770477">
        <w:rPr>
          <w:rFonts w:cs="Times New Roman"/>
        </w:rPr>
      </w:r>
      <w:r w:rsidR="003B567E" w:rsidRPr="00770477">
        <w:rPr>
          <w:rFonts w:cs="Times New Roman"/>
        </w:rPr>
        <w:fldChar w:fldCharType="separate"/>
      </w:r>
      <w:r w:rsidR="00061096" w:rsidRPr="00770477">
        <w:rPr>
          <w:rFonts w:cs="Times New Roman"/>
        </w:rPr>
        <w:t xml:space="preserve">Equation </w:t>
      </w:r>
      <w:r w:rsidR="00061096">
        <w:rPr>
          <w:rFonts w:cs="Times New Roman"/>
          <w:noProof/>
        </w:rPr>
        <w:t>2</w:t>
      </w:r>
      <w:r w:rsidR="00061096" w:rsidRPr="00770477">
        <w:rPr>
          <w:rFonts w:cs="Times New Roman"/>
          <w:noProof/>
        </w:rPr>
        <w:noBreakHyphen/>
      </w:r>
      <w:r w:rsidR="00061096">
        <w:rPr>
          <w:rFonts w:cs="Times New Roman"/>
          <w:noProof/>
        </w:rPr>
        <w:t>5</w:t>
      </w:r>
      <w:r w:rsidR="003B567E" w:rsidRPr="00770477">
        <w:rPr>
          <w:rFonts w:cs="Times New Roman"/>
        </w:rPr>
        <w:fldChar w:fldCharType="end"/>
      </w:r>
      <w:r w:rsidR="003B567E" w:rsidRPr="00770477">
        <w:rPr>
          <w:rFonts w:cs="Times New Roman"/>
        </w:rPr>
        <w:t xml:space="preserve"> above, was replaced with C</w:t>
      </w:r>
      <w:r w:rsidR="003B567E" w:rsidRPr="00770477">
        <w:rPr>
          <w:rFonts w:cs="Times New Roman"/>
          <w:vertAlign w:val="subscript"/>
        </w:rPr>
        <w:t>e</w:t>
      </w:r>
      <w:r w:rsidR="007864AF" w:rsidRPr="00770477">
        <w:rPr>
          <w:rFonts w:cs="Times New Roman"/>
          <w:vertAlign w:val="subscript"/>
        </w:rPr>
        <w:t xml:space="preserve">, control </w:t>
      </w:r>
      <w:r w:rsidR="007864AF" w:rsidRPr="00770477">
        <w:rPr>
          <w:rFonts w:cs="Times New Roman"/>
        </w:rPr>
        <w:t xml:space="preserve">which is the measured effluent concentration of the control column. This was used as a proxy for the solution concentration </w:t>
      </w:r>
      <w:proofErr w:type="gramStart"/>
      <w:r w:rsidR="007864AF" w:rsidRPr="00770477">
        <w:rPr>
          <w:rFonts w:cs="Times New Roman"/>
        </w:rPr>
        <w:t>entering into</w:t>
      </w:r>
      <w:proofErr w:type="gramEnd"/>
      <w:r w:rsidR="007864AF" w:rsidRPr="00770477">
        <w:rPr>
          <w:rFonts w:cs="Times New Roman"/>
        </w:rPr>
        <w:t xml:space="preserve"> the media section of the </w:t>
      </w:r>
      <w:r w:rsidR="002C2733" w:rsidRPr="00770477">
        <w:rPr>
          <w:rFonts w:cs="Times New Roman"/>
        </w:rPr>
        <w:t>horizontal column experiments</w:t>
      </w:r>
      <w:r w:rsidR="005914BE" w:rsidRPr="00770477">
        <w:rPr>
          <w:rFonts w:cs="Times New Roman"/>
        </w:rPr>
        <w:t>.</w:t>
      </w:r>
      <w:r w:rsidR="002C2733" w:rsidRPr="00770477">
        <w:rPr>
          <w:rFonts w:cs="Times New Roman"/>
        </w:rPr>
        <w:t xml:space="preserve"> </w:t>
      </w:r>
      <w:r w:rsidR="005914BE" w:rsidRPr="00770477">
        <w:rPr>
          <w:rFonts w:cs="Times New Roman"/>
        </w:rPr>
        <w:t>T</w:t>
      </w:r>
      <w:r w:rsidR="002C2733" w:rsidRPr="00770477">
        <w:rPr>
          <w:rFonts w:cs="Times New Roman"/>
        </w:rPr>
        <w:t>herefore</w:t>
      </w:r>
      <w:r w:rsidR="005914BE" w:rsidRPr="00770477">
        <w:rPr>
          <w:rFonts w:cs="Times New Roman"/>
        </w:rPr>
        <w:t>, this</w:t>
      </w:r>
      <w:r w:rsidR="002C2733" w:rsidRPr="00770477">
        <w:rPr>
          <w:rFonts w:cs="Times New Roman"/>
        </w:rPr>
        <w:t xml:space="preserve"> allowed for the direct comparison </w:t>
      </w:r>
      <w:r w:rsidR="005E5F42" w:rsidRPr="00770477">
        <w:rPr>
          <w:rFonts w:cs="Times New Roman"/>
        </w:rPr>
        <w:t xml:space="preserve">between column orientations </w:t>
      </w:r>
      <w:r w:rsidR="002C2733" w:rsidRPr="00770477">
        <w:rPr>
          <w:rFonts w:cs="Times New Roman"/>
        </w:rPr>
        <w:t xml:space="preserve">of </w:t>
      </w:r>
      <w:r w:rsidR="00B757BD" w:rsidRPr="00770477">
        <w:rPr>
          <w:rFonts w:cs="Times New Roman"/>
        </w:rPr>
        <w:t xml:space="preserve">the MRR </w:t>
      </w:r>
      <w:r w:rsidR="005E5F42" w:rsidRPr="00770477">
        <w:rPr>
          <w:rFonts w:cs="Times New Roman"/>
        </w:rPr>
        <w:t xml:space="preserve">of the media, specifically, rather than </w:t>
      </w:r>
      <w:r w:rsidR="005914BE" w:rsidRPr="00770477">
        <w:rPr>
          <w:rFonts w:cs="Times New Roman"/>
        </w:rPr>
        <w:t>comparing</w:t>
      </w:r>
      <w:r w:rsidR="005E5F42" w:rsidRPr="00770477">
        <w:rPr>
          <w:rFonts w:cs="Times New Roman"/>
        </w:rPr>
        <w:t xml:space="preserve"> the </w:t>
      </w:r>
      <w:proofErr w:type="gramStart"/>
      <w:r w:rsidR="005E5F42" w:rsidRPr="00770477">
        <w:rPr>
          <w:rFonts w:cs="Times New Roman"/>
        </w:rPr>
        <w:t>system</w:t>
      </w:r>
      <w:r w:rsidR="005914BE" w:rsidRPr="00770477">
        <w:rPr>
          <w:rFonts w:cs="Times New Roman"/>
        </w:rPr>
        <w:t>s</w:t>
      </w:r>
      <w:r w:rsidR="005E5F42" w:rsidRPr="00770477">
        <w:rPr>
          <w:rFonts w:cs="Times New Roman"/>
        </w:rPr>
        <w:t xml:space="preserve"> as a whole</w:t>
      </w:r>
      <w:proofErr w:type="gramEnd"/>
      <w:r w:rsidR="005E5F42" w:rsidRPr="00770477">
        <w:rPr>
          <w:rFonts w:cs="Times New Roman"/>
        </w:rPr>
        <w:t xml:space="preserve">. </w:t>
      </w:r>
    </w:p>
    <w:p w14:paraId="109038F0" w14:textId="77777777" w:rsidR="009C4481" w:rsidRPr="00770477" w:rsidRDefault="009C4481" w:rsidP="000039C1">
      <w:pPr>
        <w:rPr>
          <w:rFonts w:cs="Times New Roman"/>
        </w:rPr>
      </w:pPr>
    </w:p>
    <w:p w14:paraId="56ACD69D" w14:textId="17DAC874" w:rsidR="00154AF7" w:rsidRPr="00770477" w:rsidRDefault="057BDDDA" w:rsidP="007C3258">
      <w:pPr>
        <w:pStyle w:val="Heading2"/>
        <w:rPr>
          <w:rFonts w:cs="Times New Roman"/>
        </w:rPr>
      </w:pPr>
      <w:bookmarkStart w:id="73" w:name="_Toc121495999"/>
      <w:r w:rsidRPr="00770477">
        <w:rPr>
          <w:rFonts w:cs="Times New Roman"/>
        </w:rPr>
        <w:t>Quality Assurance/Quality Control (</w:t>
      </w:r>
      <w:r w:rsidR="1C89FC54" w:rsidRPr="00770477">
        <w:rPr>
          <w:rFonts w:cs="Times New Roman"/>
        </w:rPr>
        <w:t>QA/QC</w:t>
      </w:r>
      <w:r w:rsidR="667E6B11" w:rsidRPr="00770477">
        <w:rPr>
          <w:rFonts w:cs="Times New Roman"/>
        </w:rPr>
        <w:t>)</w:t>
      </w:r>
      <w:bookmarkEnd w:id="73"/>
    </w:p>
    <w:p w14:paraId="25490F33" w14:textId="3B392A2E" w:rsidR="00304193" w:rsidRPr="00770477" w:rsidRDefault="7A63EAEE" w:rsidP="00447269">
      <w:pPr>
        <w:ind w:firstLine="720"/>
        <w:rPr>
          <w:rFonts w:cs="Times New Roman"/>
          <w:lang w:val="en"/>
        </w:rPr>
      </w:pPr>
      <w:r w:rsidRPr="00770477">
        <w:rPr>
          <w:rFonts w:cs="Times New Roman"/>
          <w:lang w:val="en"/>
        </w:rPr>
        <w:t xml:space="preserve">All equipment used was washed according to </w:t>
      </w:r>
      <w:r w:rsidR="00304193" w:rsidRPr="00770477">
        <w:rPr>
          <w:rFonts w:cs="Times New Roman"/>
          <w:lang w:val="en"/>
        </w:rPr>
        <w:fldChar w:fldCharType="begin"/>
      </w:r>
      <w:r w:rsidR="002074AD">
        <w:rPr>
          <w:rFonts w:cs="Times New Roman"/>
          <w:lang w:val="en"/>
        </w:rPr>
        <w:instrText xml:space="preserve"> ADDIN ZOTERO_ITEM CSL_CITATION {"citationID":"IoTeriot","properties":{"formattedCitation":"(Norton, 2004)","plainCitation":"(Norton, 2004)","dontUpdate":true,"noteIndex":0},"citationItems":[{"id":992,"uris":["http://zotero.org/users/8423188/items/WYZAJJTU"],"itemData":{"id":992,"type":"report","collection-title":"National Field Manual for the Collection of Water-Quality Data","event-place":"Reston, VA","genre":"Manual","language":"en","number":"Book 9, Chapter A3","page":"83","publisher":"U.S. Geologic Survey","publisher-place":"Reston, VA","source":"Zotero","title":"Cleaning of Equipment for Water Sampling","author":[{"family":"Norton","given":"Gale A"}],"issued":{"date-parts":[["2004",4]]}}}],"schema":"https://github.com/citation-style-language/schema/raw/master/csl-citation.json"} </w:instrText>
      </w:r>
      <w:r w:rsidR="00304193" w:rsidRPr="00770477">
        <w:rPr>
          <w:rFonts w:cs="Times New Roman"/>
          <w:lang w:val="en"/>
        </w:rPr>
        <w:fldChar w:fldCharType="separate"/>
      </w:r>
      <w:r w:rsidR="5976776A" w:rsidRPr="00770477">
        <w:rPr>
          <w:rFonts w:cs="Times New Roman"/>
          <w:noProof/>
          <w:lang w:val="en"/>
        </w:rPr>
        <w:t>Norton (2004)</w:t>
      </w:r>
      <w:r w:rsidR="00304193" w:rsidRPr="00770477">
        <w:rPr>
          <w:rFonts w:cs="Times New Roman"/>
          <w:lang w:val="en"/>
        </w:rPr>
        <w:fldChar w:fldCharType="end"/>
      </w:r>
      <w:r w:rsidRPr="00770477">
        <w:rPr>
          <w:rFonts w:cs="Times New Roman"/>
          <w:lang w:val="en"/>
        </w:rPr>
        <w:t>. Sampl</w:t>
      </w:r>
      <w:r w:rsidR="00F00B7F" w:rsidRPr="00770477">
        <w:rPr>
          <w:rFonts w:cs="Times New Roman"/>
          <w:lang w:val="en"/>
        </w:rPr>
        <w:t>ing equipment</w:t>
      </w:r>
      <w:r w:rsidRPr="00770477">
        <w:rPr>
          <w:rFonts w:cs="Times New Roman"/>
          <w:lang w:val="en"/>
        </w:rPr>
        <w:t xml:space="preserve"> that </w:t>
      </w:r>
      <w:r w:rsidR="00F0697E" w:rsidRPr="00770477">
        <w:rPr>
          <w:rFonts w:cs="Times New Roman"/>
          <w:lang w:val="en"/>
        </w:rPr>
        <w:t xml:space="preserve">was used to </w:t>
      </w:r>
      <w:r w:rsidRPr="00770477">
        <w:rPr>
          <w:rFonts w:cs="Times New Roman"/>
          <w:lang w:val="en"/>
        </w:rPr>
        <w:t xml:space="preserve">only </w:t>
      </w:r>
      <w:r w:rsidR="004A2292" w:rsidRPr="00770477">
        <w:rPr>
          <w:rFonts w:cs="Times New Roman"/>
          <w:lang w:val="en"/>
        </w:rPr>
        <w:t>process</w:t>
      </w:r>
      <w:r w:rsidRPr="00770477">
        <w:rPr>
          <w:rFonts w:cs="Times New Roman"/>
          <w:lang w:val="en"/>
        </w:rPr>
        <w:t xml:space="preserve"> metals or phosphorus samples were washed with and soaked in a 5% </w:t>
      </w:r>
      <w:proofErr w:type="spellStart"/>
      <w:r w:rsidRPr="00770477">
        <w:rPr>
          <w:rFonts w:cs="Times New Roman"/>
          <w:lang w:val="en"/>
        </w:rPr>
        <w:t>Liquinox</w:t>
      </w:r>
      <w:proofErr w:type="spellEnd"/>
      <w:r w:rsidRPr="00770477">
        <w:rPr>
          <w:rFonts w:cs="Times New Roman"/>
          <w:lang w:val="en"/>
        </w:rPr>
        <w:t xml:space="preserve"> solution and rinsed with tap water. These same parts were then soaked in a 2% hydrochloric acid (HCl). Parts containing metal or rubber were dipped, swished, and immediately rinsed with DI water and left to air dry. Plastic or glass pieces were left to soak for 30 minutes then rinsed with DI water and left to air dry. </w:t>
      </w:r>
      <w:r w:rsidR="6A2DA579" w:rsidRPr="00770477">
        <w:rPr>
          <w:rFonts w:cs="Times New Roman"/>
          <w:lang w:val="en"/>
        </w:rPr>
        <w:t xml:space="preserve">Sampling equipment used in sample setup and/or neonicotinoid collection/processing underwent </w:t>
      </w:r>
      <w:r w:rsidR="00C1574D" w:rsidRPr="00770477">
        <w:rPr>
          <w:rFonts w:cs="Times New Roman"/>
          <w:lang w:val="en"/>
        </w:rPr>
        <w:t>an</w:t>
      </w:r>
      <w:r w:rsidR="6A2DA579" w:rsidRPr="00770477">
        <w:rPr>
          <w:rFonts w:cs="Times New Roman"/>
          <w:lang w:val="en"/>
        </w:rPr>
        <w:t xml:space="preserve"> additional triple rinse with methanol </w:t>
      </w:r>
      <w:r w:rsidR="00C1574D" w:rsidRPr="00770477">
        <w:rPr>
          <w:rFonts w:cs="Times New Roman"/>
          <w:lang w:val="en"/>
        </w:rPr>
        <w:t>followed by</w:t>
      </w:r>
      <w:r w:rsidR="009C759B" w:rsidRPr="00770477">
        <w:rPr>
          <w:rFonts w:cs="Times New Roman"/>
          <w:lang w:val="en"/>
        </w:rPr>
        <w:t xml:space="preserve"> a triple rinse</w:t>
      </w:r>
      <w:r w:rsidR="6A2DA579" w:rsidRPr="00770477">
        <w:rPr>
          <w:rFonts w:cs="Times New Roman"/>
          <w:lang w:val="en"/>
        </w:rPr>
        <w:t xml:space="preserve"> </w:t>
      </w:r>
      <w:r w:rsidR="009C759B" w:rsidRPr="00770477">
        <w:rPr>
          <w:rFonts w:cs="Times New Roman"/>
          <w:lang w:val="en"/>
        </w:rPr>
        <w:t>with</w:t>
      </w:r>
      <w:r w:rsidR="6A2DA579" w:rsidRPr="00770477">
        <w:rPr>
          <w:rFonts w:cs="Times New Roman"/>
          <w:lang w:val="en"/>
        </w:rPr>
        <w:t xml:space="preserve"> DI water and left to air dry. </w:t>
      </w:r>
    </w:p>
    <w:p w14:paraId="7797D9D2" w14:textId="2B5C6667" w:rsidR="002A55DF" w:rsidRPr="00770477" w:rsidRDefault="002A55DF" w:rsidP="00447269">
      <w:pPr>
        <w:ind w:firstLine="720"/>
        <w:rPr>
          <w:rFonts w:cs="Times New Roman"/>
          <w:lang w:val="en"/>
        </w:rPr>
      </w:pPr>
      <w:r w:rsidRPr="00770477">
        <w:rPr>
          <w:rFonts w:cs="Times New Roman"/>
          <w:lang w:val="en"/>
        </w:rPr>
        <w:lastRenderedPageBreak/>
        <w:t xml:space="preserve">Quality </w:t>
      </w:r>
      <w:r w:rsidR="006D7719" w:rsidRPr="00770477">
        <w:rPr>
          <w:rFonts w:cs="Times New Roman"/>
          <w:lang w:val="en"/>
        </w:rPr>
        <w:t>assurance</w:t>
      </w:r>
      <w:r w:rsidRPr="00770477">
        <w:rPr>
          <w:rFonts w:cs="Times New Roman"/>
          <w:lang w:val="en"/>
        </w:rPr>
        <w:t xml:space="preserve"> (Q</w:t>
      </w:r>
      <w:r w:rsidR="006D7719" w:rsidRPr="00770477">
        <w:rPr>
          <w:rFonts w:cs="Times New Roman"/>
          <w:lang w:val="en"/>
        </w:rPr>
        <w:t>A</w:t>
      </w:r>
      <w:r w:rsidRPr="00770477">
        <w:rPr>
          <w:rFonts w:cs="Times New Roman"/>
          <w:lang w:val="en"/>
        </w:rPr>
        <w:t xml:space="preserve">) samples were taken at </w:t>
      </w:r>
      <w:r w:rsidR="00A20E96" w:rsidRPr="00770477">
        <w:rPr>
          <w:rFonts w:cs="Times New Roman"/>
          <w:lang w:val="en"/>
        </w:rPr>
        <w:t>randomized</w:t>
      </w:r>
      <w:r w:rsidRPr="00770477">
        <w:rPr>
          <w:rFonts w:cs="Times New Roman"/>
          <w:lang w:val="en"/>
        </w:rPr>
        <w:t xml:space="preserve"> points throughout the sampling process. Two duplicate samples were taken</w:t>
      </w:r>
      <w:r w:rsidR="00CE56BA" w:rsidRPr="00770477">
        <w:rPr>
          <w:rFonts w:cs="Times New Roman"/>
          <w:lang w:val="en"/>
        </w:rPr>
        <w:t xml:space="preserve"> </w:t>
      </w:r>
      <w:r w:rsidR="00EB69DB" w:rsidRPr="00770477">
        <w:rPr>
          <w:rFonts w:cs="Times New Roman"/>
          <w:lang w:val="en"/>
        </w:rPr>
        <w:t>for every run</w:t>
      </w:r>
      <w:r w:rsidR="00A42677" w:rsidRPr="00770477">
        <w:rPr>
          <w:rFonts w:cs="Times New Roman"/>
          <w:lang w:val="en"/>
        </w:rPr>
        <w:t>-column combination.</w:t>
      </w:r>
      <w:r w:rsidR="008A6174" w:rsidRPr="00770477">
        <w:rPr>
          <w:rFonts w:cs="Times New Roman"/>
          <w:lang w:val="en"/>
        </w:rPr>
        <w:t xml:space="preserve"> The coefficient of variation was calculated for each duplicate pair </w:t>
      </w:r>
      <w:r w:rsidRPr="00770477">
        <w:rPr>
          <w:rFonts w:cs="Times New Roman"/>
          <w:lang w:val="en"/>
        </w:rPr>
        <w:t>to help identify error in the sampling process. Each duplicate pair was separated into a standard sample (Q</w:t>
      </w:r>
      <w:r w:rsidR="006D7719" w:rsidRPr="00770477">
        <w:rPr>
          <w:rFonts w:cs="Times New Roman"/>
          <w:lang w:val="en"/>
        </w:rPr>
        <w:t>A</w:t>
      </w:r>
      <w:r w:rsidRPr="00770477">
        <w:rPr>
          <w:rFonts w:cs="Times New Roman"/>
          <w:lang w:val="en"/>
        </w:rPr>
        <w:t xml:space="preserve"> code 1) and a duplicate sample (Q</w:t>
      </w:r>
      <w:r w:rsidR="006D7719" w:rsidRPr="00770477">
        <w:rPr>
          <w:rFonts w:cs="Times New Roman"/>
          <w:lang w:val="en"/>
        </w:rPr>
        <w:t>A</w:t>
      </w:r>
      <w:r w:rsidRPr="00770477">
        <w:rPr>
          <w:rFonts w:cs="Times New Roman"/>
          <w:lang w:val="en"/>
        </w:rPr>
        <w:t xml:space="preserve"> code 2). For the sake of analysis, only Q</w:t>
      </w:r>
      <w:r w:rsidR="006D7719" w:rsidRPr="00770477">
        <w:rPr>
          <w:rFonts w:cs="Times New Roman"/>
          <w:lang w:val="en"/>
        </w:rPr>
        <w:t>A</w:t>
      </w:r>
      <w:r w:rsidRPr="00770477">
        <w:rPr>
          <w:rFonts w:cs="Times New Roman"/>
          <w:lang w:val="en"/>
        </w:rPr>
        <w:t xml:space="preserve"> code 1s were used as to not bias any results</w:t>
      </w:r>
      <w:r w:rsidR="006D7719" w:rsidRPr="00770477">
        <w:rPr>
          <w:rFonts w:cs="Times New Roman"/>
          <w:lang w:val="en"/>
        </w:rPr>
        <w:t xml:space="preserve"> by averaging duplicate pairs. Aliquots with duplicates with variability </w:t>
      </w:r>
      <w:r w:rsidR="007543E5" w:rsidRPr="00770477">
        <w:rPr>
          <w:rFonts w:cs="Times New Roman"/>
          <w:lang w:val="en"/>
        </w:rPr>
        <w:t xml:space="preserve">coefficients </w:t>
      </w:r>
      <w:r w:rsidR="006D7719" w:rsidRPr="00770477">
        <w:rPr>
          <w:rFonts w:cs="Times New Roman"/>
          <w:lang w:val="en"/>
        </w:rPr>
        <w:t xml:space="preserve">beyond </w:t>
      </w:r>
      <w:r w:rsidR="00E51926" w:rsidRPr="00770477">
        <w:rPr>
          <w:rFonts w:cs="Times New Roman"/>
          <w:lang w:val="en"/>
        </w:rPr>
        <w:t>10</w:t>
      </w:r>
      <w:r w:rsidR="007543E5" w:rsidRPr="00770477">
        <w:rPr>
          <w:rFonts w:cs="Times New Roman"/>
          <w:lang w:val="en"/>
        </w:rPr>
        <w:t xml:space="preserve"> and 20%</w:t>
      </w:r>
      <w:r w:rsidR="006D7719" w:rsidRPr="00770477">
        <w:rPr>
          <w:rFonts w:cs="Times New Roman"/>
          <w:lang w:val="en"/>
        </w:rPr>
        <w:t xml:space="preserve"> were flagged and considered </w:t>
      </w:r>
      <w:r w:rsidR="00A27437" w:rsidRPr="00770477">
        <w:rPr>
          <w:rFonts w:cs="Times New Roman"/>
          <w:lang w:val="en"/>
        </w:rPr>
        <w:t>be</w:t>
      </w:r>
      <w:r w:rsidR="006D7719" w:rsidRPr="00770477">
        <w:rPr>
          <w:rFonts w:cs="Times New Roman"/>
          <w:lang w:val="en"/>
        </w:rPr>
        <w:t>for</w:t>
      </w:r>
      <w:r w:rsidR="00A27437" w:rsidRPr="00770477">
        <w:rPr>
          <w:rFonts w:cs="Times New Roman"/>
          <w:lang w:val="en"/>
        </w:rPr>
        <w:t>e</w:t>
      </w:r>
      <w:r w:rsidR="006D7719" w:rsidRPr="00770477">
        <w:rPr>
          <w:rFonts w:cs="Times New Roman"/>
          <w:lang w:val="en"/>
        </w:rPr>
        <w:t xml:space="preserve"> writing the Discussion and Conclusions sections.</w:t>
      </w:r>
      <w:r w:rsidR="0013097C" w:rsidRPr="00770477">
        <w:rPr>
          <w:rFonts w:cs="Times New Roman"/>
          <w:lang w:val="en"/>
        </w:rPr>
        <w:t xml:space="preserve"> </w:t>
      </w:r>
    </w:p>
    <w:p w14:paraId="0F4761A6" w14:textId="4C933E18" w:rsidR="002A55DF" w:rsidRPr="00770477" w:rsidRDefault="6A2DA579" w:rsidP="00447269">
      <w:pPr>
        <w:ind w:firstLine="720"/>
        <w:rPr>
          <w:rFonts w:cs="Times New Roman"/>
          <w:lang w:val="en"/>
        </w:rPr>
      </w:pPr>
      <w:r w:rsidRPr="00770477">
        <w:rPr>
          <w:rFonts w:cs="Times New Roman"/>
          <w:lang w:val="en"/>
        </w:rPr>
        <w:t xml:space="preserve">For each run, </w:t>
      </w:r>
      <w:r w:rsidR="00EA53C0" w:rsidRPr="00770477">
        <w:rPr>
          <w:rFonts w:cs="Times New Roman"/>
          <w:lang w:val="en"/>
        </w:rPr>
        <w:t xml:space="preserve">the same sampling procedure as a standard sample was used to collect </w:t>
      </w:r>
      <w:r w:rsidRPr="00770477">
        <w:rPr>
          <w:rFonts w:cs="Times New Roman"/>
          <w:lang w:val="en"/>
        </w:rPr>
        <w:t>a blank</w:t>
      </w:r>
      <w:r w:rsidR="00513F87" w:rsidRPr="00770477">
        <w:rPr>
          <w:rFonts w:cs="Times New Roman"/>
          <w:lang w:val="en"/>
        </w:rPr>
        <w:t xml:space="preserve"> sample</w:t>
      </w:r>
      <w:r w:rsidRPr="00770477">
        <w:rPr>
          <w:rFonts w:cs="Times New Roman"/>
          <w:lang w:val="en"/>
        </w:rPr>
        <w:t xml:space="preserve"> </w:t>
      </w:r>
      <w:r w:rsidR="0010792E" w:rsidRPr="00770477">
        <w:rPr>
          <w:rFonts w:cs="Times New Roman"/>
          <w:lang w:val="en"/>
        </w:rPr>
        <w:t xml:space="preserve">of DI water </w:t>
      </w:r>
      <w:r w:rsidRPr="00770477">
        <w:rPr>
          <w:rFonts w:cs="Times New Roman"/>
          <w:lang w:val="en"/>
        </w:rPr>
        <w:t>at the end of the sampling period. This was used as an outside check on each labs’ analysis procedures as well as a check on the purity of DI water and cleanliness of the environment in the lab where the experiment was being conducted.</w:t>
      </w:r>
      <w:r w:rsidR="007543E5" w:rsidRPr="00770477">
        <w:rPr>
          <w:rFonts w:cs="Times New Roman"/>
          <w:lang w:val="en"/>
        </w:rPr>
        <w:t xml:space="preserve"> All </w:t>
      </w:r>
    </w:p>
    <w:p w14:paraId="29239317" w14:textId="49E202D9" w:rsidR="00BF5CC7" w:rsidRPr="00770477" w:rsidRDefault="333C530F" w:rsidP="00152515">
      <w:pPr>
        <w:ind w:firstLine="720"/>
        <w:rPr>
          <w:rFonts w:cs="Times New Roman"/>
          <w:lang w:val="en"/>
        </w:rPr>
      </w:pPr>
      <w:r w:rsidRPr="00770477">
        <w:rPr>
          <w:rFonts w:cs="Times New Roman"/>
          <w:lang w:val="en"/>
        </w:rPr>
        <w:t xml:space="preserve">In performing ICP-OES analysis, several QC measures were used to ensure the quality of results. Primarily was the use of </w:t>
      </w:r>
      <w:r w:rsidR="5976776A" w:rsidRPr="00770477">
        <w:rPr>
          <w:rFonts w:cs="Times New Roman"/>
          <w:lang w:val="en"/>
        </w:rPr>
        <w:t>continuing calibration verification (</w:t>
      </w:r>
      <w:r w:rsidRPr="00770477">
        <w:rPr>
          <w:rFonts w:cs="Times New Roman"/>
          <w:lang w:val="en"/>
        </w:rPr>
        <w:t>CCV</w:t>
      </w:r>
      <w:r w:rsidR="5976776A" w:rsidRPr="00770477">
        <w:rPr>
          <w:rFonts w:cs="Times New Roman"/>
          <w:lang w:val="en"/>
        </w:rPr>
        <w:t>)</w:t>
      </w:r>
      <w:r w:rsidRPr="00770477">
        <w:rPr>
          <w:rFonts w:cs="Times New Roman"/>
          <w:lang w:val="en"/>
        </w:rPr>
        <w:t xml:space="preserve"> standard samples. The instrumentation returned to the CCV standard after every 10</w:t>
      </w:r>
      <w:r w:rsidRPr="00770477">
        <w:rPr>
          <w:rFonts w:cs="Times New Roman"/>
          <w:vertAlign w:val="superscript"/>
          <w:lang w:val="en"/>
        </w:rPr>
        <w:t>th</w:t>
      </w:r>
      <w:r w:rsidRPr="00770477">
        <w:rPr>
          <w:rFonts w:cs="Times New Roman"/>
          <w:lang w:val="en"/>
        </w:rPr>
        <w:t xml:space="preserve"> unknown sample analyzed. This helped to identify calibration drift as well as catch any individual or systematic errors in the analysis. USGS reference standards were also used</w:t>
      </w:r>
      <w:r w:rsidR="00817BD5" w:rsidRPr="00770477">
        <w:rPr>
          <w:rFonts w:cs="Times New Roman"/>
          <w:lang w:val="en"/>
        </w:rPr>
        <w:t xml:space="preserve"> </w:t>
      </w:r>
      <w:r w:rsidR="00817BD5" w:rsidRPr="00770477">
        <w:rPr>
          <w:rFonts w:cs="Times New Roman"/>
          <w:lang w:val="en"/>
        </w:rPr>
        <w:fldChar w:fldCharType="begin"/>
      </w:r>
      <w:r w:rsidR="002074AD">
        <w:rPr>
          <w:rFonts w:cs="Times New Roman"/>
          <w:lang w:val="en"/>
        </w:rPr>
        <w:instrText xml:space="preserve"> ADDIN ZOTERO_ITEM CSL_CITATION {"citationID":"a29ppp2fisk","properties":{"formattedCitation":"({\\i{}USGS Spring 2022 Reference Standards}, n.d.)","plainCitation":"(USGS Spring 2022 Reference Standards, n.d.)","noteIndex":0},"citationItems":[{"id":1207,"uris":["http://zotero.org/users/8423188/items/U9CM9TP6"],"itemData":{"id":1207,"type":"webpage","container-title":"Standard Reference Sample Project","title":"Results for the Spring 2022 Inter-laboratory Comparison Study","title-short":"USGS Spring 2022 Reference Standards","URL":"https://bqs.usgs.gov/srs_study/reports/round_details.php?fy=2022&amp;season=1","accessed":{"date-parts":[["2022",12,8]]}}}],"schema":"https://github.com/citation-style-language/schema/raw/master/csl-citation.json"} </w:instrText>
      </w:r>
      <w:r w:rsidR="00817BD5" w:rsidRPr="00770477">
        <w:rPr>
          <w:rFonts w:cs="Times New Roman"/>
          <w:lang w:val="en"/>
        </w:rPr>
        <w:fldChar w:fldCharType="separate"/>
      </w:r>
      <w:r w:rsidR="002074AD" w:rsidRPr="002074AD">
        <w:rPr>
          <w:rFonts w:cs="Times New Roman"/>
        </w:rPr>
        <w:t>(</w:t>
      </w:r>
      <w:r w:rsidR="002074AD" w:rsidRPr="002074AD">
        <w:rPr>
          <w:rFonts w:cs="Times New Roman"/>
          <w:i/>
          <w:iCs/>
        </w:rPr>
        <w:t>USGS Spring 2022 Reference Standards</w:t>
      </w:r>
      <w:r w:rsidR="002074AD" w:rsidRPr="002074AD">
        <w:rPr>
          <w:rFonts w:cs="Times New Roman"/>
        </w:rPr>
        <w:t>, n.d.)</w:t>
      </w:r>
      <w:r w:rsidR="00817BD5" w:rsidRPr="00770477">
        <w:rPr>
          <w:rFonts w:cs="Times New Roman"/>
          <w:lang w:val="en"/>
        </w:rPr>
        <w:fldChar w:fldCharType="end"/>
      </w:r>
      <w:r w:rsidRPr="00770477">
        <w:rPr>
          <w:rFonts w:cs="Times New Roman"/>
          <w:lang w:val="en"/>
        </w:rPr>
        <w:t>. These standards are environmental waters with solute of certified concentrations</w:t>
      </w:r>
      <w:r w:rsidR="3C28E2AB" w:rsidRPr="00770477">
        <w:rPr>
          <w:rFonts w:cs="Times New Roman"/>
          <w:lang w:val="en"/>
        </w:rPr>
        <w:t>,</w:t>
      </w:r>
      <w:r w:rsidRPr="00770477">
        <w:rPr>
          <w:rFonts w:cs="Times New Roman"/>
          <w:lang w:val="en"/>
        </w:rPr>
        <w:t xml:space="preserve"> which provide a more varied matrix for QC references. These reference standards were run at the start of each analytical run of the</w:t>
      </w:r>
      <w:r w:rsidR="5976776A" w:rsidRPr="00770477">
        <w:rPr>
          <w:rFonts w:cs="Times New Roman"/>
          <w:lang w:val="en"/>
        </w:rPr>
        <w:t xml:space="preserve"> ICP-OES</w:t>
      </w:r>
      <w:r w:rsidRPr="00770477">
        <w:rPr>
          <w:rFonts w:cs="Times New Roman"/>
          <w:lang w:val="en"/>
        </w:rPr>
        <w:t xml:space="preserve"> and after every 30 samples and/or at the end of each analytical run. Furthermore, </w:t>
      </w:r>
      <w:r w:rsidR="350FA66D" w:rsidRPr="00770477">
        <w:rPr>
          <w:rFonts w:cs="Times New Roman"/>
          <w:lang w:val="en"/>
        </w:rPr>
        <w:t>an</w:t>
      </w:r>
      <w:r w:rsidRPr="00770477">
        <w:rPr>
          <w:rFonts w:cs="Times New Roman"/>
          <w:lang w:val="en"/>
        </w:rPr>
        <w:t xml:space="preserve"> internal scandium (Sc) standard was used to determine the consistency of the delivery system into the instrument.</w:t>
      </w:r>
    </w:p>
    <w:p w14:paraId="20D12E22" w14:textId="0EAFF256" w:rsidR="00152515" w:rsidRPr="00770477" w:rsidRDefault="00C434CA" w:rsidP="00C434CA">
      <w:pPr>
        <w:spacing w:line="240" w:lineRule="auto"/>
        <w:jc w:val="left"/>
        <w:rPr>
          <w:rFonts w:cs="Times New Roman"/>
          <w:lang w:val="en"/>
        </w:rPr>
      </w:pPr>
      <w:r w:rsidRPr="00770477">
        <w:rPr>
          <w:rFonts w:cs="Times New Roman"/>
          <w:lang w:val="en"/>
        </w:rPr>
        <w:br w:type="page"/>
      </w:r>
    </w:p>
    <w:p w14:paraId="1A1D5902" w14:textId="64C65E7B" w:rsidR="003C4E11" w:rsidRPr="00770477" w:rsidRDefault="00BF5CC7" w:rsidP="003C4E11">
      <w:pPr>
        <w:pStyle w:val="Heading2"/>
        <w:rPr>
          <w:rFonts w:cs="Times New Roman"/>
        </w:rPr>
      </w:pPr>
      <w:bookmarkStart w:id="74" w:name="_Toc121496000"/>
      <w:r w:rsidRPr="00770477">
        <w:rPr>
          <w:rFonts w:cs="Times New Roman"/>
        </w:rPr>
        <w:lastRenderedPageBreak/>
        <w:t>General Contaminant Removal Mechanisms</w:t>
      </w:r>
      <w:bookmarkEnd w:id="74"/>
    </w:p>
    <w:p w14:paraId="72EC5D97" w14:textId="71F63915" w:rsidR="003C4E11" w:rsidRPr="00770477" w:rsidRDefault="003C4E11" w:rsidP="003C4E11">
      <w:pPr>
        <w:ind w:firstLine="720"/>
        <w:rPr>
          <w:rFonts w:cs="Times New Roman"/>
        </w:rPr>
      </w:pPr>
      <w:r w:rsidRPr="00770477">
        <w:rPr>
          <w:rFonts w:cs="Times New Roman"/>
        </w:rPr>
        <w:t xml:space="preserve">Generally, there are two main modes of contaminant removal: sorption and precipitation </w:t>
      </w:r>
      <w:r w:rsidRPr="00770477">
        <w:rPr>
          <w:rFonts w:cs="Times New Roman"/>
        </w:rPr>
        <w:fldChar w:fldCharType="begin"/>
      </w:r>
      <w:r w:rsidR="002074AD">
        <w:rPr>
          <w:rFonts w:cs="Times New Roman"/>
        </w:rPr>
        <w:instrText xml:space="preserve"> ADDIN ZOTERO_ITEM CSL_CITATION {"citationID":"a18k9gpmtl3","properties":{"formattedCitation":"(Attard &amp; Barnes, 1998)","plainCitation":"(Attard &amp; Barnes, 1998)","noteIndex":0},"citationItems":[{"id":1001,"uris":["http://zotero.org/users/8423188/items/ATRHW66I"],"itemData":{"id":1001,"type":"book","call-number":"QD506 .A88 1998","collection-number":"59","collection-title":"Oxford science publications","event-place":"Oxford ; New York","ISBN":"978-0-19-855686-2","number-of-pages":"92","publisher":"Oxford University Press","publisher-place":"Oxford ; New York","source":"Library of Congress ISBN","title":"Surfaces","author":[{"family":"Attard","given":"Gary"},{"family":"Barnes","given":"Colin"}],"issued":{"date-parts":[["1998"]]}}}],"schema":"https://github.com/citation-style-language/schema/raw/master/csl-citation.json"} </w:instrText>
      </w:r>
      <w:r w:rsidRPr="00770477">
        <w:rPr>
          <w:rFonts w:cs="Times New Roman"/>
        </w:rPr>
        <w:fldChar w:fldCharType="separate"/>
      </w:r>
      <w:r w:rsidR="003D5078" w:rsidRPr="00770477">
        <w:rPr>
          <w:rFonts w:cs="Times New Roman"/>
        </w:rPr>
        <w:t>(Attard &amp; Barnes, 1998)</w:t>
      </w:r>
      <w:r w:rsidRPr="00770477">
        <w:rPr>
          <w:rFonts w:cs="Times New Roman"/>
        </w:rPr>
        <w:fldChar w:fldCharType="end"/>
      </w:r>
      <w:r w:rsidRPr="00770477">
        <w:rPr>
          <w:rFonts w:cs="Times New Roman"/>
        </w:rPr>
        <w:t xml:space="preserve">. Contaminant removal from mixed waters is a highly complex process, especially when constant flow is involved like the design that was used for these experiments. Largely, there are two types of sorption, chemical and physical. Chemical sorption is monolayered while physical sorption is multilayered </w:t>
      </w:r>
      <w:r w:rsidRPr="00770477">
        <w:rPr>
          <w:rFonts w:cs="Times New Roman"/>
        </w:rPr>
        <w:fldChar w:fldCharType="begin"/>
      </w:r>
      <w:r w:rsidR="002074AD">
        <w:rPr>
          <w:rFonts w:cs="Times New Roman"/>
        </w:rPr>
        <w:instrText xml:space="preserve"> ADDIN ZOTERO_ITEM CSL_CITATION {"citationID":"k7E5jqhk","properties":{"formattedCitation":"(Attard &amp; Barnes, 1998)","plainCitation":"(Attard &amp; Barnes, 1998)","noteIndex":0},"citationItems":[{"id":1001,"uris":["http://zotero.org/users/8423188/items/ATRHW66I"],"itemData":{"id":1001,"type":"book","call-number":"QD506 .A88 1998","collection-number":"59","collection-title":"Oxford science publications","event-place":"Oxford ; New York","ISBN":"978-0-19-855686-2","number-of-pages":"92","publisher":"Oxford University Press","publisher-place":"Oxford ; New York","source":"Library of Congress ISBN","title":"Surfaces","author":[{"family":"Attard","given":"Gary"},{"family":"Barnes","given":"Colin"}],"issued":{"date-parts":[["1998"]]}}}],"schema":"https://github.com/citation-style-language/schema/raw/master/csl-citation.json"} </w:instrText>
      </w:r>
      <w:r w:rsidRPr="00770477">
        <w:rPr>
          <w:rFonts w:cs="Times New Roman"/>
        </w:rPr>
        <w:fldChar w:fldCharType="separate"/>
      </w:r>
      <w:r w:rsidRPr="00770477">
        <w:rPr>
          <w:rFonts w:cs="Times New Roman"/>
        </w:rPr>
        <w:t>(Attard &amp; Barnes, 1998)</w:t>
      </w:r>
      <w:r w:rsidRPr="00770477">
        <w:rPr>
          <w:rFonts w:cs="Times New Roman"/>
        </w:rPr>
        <w:fldChar w:fldCharType="end"/>
      </w:r>
      <w:r w:rsidRPr="00770477">
        <w:rPr>
          <w:rFonts w:cs="Times New Roman"/>
        </w:rPr>
        <w:t xml:space="preserve">. Physical sorption is highly complex and involves </w:t>
      </w:r>
      <w:r w:rsidR="00001191">
        <w:rPr>
          <w:rFonts w:cs="Times New Roman"/>
        </w:rPr>
        <w:t>high</w:t>
      </w:r>
      <w:r w:rsidRPr="00770477">
        <w:rPr>
          <w:rFonts w:cs="Times New Roman"/>
        </w:rPr>
        <w:t xml:space="preserve"> levels of complexation and ion exchange over a multitude of layers. This can lead to changes in solution chemistry over both short and long periods of time not necessarily due to of a medium’s </w:t>
      </w:r>
      <w:r w:rsidRPr="00770477">
        <w:rPr>
          <w:rFonts w:cs="Times New Roman"/>
          <w:i/>
          <w:iCs/>
        </w:rPr>
        <w:t>ability</w:t>
      </w:r>
      <w:r w:rsidRPr="00770477">
        <w:rPr>
          <w:rFonts w:cs="Times New Roman"/>
        </w:rPr>
        <w:t xml:space="preserve"> to remove one contaminant or the other, but rather due to the complexity of the solution being treated and the physical complexities of multilayered sorption. </w:t>
      </w:r>
    </w:p>
    <w:p w14:paraId="70CF6F13" w14:textId="77777777" w:rsidR="003C4E11" w:rsidRPr="00770477" w:rsidRDefault="003C4E11" w:rsidP="003C4E11">
      <w:pPr>
        <w:ind w:firstLine="720"/>
        <w:rPr>
          <w:rFonts w:cs="Times New Roman"/>
        </w:rPr>
      </w:pPr>
      <w:r w:rsidRPr="00770477">
        <w:rPr>
          <w:rFonts w:cs="Times New Roman"/>
        </w:rPr>
        <w:t xml:space="preserve">Precipitation commonly refers to the oversaturation of a solution with an element or molecule which leads to that element or molecule complexing or crystallizing to form a solid phase and “drop out” of solution. Precipitants are generally thought of as the difference between a dissolved sample (in this case, sample passed through a 0.45 µm filter) and a total sample (unfiltered). Precipitation itself can also complicate understanding sorption in flow through column experiments as complexes or minerals can precipitate out of solution and become additional surfaces for sorption. </w:t>
      </w:r>
    </w:p>
    <w:p w14:paraId="453DB543" w14:textId="6A113D18" w:rsidR="00304193" w:rsidRPr="00465D03" w:rsidRDefault="003C4E11" w:rsidP="00465D03">
      <w:pPr>
        <w:ind w:firstLine="720"/>
        <w:rPr>
          <w:rFonts w:cs="Times New Roman"/>
        </w:rPr>
      </w:pPr>
      <w:r w:rsidRPr="00770477">
        <w:rPr>
          <w:rFonts w:cs="Times New Roman"/>
        </w:rPr>
        <w:t>Because of these complex reactions this discussion will largely focus on identifying the broadest category of removal, either sorption or precipitation. It is also worth noting that these removal mechanisms are highly complicated and are not binary or static. Meaning, once something is sorbed or precipitated, it does not mean that reaction is over, but rather that elements in solution can replace one another at sorption/exchange sites and solid phases can precipitate, dissolve, and reprecipitate.</w:t>
      </w:r>
      <w:r w:rsidR="006D7719" w:rsidRPr="00770477">
        <w:rPr>
          <w:rFonts w:cs="Times New Roman"/>
        </w:rPr>
        <w:br w:type="page"/>
      </w:r>
    </w:p>
    <w:p w14:paraId="0B8B587C" w14:textId="5C506F35" w:rsidR="009C22EB" w:rsidRPr="00770477" w:rsidRDefault="009C22EB" w:rsidP="00A3754A">
      <w:pPr>
        <w:pStyle w:val="Heading1"/>
        <w:rPr>
          <w:rFonts w:cs="Times New Roman"/>
        </w:rPr>
      </w:pPr>
      <w:bookmarkStart w:id="75" w:name="_Toc121496001"/>
      <w:r w:rsidRPr="00770477">
        <w:rPr>
          <w:rFonts w:cs="Times New Roman"/>
        </w:rPr>
        <w:lastRenderedPageBreak/>
        <w:t>Results</w:t>
      </w:r>
      <w:bookmarkEnd w:id="75"/>
    </w:p>
    <w:p w14:paraId="14C72297" w14:textId="32697783" w:rsidR="00AA7F99" w:rsidRPr="00770477" w:rsidRDefault="00B15813" w:rsidP="004C4A4D">
      <w:pPr>
        <w:ind w:firstLine="432"/>
        <w:rPr>
          <w:rFonts w:cs="Times New Roman"/>
        </w:rPr>
      </w:pPr>
      <w:r w:rsidRPr="00770477">
        <w:rPr>
          <w:rFonts w:cs="Times New Roman"/>
        </w:rPr>
        <w:t>Results</w:t>
      </w:r>
      <w:r w:rsidR="00E32C06" w:rsidRPr="00770477">
        <w:rPr>
          <w:rFonts w:cs="Times New Roman"/>
        </w:rPr>
        <w:t xml:space="preserve"> were analyzed based on </w:t>
      </w:r>
      <w:r w:rsidR="008E71DA" w:rsidRPr="00770477">
        <w:rPr>
          <w:rFonts w:cs="Times New Roman"/>
        </w:rPr>
        <w:t>column orientation</w:t>
      </w:r>
      <w:r w:rsidR="001B7C1E" w:rsidRPr="00770477">
        <w:rPr>
          <w:rFonts w:cs="Times New Roman"/>
        </w:rPr>
        <w:t>, medium,</w:t>
      </w:r>
      <w:r w:rsidR="008E71DA" w:rsidRPr="00770477">
        <w:rPr>
          <w:rFonts w:cs="Times New Roman"/>
        </w:rPr>
        <w:t xml:space="preserve"> and contaminant. Within these combinations, all media were compared against one another </w:t>
      </w:r>
      <w:proofErr w:type="gramStart"/>
      <w:r w:rsidR="00932CE1" w:rsidRPr="00770477">
        <w:rPr>
          <w:rFonts w:cs="Times New Roman"/>
        </w:rPr>
        <w:t>in order to</w:t>
      </w:r>
      <w:proofErr w:type="gramEnd"/>
      <w:r w:rsidR="00932CE1" w:rsidRPr="00770477">
        <w:rPr>
          <w:rFonts w:cs="Times New Roman"/>
        </w:rPr>
        <w:t xml:space="preserve"> (1) see individual patterns of contaminant-media interaction and (2) to compare </w:t>
      </w:r>
      <w:r w:rsidR="00071DC9" w:rsidRPr="00770477">
        <w:rPr>
          <w:rFonts w:cs="Times New Roman"/>
        </w:rPr>
        <w:t>each medium against the others. Each combination</w:t>
      </w:r>
      <w:r w:rsidRPr="00770477">
        <w:rPr>
          <w:rFonts w:cs="Times New Roman"/>
        </w:rPr>
        <w:t xml:space="preserve"> generally fell into </w:t>
      </w:r>
      <w:r w:rsidR="00111CCD" w:rsidRPr="00770477">
        <w:rPr>
          <w:rFonts w:cs="Times New Roman"/>
        </w:rPr>
        <w:t>4</w:t>
      </w:r>
      <w:r w:rsidRPr="00770477">
        <w:rPr>
          <w:rFonts w:cs="Times New Roman"/>
        </w:rPr>
        <w:t xml:space="preserve"> categories:</w:t>
      </w:r>
    </w:p>
    <w:p w14:paraId="157C629E" w14:textId="77777777" w:rsidR="00706C55" w:rsidRPr="00770477" w:rsidRDefault="00706C55" w:rsidP="00AA7F99">
      <w:pPr>
        <w:rPr>
          <w:rFonts w:cs="Times New Roman"/>
        </w:rPr>
      </w:pPr>
    </w:p>
    <w:p w14:paraId="07C8EE34" w14:textId="7DA05BEA" w:rsidR="00B15813" w:rsidRPr="00770477" w:rsidRDefault="00E32C06" w:rsidP="00006C2D">
      <w:pPr>
        <w:pStyle w:val="ListParagraph"/>
        <w:numPr>
          <w:ilvl w:val="0"/>
          <w:numId w:val="13"/>
        </w:numPr>
        <w:rPr>
          <w:rFonts w:cs="Times New Roman"/>
        </w:rPr>
      </w:pPr>
      <w:r w:rsidRPr="00770477">
        <w:rPr>
          <w:rFonts w:cs="Times New Roman"/>
        </w:rPr>
        <w:t>&gt;50% results were</w:t>
      </w:r>
      <w:r w:rsidR="00CE0D1A" w:rsidRPr="00770477">
        <w:rPr>
          <w:rFonts w:cs="Times New Roman"/>
        </w:rPr>
        <w:t xml:space="preserve"> below the detection limit (BDL</w:t>
      </w:r>
      <w:r w:rsidR="00431ECF" w:rsidRPr="00770477">
        <w:rPr>
          <w:rFonts w:cs="Times New Roman"/>
        </w:rPr>
        <w:t>),</w:t>
      </w:r>
      <w:r w:rsidR="00F6457B" w:rsidRPr="00770477">
        <w:rPr>
          <w:rFonts w:cs="Times New Roman"/>
        </w:rPr>
        <w:t xml:space="preserve"> or </w:t>
      </w:r>
      <w:r w:rsidR="00936FCB" w:rsidRPr="00770477">
        <w:rPr>
          <w:rFonts w:cs="Times New Roman"/>
        </w:rPr>
        <w:t xml:space="preserve">results were </w:t>
      </w:r>
      <w:r w:rsidR="5C3B85A4" w:rsidRPr="00770477">
        <w:rPr>
          <w:rFonts w:cs="Times New Roman"/>
        </w:rPr>
        <w:t>variable and did not resemble an apparent breakthrough curve</w:t>
      </w:r>
      <w:r w:rsidR="00213FEA" w:rsidRPr="00770477">
        <w:rPr>
          <w:rFonts w:cs="Times New Roman"/>
        </w:rPr>
        <w:t>.</w:t>
      </w:r>
    </w:p>
    <w:p w14:paraId="2661D1C1" w14:textId="27DF360C" w:rsidR="002C4FD1" w:rsidRPr="00770477" w:rsidRDefault="004122AB" w:rsidP="00006C2D">
      <w:pPr>
        <w:pStyle w:val="ListParagraph"/>
        <w:numPr>
          <w:ilvl w:val="0"/>
          <w:numId w:val="13"/>
        </w:numPr>
        <w:rPr>
          <w:rFonts w:cs="Times New Roman"/>
        </w:rPr>
      </w:pPr>
      <w:r w:rsidRPr="00770477">
        <w:rPr>
          <w:rFonts w:cs="Times New Roman"/>
        </w:rPr>
        <w:t>Experimental columns had</w:t>
      </w:r>
      <w:r w:rsidR="00DD450E" w:rsidRPr="00770477">
        <w:rPr>
          <w:rFonts w:cs="Times New Roman"/>
        </w:rPr>
        <w:t xml:space="preserve"> no </w:t>
      </w:r>
      <w:r w:rsidR="00E32105" w:rsidRPr="00770477">
        <w:rPr>
          <w:rFonts w:cs="Times New Roman"/>
        </w:rPr>
        <w:t>noticeable departure from</w:t>
      </w:r>
      <w:r w:rsidR="00DD450E" w:rsidRPr="00770477">
        <w:rPr>
          <w:rFonts w:cs="Times New Roman"/>
        </w:rPr>
        <w:t xml:space="preserve"> the control column (in the case of the horizontal orientation)</w:t>
      </w:r>
      <w:r w:rsidR="00F526E6" w:rsidRPr="00770477">
        <w:rPr>
          <w:rFonts w:cs="Times New Roman"/>
        </w:rPr>
        <w:t>, or columns did not remove or leach the contaminant (in both orientations).</w:t>
      </w:r>
      <w:r w:rsidR="0812AA8F" w:rsidRPr="00770477">
        <w:rPr>
          <w:rFonts w:cs="Times New Roman"/>
        </w:rPr>
        <w:t xml:space="preserve"> This indicates that the industrial byproduct did not </w:t>
      </w:r>
      <w:r w:rsidR="00D16A61" w:rsidRPr="00770477">
        <w:rPr>
          <w:rFonts w:cs="Times New Roman"/>
        </w:rPr>
        <w:t xml:space="preserve">impact column </w:t>
      </w:r>
      <w:r w:rsidR="00CA777F" w:rsidRPr="00770477">
        <w:rPr>
          <w:rFonts w:cs="Times New Roman"/>
        </w:rPr>
        <w:t xml:space="preserve">solution chemistry for </w:t>
      </w:r>
      <w:r w:rsidR="0043260B" w:rsidRPr="00770477">
        <w:rPr>
          <w:rFonts w:cs="Times New Roman"/>
        </w:rPr>
        <w:t>the given contaminant</w:t>
      </w:r>
      <w:r w:rsidR="0812AA8F" w:rsidRPr="00770477">
        <w:rPr>
          <w:rFonts w:cs="Times New Roman"/>
        </w:rPr>
        <w:t>.</w:t>
      </w:r>
    </w:p>
    <w:p w14:paraId="34A12970" w14:textId="0A0CDA61" w:rsidR="00AA3B8D" w:rsidRPr="00770477" w:rsidRDefault="00DE0DE6" w:rsidP="00006C2D">
      <w:pPr>
        <w:pStyle w:val="ListParagraph"/>
        <w:numPr>
          <w:ilvl w:val="0"/>
          <w:numId w:val="13"/>
        </w:numPr>
        <w:rPr>
          <w:rFonts w:cs="Times New Roman"/>
        </w:rPr>
      </w:pPr>
      <w:r w:rsidRPr="00770477">
        <w:rPr>
          <w:rFonts w:cs="Times New Roman"/>
        </w:rPr>
        <w:t>Columns leached the contaminant</w:t>
      </w:r>
      <w:r w:rsidR="004122AB" w:rsidRPr="00770477">
        <w:rPr>
          <w:rFonts w:cs="Times New Roman"/>
        </w:rPr>
        <w:t>.</w:t>
      </w:r>
    </w:p>
    <w:p w14:paraId="25B27E0A" w14:textId="192845F3" w:rsidR="00DE0DE6" w:rsidRPr="00770477" w:rsidRDefault="00DE0DE6" w:rsidP="00006C2D">
      <w:pPr>
        <w:pStyle w:val="ListParagraph"/>
        <w:numPr>
          <w:ilvl w:val="0"/>
          <w:numId w:val="13"/>
        </w:numPr>
        <w:rPr>
          <w:rFonts w:cs="Times New Roman"/>
        </w:rPr>
      </w:pPr>
      <w:r w:rsidRPr="00770477">
        <w:rPr>
          <w:rFonts w:cs="Times New Roman"/>
        </w:rPr>
        <w:t xml:space="preserve">Columns showed some type of behavior </w:t>
      </w:r>
      <w:r w:rsidR="001B3BFE" w:rsidRPr="00770477">
        <w:rPr>
          <w:rFonts w:cs="Times New Roman"/>
        </w:rPr>
        <w:t>consistent with contaminant removal</w:t>
      </w:r>
      <w:r w:rsidR="00E32105" w:rsidRPr="00770477">
        <w:rPr>
          <w:rFonts w:cs="Times New Roman"/>
        </w:rPr>
        <w:t xml:space="preserve">. In the case of horizontal columns, these combinations also had a noticeable departure from the control column. </w:t>
      </w:r>
    </w:p>
    <w:p w14:paraId="30FB3A47" w14:textId="77777777" w:rsidR="00706C55" w:rsidRPr="00770477" w:rsidRDefault="00706C55" w:rsidP="00AA7F99">
      <w:pPr>
        <w:rPr>
          <w:rFonts w:cs="Times New Roman"/>
        </w:rPr>
      </w:pPr>
    </w:p>
    <w:p w14:paraId="692546C9" w14:textId="77777777" w:rsidR="00061096" w:rsidRPr="00770477" w:rsidRDefault="00111CCD" w:rsidP="00061096">
      <w:pPr>
        <w:rPr>
          <w:rFonts w:cs="Times New Roman"/>
        </w:rPr>
      </w:pPr>
      <w:r w:rsidRPr="00770477">
        <w:rPr>
          <w:rFonts w:cs="Times New Roman"/>
        </w:rPr>
        <w:t xml:space="preserve">While categories 1, 2, and 3 are important and </w:t>
      </w:r>
      <w:r w:rsidR="004B0A8B" w:rsidRPr="00770477">
        <w:rPr>
          <w:rFonts w:cs="Times New Roman"/>
        </w:rPr>
        <w:t>worthwhile of further analysis and discussion</w:t>
      </w:r>
      <w:r w:rsidR="00661994" w:rsidRPr="00770477">
        <w:rPr>
          <w:rFonts w:cs="Times New Roman"/>
        </w:rPr>
        <w:t xml:space="preserve">, ample </w:t>
      </w:r>
      <w:r w:rsidR="00311314" w:rsidRPr="00770477">
        <w:rPr>
          <w:rFonts w:cs="Times New Roman"/>
        </w:rPr>
        <w:t xml:space="preserve">data exist within category 4 </w:t>
      </w:r>
      <w:r w:rsidR="002F1345" w:rsidRPr="00770477">
        <w:rPr>
          <w:rFonts w:cs="Times New Roman"/>
        </w:rPr>
        <w:t>such that</w:t>
      </w:r>
      <w:r w:rsidR="00C43A0D" w:rsidRPr="00770477">
        <w:rPr>
          <w:rFonts w:cs="Times New Roman"/>
        </w:rPr>
        <w:t xml:space="preserve"> analysis and discussion will focus only on </w:t>
      </w:r>
      <w:r w:rsidR="002F1345" w:rsidRPr="00770477">
        <w:rPr>
          <w:rFonts w:cs="Times New Roman"/>
        </w:rPr>
        <w:t xml:space="preserve">this category. </w:t>
      </w:r>
      <w:r w:rsidR="00BD1264" w:rsidRPr="00770477">
        <w:rPr>
          <w:rFonts w:cs="Times New Roman"/>
        </w:rPr>
        <w:t>Column</w:t>
      </w:r>
      <w:r w:rsidR="008E1250" w:rsidRPr="00770477">
        <w:rPr>
          <w:rFonts w:cs="Times New Roman"/>
        </w:rPr>
        <w:t xml:space="preserve"> combinations will </w:t>
      </w:r>
      <w:r w:rsidR="00EF610E" w:rsidRPr="00770477">
        <w:rPr>
          <w:rFonts w:cs="Times New Roman"/>
        </w:rPr>
        <w:t xml:space="preserve">be clearly </w:t>
      </w:r>
      <w:r w:rsidR="00905DF5" w:rsidRPr="00770477">
        <w:rPr>
          <w:rFonts w:cs="Times New Roman"/>
        </w:rPr>
        <w:t xml:space="preserve">categorized and, where appropriate, data tables and figures will be referenced to in the </w:t>
      </w:r>
      <w:r w:rsidR="00B25664" w:rsidRPr="00770477">
        <w:rPr>
          <w:rFonts w:cs="Times New Roman"/>
        </w:rPr>
        <w:t xml:space="preserve">appendices. </w:t>
      </w:r>
      <w:r w:rsidR="0072393B" w:rsidRPr="00770477">
        <w:rPr>
          <w:rFonts w:cs="Times New Roman"/>
        </w:rPr>
        <w:t>Column combination</w:t>
      </w:r>
      <w:r w:rsidR="0086352B" w:rsidRPr="00770477">
        <w:rPr>
          <w:rFonts w:cs="Times New Roman"/>
        </w:rPr>
        <w:t xml:space="preserve"> categorization are shown in </w:t>
      </w:r>
      <w:r w:rsidR="00B14C18" w:rsidRPr="00770477">
        <w:rPr>
          <w:rFonts w:cs="Times New Roman"/>
        </w:rPr>
        <w:fldChar w:fldCharType="begin"/>
      </w:r>
      <w:r w:rsidR="00B14C18" w:rsidRPr="00770477">
        <w:rPr>
          <w:rFonts w:cs="Times New Roman"/>
        </w:rPr>
        <w:instrText xml:space="preserve"> REF _Ref117005024 \h </w:instrText>
      </w:r>
      <w:r w:rsidR="0084196F" w:rsidRPr="00770477">
        <w:rPr>
          <w:rFonts w:cs="Times New Roman"/>
        </w:rPr>
        <w:instrText xml:space="preserve"> \* MERGEFORMAT </w:instrText>
      </w:r>
      <w:r w:rsidR="00B14C18" w:rsidRPr="00770477">
        <w:rPr>
          <w:rFonts w:cs="Times New Roman"/>
        </w:rPr>
      </w:r>
      <w:r w:rsidR="00B14C18" w:rsidRPr="00770477">
        <w:rPr>
          <w:rFonts w:cs="Times New Roman"/>
        </w:rPr>
        <w:fldChar w:fldCharType="separate"/>
      </w:r>
    </w:p>
    <w:p w14:paraId="50D0B03D" w14:textId="2D474589" w:rsidR="00111CCD" w:rsidRPr="00770477" w:rsidRDefault="00061096" w:rsidP="0084196F">
      <w:pPr>
        <w:rPr>
          <w:rFonts w:cs="Times New Roman"/>
        </w:rPr>
      </w:pPr>
      <w:r w:rsidRPr="00770477">
        <w:rPr>
          <w:rFonts w:cs="Times New Roman"/>
        </w:rPr>
        <w:t>Table</w:t>
      </w:r>
      <w:r w:rsidRPr="00770477">
        <w:rPr>
          <w:rFonts w:cs="Times New Roman"/>
          <w:noProof/>
        </w:rPr>
        <w:t xml:space="preserve"> </w:t>
      </w:r>
      <w:r>
        <w:rPr>
          <w:rFonts w:cs="Times New Roman"/>
          <w:noProof/>
        </w:rPr>
        <w:t>3</w:t>
      </w:r>
      <w:r>
        <w:rPr>
          <w:rFonts w:cs="Times New Roman"/>
          <w:noProof/>
        </w:rPr>
        <w:noBreakHyphen/>
        <w:t>1</w:t>
      </w:r>
      <w:r w:rsidR="00B14C18" w:rsidRPr="00770477">
        <w:rPr>
          <w:rFonts w:cs="Times New Roman"/>
        </w:rPr>
        <w:fldChar w:fldCharType="end"/>
      </w:r>
      <w:r w:rsidR="0086352B" w:rsidRPr="00770477">
        <w:rPr>
          <w:rFonts w:cs="Times New Roman"/>
        </w:rPr>
        <w:t xml:space="preserve"> below.</w:t>
      </w:r>
    </w:p>
    <w:p w14:paraId="7449FF0B" w14:textId="7B140F2E" w:rsidR="00447269" w:rsidRPr="00770477" w:rsidRDefault="00447269" w:rsidP="00C077A0">
      <w:pPr>
        <w:spacing w:line="240" w:lineRule="auto"/>
        <w:rPr>
          <w:rFonts w:cs="Times New Roman"/>
        </w:rPr>
      </w:pPr>
      <w:r w:rsidRPr="00770477">
        <w:rPr>
          <w:rFonts w:cs="Times New Roman"/>
        </w:rPr>
        <w:br w:type="page"/>
      </w:r>
      <w:bookmarkStart w:id="76" w:name="_Ref117005024"/>
    </w:p>
    <w:p w14:paraId="5664FC85" w14:textId="09F2AD6C" w:rsidR="0090098E" w:rsidRPr="00770477" w:rsidRDefault="0090098E" w:rsidP="0090098E">
      <w:pPr>
        <w:pStyle w:val="Caption"/>
        <w:keepNext/>
        <w:spacing w:line="240" w:lineRule="auto"/>
        <w:rPr>
          <w:rFonts w:cs="Times New Roman"/>
        </w:rPr>
      </w:pPr>
      <w:bookmarkStart w:id="77" w:name="_Ref120791122"/>
      <w:bookmarkStart w:id="78" w:name="_Toc121495937"/>
      <w:r w:rsidRPr="00770477">
        <w:rPr>
          <w:rFonts w:cs="Times New Roman"/>
        </w:rPr>
        <w:lastRenderedPageBreak/>
        <w:t xml:space="preserve">Table </w:t>
      </w:r>
      <w:r w:rsidR="00B26DDF">
        <w:rPr>
          <w:rFonts w:cs="Times New Roman"/>
        </w:rPr>
        <w:fldChar w:fldCharType="begin"/>
      </w:r>
      <w:r w:rsidR="00B26DDF">
        <w:rPr>
          <w:rFonts w:cs="Times New Roman"/>
        </w:rPr>
        <w:instrText xml:space="preserve"> STYLEREF 1 \s </w:instrText>
      </w:r>
      <w:r w:rsidR="00B26DDF">
        <w:rPr>
          <w:rFonts w:cs="Times New Roman"/>
        </w:rPr>
        <w:fldChar w:fldCharType="separate"/>
      </w:r>
      <w:r w:rsidR="00061096">
        <w:rPr>
          <w:rFonts w:cs="Times New Roman"/>
          <w:noProof/>
        </w:rPr>
        <w:t>3</w:t>
      </w:r>
      <w:r w:rsidR="00B26DDF">
        <w:rPr>
          <w:rFonts w:cs="Times New Roman"/>
        </w:rPr>
        <w:fldChar w:fldCharType="end"/>
      </w:r>
      <w:r w:rsidR="00B26DDF">
        <w:rPr>
          <w:rFonts w:cs="Times New Roman"/>
        </w:rPr>
        <w:noBreakHyphen/>
      </w:r>
      <w:r w:rsidR="00B26DDF">
        <w:rPr>
          <w:rFonts w:cs="Times New Roman"/>
        </w:rPr>
        <w:fldChar w:fldCharType="begin"/>
      </w:r>
      <w:r w:rsidR="00B26DDF">
        <w:rPr>
          <w:rFonts w:cs="Times New Roman"/>
        </w:rPr>
        <w:instrText xml:space="preserve"> SEQ Table \* ARABIC \s 1 </w:instrText>
      </w:r>
      <w:r w:rsidR="00B26DDF">
        <w:rPr>
          <w:rFonts w:cs="Times New Roman"/>
        </w:rPr>
        <w:fldChar w:fldCharType="separate"/>
      </w:r>
      <w:r w:rsidR="00061096">
        <w:rPr>
          <w:rFonts w:cs="Times New Roman"/>
          <w:noProof/>
        </w:rPr>
        <w:t>1</w:t>
      </w:r>
      <w:r w:rsidR="00B26DDF">
        <w:rPr>
          <w:rFonts w:cs="Times New Roman"/>
        </w:rPr>
        <w:fldChar w:fldCharType="end"/>
      </w:r>
      <w:bookmarkEnd w:id="76"/>
      <w:bookmarkEnd w:id="77"/>
      <w:r w:rsidRPr="00770477">
        <w:rPr>
          <w:rFonts w:cs="Times New Roman"/>
        </w:rPr>
        <w:t xml:space="preserve"> Categories of results</w:t>
      </w:r>
      <w:r w:rsidR="003F3444" w:rsidRPr="00770477">
        <w:rPr>
          <w:rFonts w:cs="Times New Roman"/>
        </w:rPr>
        <w:t xml:space="preserve">. 1: </w:t>
      </w:r>
      <w:r w:rsidR="00D61165" w:rsidRPr="00770477">
        <w:rPr>
          <w:rFonts w:cs="Times New Roman"/>
        </w:rPr>
        <w:t xml:space="preserve">results below detection limits or did not resemble a breakthrough curve, or </w:t>
      </w:r>
      <w:r w:rsidR="00C80C7F" w:rsidRPr="00770477">
        <w:rPr>
          <w:rFonts w:cs="Times New Roman"/>
        </w:rPr>
        <w:t>were too scattered; 2: media had no effect either generally or compared to the control column; 3: the media leached the contaminant; 4</w:t>
      </w:r>
      <w:r w:rsidR="0046662F" w:rsidRPr="00770477">
        <w:rPr>
          <w:rFonts w:cs="Times New Roman"/>
        </w:rPr>
        <w:t>: media/contaminant combination of interest</w:t>
      </w:r>
      <w:bookmarkEnd w:id="78"/>
    </w:p>
    <w:tbl>
      <w:tblPr>
        <w:tblStyle w:val="PlainTable5"/>
        <w:tblW w:w="0" w:type="auto"/>
        <w:jc w:val="center"/>
        <w:tblLook w:val="04A0" w:firstRow="1" w:lastRow="0" w:firstColumn="1" w:lastColumn="0" w:noHBand="0" w:noVBand="1"/>
      </w:tblPr>
      <w:tblGrid>
        <w:gridCol w:w="1615"/>
        <w:gridCol w:w="2070"/>
        <w:gridCol w:w="2340"/>
      </w:tblGrid>
      <w:tr w:rsidR="007739CE" w:rsidRPr="00770477" w14:paraId="629FB5C9" w14:textId="77777777" w:rsidTr="003D566B">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615" w:type="dxa"/>
          </w:tcPr>
          <w:p w14:paraId="75BB4756" w14:textId="38D6CD7A" w:rsidR="007739CE" w:rsidRPr="00770477" w:rsidRDefault="007739CE" w:rsidP="007739CE">
            <w:pPr>
              <w:spacing w:line="240" w:lineRule="auto"/>
              <w:rPr>
                <w:rFonts w:cs="Times New Roman"/>
              </w:rPr>
            </w:pPr>
            <w:r w:rsidRPr="00770477">
              <w:rPr>
                <w:rFonts w:cs="Times New Roman"/>
              </w:rPr>
              <w:t>Contaminant</w:t>
            </w:r>
          </w:p>
        </w:tc>
        <w:tc>
          <w:tcPr>
            <w:tcW w:w="2070" w:type="dxa"/>
          </w:tcPr>
          <w:p w14:paraId="2CACB6FD" w14:textId="120BD5D3" w:rsidR="007739CE" w:rsidRPr="00770477" w:rsidRDefault="007739CE" w:rsidP="007739CE">
            <w:pPr>
              <w:spacing w:line="240" w:lineRule="auto"/>
              <w:cnfStyle w:val="100000000000" w:firstRow="1" w:lastRow="0" w:firstColumn="0" w:lastColumn="0" w:oddVBand="0" w:evenVBand="0" w:oddHBand="0" w:evenHBand="0" w:firstRowFirstColumn="0" w:firstRowLastColumn="0" w:lastRowFirstColumn="0" w:lastRowLastColumn="0"/>
              <w:rPr>
                <w:rFonts w:cs="Times New Roman"/>
              </w:rPr>
            </w:pPr>
            <w:r w:rsidRPr="00770477">
              <w:rPr>
                <w:rFonts w:cs="Times New Roman"/>
              </w:rPr>
              <w:t>Vertical Columns</w:t>
            </w:r>
          </w:p>
        </w:tc>
        <w:tc>
          <w:tcPr>
            <w:tcW w:w="2340" w:type="dxa"/>
          </w:tcPr>
          <w:p w14:paraId="78F4CE6A" w14:textId="72B38D3F" w:rsidR="007739CE" w:rsidRPr="00770477" w:rsidRDefault="007739CE" w:rsidP="007739CE">
            <w:pPr>
              <w:spacing w:line="240" w:lineRule="auto"/>
              <w:cnfStyle w:val="100000000000" w:firstRow="1" w:lastRow="0" w:firstColumn="0" w:lastColumn="0" w:oddVBand="0" w:evenVBand="0" w:oddHBand="0" w:evenHBand="0" w:firstRowFirstColumn="0" w:firstRowLastColumn="0" w:lastRowFirstColumn="0" w:lastRowLastColumn="0"/>
              <w:rPr>
                <w:rFonts w:cs="Times New Roman"/>
              </w:rPr>
            </w:pPr>
            <w:r w:rsidRPr="00770477">
              <w:rPr>
                <w:rFonts w:cs="Times New Roman"/>
              </w:rPr>
              <w:t>Horizontal Columns</w:t>
            </w:r>
          </w:p>
        </w:tc>
      </w:tr>
      <w:tr w:rsidR="007739CE" w:rsidRPr="00770477" w14:paraId="674A85E4" w14:textId="77777777" w:rsidTr="003D566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5" w:type="dxa"/>
          </w:tcPr>
          <w:p w14:paraId="240DD4D6" w14:textId="160D7D2E" w:rsidR="007739CE" w:rsidRPr="00770477" w:rsidRDefault="007739CE" w:rsidP="007739CE">
            <w:pPr>
              <w:spacing w:line="240" w:lineRule="auto"/>
              <w:rPr>
                <w:rFonts w:cs="Times New Roman"/>
              </w:rPr>
            </w:pPr>
            <w:r w:rsidRPr="00770477">
              <w:rPr>
                <w:rFonts w:cs="Times New Roman"/>
              </w:rPr>
              <w:t>Al</w:t>
            </w:r>
          </w:p>
        </w:tc>
        <w:tc>
          <w:tcPr>
            <w:tcW w:w="2070" w:type="dxa"/>
          </w:tcPr>
          <w:p w14:paraId="41AAD009" w14:textId="1E880995" w:rsidR="007739CE" w:rsidRPr="00770477" w:rsidRDefault="007739CE"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4</w:t>
            </w:r>
          </w:p>
        </w:tc>
        <w:tc>
          <w:tcPr>
            <w:tcW w:w="2340" w:type="dxa"/>
          </w:tcPr>
          <w:p w14:paraId="50FBCF3F" w14:textId="63E4519F" w:rsidR="007739CE" w:rsidRPr="00770477" w:rsidRDefault="007739CE"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3</w:t>
            </w:r>
          </w:p>
        </w:tc>
      </w:tr>
      <w:tr w:rsidR="007739CE" w:rsidRPr="00770477" w14:paraId="43767CC5" w14:textId="77777777" w:rsidTr="003D566B">
        <w:trPr>
          <w:jc w:val="center"/>
        </w:trPr>
        <w:tc>
          <w:tcPr>
            <w:cnfStyle w:val="001000000000" w:firstRow="0" w:lastRow="0" w:firstColumn="1" w:lastColumn="0" w:oddVBand="0" w:evenVBand="0" w:oddHBand="0" w:evenHBand="0" w:firstRowFirstColumn="0" w:firstRowLastColumn="0" w:lastRowFirstColumn="0" w:lastRowLastColumn="0"/>
            <w:tcW w:w="1615" w:type="dxa"/>
          </w:tcPr>
          <w:p w14:paraId="30FF6C26" w14:textId="5BB5D83F" w:rsidR="007739CE" w:rsidRPr="00770477" w:rsidRDefault="007739CE" w:rsidP="007739CE">
            <w:pPr>
              <w:spacing w:line="240" w:lineRule="auto"/>
              <w:rPr>
                <w:rFonts w:cs="Times New Roman"/>
              </w:rPr>
            </w:pPr>
            <w:r w:rsidRPr="00770477">
              <w:rPr>
                <w:rFonts w:cs="Times New Roman"/>
              </w:rPr>
              <w:t>As</w:t>
            </w:r>
          </w:p>
        </w:tc>
        <w:tc>
          <w:tcPr>
            <w:tcW w:w="2070" w:type="dxa"/>
          </w:tcPr>
          <w:p w14:paraId="51E4ABFF" w14:textId="6A35D036" w:rsidR="007739CE" w:rsidRPr="00770477" w:rsidRDefault="007739CE" w:rsidP="00934F13">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4</w:t>
            </w:r>
          </w:p>
        </w:tc>
        <w:tc>
          <w:tcPr>
            <w:tcW w:w="2340" w:type="dxa"/>
          </w:tcPr>
          <w:p w14:paraId="4CA72656" w14:textId="56D7F3A4" w:rsidR="007739CE" w:rsidRPr="00770477" w:rsidRDefault="001E51DB" w:rsidP="00934F13">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4</w:t>
            </w:r>
          </w:p>
        </w:tc>
      </w:tr>
      <w:tr w:rsidR="007739CE" w:rsidRPr="00770477" w14:paraId="59309E5D" w14:textId="77777777" w:rsidTr="003D566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5" w:type="dxa"/>
          </w:tcPr>
          <w:p w14:paraId="339D6F01" w14:textId="7251BDBA" w:rsidR="007739CE" w:rsidRPr="00770477" w:rsidRDefault="007739CE" w:rsidP="007739CE">
            <w:pPr>
              <w:spacing w:line="240" w:lineRule="auto"/>
              <w:rPr>
                <w:rFonts w:cs="Times New Roman"/>
              </w:rPr>
            </w:pPr>
            <w:r w:rsidRPr="00770477">
              <w:rPr>
                <w:rFonts w:cs="Times New Roman"/>
              </w:rPr>
              <w:t>Be</w:t>
            </w:r>
          </w:p>
        </w:tc>
        <w:tc>
          <w:tcPr>
            <w:tcW w:w="2070" w:type="dxa"/>
          </w:tcPr>
          <w:p w14:paraId="39B8403F" w14:textId="44E88CF8" w:rsidR="007739CE" w:rsidRPr="00770477" w:rsidRDefault="007739CE"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4</w:t>
            </w:r>
          </w:p>
        </w:tc>
        <w:tc>
          <w:tcPr>
            <w:tcW w:w="2340" w:type="dxa"/>
          </w:tcPr>
          <w:p w14:paraId="6C858448" w14:textId="2874DE70" w:rsidR="007739CE" w:rsidRPr="00770477" w:rsidRDefault="007739CE"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w:t>
            </w:r>
          </w:p>
        </w:tc>
      </w:tr>
      <w:tr w:rsidR="007739CE" w:rsidRPr="00770477" w14:paraId="18EF8140" w14:textId="77777777" w:rsidTr="003D566B">
        <w:trPr>
          <w:jc w:val="center"/>
        </w:trPr>
        <w:tc>
          <w:tcPr>
            <w:cnfStyle w:val="001000000000" w:firstRow="0" w:lastRow="0" w:firstColumn="1" w:lastColumn="0" w:oddVBand="0" w:evenVBand="0" w:oddHBand="0" w:evenHBand="0" w:firstRowFirstColumn="0" w:firstRowLastColumn="0" w:lastRowFirstColumn="0" w:lastRowLastColumn="0"/>
            <w:tcW w:w="1615" w:type="dxa"/>
          </w:tcPr>
          <w:p w14:paraId="39383851" w14:textId="03BC8CB8" w:rsidR="007739CE" w:rsidRPr="00770477" w:rsidRDefault="007739CE" w:rsidP="007739CE">
            <w:pPr>
              <w:spacing w:line="240" w:lineRule="auto"/>
              <w:rPr>
                <w:rFonts w:cs="Times New Roman"/>
              </w:rPr>
            </w:pPr>
            <w:r w:rsidRPr="00770477">
              <w:rPr>
                <w:rFonts w:cs="Times New Roman"/>
              </w:rPr>
              <w:t>Ca</w:t>
            </w:r>
          </w:p>
        </w:tc>
        <w:tc>
          <w:tcPr>
            <w:tcW w:w="2070" w:type="dxa"/>
          </w:tcPr>
          <w:p w14:paraId="3CD54FCC" w14:textId="736F0F36" w:rsidR="007739CE" w:rsidRPr="00770477" w:rsidRDefault="007739CE" w:rsidP="00934F13">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3</w:t>
            </w:r>
          </w:p>
        </w:tc>
        <w:tc>
          <w:tcPr>
            <w:tcW w:w="2340" w:type="dxa"/>
          </w:tcPr>
          <w:p w14:paraId="5E630CD0" w14:textId="06A77671" w:rsidR="007739CE" w:rsidRPr="00770477" w:rsidRDefault="007739CE" w:rsidP="00934F13">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3</w:t>
            </w:r>
          </w:p>
        </w:tc>
      </w:tr>
      <w:tr w:rsidR="007739CE" w:rsidRPr="00770477" w14:paraId="5558D09C" w14:textId="77777777" w:rsidTr="003D566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5" w:type="dxa"/>
          </w:tcPr>
          <w:p w14:paraId="373E2721" w14:textId="42BDF35E" w:rsidR="007739CE" w:rsidRPr="00770477" w:rsidRDefault="007739CE" w:rsidP="007739CE">
            <w:pPr>
              <w:spacing w:line="240" w:lineRule="auto"/>
              <w:rPr>
                <w:rFonts w:cs="Times New Roman"/>
              </w:rPr>
            </w:pPr>
            <w:r w:rsidRPr="00770477">
              <w:rPr>
                <w:rFonts w:cs="Times New Roman"/>
              </w:rPr>
              <w:t>Cd</w:t>
            </w:r>
          </w:p>
        </w:tc>
        <w:tc>
          <w:tcPr>
            <w:tcW w:w="2070" w:type="dxa"/>
          </w:tcPr>
          <w:p w14:paraId="666FDD46" w14:textId="0C2E3472" w:rsidR="007739CE" w:rsidRPr="00770477" w:rsidRDefault="007739CE"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w:t>
            </w:r>
          </w:p>
        </w:tc>
        <w:tc>
          <w:tcPr>
            <w:tcW w:w="2340" w:type="dxa"/>
          </w:tcPr>
          <w:p w14:paraId="6C88C0C9" w14:textId="639E9DFA" w:rsidR="007739CE" w:rsidRPr="00770477" w:rsidRDefault="007739CE"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w:t>
            </w:r>
          </w:p>
        </w:tc>
      </w:tr>
      <w:tr w:rsidR="007739CE" w:rsidRPr="00770477" w14:paraId="5ECE6E47" w14:textId="77777777" w:rsidTr="003D566B">
        <w:trPr>
          <w:jc w:val="center"/>
        </w:trPr>
        <w:tc>
          <w:tcPr>
            <w:cnfStyle w:val="001000000000" w:firstRow="0" w:lastRow="0" w:firstColumn="1" w:lastColumn="0" w:oddVBand="0" w:evenVBand="0" w:oddHBand="0" w:evenHBand="0" w:firstRowFirstColumn="0" w:firstRowLastColumn="0" w:lastRowFirstColumn="0" w:lastRowLastColumn="0"/>
            <w:tcW w:w="1615" w:type="dxa"/>
          </w:tcPr>
          <w:p w14:paraId="4B47D899" w14:textId="6C6E4FA5" w:rsidR="007739CE" w:rsidRPr="00770477" w:rsidRDefault="007739CE" w:rsidP="007739CE">
            <w:pPr>
              <w:spacing w:line="240" w:lineRule="auto"/>
              <w:rPr>
                <w:rFonts w:cs="Times New Roman"/>
              </w:rPr>
            </w:pPr>
            <w:r w:rsidRPr="00770477">
              <w:rPr>
                <w:rFonts w:cs="Times New Roman"/>
              </w:rPr>
              <w:t>Co</w:t>
            </w:r>
          </w:p>
        </w:tc>
        <w:tc>
          <w:tcPr>
            <w:tcW w:w="2070" w:type="dxa"/>
          </w:tcPr>
          <w:p w14:paraId="1E4D3CF3" w14:textId="5EF263B4" w:rsidR="007739CE" w:rsidRPr="00770477" w:rsidRDefault="007739CE" w:rsidP="00934F13">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w:t>
            </w:r>
          </w:p>
        </w:tc>
        <w:tc>
          <w:tcPr>
            <w:tcW w:w="2340" w:type="dxa"/>
          </w:tcPr>
          <w:p w14:paraId="1428082D" w14:textId="13E7C67C" w:rsidR="007739CE" w:rsidRPr="00770477" w:rsidRDefault="007739CE" w:rsidP="00934F13">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w:t>
            </w:r>
          </w:p>
        </w:tc>
      </w:tr>
      <w:tr w:rsidR="007739CE" w:rsidRPr="00770477" w14:paraId="0A5534B3" w14:textId="77777777" w:rsidTr="003D566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5" w:type="dxa"/>
          </w:tcPr>
          <w:p w14:paraId="30698205" w14:textId="166435AB" w:rsidR="007739CE" w:rsidRPr="00770477" w:rsidRDefault="007739CE" w:rsidP="007739CE">
            <w:pPr>
              <w:spacing w:line="240" w:lineRule="auto"/>
              <w:rPr>
                <w:rFonts w:cs="Times New Roman"/>
              </w:rPr>
            </w:pPr>
            <w:r w:rsidRPr="00770477">
              <w:rPr>
                <w:rFonts w:cs="Times New Roman"/>
              </w:rPr>
              <w:t>Cu</w:t>
            </w:r>
          </w:p>
        </w:tc>
        <w:tc>
          <w:tcPr>
            <w:tcW w:w="2070" w:type="dxa"/>
          </w:tcPr>
          <w:p w14:paraId="5AADC6B1" w14:textId="1D6B9C9E" w:rsidR="007739CE" w:rsidRPr="00770477" w:rsidRDefault="007739CE"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w:t>
            </w:r>
          </w:p>
        </w:tc>
        <w:tc>
          <w:tcPr>
            <w:tcW w:w="2340" w:type="dxa"/>
          </w:tcPr>
          <w:p w14:paraId="57AC5C13" w14:textId="4464156B" w:rsidR="007739CE" w:rsidRPr="00770477" w:rsidRDefault="007739CE"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w:t>
            </w:r>
          </w:p>
        </w:tc>
      </w:tr>
      <w:tr w:rsidR="007739CE" w:rsidRPr="00770477" w14:paraId="07F86751" w14:textId="77777777" w:rsidTr="003D566B">
        <w:trPr>
          <w:jc w:val="center"/>
        </w:trPr>
        <w:tc>
          <w:tcPr>
            <w:cnfStyle w:val="001000000000" w:firstRow="0" w:lastRow="0" w:firstColumn="1" w:lastColumn="0" w:oddVBand="0" w:evenVBand="0" w:oddHBand="0" w:evenHBand="0" w:firstRowFirstColumn="0" w:firstRowLastColumn="0" w:lastRowFirstColumn="0" w:lastRowLastColumn="0"/>
            <w:tcW w:w="1615" w:type="dxa"/>
          </w:tcPr>
          <w:p w14:paraId="36D0D9CA" w14:textId="1F8C17CF" w:rsidR="007739CE" w:rsidRPr="00770477" w:rsidRDefault="007739CE" w:rsidP="007739CE">
            <w:pPr>
              <w:spacing w:line="240" w:lineRule="auto"/>
              <w:rPr>
                <w:rFonts w:cs="Times New Roman"/>
              </w:rPr>
            </w:pPr>
            <w:r w:rsidRPr="00770477">
              <w:rPr>
                <w:rFonts w:cs="Times New Roman"/>
              </w:rPr>
              <w:t>Fe</w:t>
            </w:r>
          </w:p>
        </w:tc>
        <w:tc>
          <w:tcPr>
            <w:tcW w:w="2070" w:type="dxa"/>
          </w:tcPr>
          <w:p w14:paraId="053FEB89" w14:textId="5C7A23C8" w:rsidR="007739CE" w:rsidRPr="00770477" w:rsidRDefault="007739CE" w:rsidP="00934F13">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2340" w:type="dxa"/>
          </w:tcPr>
          <w:p w14:paraId="003B8F63" w14:textId="26CA1ECA" w:rsidR="007739CE" w:rsidRPr="00770477" w:rsidRDefault="00A07C16" w:rsidP="00934F13">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w:t>
            </w:r>
          </w:p>
        </w:tc>
      </w:tr>
      <w:tr w:rsidR="00A07C16" w:rsidRPr="00770477" w14:paraId="12272B05" w14:textId="77777777" w:rsidTr="003D566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5" w:type="dxa"/>
          </w:tcPr>
          <w:p w14:paraId="3378DDCA" w14:textId="03AA0974" w:rsidR="00A07C16" w:rsidRPr="00770477" w:rsidRDefault="00A07C16" w:rsidP="007739CE">
            <w:pPr>
              <w:spacing w:line="240" w:lineRule="auto"/>
              <w:rPr>
                <w:rFonts w:cs="Times New Roman"/>
              </w:rPr>
            </w:pPr>
            <w:r w:rsidRPr="00770477">
              <w:rPr>
                <w:rFonts w:cs="Times New Roman"/>
              </w:rPr>
              <w:t>K</w:t>
            </w:r>
          </w:p>
        </w:tc>
        <w:tc>
          <w:tcPr>
            <w:tcW w:w="2070" w:type="dxa"/>
          </w:tcPr>
          <w:p w14:paraId="3EE1611B" w14:textId="2D39682E" w:rsidR="00A07C16" w:rsidRPr="00770477" w:rsidRDefault="00A07C16"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3</w:t>
            </w:r>
          </w:p>
        </w:tc>
        <w:tc>
          <w:tcPr>
            <w:tcW w:w="2340" w:type="dxa"/>
          </w:tcPr>
          <w:p w14:paraId="675710AA" w14:textId="0E5E79AA" w:rsidR="00A07C16" w:rsidRPr="00770477" w:rsidRDefault="00A07C16"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3</w:t>
            </w:r>
          </w:p>
        </w:tc>
      </w:tr>
      <w:tr w:rsidR="00A07C16" w:rsidRPr="00770477" w14:paraId="202E8B33" w14:textId="77777777" w:rsidTr="003D566B">
        <w:trPr>
          <w:jc w:val="center"/>
        </w:trPr>
        <w:tc>
          <w:tcPr>
            <w:cnfStyle w:val="001000000000" w:firstRow="0" w:lastRow="0" w:firstColumn="1" w:lastColumn="0" w:oddVBand="0" w:evenVBand="0" w:oddHBand="0" w:evenHBand="0" w:firstRowFirstColumn="0" w:firstRowLastColumn="0" w:lastRowFirstColumn="0" w:lastRowLastColumn="0"/>
            <w:tcW w:w="1615" w:type="dxa"/>
          </w:tcPr>
          <w:p w14:paraId="3FB22F58" w14:textId="514B5DC1" w:rsidR="00A07C16" w:rsidRPr="00770477" w:rsidRDefault="00A07C16" w:rsidP="007739CE">
            <w:pPr>
              <w:spacing w:line="240" w:lineRule="auto"/>
              <w:rPr>
                <w:rFonts w:cs="Times New Roman"/>
              </w:rPr>
            </w:pPr>
            <w:r w:rsidRPr="00770477">
              <w:rPr>
                <w:rFonts w:cs="Times New Roman"/>
              </w:rPr>
              <w:t>Mg</w:t>
            </w:r>
          </w:p>
        </w:tc>
        <w:tc>
          <w:tcPr>
            <w:tcW w:w="2070" w:type="dxa"/>
          </w:tcPr>
          <w:p w14:paraId="31CF1DA2" w14:textId="5358849D" w:rsidR="00A07C16" w:rsidRPr="00770477" w:rsidRDefault="00A07C16" w:rsidP="00934F13">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3</w:t>
            </w:r>
          </w:p>
        </w:tc>
        <w:tc>
          <w:tcPr>
            <w:tcW w:w="2340" w:type="dxa"/>
          </w:tcPr>
          <w:p w14:paraId="71B0A172" w14:textId="05E44A2A" w:rsidR="00A07C16" w:rsidRPr="00770477" w:rsidRDefault="00A07C16" w:rsidP="00934F13">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3</w:t>
            </w:r>
          </w:p>
        </w:tc>
      </w:tr>
      <w:tr w:rsidR="00A07C16" w:rsidRPr="00770477" w14:paraId="2E1AABC7" w14:textId="77777777" w:rsidTr="003D566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5" w:type="dxa"/>
          </w:tcPr>
          <w:p w14:paraId="260B6BCF" w14:textId="46D98E11" w:rsidR="00A07C16" w:rsidRPr="00770477" w:rsidRDefault="00A07C16" w:rsidP="007739CE">
            <w:pPr>
              <w:spacing w:line="240" w:lineRule="auto"/>
              <w:rPr>
                <w:rFonts w:cs="Times New Roman"/>
              </w:rPr>
            </w:pPr>
            <w:r w:rsidRPr="00770477">
              <w:rPr>
                <w:rFonts w:cs="Times New Roman"/>
              </w:rPr>
              <w:t>Mn</w:t>
            </w:r>
          </w:p>
        </w:tc>
        <w:tc>
          <w:tcPr>
            <w:tcW w:w="2070" w:type="dxa"/>
          </w:tcPr>
          <w:p w14:paraId="1F33A8C3" w14:textId="232C02D6" w:rsidR="00A07C16" w:rsidRPr="00770477" w:rsidRDefault="00A07C16"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4</w:t>
            </w:r>
          </w:p>
        </w:tc>
        <w:tc>
          <w:tcPr>
            <w:tcW w:w="2340" w:type="dxa"/>
          </w:tcPr>
          <w:p w14:paraId="1BDDFC09" w14:textId="6A758B5B" w:rsidR="00A07C16" w:rsidRPr="00770477" w:rsidRDefault="00A07C16"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2</w:t>
            </w:r>
          </w:p>
        </w:tc>
      </w:tr>
      <w:tr w:rsidR="00A07C16" w:rsidRPr="00770477" w14:paraId="7259F2F2" w14:textId="77777777" w:rsidTr="003D566B">
        <w:trPr>
          <w:jc w:val="center"/>
        </w:trPr>
        <w:tc>
          <w:tcPr>
            <w:cnfStyle w:val="001000000000" w:firstRow="0" w:lastRow="0" w:firstColumn="1" w:lastColumn="0" w:oddVBand="0" w:evenVBand="0" w:oddHBand="0" w:evenHBand="0" w:firstRowFirstColumn="0" w:firstRowLastColumn="0" w:lastRowFirstColumn="0" w:lastRowLastColumn="0"/>
            <w:tcW w:w="1615" w:type="dxa"/>
          </w:tcPr>
          <w:p w14:paraId="4538FD58" w14:textId="0852A977" w:rsidR="00A07C16" w:rsidRPr="00770477" w:rsidRDefault="00A07C16" w:rsidP="007739CE">
            <w:pPr>
              <w:spacing w:line="240" w:lineRule="auto"/>
              <w:rPr>
                <w:rFonts w:cs="Times New Roman"/>
              </w:rPr>
            </w:pPr>
            <w:r w:rsidRPr="00770477">
              <w:rPr>
                <w:rFonts w:cs="Times New Roman"/>
              </w:rPr>
              <w:t>Na</w:t>
            </w:r>
          </w:p>
        </w:tc>
        <w:tc>
          <w:tcPr>
            <w:tcW w:w="2070" w:type="dxa"/>
          </w:tcPr>
          <w:p w14:paraId="365BF26F" w14:textId="663C0023" w:rsidR="00A07C16" w:rsidRPr="00770477" w:rsidRDefault="00A07C16" w:rsidP="00934F13">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2340" w:type="dxa"/>
          </w:tcPr>
          <w:p w14:paraId="00706186" w14:textId="26DE2A9D" w:rsidR="00A07C16" w:rsidRPr="00770477" w:rsidRDefault="00A07C16" w:rsidP="00934F13">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4</w:t>
            </w:r>
          </w:p>
        </w:tc>
      </w:tr>
      <w:tr w:rsidR="00A07C16" w:rsidRPr="00770477" w14:paraId="427DCD86" w14:textId="77777777" w:rsidTr="003D566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5" w:type="dxa"/>
          </w:tcPr>
          <w:p w14:paraId="1DB23C8F" w14:textId="5FAA2096" w:rsidR="00A07C16" w:rsidRPr="00770477" w:rsidRDefault="00A07C16" w:rsidP="007739CE">
            <w:pPr>
              <w:spacing w:line="240" w:lineRule="auto"/>
              <w:rPr>
                <w:rFonts w:cs="Times New Roman"/>
              </w:rPr>
            </w:pPr>
            <w:r w:rsidRPr="00770477">
              <w:rPr>
                <w:rFonts w:cs="Times New Roman"/>
              </w:rPr>
              <w:t>Ni</w:t>
            </w:r>
          </w:p>
        </w:tc>
        <w:tc>
          <w:tcPr>
            <w:tcW w:w="2070" w:type="dxa"/>
          </w:tcPr>
          <w:p w14:paraId="59C9F4EB" w14:textId="1CB0F1A3" w:rsidR="00A07C16" w:rsidRPr="00770477" w:rsidRDefault="00A07C16"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c>
          <w:tcPr>
            <w:tcW w:w="2340" w:type="dxa"/>
          </w:tcPr>
          <w:p w14:paraId="33C5B357" w14:textId="4B32B735" w:rsidR="00A07C16" w:rsidRPr="00770477" w:rsidRDefault="00A07C16"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w:t>
            </w:r>
          </w:p>
        </w:tc>
      </w:tr>
      <w:tr w:rsidR="00A07C16" w:rsidRPr="00770477" w14:paraId="7385A8F0" w14:textId="77777777" w:rsidTr="003D566B">
        <w:trPr>
          <w:jc w:val="center"/>
        </w:trPr>
        <w:tc>
          <w:tcPr>
            <w:cnfStyle w:val="001000000000" w:firstRow="0" w:lastRow="0" w:firstColumn="1" w:lastColumn="0" w:oddVBand="0" w:evenVBand="0" w:oddHBand="0" w:evenHBand="0" w:firstRowFirstColumn="0" w:firstRowLastColumn="0" w:lastRowFirstColumn="0" w:lastRowLastColumn="0"/>
            <w:tcW w:w="1615" w:type="dxa"/>
          </w:tcPr>
          <w:p w14:paraId="59012B10" w14:textId="590AAE9F" w:rsidR="00A07C16" w:rsidRPr="00770477" w:rsidRDefault="003D566B" w:rsidP="007739CE">
            <w:pPr>
              <w:spacing w:line="240" w:lineRule="auto"/>
              <w:rPr>
                <w:rFonts w:cs="Times New Roman"/>
              </w:rPr>
            </w:pPr>
            <w:r w:rsidRPr="00770477">
              <w:rPr>
                <w:rFonts w:cs="Times New Roman"/>
              </w:rPr>
              <w:t>Pb</w:t>
            </w:r>
          </w:p>
        </w:tc>
        <w:tc>
          <w:tcPr>
            <w:tcW w:w="2070" w:type="dxa"/>
          </w:tcPr>
          <w:p w14:paraId="1CDDEF23" w14:textId="09DA00FA" w:rsidR="00A07C16" w:rsidRPr="00770477" w:rsidRDefault="003D566B" w:rsidP="00934F13">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w:t>
            </w:r>
          </w:p>
        </w:tc>
        <w:tc>
          <w:tcPr>
            <w:tcW w:w="2340" w:type="dxa"/>
          </w:tcPr>
          <w:p w14:paraId="092BE1E4" w14:textId="0B6429ED" w:rsidR="00A07C16" w:rsidRPr="00770477" w:rsidRDefault="003D566B" w:rsidP="00934F13">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1</w:t>
            </w:r>
          </w:p>
        </w:tc>
      </w:tr>
      <w:tr w:rsidR="003D566B" w:rsidRPr="00770477" w14:paraId="0CE6B907" w14:textId="77777777" w:rsidTr="003D566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5" w:type="dxa"/>
          </w:tcPr>
          <w:p w14:paraId="287B35E7" w14:textId="7A1D1D68" w:rsidR="003D566B" w:rsidRPr="00770477" w:rsidRDefault="003D566B" w:rsidP="007739CE">
            <w:pPr>
              <w:spacing w:line="240" w:lineRule="auto"/>
              <w:rPr>
                <w:rFonts w:cs="Times New Roman"/>
              </w:rPr>
            </w:pPr>
            <w:r w:rsidRPr="00770477">
              <w:rPr>
                <w:rFonts w:cs="Times New Roman"/>
              </w:rPr>
              <w:t>Se</w:t>
            </w:r>
          </w:p>
        </w:tc>
        <w:tc>
          <w:tcPr>
            <w:tcW w:w="2070" w:type="dxa"/>
          </w:tcPr>
          <w:p w14:paraId="19CF9ED6" w14:textId="49FE0AFA" w:rsidR="003D566B" w:rsidRPr="00770477" w:rsidRDefault="003D566B"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w:t>
            </w:r>
          </w:p>
        </w:tc>
        <w:tc>
          <w:tcPr>
            <w:tcW w:w="2340" w:type="dxa"/>
          </w:tcPr>
          <w:p w14:paraId="4D0D28E5" w14:textId="31F7FDC0" w:rsidR="003D566B" w:rsidRPr="00770477" w:rsidRDefault="003D566B"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w:t>
            </w:r>
          </w:p>
        </w:tc>
      </w:tr>
      <w:tr w:rsidR="003D566B" w:rsidRPr="00770477" w14:paraId="41B934E3" w14:textId="77777777" w:rsidTr="00934F13">
        <w:trPr>
          <w:jc w:val="center"/>
        </w:trPr>
        <w:tc>
          <w:tcPr>
            <w:cnfStyle w:val="001000000000" w:firstRow="0" w:lastRow="0" w:firstColumn="1" w:lastColumn="0" w:oddVBand="0" w:evenVBand="0" w:oddHBand="0" w:evenHBand="0" w:firstRowFirstColumn="0" w:firstRowLastColumn="0" w:lastRowFirstColumn="0" w:lastRowLastColumn="0"/>
            <w:tcW w:w="1615" w:type="dxa"/>
          </w:tcPr>
          <w:p w14:paraId="04FFEC49" w14:textId="14595F8F" w:rsidR="003D566B" w:rsidRPr="00770477" w:rsidRDefault="003D566B" w:rsidP="007739CE">
            <w:pPr>
              <w:spacing w:line="240" w:lineRule="auto"/>
              <w:rPr>
                <w:rFonts w:cs="Times New Roman"/>
              </w:rPr>
            </w:pPr>
            <w:r w:rsidRPr="00770477">
              <w:rPr>
                <w:rFonts w:cs="Times New Roman"/>
              </w:rPr>
              <w:t>Si</w:t>
            </w:r>
          </w:p>
        </w:tc>
        <w:tc>
          <w:tcPr>
            <w:tcW w:w="2070" w:type="dxa"/>
          </w:tcPr>
          <w:p w14:paraId="6918659D" w14:textId="43B3B236" w:rsidR="003D566B" w:rsidRPr="00770477" w:rsidRDefault="003D566B" w:rsidP="00934F13">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3</w:t>
            </w:r>
          </w:p>
        </w:tc>
        <w:tc>
          <w:tcPr>
            <w:tcW w:w="2340" w:type="dxa"/>
          </w:tcPr>
          <w:p w14:paraId="67FF219B" w14:textId="5FC8A379" w:rsidR="003D566B" w:rsidRPr="00770477" w:rsidRDefault="003D566B" w:rsidP="00934F13">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3</w:t>
            </w:r>
          </w:p>
        </w:tc>
      </w:tr>
      <w:tr w:rsidR="003D566B" w:rsidRPr="00770477" w14:paraId="2125960C" w14:textId="77777777" w:rsidTr="00934F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5" w:type="dxa"/>
          </w:tcPr>
          <w:p w14:paraId="700150B3" w14:textId="4A1DE34A" w:rsidR="003D566B" w:rsidRPr="00770477" w:rsidRDefault="003D566B" w:rsidP="007739CE">
            <w:pPr>
              <w:spacing w:line="240" w:lineRule="auto"/>
              <w:rPr>
                <w:rFonts w:cs="Times New Roman"/>
              </w:rPr>
            </w:pPr>
            <w:r w:rsidRPr="00770477">
              <w:rPr>
                <w:rFonts w:cs="Times New Roman"/>
              </w:rPr>
              <w:t>Zn</w:t>
            </w:r>
          </w:p>
        </w:tc>
        <w:tc>
          <w:tcPr>
            <w:tcW w:w="2070" w:type="dxa"/>
            <w:tcBorders>
              <w:bottom w:val="single" w:sz="4" w:space="0" w:color="7F7F7F" w:themeColor="text1" w:themeTint="80"/>
            </w:tcBorders>
          </w:tcPr>
          <w:p w14:paraId="7D81DA62" w14:textId="77A56120" w:rsidR="003D566B" w:rsidRPr="00770477" w:rsidRDefault="003D566B"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w:t>
            </w:r>
          </w:p>
        </w:tc>
        <w:tc>
          <w:tcPr>
            <w:tcW w:w="2340" w:type="dxa"/>
            <w:tcBorders>
              <w:bottom w:val="single" w:sz="4" w:space="0" w:color="7F7F7F" w:themeColor="text1" w:themeTint="80"/>
            </w:tcBorders>
          </w:tcPr>
          <w:p w14:paraId="79A3EF70" w14:textId="1E8C0143" w:rsidR="003D566B" w:rsidRPr="00770477" w:rsidRDefault="003D566B"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1</w:t>
            </w:r>
          </w:p>
        </w:tc>
      </w:tr>
      <w:tr w:rsidR="003D566B" w:rsidRPr="00770477" w14:paraId="59AE98D0" w14:textId="77777777" w:rsidTr="00934F13">
        <w:trPr>
          <w:jc w:val="center"/>
        </w:trPr>
        <w:tc>
          <w:tcPr>
            <w:cnfStyle w:val="001000000000" w:firstRow="0" w:lastRow="0" w:firstColumn="1" w:lastColumn="0" w:oddVBand="0" w:evenVBand="0" w:oddHBand="0" w:evenHBand="0" w:firstRowFirstColumn="0" w:firstRowLastColumn="0" w:lastRowFirstColumn="0" w:lastRowLastColumn="0"/>
            <w:tcW w:w="1615" w:type="dxa"/>
          </w:tcPr>
          <w:p w14:paraId="35DE37BB" w14:textId="7FD17719" w:rsidR="003D566B" w:rsidRPr="00770477" w:rsidRDefault="003D566B" w:rsidP="007739CE">
            <w:pPr>
              <w:spacing w:line="240" w:lineRule="auto"/>
              <w:rPr>
                <w:rFonts w:cs="Times New Roman"/>
              </w:rPr>
            </w:pPr>
            <w:r w:rsidRPr="00770477">
              <w:rPr>
                <w:rFonts w:cs="Times New Roman"/>
              </w:rPr>
              <w:t>Acetamiprid</w:t>
            </w:r>
          </w:p>
        </w:tc>
        <w:tc>
          <w:tcPr>
            <w:tcW w:w="2070" w:type="dxa"/>
            <w:tcBorders>
              <w:top w:val="single" w:sz="4" w:space="0" w:color="7F7F7F" w:themeColor="text1" w:themeTint="80"/>
            </w:tcBorders>
          </w:tcPr>
          <w:p w14:paraId="290CCE1D" w14:textId="11E39931" w:rsidR="003D566B" w:rsidRPr="00770477" w:rsidRDefault="003D566B" w:rsidP="00934F13">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4</w:t>
            </w:r>
          </w:p>
        </w:tc>
        <w:tc>
          <w:tcPr>
            <w:tcW w:w="2340" w:type="dxa"/>
            <w:tcBorders>
              <w:top w:val="single" w:sz="4" w:space="0" w:color="7F7F7F" w:themeColor="text1" w:themeTint="80"/>
            </w:tcBorders>
          </w:tcPr>
          <w:p w14:paraId="6B4BE575" w14:textId="1FAA4C2E" w:rsidR="003D566B" w:rsidRPr="00770477" w:rsidRDefault="003D566B" w:rsidP="00934F13">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4</w:t>
            </w:r>
          </w:p>
        </w:tc>
      </w:tr>
      <w:tr w:rsidR="003D566B" w:rsidRPr="00770477" w14:paraId="0807FAFD" w14:textId="77777777" w:rsidTr="00934F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5" w:type="dxa"/>
          </w:tcPr>
          <w:p w14:paraId="05E37A36" w14:textId="3EC8B2B4" w:rsidR="003D566B" w:rsidRPr="00770477" w:rsidRDefault="003D566B" w:rsidP="007739CE">
            <w:pPr>
              <w:spacing w:line="240" w:lineRule="auto"/>
              <w:rPr>
                <w:rFonts w:cs="Times New Roman"/>
              </w:rPr>
            </w:pPr>
            <w:r w:rsidRPr="00770477">
              <w:rPr>
                <w:rFonts w:cs="Times New Roman"/>
              </w:rPr>
              <w:t>Dinotefuran</w:t>
            </w:r>
          </w:p>
        </w:tc>
        <w:tc>
          <w:tcPr>
            <w:tcW w:w="2070" w:type="dxa"/>
          </w:tcPr>
          <w:p w14:paraId="02D41A2D" w14:textId="637896FC" w:rsidR="003D566B" w:rsidRPr="00770477" w:rsidRDefault="003D566B"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4</w:t>
            </w:r>
          </w:p>
        </w:tc>
        <w:tc>
          <w:tcPr>
            <w:tcW w:w="2340" w:type="dxa"/>
          </w:tcPr>
          <w:p w14:paraId="1DFCD870" w14:textId="6F761255" w:rsidR="003D566B" w:rsidRPr="00770477" w:rsidRDefault="003D566B"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4</w:t>
            </w:r>
          </w:p>
        </w:tc>
      </w:tr>
      <w:tr w:rsidR="003D566B" w:rsidRPr="00770477" w14:paraId="013D4F05" w14:textId="77777777" w:rsidTr="00934F13">
        <w:trPr>
          <w:jc w:val="center"/>
        </w:trPr>
        <w:tc>
          <w:tcPr>
            <w:cnfStyle w:val="001000000000" w:firstRow="0" w:lastRow="0" w:firstColumn="1" w:lastColumn="0" w:oddVBand="0" w:evenVBand="0" w:oddHBand="0" w:evenHBand="0" w:firstRowFirstColumn="0" w:firstRowLastColumn="0" w:lastRowFirstColumn="0" w:lastRowLastColumn="0"/>
            <w:tcW w:w="1615" w:type="dxa"/>
          </w:tcPr>
          <w:p w14:paraId="75A01ADB" w14:textId="3BB1571A" w:rsidR="003D566B" w:rsidRPr="00770477" w:rsidRDefault="003D566B" w:rsidP="007739CE">
            <w:pPr>
              <w:spacing w:line="240" w:lineRule="auto"/>
              <w:rPr>
                <w:rFonts w:cs="Times New Roman"/>
              </w:rPr>
            </w:pPr>
            <w:r w:rsidRPr="00770477">
              <w:rPr>
                <w:rFonts w:cs="Times New Roman"/>
              </w:rPr>
              <w:t>Imidacloprid</w:t>
            </w:r>
          </w:p>
        </w:tc>
        <w:tc>
          <w:tcPr>
            <w:tcW w:w="2070" w:type="dxa"/>
            <w:tcBorders>
              <w:bottom w:val="single" w:sz="4" w:space="0" w:color="7F7F7F" w:themeColor="text1" w:themeTint="80"/>
            </w:tcBorders>
          </w:tcPr>
          <w:p w14:paraId="1A333D65" w14:textId="24452581" w:rsidR="003D566B" w:rsidRPr="00770477" w:rsidRDefault="003D566B" w:rsidP="00934F13">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4</w:t>
            </w:r>
          </w:p>
        </w:tc>
        <w:tc>
          <w:tcPr>
            <w:tcW w:w="2340" w:type="dxa"/>
            <w:tcBorders>
              <w:bottom w:val="single" w:sz="4" w:space="0" w:color="7F7F7F" w:themeColor="text1" w:themeTint="80"/>
            </w:tcBorders>
          </w:tcPr>
          <w:p w14:paraId="3AC70CA8" w14:textId="7CC367E7" w:rsidR="003D566B" w:rsidRPr="00770477" w:rsidRDefault="003D566B" w:rsidP="00934F13">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4</w:t>
            </w:r>
          </w:p>
        </w:tc>
      </w:tr>
      <w:tr w:rsidR="003D566B" w:rsidRPr="00770477" w14:paraId="0E4125AC" w14:textId="77777777" w:rsidTr="00934F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5" w:type="dxa"/>
          </w:tcPr>
          <w:p w14:paraId="2EBE8229" w14:textId="744EE63D" w:rsidR="003D566B" w:rsidRPr="00770477" w:rsidRDefault="003D566B" w:rsidP="007739CE">
            <w:pPr>
              <w:spacing w:line="240" w:lineRule="auto"/>
              <w:rPr>
                <w:rFonts w:cs="Times New Roman"/>
              </w:rPr>
            </w:pPr>
            <w:r w:rsidRPr="00770477">
              <w:rPr>
                <w:rFonts w:cs="Times New Roman"/>
              </w:rPr>
              <w:t>P</w:t>
            </w:r>
          </w:p>
        </w:tc>
        <w:tc>
          <w:tcPr>
            <w:tcW w:w="2070" w:type="dxa"/>
            <w:tcBorders>
              <w:top w:val="single" w:sz="4" w:space="0" w:color="7F7F7F" w:themeColor="text1" w:themeTint="80"/>
            </w:tcBorders>
          </w:tcPr>
          <w:p w14:paraId="5D943270" w14:textId="0BBC852E" w:rsidR="003D566B" w:rsidRPr="00770477" w:rsidRDefault="003D566B"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4</w:t>
            </w:r>
          </w:p>
        </w:tc>
        <w:tc>
          <w:tcPr>
            <w:tcW w:w="2340" w:type="dxa"/>
            <w:tcBorders>
              <w:top w:val="single" w:sz="4" w:space="0" w:color="7F7F7F" w:themeColor="text1" w:themeTint="80"/>
            </w:tcBorders>
          </w:tcPr>
          <w:p w14:paraId="195FE0D6" w14:textId="5A4DFBD8" w:rsidR="003D566B" w:rsidRPr="00770477" w:rsidRDefault="003D566B" w:rsidP="00934F13">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4</w:t>
            </w:r>
          </w:p>
        </w:tc>
      </w:tr>
    </w:tbl>
    <w:p w14:paraId="1392564F" w14:textId="6EB9204F" w:rsidR="00AF0217" w:rsidRPr="00770477" w:rsidRDefault="00BE4F7A" w:rsidP="003D566B">
      <w:pPr>
        <w:spacing w:line="240" w:lineRule="auto"/>
        <w:ind w:left="1440" w:firstLine="720"/>
        <w:rPr>
          <w:rFonts w:cs="Times New Roman"/>
          <w:i/>
          <w:iCs/>
          <w:sz w:val="20"/>
          <w:szCs w:val="20"/>
        </w:rPr>
      </w:pPr>
      <w:r w:rsidRPr="00770477">
        <w:rPr>
          <w:rFonts w:cs="Times New Roman"/>
          <w:i/>
          <w:iCs/>
          <w:sz w:val="20"/>
          <w:szCs w:val="20"/>
        </w:rPr>
        <w:t xml:space="preserve">* </w:t>
      </w:r>
      <w:r w:rsidR="00AF0217" w:rsidRPr="00770477">
        <w:rPr>
          <w:rFonts w:cs="Times New Roman"/>
          <w:i/>
          <w:iCs/>
          <w:sz w:val="20"/>
          <w:szCs w:val="20"/>
        </w:rPr>
        <w:t xml:space="preserve">Results showed systemic </w:t>
      </w:r>
      <w:r w:rsidRPr="00770477">
        <w:rPr>
          <w:rFonts w:cs="Times New Roman"/>
          <w:i/>
          <w:iCs/>
          <w:sz w:val="20"/>
          <w:szCs w:val="20"/>
        </w:rPr>
        <w:t>errors which rendered the data uninterpretable</w:t>
      </w:r>
    </w:p>
    <w:p w14:paraId="7C8DDA41" w14:textId="7CCB052C" w:rsidR="0086352B" w:rsidRPr="00770477" w:rsidRDefault="00AF0217" w:rsidP="003D566B">
      <w:pPr>
        <w:spacing w:line="240" w:lineRule="auto"/>
        <w:ind w:left="2160"/>
        <w:rPr>
          <w:rFonts w:cs="Times New Roman"/>
          <w:i/>
          <w:iCs/>
          <w:sz w:val="20"/>
          <w:szCs w:val="20"/>
        </w:rPr>
      </w:pPr>
      <w:r w:rsidRPr="00770477">
        <w:rPr>
          <w:rFonts w:cs="Times New Roman"/>
          <w:i/>
          <w:iCs/>
          <w:sz w:val="20"/>
          <w:szCs w:val="20"/>
        </w:rPr>
        <w:t>*</w:t>
      </w:r>
      <w:r w:rsidR="000B5B85" w:rsidRPr="00770477">
        <w:rPr>
          <w:rFonts w:cs="Times New Roman"/>
          <w:i/>
          <w:iCs/>
          <w:sz w:val="20"/>
          <w:szCs w:val="20"/>
        </w:rPr>
        <w:t xml:space="preserve">* </w:t>
      </w:r>
      <w:r w:rsidR="0053292E" w:rsidRPr="00770477">
        <w:rPr>
          <w:rFonts w:cs="Times New Roman"/>
          <w:i/>
          <w:iCs/>
          <w:sz w:val="20"/>
          <w:szCs w:val="20"/>
        </w:rPr>
        <w:t xml:space="preserve">ICP-OES QA/QC indicated </w:t>
      </w:r>
      <w:r w:rsidR="00FB1729" w:rsidRPr="00770477">
        <w:rPr>
          <w:rFonts w:cs="Times New Roman"/>
          <w:i/>
          <w:iCs/>
          <w:sz w:val="20"/>
          <w:szCs w:val="20"/>
        </w:rPr>
        <w:t xml:space="preserve">poor </w:t>
      </w:r>
      <w:r w:rsidR="001D24F0" w:rsidRPr="00770477">
        <w:rPr>
          <w:rFonts w:cs="Times New Roman"/>
          <w:i/>
          <w:iCs/>
          <w:sz w:val="20"/>
          <w:szCs w:val="20"/>
        </w:rPr>
        <w:t>results;</w:t>
      </w:r>
      <w:r w:rsidR="00FB1729" w:rsidRPr="00770477">
        <w:rPr>
          <w:rFonts w:cs="Times New Roman"/>
          <w:i/>
          <w:iCs/>
          <w:sz w:val="20"/>
          <w:szCs w:val="20"/>
        </w:rPr>
        <w:t xml:space="preserve"> some results were dropped resulting in </w:t>
      </w:r>
      <w:r w:rsidR="000B5B85" w:rsidRPr="00770477">
        <w:rPr>
          <w:rFonts w:cs="Times New Roman"/>
          <w:i/>
          <w:iCs/>
          <w:sz w:val="20"/>
          <w:szCs w:val="20"/>
        </w:rPr>
        <w:t>poor graphical analysis</w:t>
      </w:r>
    </w:p>
    <w:p w14:paraId="4FC710EF" w14:textId="6FF12CE2" w:rsidR="00B25664" w:rsidRPr="00770477" w:rsidRDefault="00447269" w:rsidP="00DF0221">
      <w:pPr>
        <w:spacing w:line="240" w:lineRule="auto"/>
        <w:rPr>
          <w:rFonts w:cs="Times New Roman"/>
        </w:rPr>
      </w:pPr>
      <w:r w:rsidRPr="00770477">
        <w:rPr>
          <w:rFonts w:cs="Times New Roman"/>
        </w:rPr>
        <w:br w:type="page"/>
      </w:r>
    </w:p>
    <w:p w14:paraId="57B17152" w14:textId="57EABEC1" w:rsidR="00CC5F3A" w:rsidRPr="00770477" w:rsidRDefault="00CC5F3A" w:rsidP="0047646B">
      <w:pPr>
        <w:pStyle w:val="Heading2"/>
        <w:rPr>
          <w:rFonts w:cs="Times New Roman"/>
        </w:rPr>
      </w:pPr>
      <w:bookmarkStart w:id="79" w:name="_Toc121496002"/>
      <w:r w:rsidRPr="00770477">
        <w:rPr>
          <w:rFonts w:cs="Times New Roman"/>
        </w:rPr>
        <w:lastRenderedPageBreak/>
        <w:t>Influent</w:t>
      </w:r>
      <w:bookmarkEnd w:id="79"/>
    </w:p>
    <w:p w14:paraId="63A4CF8C" w14:textId="15345D62" w:rsidR="00E14410" w:rsidRPr="00770477" w:rsidRDefault="5E232E96" w:rsidP="006350D4">
      <w:pPr>
        <w:ind w:firstLine="720"/>
        <w:rPr>
          <w:rFonts w:cs="Times New Roman"/>
        </w:rPr>
      </w:pPr>
      <w:r w:rsidRPr="00770477">
        <w:rPr>
          <w:rFonts w:cs="Times New Roman"/>
        </w:rPr>
        <w:t>I</w:t>
      </w:r>
      <w:r w:rsidR="00566DAC" w:rsidRPr="00770477">
        <w:rPr>
          <w:rFonts w:cs="Times New Roman"/>
        </w:rPr>
        <w:t xml:space="preserve">nfluent water chemistry varied slightly throughout the duration of each experiment. </w:t>
      </w:r>
      <w:r w:rsidR="006350D4" w:rsidRPr="00770477">
        <w:rPr>
          <w:rFonts w:cs="Times New Roman"/>
        </w:rPr>
        <w:t xml:space="preserve">Contaminants </w:t>
      </w:r>
      <w:r w:rsidR="00BC01B3" w:rsidRPr="00770477">
        <w:rPr>
          <w:rFonts w:cs="Times New Roman"/>
        </w:rPr>
        <w:t xml:space="preserve">spiked to lower concentrations will </w:t>
      </w:r>
      <w:r w:rsidR="00980066" w:rsidRPr="00770477">
        <w:rPr>
          <w:rFonts w:cs="Times New Roman"/>
        </w:rPr>
        <w:t>tend to</w:t>
      </w:r>
      <w:r w:rsidR="00BC01B3" w:rsidRPr="00770477">
        <w:rPr>
          <w:rFonts w:cs="Times New Roman"/>
        </w:rPr>
        <w:t xml:space="preserve"> show higher % variability than those </w:t>
      </w:r>
      <w:r w:rsidR="002A6E4D" w:rsidRPr="00770477">
        <w:rPr>
          <w:rFonts w:cs="Times New Roman"/>
        </w:rPr>
        <w:t xml:space="preserve">with higher concentrations. </w:t>
      </w:r>
      <w:r w:rsidR="00B74E0E" w:rsidRPr="00770477">
        <w:rPr>
          <w:rFonts w:cs="Times New Roman"/>
        </w:rPr>
        <w:t>E</w:t>
      </w:r>
      <w:r w:rsidR="005A6083" w:rsidRPr="00770477">
        <w:rPr>
          <w:rFonts w:cs="Times New Roman"/>
        </w:rPr>
        <w:t>ach IE ratio is calculated from the</w:t>
      </w:r>
      <w:r w:rsidR="005C2611" w:rsidRPr="00770477">
        <w:rPr>
          <w:rFonts w:cs="Times New Roman"/>
        </w:rPr>
        <w:t xml:space="preserve"> </w:t>
      </w:r>
      <w:r w:rsidR="009552A0" w:rsidRPr="00770477">
        <w:rPr>
          <w:rFonts w:cs="Times New Roman"/>
        </w:rPr>
        <w:t>corresponding</w:t>
      </w:r>
      <w:r w:rsidR="005A6083" w:rsidRPr="00770477">
        <w:rPr>
          <w:rFonts w:cs="Times New Roman"/>
        </w:rPr>
        <w:t xml:space="preserve"> influent</w:t>
      </w:r>
      <w:r w:rsidR="005C2611" w:rsidRPr="00770477">
        <w:rPr>
          <w:rFonts w:cs="Times New Roman"/>
        </w:rPr>
        <w:t xml:space="preserve"> and effluent samples (whether measured or </w:t>
      </w:r>
      <w:r w:rsidR="009D4477" w:rsidRPr="00770477">
        <w:rPr>
          <w:rFonts w:cs="Times New Roman"/>
        </w:rPr>
        <w:t>interpolated</w:t>
      </w:r>
      <w:r w:rsidR="005C2611" w:rsidRPr="00770477">
        <w:rPr>
          <w:rFonts w:cs="Times New Roman"/>
        </w:rPr>
        <w:t>)</w:t>
      </w:r>
      <w:r w:rsidR="00B74E0E" w:rsidRPr="00770477">
        <w:rPr>
          <w:rFonts w:cs="Times New Roman"/>
        </w:rPr>
        <w:t>. T</w:t>
      </w:r>
      <w:r w:rsidR="002B6400" w:rsidRPr="00770477">
        <w:rPr>
          <w:rFonts w:cs="Times New Roman"/>
        </w:rPr>
        <w:t>h</w:t>
      </w:r>
      <w:r w:rsidR="009552A0" w:rsidRPr="00770477">
        <w:rPr>
          <w:rFonts w:cs="Times New Roman"/>
        </w:rPr>
        <w:t>erefore, there should be no bias in results due to influent variability</w:t>
      </w:r>
      <w:r w:rsidR="005B555A" w:rsidRPr="00770477">
        <w:rPr>
          <w:rFonts w:cs="Times New Roman"/>
        </w:rPr>
        <w:t xml:space="preserve">, rather this analysis is provided to demonstrate the necessity to sample influent values throughout the duration of the experiment rather than relying on </w:t>
      </w:r>
      <w:r w:rsidR="002B6400" w:rsidRPr="00770477">
        <w:rPr>
          <w:rFonts w:cs="Times New Roman"/>
        </w:rPr>
        <w:t xml:space="preserve">an assumption of consistent influent concentrations. </w:t>
      </w:r>
    </w:p>
    <w:p w14:paraId="4D6E56EF" w14:textId="7F64C97E" w:rsidR="008329CF" w:rsidRPr="00770477" w:rsidRDefault="004C3663" w:rsidP="00DF0221">
      <w:pPr>
        <w:ind w:firstLine="720"/>
        <w:rPr>
          <w:rFonts w:cs="Times New Roman"/>
        </w:rPr>
      </w:pPr>
      <w:r w:rsidRPr="00770477">
        <w:rPr>
          <w:rFonts w:cs="Times New Roman"/>
        </w:rPr>
        <w:t>pH was variable through the duration of th</w:t>
      </w:r>
      <w:r w:rsidR="005336D5" w:rsidRPr="00770477">
        <w:rPr>
          <w:rFonts w:cs="Times New Roman"/>
        </w:rPr>
        <w:t>e e</w:t>
      </w:r>
      <w:r w:rsidR="000D7F29" w:rsidRPr="00770477">
        <w:rPr>
          <w:rFonts w:cs="Times New Roman"/>
        </w:rPr>
        <w:t>xperiments</w:t>
      </w:r>
      <w:r w:rsidR="002F29DA" w:rsidRPr="00770477">
        <w:rPr>
          <w:rFonts w:cs="Times New Roman"/>
        </w:rPr>
        <w:t xml:space="preserve">. Generally, pH </w:t>
      </w:r>
      <w:r w:rsidR="0050426E" w:rsidRPr="00770477">
        <w:rPr>
          <w:rFonts w:cs="Times New Roman"/>
        </w:rPr>
        <w:t xml:space="preserve">decreased over time </w:t>
      </w:r>
      <w:r w:rsidR="001D7BF2" w:rsidRPr="00770477">
        <w:rPr>
          <w:rFonts w:cs="Times New Roman"/>
        </w:rPr>
        <w:t xml:space="preserve">with </w:t>
      </w:r>
      <w:r w:rsidR="00F86125" w:rsidRPr="00770477">
        <w:rPr>
          <w:rFonts w:cs="Times New Roman"/>
        </w:rPr>
        <w:t>pH from both vertical column runs starting at or near 7.5 and ending at or near 6.5</w:t>
      </w:r>
      <w:r w:rsidR="36097EB7" w:rsidRPr="00770477">
        <w:rPr>
          <w:rFonts w:cs="Times New Roman"/>
        </w:rPr>
        <w:t xml:space="preserve">. An example of this for runs 1 and 2 is shown in </w:t>
      </w:r>
      <w:r w:rsidR="00EC3AC5" w:rsidRPr="00770477">
        <w:rPr>
          <w:rFonts w:cs="Times New Roman"/>
        </w:rPr>
        <w:fldChar w:fldCharType="begin"/>
      </w:r>
      <w:r w:rsidR="00EC3AC5" w:rsidRPr="00770477">
        <w:rPr>
          <w:rFonts w:cs="Times New Roman"/>
        </w:rPr>
        <w:instrText xml:space="preserve"> REF _Ref117864982 \h </w:instrText>
      </w:r>
      <w:r w:rsidR="00770477">
        <w:rPr>
          <w:rFonts w:cs="Times New Roman"/>
        </w:rPr>
        <w:instrText xml:space="preserve"> \* MERGEFORMAT </w:instrText>
      </w:r>
      <w:r w:rsidR="00EC3AC5" w:rsidRPr="00770477">
        <w:rPr>
          <w:rFonts w:cs="Times New Roman"/>
        </w:rPr>
      </w:r>
      <w:r w:rsidR="00EC3AC5" w:rsidRPr="00770477">
        <w:rPr>
          <w:rFonts w:cs="Times New Roman"/>
        </w:rPr>
        <w:fldChar w:fldCharType="separate"/>
      </w:r>
      <w:r w:rsidR="00061096" w:rsidRPr="00061096">
        <w:rPr>
          <w:rFonts w:cs="Times New Roman"/>
        </w:rPr>
        <w:t xml:space="preserve">Figure </w:t>
      </w:r>
      <w:r w:rsidR="00061096" w:rsidRPr="00061096">
        <w:rPr>
          <w:rFonts w:cs="Times New Roman"/>
          <w:noProof/>
        </w:rPr>
        <w:t>3</w:t>
      </w:r>
      <w:r w:rsidR="00061096" w:rsidRPr="00061096">
        <w:rPr>
          <w:rFonts w:cs="Times New Roman"/>
          <w:noProof/>
        </w:rPr>
        <w:noBreakHyphen/>
        <w:t>1</w:t>
      </w:r>
      <w:r w:rsidR="00EC3AC5" w:rsidRPr="00770477">
        <w:rPr>
          <w:rFonts w:cs="Times New Roman"/>
        </w:rPr>
        <w:fldChar w:fldCharType="end"/>
      </w:r>
      <w:r w:rsidR="00F86125" w:rsidRPr="00770477">
        <w:rPr>
          <w:rFonts w:cs="Times New Roman"/>
        </w:rPr>
        <w:t xml:space="preserve">. </w:t>
      </w:r>
      <w:r w:rsidR="00CB251D" w:rsidRPr="00770477">
        <w:rPr>
          <w:rFonts w:cs="Times New Roman"/>
        </w:rPr>
        <w:t xml:space="preserve">Horizontal column influent pH </w:t>
      </w:r>
      <w:r w:rsidR="003C735F" w:rsidRPr="00770477">
        <w:rPr>
          <w:rFonts w:cs="Times New Roman"/>
        </w:rPr>
        <w:t xml:space="preserve">initially </w:t>
      </w:r>
      <w:r w:rsidR="00773A56" w:rsidRPr="00770477">
        <w:rPr>
          <w:rFonts w:cs="Times New Roman"/>
        </w:rPr>
        <w:t xml:space="preserve">was in the 7.7 to 8.0 range </w:t>
      </w:r>
      <w:r w:rsidR="004A62A9" w:rsidRPr="00770477">
        <w:rPr>
          <w:rFonts w:cs="Times New Roman"/>
        </w:rPr>
        <w:t xml:space="preserve">but </w:t>
      </w:r>
      <w:r w:rsidR="00C74295" w:rsidRPr="00770477">
        <w:rPr>
          <w:rFonts w:cs="Times New Roman"/>
        </w:rPr>
        <w:t>generally followed a decreasing trend</w:t>
      </w:r>
      <w:r w:rsidR="00645C14" w:rsidRPr="00770477">
        <w:rPr>
          <w:rFonts w:cs="Times New Roman"/>
        </w:rPr>
        <w:t xml:space="preserve"> reaching 7.0 by the end of the experiment</w:t>
      </w:r>
      <w:r w:rsidR="00EC3AC5" w:rsidRPr="00770477">
        <w:rPr>
          <w:rFonts w:cs="Times New Roman"/>
        </w:rPr>
        <w:t xml:space="preserve"> (</w:t>
      </w:r>
      <w:r w:rsidR="00EC3AC5" w:rsidRPr="00770477">
        <w:rPr>
          <w:rFonts w:cs="Times New Roman"/>
        </w:rPr>
        <w:fldChar w:fldCharType="begin"/>
      </w:r>
      <w:r w:rsidR="00EC3AC5" w:rsidRPr="00770477">
        <w:rPr>
          <w:rFonts w:cs="Times New Roman"/>
        </w:rPr>
        <w:instrText xml:space="preserve"> REF _Ref117865001 \h </w:instrText>
      </w:r>
      <w:r w:rsidR="00770477">
        <w:rPr>
          <w:rFonts w:cs="Times New Roman"/>
        </w:rPr>
        <w:instrText xml:space="preserve"> \* MERGEFORMAT </w:instrText>
      </w:r>
      <w:r w:rsidR="00EC3AC5" w:rsidRPr="00770477">
        <w:rPr>
          <w:rFonts w:cs="Times New Roman"/>
        </w:rPr>
      </w:r>
      <w:r w:rsidR="00EC3AC5" w:rsidRPr="00770477">
        <w:rPr>
          <w:rFonts w:cs="Times New Roman"/>
        </w:rPr>
        <w:fldChar w:fldCharType="separate"/>
      </w:r>
      <w:r w:rsidR="00061096" w:rsidRPr="00061096">
        <w:rPr>
          <w:rFonts w:cs="Times New Roman"/>
        </w:rPr>
        <w:t xml:space="preserve">Figure </w:t>
      </w:r>
      <w:r w:rsidR="00061096" w:rsidRPr="00061096">
        <w:rPr>
          <w:rFonts w:cs="Times New Roman"/>
          <w:noProof/>
        </w:rPr>
        <w:t>3</w:t>
      </w:r>
      <w:r w:rsidR="00061096" w:rsidRPr="00061096">
        <w:rPr>
          <w:rFonts w:cs="Times New Roman"/>
          <w:noProof/>
        </w:rPr>
        <w:noBreakHyphen/>
        <w:t>2</w:t>
      </w:r>
      <w:r w:rsidR="00EC3AC5" w:rsidRPr="00770477">
        <w:rPr>
          <w:rFonts w:cs="Times New Roman"/>
        </w:rPr>
        <w:fldChar w:fldCharType="end"/>
      </w:r>
      <w:r w:rsidR="00EC3AC5" w:rsidRPr="00770477">
        <w:rPr>
          <w:rFonts w:cs="Times New Roman"/>
        </w:rPr>
        <w:t>)</w:t>
      </w:r>
      <w:r w:rsidR="00645C14" w:rsidRPr="00770477">
        <w:rPr>
          <w:rFonts w:cs="Times New Roman"/>
        </w:rPr>
        <w:t xml:space="preserve">. </w:t>
      </w:r>
    </w:p>
    <w:p w14:paraId="0B55D95D" w14:textId="77777777" w:rsidR="008329CF" w:rsidRPr="00770477" w:rsidRDefault="008329CF">
      <w:pPr>
        <w:spacing w:line="240" w:lineRule="auto"/>
        <w:rPr>
          <w:rFonts w:cs="Times New Roman"/>
        </w:rPr>
      </w:pPr>
      <w:r w:rsidRPr="00770477">
        <w:rPr>
          <w:rFonts w:cs="Times New Roman"/>
        </w:rPr>
        <w:br w:type="page"/>
      </w:r>
    </w:p>
    <w:p w14:paraId="47C0EAFE" w14:textId="53327773" w:rsidR="00D273DE" w:rsidRPr="00770477" w:rsidRDefault="008F6BDB" w:rsidP="008F6BDB">
      <w:pPr>
        <w:keepNext/>
        <w:rPr>
          <w:rFonts w:cs="Times New Roman"/>
        </w:rPr>
      </w:pPr>
      <w:r w:rsidRPr="00770477">
        <w:rPr>
          <w:rFonts w:cs="Times New Roman"/>
          <w:noProof/>
        </w:rPr>
        <w:lastRenderedPageBreak/>
        <mc:AlternateContent>
          <mc:Choice Requires="wps">
            <w:drawing>
              <wp:anchor distT="0" distB="0" distL="114300" distR="114300" simplePos="0" relativeHeight="251658243" behindDoc="0" locked="0" layoutInCell="1" allowOverlap="1" wp14:anchorId="74418CA4" wp14:editId="3CF88F75">
                <wp:simplePos x="0" y="0"/>
                <wp:positionH relativeFrom="column">
                  <wp:posOffset>0</wp:posOffset>
                </wp:positionH>
                <wp:positionV relativeFrom="paragraph">
                  <wp:posOffset>5543550</wp:posOffset>
                </wp:positionV>
                <wp:extent cx="5943600" cy="635"/>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6B8CB61" w14:textId="206D1AFC" w:rsidR="008F6BDB" w:rsidRPr="00A10D42" w:rsidRDefault="008F6BDB" w:rsidP="008F6BDB">
                            <w:pPr>
                              <w:pStyle w:val="Caption"/>
                              <w:rPr>
                                <w:noProof/>
                                <w:sz w:val="24"/>
                                <w:szCs w:val="24"/>
                              </w:rPr>
                            </w:pPr>
                            <w:bookmarkStart w:id="80" w:name="_Ref117864982"/>
                            <w:bookmarkStart w:id="81" w:name="_Toc121489496"/>
                            <w:r>
                              <w:t xml:space="preserve">Figure </w:t>
                            </w:r>
                            <w:fldSimple w:instr=" STYLEREF 1 \s ">
                              <w:r w:rsidR="00061096">
                                <w:rPr>
                                  <w:noProof/>
                                </w:rPr>
                                <w:t>3</w:t>
                              </w:r>
                            </w:fldSimple>
                            <w:r w:rsidR="007B0879">
                              <w:noBreakHyphen/>
                            </w:r>
                            <w:fldSimple w:instr=" SEQ Figure \* ARABIC \s 1 ">
                              <w:r w:rsidR="00061096">
                                <w:rPr>
                                  <w:noProof/>
                                </w:rPr>
                                <w:t>1</w:t>
                              </w:r>
                            </w:fldSimple>
                            <w:bookmarkEnd w:id="80"/>
                            <w:r>
                              <w:t xml:space="preserve">  Influent pH in vertical column experiments</w:t>
                            </w:r>
                            <w:bookmarkEnd w:id="8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4418CA4" id="Text Box 5" o:spid="_x0000_s1028" type="#_x0000_t202" style="position:absolute;left:0;text-align:left;margin-left:0;margin-top:436.5pt;width:468pt;height:.0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w0JpGgIAAD8EAAAOAAAAZHJzL2Uyb0RvYy54bWysU8Fu2zAMvQ/YPwi6L07SNViNOEWWIsOA&#13;&#10;oC2QDj0rshwLkEWNUmJnXz9KjpOt22nYRaZJihTfe5zfd41hR4Vegy34ZDTmTFkJpbb7gn97WX/4&#13;&#10;xJkPwpbCgFUFPynP7xfv381bl6sp1GBKhYyKWJ+3ruB1CC7PMi9r1Qg/AqcsBSvARgT6xX1Womip&#13;&#10;emOy6Xg8y1rA0iFI5T15H/ogX6T6VaVkeKoqrwIzBae3hXRiOnfxzBZzke9RuFrL8zPEP7yiEdpS&#13;&#10;00upBxEEO6D+o1SjJYKHKowkNBlUlZYqzUDTTMZvptnWwqk0C4Hj3QUm///Kysfj1j0jC91n6IjA&#13;&#10;CEjrfO7JGefpKmzil17KKE4Qni6wqS4wSc7bu483szGFJMVmN7exRna96tCHLwoaFo2CI3GSoBLH&#13;&#10;jQ996pASO3kwulxrY+JPDKwMsqMg/tpaB3Uu/luWsTHXQrzVF4ye7DpHtEK365guCz4dZtxBeaLR&#13;&#10;EXpVeCfXmvpthA/PAkkGNBJJOzzRURloCw5ni7Ma8Mff/DGf2KEoZy3JquD++0Gg4sx8tcRb1OBg&#13;&#10;4GDsBsMemhXQpBNaGieTSRcwmMGsEJpXUvwydqGQsJJ6FTwM5ir04qaNkWq5TEmkNCfCxm6djKUH&#13;&#10;XF+6V4HuzEogMh9hEJzI35DT5yZ63PIQCOnEXMS1R/EMN6k0cX/eqLgGv/6nrOveL34CAAD//wMA&#13;&#10;UEsDBBQABgAIAAAAIQDXN0Ii4QAAAA0BAAAPAAAAZHJzL2Rvd25yZXYueG1sTE89T8MwEN2R+A/W&#13;&#10;IbGg1impQknjVFWBgS4VaRc2N3bjQHyObKcN/56DBZbTu3u691GsRtuxs/ahdShgNk2AaaydarER&#13;&#10;cNi/TBbAQpSoZOdQC/jSAVbl9VUhc+Uu+KbPVWwYiWDIpQATY59zHmqjrQxT12sk7uS8lZFW33Dl&#13;&#10;5YXEbcfvkyTjVrZIDkb2emN0/VkNVsBu/r4zd8Ppebuep/71MGyyj6YS4vZmfFrSWC+BRT3Gvw/4&#13;&#10;6UD5oaRgRzegCqwTQG2igMVDSoDoxzQjcPy9zICXBf/fovwGAAD//wMAUEsBAi0AFAAGAAgAAAAh&#13;&#10;ALaDOJL+AAAA4QEAABMAAAAAAAAAAAAAAAAAAAAAAFtDb250ZW50X1R5cGVzXS54bWxQSwECLQAU&#13;&#10;AAYACAAAACEAOP0h/9YAAACUAQAACwAAAAAAAAAAAAAAAAAvAQAAX3JlbHMvLnJlbHNQSwECLQAU&#13;&#10;AAYACAAAACEAzcNCaRoCAAA/BAAADgAAAAAAAAAAAAAAAAAuAgAAZHJzL2Uyb0RvYy54bWxQSwEC&#13;&#10;LQAUAAYACAAAACEA1zdCIuEAAAANAQAADwAAAAAAAAAAAAAAAAB0BAAAZHJzL2Rvd25yZXYueG1s&#13;&#10;UEsFBgAAAAAEAAQA8wAAAIIFAAAAAA==&#13;&#10;" stroked="f">
                <v:textbox style="mso-fit-shape-to-text:t" inset="0,0,0,0">
                  <w:txbxContent>
                    <w:p w14:paraId="66B8CB61" w14:textId="206D1AFC" w:rsidR="008F6BDB" w:rsidRPr="00A10D42" w:rsidRDefault="008F6BDB" w:rsidP="008F6BDB">
                      <w:pPr>
                        <w:pStyle w:val="Caption"/>
                        <w:rPr>
                          <w:noProof/>
                          <w:sz w:val="24"/>
                          <w:szCs w:val="24"/>
                        </w:rPr>
                      </w:pPr>
                      <w:bookmarkStart w:id="85" w:name="_Ref117864982"/>
                      <w:bookmarkStart w:id="86" w:name="_Toc121489496"/>
                      <w:r>
                        <w:t xml:space="preserve">Figure </w:t>
                      </w:r>
                      <w:fldSimple w:instr=" STYLEREF 1 \s ">
                        <w:r w:rsidR="00061096">
                          <w:rPr>
                            <w:noProof/>
                          </w:rPr>
                          <w:t>3</w:t>
                        </w:r>
                      </w:fldSimple>
                      <w:r w:rsidR="007B0879">
                        <w:noBreakHyphen/>
                      </w:r>
                      <w:fldSimple w:instr=" SEQ Figure \* ARABIC \s 1 ">
                        <w:r w:rsidR="00061096">
                          <w:rPr>
                            <w:noProof/>
                          </w:rPr>
                          <w:t>1</w:t>
                        </w:r>
                      </w:fldSimple>
                      <w:bookmarkEnd w:id="85"/>
                      <w:r>
                        <w:t xml:space="preserve">  Influent pH in vertical column experiments</w:t>
                      </w:r>
                      <w:bookmarkEnd w:id="86"/>
                    </w:p>
                  </w:txbxContent>
                </v:textbox>
                <w10:wrap type="square"/>
              </v:shape>
            </w:pict>
          </mc:Fallback>
        </mc:AlternateContent>
      </w:r>
      <w:r w:rsidR="00BB4179" w:rsidRPr="00770477">
        <w:rPr>
          <w:rFonts w:cs="Times New Roman"/>
          <w:noProof/>
        </w:rPr>
        <w:drawing>
          <wp:anchor distT="0" distB="0" distL="114300" distR="114300" simplePos="0" relativeHeight="251658240" behindDoc="1" locked="0" layoutInCell="1" allowOverlap="1" wp14:anchorId="56EA9D0B" wp14:editId="4DACC0E7">
            <wp:simplePos x="0" y="0"/>
            <wp:positionH relativeFrom="margin">
              <wp:align>center</wp:align>
            </wp:positionH>
            <wp:positionV relativeFrom="margin">
              <wp:align>top</wp:align>
            </wp:positionV>
            <wp:extent cx="5943600" cy="54864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anchor>
        </w:drawing>
      </w:r>
      <w:r w:rsidR="00BB4179" w:rsidRPr="00770477">
        <w:rPr>
          <w:rFonts w:cs="Times New Roman"/>
        </w:rPr>
        <w:br w:type="page"/>
      </w:r>
    </w:p>
    <w:p w14:paraId="11BD1B76" w14:textId="51049D29" w:rsidR="00027ADC" w:rsidRPr="00770477" w:rsidRDefault="001371B9" w:rsidP="009A1380">
      <w:pPr>
        <w:spacing w:line="240" w:lineRule="auto"/>
        <w:rPr>
          <w:rFonts w:cs="Times New Roman"/>
        </w:rPr>
      </w:pPr>
      <w:r w:rsidRPr="00770477">
        <w:rPr>
          <w:rFonts w:cs="Times New Roman"/>
          <w:noProof/>
        </w:rPr>
        <w:lastRenderedPageBreak/>
        <mc:AlternateContent>
          <mc:Choice Requires="wps">
            <w:drawing>
              <wp:anchor distT="0" distB="0" distL="114300" distR="114300" simplePos="0" relativeHeight="251658242" behindDoc="0" locked="0" layoutInCell="1" allowOverlap="1" wp14:anchorId="59E53E43" wp14:editId="1298C9EE">
                <wp:simplePos x="0" y="0"/>
                <wp:positionH relativeFrom="column">
                  <wp:posOffset>0</wp:posOffset>
                </wp:positionH>
                <wp:positionV relativeFrom="paragraph">
                  <wp:posOffset>5543550</wp:posOffset>
                </wp:positionV>
                <wp:extent cx="5943600" cy="63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286B43E" w14:textId="514E5C5A" w:rsidR="001371B9" w:rsidRPr="0067473B" w:rsidRDefault="001371B9" w:rsidP="001371B9">
                            <w:pPr>
                              <w:pStyle w:val="Caption"/>
                              <w:rPr>
                                <w:noProof/>
                                <w:sz w:val="24"/>
                                <w:szCs w:val="24"/>
                              </w:rPr>
                            </w:pPr>
                            <w:bookmarkStart w:id="82" w:name="_Ref117865001"/>
                            <w:bookmarkStart w:id="83" w:name="_Toc121489497"/>
                            <w:r>
                              <w:t xml:space="preserve">Figure </w:t>
                            </w:r>
                            <w:fldSimple w:instr=" STYLEREF 1 \s ">
                              <w:r w:rsidR="00061096">
                                <w:rPr>
                                  <w:noProof/>
                                </w:rPr>
                                <w:t>3</w:t>
                              </w:r>
                            </w:fldSimple>
                            <w:r w:rsidR="007B0879">
                              <w:noBreakHyphen/>
                            </w:r>
                            <w:fldSimple w:instr=" SEQ Figure \* ARABIC \s 1 ">
                              <w:r w:rsidR="00061096">
                                <w:rPr>
                                  <w:noProof/>
                                </w:rPr>
                                <w:t>2</w:t>
                              </w:r>
                            </w:fldSimple>
                            <w:bookmarkEnd w:id="82"/>
                            <w:r>
                              <w:t xml:space="preserve"> Influent pH in horizontal column experiments</w:t>
                            </w:r>
                            <w:bookmarkEnd w:id="8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9E53E43" id="Text Box 4" o:spid="_x0000_s1029" type="#_x0000_t202" style="position:absolute;left:0;text-align:left;margin-left:0;margin-top:436.5pt;width:468pt;height:.0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ZGZMGgIAAD8EAAAOAAAAZHJzL2Uyb0RvYy54bWysU8Fu2zAMvQ/YPwi6L06aNViNOEWWIsOA&#13;&#10;oC2QDj0rshwLkEWNUmJnXz9KjpOt22nYRaZJihTfe5zfd41hR4Vegy34ZDTmTFkJpbb7gn97WX/4&#13;&#10;xJkPwpbCgFUFPynP7xfv381bl6sbqMGUChkVsT5vXcHrEFyeZV7WqhF+BE5ZClaAjQj0i/usRNFS&#13;&#10;9cZkN+PxLGsBS4cglffkfeiDfJHqV5WS4amqvArMFJzeFtKJ6dzFM1vMRb5H4Wotz88Q//CKRmhL&#13;&#10;TS+lHkQQ7ID6j1KNlggeqjCS0GRQVVqqNANNMxm/mWZbC6fSLASOdxeY/P8rKx+PW/eMLHSfoSMC&#13;&#10;IyCt87knZ5ynq7CJX3opozhBeLrAprrAJDlv7z5OZ2MKSYrNprexRna96tCHLwoaFo2CI3GSoBLH&#13;&#10;jQ996pASO3kwulxrY+JPDKwMsqMg/tpaB3Uu/luWsTHXQrzVF4ye7DpHtEK365guCz4dZtxBeaLR&#13;&#10;EXpVeCfXmvpthA/PAkkGNBJJOzzRURloCw5ni7Ma8Mff/DGf2KEoZy3JquD++0Gg4sx8tcRb1OBg&#13;&#10;4GDsBsMemhXQpBNaGieTSRcwmMGsEJpXUvwydqGQsJJ6FTwM5ir04qaNkWq5TEmkNCfCxm6djKUH&#13;&#10;XF+6V4HuzEogMh9hEJzI35DT5yZ63PIQCOnEXMS1R/EMN6k0cX/eqLgGv/6nrOveL34CAAD//wMA&#13;&#10;UEsDBBQABgAIAAAAIQDXN0Ii4QAAAA0BAAAPAAAAZHJzL2Rvd25yZXYueG1sTE89T8MwEN2R+A/W&#13;&#10;IbGg1impQknjVFWBgS4VaRc2N3bjQHyObKcN/56DBZbTu3u691GsRtuxs/ahdShgNk2AaaydarER&#13;&#10;cNi/TBbAQpSoZOdQC/jSAVbl9VUhc+Uu+KbPVWwYiWDIpQATY59zHmqjrQxT12sk7uS8lZFW33Dl&#13;&#10;5YXEbcfvkyTjVrZIDkb2emN0/VkNVsBu/r4zd8Ppebuep/71MGyyj6YS4vZmfFrSWC+BRT3Gvw/4&#13;&#10;6UD5oaRgRzegCqwTQG2igMVDSoDoxzQjcPy9zICXBf/fovwGAAD//wMAUEsBAi0AFAAGAAgAAAAh&#13;&#10;ALaDOJL+AAAA4QEAABMAAAAAAAAAAAAAAAAAAAAAAFtDb250ZW50X1R5cGVzXS54bWxQSwECLQAU&#13;&#10;AAYACAAAACEAOP0h/9YAAACUAQAACwAAAAAAAAAAAAAAAAAvAQAAX3JlbHMvLnJlbHNQSwECLQAU&#13;&#10;AAYACAAAACEATGRmTBoCAAA/BAAADgAAAAAAAAAAAAAAAAAuAgAAZHJzL2Uyb0RvYy54bWxQSwEC&#13;&#10;LQAUAAYACAAAACEA1zdCIuEAAAANAQAADwAAAAAAAAAAAAAAAAB0BAAAZHJzL2Rvd25yZXYueG1s&#13;&#10;UEsFBgAAAAAEAAQA8wAAAIIFAAAAAA==&#13;&#10;" stroked="f">
                <v:textbox style="mso-fit-shape-to-text:t" inset="0,0,0,0">
                  <w:txbxContent>
                    <w:p w14:paraId="6286B43E" w14:textId="514E5C5A" w:rsidR="001371B9" w:rsidRPr="0067473B" w:rsidRDefault="001371B9" w:rsidP="001371B9">
                      <w:pPr>
                        <w:pStyle w:val="Caption"/>
                        <w:rPr>
                          <w:noProof/>
                          <w:sz w:val="24"/>
                          <w:szCs w:val="24"/>
                        </w:rPr>
                      </w:pPr>
                      <w:bookmarkStart w:id="89" w:name="_Ref117865001"/>
                      <w:bookmarkStart w:id="90" w:name="_Toc121489497"/>
                      <w:r>
                        <w:t xml:space="preserve">Figure </w:t>
                      </w:r>
                      <w:fldSimple w:instr=" STYLEREF 1 \s ">
                        <w:r w:rsidR="00061096">
                          <w:rPr>
                            <w:noProof/>
                          </w:rPr>
                          <w:t>3</w:t>
                        </w:r>
                      </w:fldSimple>
                      <w:r w:rsidR="007B0879">
                        <w:noBreakHyphen/>
                      </w:r>
                      <w:fldSimple w:instr=" SEQ Figure \* ARABIC \s 1 ">
                        <w:r w:rsidR="00061096">
                          <w:rPr>
                            <w:noProof/>
                          </w:rPr>
                          <w:t>2</w:t>
                        </w:r>
                      </w:fldSimple>
                      <w:bookmarkEnd w:id="89"/>
                      <w:r>
                        <w:t xml:space="preserve"> Influent pH in horizontal column experiments</w:t>
                      </w:r>
                      <w:bookmarkEnd w:id="90"/>
                    </w:p>
                  </w:txbxContent>
                </v:textbox>
                <w10:wrap type="square"/>
              </v:shape>
            </w:pict>
          </mc:Fallback>
        </mc:AlternateContent>
      </w:r>
      <w:r w:rsidR="00027ADC" w:rsidRPr="00770477">
        <w:rPr>
          <w:rFonts w:cs="Times New Roman"/>
          <w:noProof/>
        </w:rPr>
        <w:drawing>
          <wp:anchor distT="0" distB="0" distL="114300" distR="114300" simplePos="0" relativeHeight="251658241" behindDoc="0" locked="0" layoutInCell="1" allowOverlap="1" wp14:anchorId="7A363B29" wp14:editId="51B83FD2">
            <wp:simplePos x="0" y="0"/>
            <wp:positionH relativeFrom="margin">
              <wp:align>center</wp:align>
            </wp:positionH>
            <wp:positionV relativeFrom="margin">
              <wp:align>top</wp:align>
            </wp:positionV>
            <wp:extent cx="5943600" cy="54864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anchor>
        </w:drawing>
      </w:r>
      <w:r w:rsidR="00027ADC" w:rsidRPr="00770477">
        <w:rPr>
          <w:rFonts w:cs="Times New Roman"/>
        </w:rPr>
        <w:br w:type="page"/>
      </w:r>
    </w:p>
    <w:p w14:paraId="2C10A047" w14:textId="05425275" w:rsidR="002A6748" w:rsidRPr="00770477" w:rsidRDefault="003E72F5" w:rsidP="00DF0221">
      <w:pPr>
        <w:ind w:firstLine="720"/>
        <w:rPr>
          <w:rFonts w:cs="Times New Roman"/>
        </w:rPr>
      </w:pPr>
      <w:r w:rsidRPr="00770477">
        <w:rPr>
          <w:rFonts w:cs="Times New Roman"/>
        </w:rPr>
        <w:lastRenderedPageBreak/>
        <w:t>Because of calibration issues</w:t>
      </w:r>
      <w:r w:rsidR="006A37D8" w:rsidRPr="00770477">
        <w:rPr>
          <w:rFonts w:cs="Times New Roman"/>
        </w:rPr>
        <w:t xml:space="preserve"> </w:t>
      </w:r>
      <w:r w:rsidRPr="00770477">
        <w:rPr>
          <w:rFonts w:cs="Times New Roman"/>
        </w:rPr>
        <w:t xml:space="preserve">with </w:t>
      </w:r>
      <w:r w:rsidR="00C248E5" w:rsidRPr="00770477">
        <w:rPr>
          <w:rFonts w:cs="Times New Roman"/>
        </w:rPr>
        <w:t>the conductivity probe</w:t>
      </w:r>
      <w:r w:rsidR="006A37D8" w:rsidRPr="00770477">
        <w:rPr>
          <w:rFonts w:cs="Times New Roman"/>
        </w:rPr>
        <w:t xml:space="preserve"> during run 1</w:t>
      </w:r>
      <w:r w:rsidR="00C248E5" w:rsidRPr="00770477">
        <w:rPr>
          <w:rFonts w:cs="Times New Roman"/>
        </w:rPr>
        <w:t>, only half the data from the vertical column runs (Run 2) is available for analysis. S</w:t>
      </w:r>
      <w:r w:rsidR="00D273DE" w:rsidRPr="00770477">
        <w:rPr>
          <w:rFonts w:cs="Times New Roman"/>
        </w:rPr>
        <w:t xml:space="preserve">pecific conductivity (SpC) in </w:t>
      </w:r>
      <w:r w:rsidR="006F6B4C" w:rsidRPr="00770477">
        <w:rPr>
          <w:rFonts w:cs="Times New Roman"/>
        </w:rPr>
        <w:t xml:space="preserve">the available vertical column experiment </w:t>
      </w:r>
      <w:r w:rsidR="002803CB" w:rsidRPr="00770477">
        <w:rPr>
          <w:rFonts w:cs="Times New Roman"/>
        </w:rPr>
        <w:t>initially was just below 80 µS</w:t>
      </w:r>
      <w:r w:rsidR="002A5368">
        <w:rPr>
          <w:rFonts w:cs="Times New Roman"/>
        </w:rPr>
        <w:t xml:space="preserve"> </w:t>
      </w:r>
      <w:r w:rsidR="002803CB" w:rsidRPr="00770477">
        <w:rPr>
          <w:rFonts w:cs="Times New Roman"/>
        </w:rPr>
        <w:t>cm</w:t>
      </w:r>
      <w:r w:rsidR="002A5368">
        <w:rPr>
          <w:rFonts w:cs="Times New Roman"/>
          <w:vertAlign w:val="superscript"/>
        </w:rPr>
        <w:t>-1</w:t>
      </w:r>
      <w:r w:rsidR="002803CB" w:rsidRPr="00770477">
        <w:rPr>
          <w:rFonts w:cs="Times New Roman"/>
        </w:rPr>
        <w:t xml:space="preserve"> </w:t>
      </w:r>
      <w:r w:rsidR="004A3ECD" w:rsidRPr="00770477">
        <w:rPr>
          <w:rFonts w:cs="Times New Roman"/>
        </w:rPr>
        <w:t xml:space="preserve">and showed a decreasing trend over time. </w:t>
      </w:r>
      <w:r w:rsidR="00CD6C03" w:rsidRPr="00770477">
        <w:rPr>
          <w:rFonts w:cs="Times New Roman"/>
        </w:rPr>
        <w:t xml:space="preserve">The </w:t>
      </w:r>
      <w:r w:rsidR="00BD2F98" w:rsidRPr="00770477">
        <w:rPr>
          <w:rFonts w:cs="Times New Roman"/>
        </w:rPr>
        <w:t xml:space="preserve">second measured influent point was </w:t>
      </w:r>
      <w:r w:rsidR="00955CA5" w:rsidRPr="00770477">
        <w:rPr>
          <w:rFonts w:cs="Times New Roman"/>
        </w:rPr>
        <w:t xml:space="preserve">58.4 </w:t>
      </w:r>
      <w:r w:rsidR="002A5368" w:rsidRPr="00770477">
        <w:rPr>
          <w:rFonts w:cs="Times New Roman"/>
        </w:rPr>
        <w:t>µS</w:t>
      </w:r>
      <w:r w:rsidR="002A5368">
        <w:rPr>
          <w:rFonts w:cs="Times New Roman"/>
        </w:rPr>
        <w:t xml:space="preserve"> </w:t>
      </w:r>
      <w:r w:rsidR="002A5368" w:rsidRPr="00770477">
        <w:rPr>
          <w:rFonts w:cs="Times New Roman"/>
        </w:rPr>
        <w:t>cm</w:t>
      </w:r>
      <w:r w:rsidR="002A5368">
        <w:rPr>
          <w:rFonts w:cs="Times New Roman"/>
          <w:vertAlign w:val="superscript"/>
        </w:rPr>
        <w:t>-1</w:t>
      </w:r>
      <w:r w:rsidR="00955CA5" w:rsidRPr="00770477">
        <w:rPr>
          <w:rFonts w:cs="Times New Roman"/>
        </w:rPr>
        <w:t xml:space="preserve"> with the final measured point at 50.0 </w:t>
      </w:r>
      <w:r w:rsidR="002A5368" w:rsidRPr="00770477">
        <w:rPr>
          <w:rFonts w:cs="Times New Roman"/>
        </w:rPr>
        <w:t>µS</w:t>
      </w:r>
      <w:r w:rsidR="002A5368">
        <w:rPr>
          <w:rFonts w:cs="Times New Roman"/>
        </w:rPr>
        <w:t xml:space="preserve"> </w:t>
      </w:r>
      <w:r w:rsidR="002A5368" w:rsidRPr="00770477">
        <w:rPr>
          <w:rFonts w:cs="Times New Roman"/>
        </w:rPr>
        <w:t>cm</w:t>
      </w:r>
      <w:r w:rsidR="002A5368">
        <w:rPr>
          <w:rFonts w:cs="Times New Roman"/>
          <w:vertAlign w:val="superscript"/>
        </w:rPr>
        <w:t>-1</w:t>
      </w:r>
      <w:r w:rsidR="00EC3AC5" w:rsidRPr="00770477">
        <w:rPr>
          <w:rFonts w:cs="Times New Roman"/>
        </w:rPr>
        <w:t xml:space="preserve"> (</w:t>
      </w:r>
      <w:r w:rsidR="00EC3AC5" w:rsidRPr="00770477">
        <w:rPr>
          <w:rFonts w:cs="Times New Roman"/>
        </w:rPr>
        <w:fldChar w:fldCharType="begin"/>
      </w:r>
      <w:r w:rsidR="00EC3AC5" w:rsidRPr="00770477">
        <w:rPr>
          <w:rFonts w:cs="Times New Roman"/>
        </w:rPr>
        <w:instrText xml:space="preserve"> REF _Ref117865021 \h </w:instrText>
      </w:r>
      <w:r w:rsidR="00770477">
        <w:rPr>
          <w:rFonts w:cs="Times New Roman"/>
        </w:rPr>
        <w:instrText xml:space="preserve"> \* MERGEFORMAT </w:instrText>
      </w:r>
      <w:r w:rsidR="00EC3AC5" w:rsidRPr="00770477">
        <w:rPr>
          <w:rFonts w:cs="Times New Roman"/>
        </w:rPr>
      </w:r>
      <w:r w:rsidR="00EC3AC5" w:rsidRPr="00770477">
        <w:rPr>
          <w:rFonts w:cs="Times New Roman"/>
        </w:rPr>
        <w:fldChar w:fldCharType="separate"/>
      </w:r>
      <w:r w:rsidR="00061096" w:rsidRPr="00061096">
        <w:rPr>
          <w:rFonts w:cs="Times New Roman"/>
        </w:rPr>
        <w:t xml:space="preserve">Figure </w:t>
      </w:r>
      <w:r w:rsidR="00061096" w:rsidRPr="00061096">
        <w:rPr>
          <w:rFonts w:cs="Times New Roman"/>
          <w:noProof/>
        </w:rPr>
        <w:t>3</w:t>
      </w:r>
      <w:r w:rsidR="00061096" w:rsidRPr="00061096">
        <w:rPr>
          <w:rFonts w:cs="Times New Roman"/>
          <w:noProof/>
        </w:rPr>
        <w:noBreakHyphen/>
        <w:t>3</w:t>
      </w:r>
      <w:r w:rsidR="00EC3AC5" w:rsidRPr="00770477">
        <w:rPr>
          <w:rFonts w:cs="Times New Roman"/>
        </w:rPr>
        <w:fldChar w:fldCharType="end"/>
      </w:r>
      <w:r w:rsidR="00EC3AC5" w:rsidRPr="00770477">
        <w:rPr>
          <w:rFonts w:cs="Times New Roman"/>
        </w:rPr>
        <w:t>)</w:t>
      </w:r>
      <w:r w:rsidR="00955CA5" w:rsidRPr="00770477">
        <w:rPr>
          <w:rFonts w:cs="Times New Roman"/>
        </w:rPr>
        <w:t xml:space="preserve">. The horizontal column experiment </w:t>
      </w:r>
      <w:r w:rsidR="00B47C53" w:rsidRPr="00770477">
        <w:rPr>
          <w:rFonts w:cs="Times New Roman"/>
        </w:rPr>
        <w:t xml:space="preserve">SpC was initially lower and showed a reverse trend of increasing over time. </w:t>
      </w:r>
      <w:r w:rsidR="00385B73" w:rsidRPr="00770477">
        <w:rPr>
          <w:rFonts w:cs="Times New Roman"/>
        </w:rPr>
        <w:t xml:space="preserve">The first two influent SpC measurements were </w:t>
      </w:r>
      <w:r w:rsidR="009A5267" w:rsidRPr="00770477">
        <w:rPr>
          <w:rFonts w:cs="Times New Roman"/>
        </w:rPr>
        <w:t xml:space="preserve">50.8 </w:t>
      </w:r>
      <w:r w:rsidR="002A5368" w:rsidRPr="00770477">
        <w:rPr>
          <w:rFonts w:cs="Times New Roman"/>
        </w:rPr>
        <w:t>µS</w:t>
      </w:r>
      <w:r w:rsidR="002A5368">
        <w:rPr>
          <w:rFonts w:cs="Times New Roman"/>
        </w:rPr>
        <w:t xml:space="preserve"> </w:t>
      </w:r>
      <w:r w:rsidR="002A5368" w:rsidRPr="00770477">
        <w:rPr>
          <w:rFonts w:cs="Times New Roman"/>
        </w:rPr>
        <w:t>cm</w:t>
      </w:r>
      <w:r w:rsidR="002A5368">
        <w:rPr>
          <w:rFonts w:cs="Times New Roman"/>
          <w:vertAlign w:val="superscript"/>
        </w:rPr>
        <w:t xml:space="preserve">-1 </w:t>
      </w:r>
      <w:r w:rsidR="009A5267" w:rsidRPr="00770477">
        <w:rPr>
          <w:rFonts w:cs="Times New Roman"/>
        </w:rPr>
        <w:t>and 47.</w:t>
      </w:r>
      <w:r w:rsidR="00E444D9" w:rsidRPr="00770477">
        <w:rPr>
          <w:rFonts w:cs="Times New Roman"/>
        </w:rPr>
        <w:t>3</w:t>
      </w:r>
      <w:r w:rsidR="002A5368">
        <w:rPr>
          <w:rFonts w:cs="Times New Roman"/>
        </w:rPr>
        <w:t xml:space="preserve"> </w:t>
      </w:r>
      <w:r w:rsidR="002A5368" w:rsidRPr="00770477">
        <w:rPr>
          <w:rFonts w:cs="Times New Roman"/>
        </w:rPr>
        <w:t>µS</w:t>
      </w:r>
      <w:r w:rsidR="002A5368">
        <w:rPr>
          <w:rFonts w:cs="Times New Roman"/>
        </w:rPr>
        <w:t xml:space="preserve"> </w:t>
      </w:r>
      <w:r w:rsidR="002A5368" w:rsidRPr="00770477">
        <w:rPr>
          <w:rFonts w:cs="Times New Roman"/>
        </w:rPr>
        <w:t>cm</w:t>
      </w:r>
      <w:r w:rsidR="002A5368">
        <w:rPr>
          <w:rFonts w:cs="Times New Roman"/>
          <w:vertAlign w:val="superscript"/>
        </w:rPr>
        <w:t>-1</w:t>
      </w:r>
      <w:r w:rsidR="00E444D9" w:rsidRPr="00770477">
        <w:rPr>
          <w:rFonts w:cs="Times New Roman"/>
        </w:rPr>
        <w:t xml:space="preserve"> after </w:t>
      </w:r>
      <w:r w:rsidR="00171499" w:rsidRPr="00770477">
        <w:rPr>
          <w:rFonts w:cs="Times New Roman"/>
        </w:rPr>
        <w:t xml:space="preserve">0 L and 1 L passed, respectively. </w:t>
      </w:r>
      <w:r w:rsidR="003D4E1A" w:rsidRPr="00770477">
        <w:rPr>
          <w:rFonts w:cs="Times New Roman"/>
        </w:rPr>
        <w:t xml:space="preserve">Generally, SpC showed an increasing trend over time </w:t>
      </w:r>
      <w:r w:rsidR="00EB67B3" w:rsidRPr="00770477">
        <w:rPr>
          <w:rFonts w:cs="Times New Roman"/>
        </w:rPr>
        <w:t xml:space="preserve">with the final point of the experiment measuring </w:t>
      </w:r>
      <w:r w:rsidR="007B1A71" w:rsidRPr="00770477">
        <w:rPr>
          <w:rFonts w:cs="Times New Roman"/>
        </w:rPr>
        <w:t xml:space="preserve">80.6 </w:t>
      </w:r>
      <w:r w:rsidR="002A5368" w:rsidRPr="00770477">
        <w:rPr>
          <w:rFonts w:cs="Times New Roman"/>
        </w:rPr>
        <w:t>µS</w:t>
      </w:r>
      <w:r w:rsidR="002A5368">
        <w:rPr>
          <w:rFonts w:cs="Times New Roman"/>
        </w:rPr>
        <w:t xml:space="preserve"> </w:t>
      </w:r>
      <w:r w:rsidR="002A5368" w:rsidRPr="00770477">
        <w:rPr>
          <w:rFonts w:cs="Times New Roman"/>
        </w:rPr>
        <w:t>cm</w:t>
      </w:r>
      <w:r w:rsidR="002A5368">
        <w:rPr>
          <w:rFonts w:cs="Times New Roman"/>
          <w:vertAlign w:val="superscript"/>
        </w:rPr>
        <w:t>-1</w:t>
      </w:r>
      <w:r w:rsidR="00EC3AC5" w:rsidRPr="00770477">
        <w:rPr>
          <w:rFonts w:cs="Times New Roman"/>
        </w:rPr>
        <w:t xml:space="preserve"> (</w:t>
      </w:r>
      <w:r w:rsidR="00EC3AC5" w:rsidRPr="00770477">
        <w:rPr>
          <w:rFonts w:cs="Times New Roman"/>
        </w:rPr>
        <w:fldChar w:fldCharType="begin"/>
      </w:r>
      <w:r w:rsidR="00EC3AC5" w:rsidRPr="00770477">
        <w:rPr>
          <w:rFonts w:cs="Times New Roman"/>
        </w:rPr>
        <w:instrText xml:space="preserve"> REF _Ref117865030 \h </w:instrText>
      </w:r>
      <w:r w:rsidR="00770477">
        <w:rPr>
          <w:rFonts w:cs="Times New Roman"/>
        </w:rPr>
        <w:instrText xml:space="preserve"> \* MERGEFORMAT </w:instrText>
      </w:r>
      <w:r w:rsidR="00EC3AC5" w:rsidRPr="00770477">
        <w:rPr>
          <w:rFonts w:cs="Times New Roman"/>
        </w:rPr>
      </w:r>
      <w:r w:rsidR="00EC3AC5" w:rsidRPr="00770477">
        <w:rPr>
          <w:rFonts w:cs="Times New Roman"/>
        </w:rPr>
        <w:fldChar w:fldCharType="separate"/>
      </w:r>
      <w:r w:rsidR="00061096" w:rsidRPr="00061096">
        <w:rPr>
          <w:rFonts w:cs="Times New Roman"/>
        </w:rPr>
        <w:t xml:space="preserve">Figure </w:t>
      </w:r>
      <w:r w:rsidR="00061096" w:rsidRPr="00061096">
        <w:rPr>
          <w:rFonts w:cs="Times New Roman"/>
          <w:noProof/>
        </w:rPr>
        <w:t>3</w:t>
      </w:r>
      <w:r w:rsidR="00061096" w:rsidRPr="00061096">
        <w:rPr>
          <w:rFonts w:cs="Times New Roman"/>
          <w:noProof/>
        </w:rPr>
        <w:noBreakHyphen/>
        <w:t>4</w:t>
      </w:r>
      <w:r w:rsidR="00EC3AC5" w:rsidRPr="00770477">
        <w:rPr>
          <w:rFonts w:cs="Times New Roman"/>
        </w:rPr>
        <w:fldChar w:fldCharType="end"/>
      </w:r>
      <w:r w:rsidR="00EC3AC5" w:rsidRPr="00770477">
        <w:rPr>
          <w:rFonts w:cs="Times New Roman"/>
        </w:rPr>
        <w:t>)</w:t>
      </w:r>
      <w:r w:rsidR="007B1A71" w:rsidRPr="00770477">
        <w:rPr>
          <w:rFonts w:cs="Times New Roman"/>
        </w:rPr>
        <w:t xml:space="preserve">. </w:t>
      </w:r>
    </w:p>
    <w:p w14:paraId="7A1143D1" w14:textId="30F2A35C" w:rsidR="00241B13" w:rsidRPr="00770477" w:rsidRDefault="002A6748" w:rsidP="002A6748">
      <w:pPr>
        <w:spacing w:line="240" w:lineRule="auto"/>
        <w:rPr>
          <w:rFonts w:cs="Times New Roman"/>
        </w:rPr>
      </w:pPr>
      <w:r w:rsidRPr="00770477">
        <w:rPr>
          <w:rFonts w:cs="Times New Roman"/>
        </w:rPr>
        <w:br w:type="page"/>
      </w:r>
    </w:p>
    <w:p w14:paraId="636CC0E4" w14:textId="3A6BEBFF" w:rsidR="00536CE4" w:rsidRPr="00770477" w:rsidRDefault="008E12BB" w:rsidP="002A6748">
      <w:pPr>
        <w:spacing w:line="240" w:lineRule="auto"/>
        <w:rPr>
          <w:rFonts w:cs="Times New Roman"/>
        </w:rPr>
      </w:pPr>
      <w:r w:rsidRPr="00770477">
        <w:rPr>
          <w:rFonts w:cs="Times New Roman"/>
          <w:noProof/>
        </w:rPr>
        <w:lastRenderedPageBreak/>
        <mc:AlternateContent>
          <mc:Choice Requires="wps">
            <w:drawing>
              <wp:anchor distT="0" distB="0" distL="114300" distR="114300" simplePos="0" relativeHeight="251658245" behindDoc="0" locked="0" layoutInCell="1" allowOverlap="1" wp14:anchorId="7E57E5D1" wp14:editId="6A972146">
                <wp:simplePos x="0" y="0"/>
                <wp:positionH relativeFrom="column">
                  <wp:posOffset>-838</wp:posOffset>
                </wp:positionH>
                <wp:positionV relativeFrom="paragraph">
                  <wp:posOffset>5543550</wp:posOffset>
                </wp:positionV>
                <wp:extent cx="5943600" cy="635"/>
                <wp:effectExtent l="0" t="0" r="0" b="3810"/>
                <wp:wrapSquare wrapText="bothSides"/>
                <wp:docPr id="7" name="Text Box 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515C4B8" w14:textId="74173CD4" w:rsidR="002A6748" w:rsidRPr="0058134E" w:rsidRDefault="002A6748" w:rsidP="002A6748">
                            <w:pPr>
                              <w:pStyle w:val="Caption"/>
                              <w:rPr>
                                <w:noProof/>
                                <w:sz w:val="24"/>
                                <w:szCs w:val="24"/>
                              </w:rPr>
                            </w:pPr>
                            <w:bookmarkStart w:id="84" w:name="_Ref117865021"/>
                            <w:bookmarkStart w:id="85" w:name="_Toc121489498"/>
                            <w:r>
                              <w:t xml:space="preserve">Figure </w:t>
                            </w:r>
                            <w:fldSimple w:instr=" STYLEREF 1 \s ">
                              <w:r w:rsidR="00061096">
                                <w:rPr>
                                  <w:noProof/>
                                </w:rPr>
                                <w:t>3</w:t>
                              </w:r>
                            </w:fldSimple>
                            <w:r w:rsidR="007B0879">
                              <w:noBreakHyphen/>
                            </w:r>
                            <w:fldSimple w:instr=" SEQ Figure \* ARABIC \s 1 ">
                              <w:r w:rsidR="00061096">
                                <w:rPr>
                                  <w:noProof/>
                                </w:rPr>
                                <w:t>3</w:t>
                              </w:r>
                            </w:fldSimple>
                            <w:bookmarkEnd w:id="84"/>
                            <w:r w:rsidR="008E12BB">
                              <w:t xml:space="preserve"> </w:t>
                            </w:r>
                            <w:r>
                              <w:t>Influent specific conductivity in vertical column experiments (run 2 only due to calibration issues during run 1)</w:t>
                            </w:r>
                            <w:bookmarkEnd w:id="8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E57E5D1" id="Text Box 7" o:spid="_x0000_s1030" type="#_x0000_t202" style="position:absolute;left:0;text-align:left;margin-left:-.05pt;margin-top:436.5pt;width:468pt;height:.05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Epm3GgIAAD8EAAAOAAAAZHJzL2Uyb0RvYy54bWysU01v2zAMvQ/YfxB0X5z0I9iMOEWWIsOA&#13;&#10;oi2QDj0rshwLkEWNUmJnv36UbCdbt9Owi0yTFCm+97i46xrDjgq9Blvw2WTKmbISSm33Bf/2svnw&#13;&#10;kTMfhC2FAasKflKe3y3fv1u0LldXUIMpFTIqYn3euoLXIbg8y7ysVSP8BJyyFKwAGxHoF/dZiaKl&#13;&#10;6o3JrqbTedYClg5BKu/Je98H+TLVryolw1NVeRWYKTi9LaQT07mLZ7ZciHyPwtVaDs8Q//CKRmhL&#13;&#10;Tc+l7kUQ7ID6j1KNlggeqjCR0GRQVVqqNANNM5u+mWZbC6fSLASOd2eY/P8rKx+PW/eMLHSfoSMC&#13;&#10;IyCt87knZ5ynq7CJX3opozhBeDrDprrAJDlvP91cz6cUkhSbX9/GGtnlqkMfvihoWDQKjsRJgkoc&#13;&#10;H3zoU8eU2MmD0eVGGxN/YmBtkB0F8dfWOqih+G9ZxsZcC/FWXzB6sssc0QrdrmO6LPjNOOMOyhON&#13;&#10;jtCrwju50dTvQfjwLJBkQCORtMMTHZWBtuAwWJzVgD/+5o/5xA5FOWtJVgX33w8CFWfmqyXeogZH&#13;&#10;A0djNxr20KyBJp3R0jiZTLqAwYxmhdC8kuJXsQuFhJXUq+BhNNehFzdtjFSrVUoipTkRHuzWyVh6&#13;&#10;xPWlexXoBlYCkfkIo+BE/oacPjfR41aHQEgn5iKuPYoD3KTSxP2wUXENfv1PWZe9X/4EAAD//wMA&#13;&#10;UEsDBBQABgAIAAAAIQAAfxv85QAAAA4BAAAPAAAAZHJzL2Rvd25yZXYueG1sTI9BT8MwDIXvSPyH&#13;&#10;yEhc0JaWjrF1TadpwAEuE2UXblnjNYUmqZJ0K/8ewwUuluxnP7+vWI+mYyf0oXVWQDpNgKGtnWpt&#13;&#10;I2D/9jRZAAtRWiU7Z1HAFwZYl5cXhcyVO9tXPFWxYWRiQy4F6Bj7nPNQazQyTF2PlrSj80ZGan3D&#13;&#10;lZdnMjcdv02SOTeytfRByx63GuvPajACdrP3nb4Zjo8vm1nmn/fDdv7RVEJcX40PKyqbFbCIY/y7&#13;&#10;gB8Gyg8lBTu4warAOgGTlBYFLO4z4iJ9md0tgR1+JynwsuD/McpvAAAA//8DAFBLAQItABQABgAI&#13;&#10;AAAAIQC2gziS/gAAAOEBAAATAAAAAAAAAAAAAAAAAAAAAABbQ29udGVudF9UeXBlc10ueG1sUEsB&#13;&#10;Ai0AFAAGAAgAAAAhADj9If/WAAAAlAEAAAsAAAAAAAAAAAAAAAAALwEAAF9yZWxzLy5yZWxzUEsB&#13;&#10;Ai0AFAAGAAgAAAAhAMsSmbcaAgAAPwQAAA4AAAAAAAAAAAAAAAAALgIAAGRycy9lMm9Eb2MueG1s&#13;&#10;UEsBAi0AFAAGAAgAAAAhAAB/G/zlAAAADgEAAA8AAAAAAAAAAAAAAAAAdAQAAGRycy9kb3ducmV2&#13;&#10;LnhtbFBLBQYAAAAABAAEAPMAAACGBQAAAAA=&#13;&#10;" stroked="f">
                <v:textbox style="mso-fit-shape-to-text:t" inset="0,0,0,0">
                  <w:txbxContent>
                    <w:p w14:paraId="2515C4B8" w14:textId="74173CD4" w:rsidR="002A6748" w:rsidRPr="0058134E" w:rsidRDefault="002A6748" w:rsidP="002A6748">
                      <w:pPr>
                        <w:pStyle w:val="Caption"/>
                        <w:rPr>
                          <w:noProof/>
                          <w:sz w:val="24"/>
                          <w:szCs w:val="24"/>
                        </w:rPr>
                      </w:pPr>
                      <w:bookmarkStart w:id="93" w:name="_Ref117865021"/>
                      <w:bookmarkStart w:id="94" w:name="_Toc121489498"/>
                      <w:r>
                        <w:t xml:space="preserve">Figure </w:t>
                      </w:r>
                      <w:fldSimple w:instr=" STYLEREF 1 \s ">
                        <w:r w:rsidR="00061096">
                          <w:rPr>
                            <w:noProof/>
                          </w:rPr>
                          <w:t>3</w:t>
                        </w:r>
                      </w:fldSimple>
                      <w:r w:rsidR="007B0879">
                        <w:noBreakHyphen/>
                      </w:r>
                      <w:fldSimple w:instr=" SEQ Figure \* ARABIC \s 1 ">
                        <w:r w:rsidR="00061096">
                          <w:rPr>
                            <w:noProof/>
                          </w:rPr>
                          <w:t>3</w:t>
                        </w:r>
                      </w:fldSimple>
                      <w:bookmarkEnd w:id="93"/>
                      <w:r w:rsidR="008E12BB">
                        <w:t xml:space="preserve"> </w:t>
                      </w:r>
                      <w:r>
                        <w:t>Influent specific conductivity in vertical column experiments (run 2 only due to calibration issues during run 1)</w:t>
                      </w:r>
                      <w:bookmarkEnd w:id="94"/>
                    </w:p>
                  </w:txbxContent>
                </v:textbox>
                <w10:wrap type="square"/>
              </v:shape>
            </w:pict>
          </mc:Fallback>
        </mc:AlternateContent>
      </w:r>
      <w:r w:rsidR="002A6748" w:rsidRPr="00770477">
        <w:rPr>
          <w:rFonts w:cs="Times New Roman"/>
        </w:rPr>
        <w:br w:type="page"/>
      </w:r>
      <w:r w:rsidR="002A6748" w:rsidRPr="00770477">
        <w:rPr>
          <w:rFonts w:cs="Times New Roman"/>
          <w:noProof/>
        </w:rPr>
        <w:drawing>
          <wp:anchor distT="0" distB="0" distL="114300" distR="114300" simplePos="0" relativeHeight="251658244" behindDoc="0" locked="0" layoutInCell="1" allowOverlap="1" wp14:anchorId="6AC6BF34" wp14:editId="3556702F">
            <wp:simplePos x="0" y="0"/>
            <wp:positionH relativeFrom="column">
              <wp:posOffset>0</wp:posOffset>
            </wp:positionH>
            <wp:positionV relativeFrom="paragraph">
              <wp:posOffset>0</wp:posOffset>
            </wp:positionV>
            <wp:extent cx="5943600" cy="54864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anchor>
        </w:drawing>
      </w:r>
    </w:p>
    <w:p w14:paraId="0EE8C832" w14:textId="0F9469FB" w:rsidR="00FF108C" w:rsidRPr="00770477" w:rsidRDefault="00A22803">
      <w:pPr>
        <w:spacing w:line="240" w:lineRule="auto"/>
        <w:rPr>
          <w:rFonts w:cs="Times New Roman"/>
          <w:highlight w:val="lightGray"/>
        </w:rPr>
      </w:pPr>
      <w:r w:rsidRPr="00770477">
        <w:rPr>
          <w:rFonts w:cs="Times New Roman"/>
          <w:noProof/>
        </w:rPr>
        <w:lastRenderedPageBreak/>
        <mc:AlternateContent>
          <mc:Choice Requires="wps">
            <w:drawing>
              <wp:anchor distT="0" distB="0" distL="114300" distR="114300" simplePos="0" relativeHeight="251658247" behindDoc="0" locked="0" layoutInCell="1" allowOverlap="1" wp14:anchorId="4BB26D0B" wp14:editId="21BC9D3D">
                <wp:simplePos x="0" y="0"/>
                <wp:positionH relativeFrom="column">
                  <wp:posOffset>0</wp:posOffset>
                </wp:positionH>
                <wp:positionV relativeFrom="paragraph">
                  <wp:posOffset>5543550</wp:posOffset>
                </wp:positionV>
                <wp:extent cx="5943600" cy="635"/>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5B593C4" w14:textId="6F5E277C" w:rsidR="00A22803" w:rsidRPr="00D63293" w:rsidRDefault="00A22803" w:rsidP="00A22803">
                            <w:pPr>
                              <w:pStyle w:val="Caption"/>
                              <w:rPr>
                                <w:noProof/>
                                <w:sz w:val="24"/>
                                <w:szCs w:val="24"/>
                              </w:rPr>
                            </w:pPr>
                            <w:bookmarkStart w:id="86" w:name="_Ref117865030"/>
                            <w:bookmarkStart w:id="87" w:name="_Toc121489499"/>
                            <w:r>
                              <w:t xml:space="preserve">Figure </w:t>
                            </w:r>
                            <w:fldSimple w:instr=" STYLEREF 1 \s ">
                              <w:r w:rsidR="00061096">
                                <w:rPr>
                                  <w:noProof/>
                                </w:rPr>
                                <w:t>3</w:t>
                              </w:r>
                            </w:fldSimple>
                            <w:r w:rsidR="007B0879">
                              <w:noBreakHyphen/>
                            </w:r>
                            <w:fldSimple w:instr=" SEQ Figure \* ARABIC \s 1 ">
                              <w:r w:rsidR="00061096">
                                <w:rPr>
                                  <w:noProof/>
                                </w:rPr>
                                <w:t>4</w:t>
                              </w:r>
                            </w:fldSimple>
                            <w:bookmarkEnd w:id="86"/>
                            <w:r>
                              <w:t xml:space="preserve"> Influent specific conductivity in horizontal column experiments</w:t>
                            </w:r>
                            <w:bookmarkEnd w:id="8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BB26D0B" id="Text Box 9" o:spid="_x0000_s1031" type="#_x0000_t202" style="position:absolute;left:0;text-align:left;margin-left:0;margin-top:436.5pt;width:468pt;height:.05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tb2SGgIAAD8EAAAOAAAAZHJzL2Uyb0RvYy54bWysU01v2zAMvQ/YfxB0X5y0a7AacYosRYYB&#13;&#10;RVsgHXpWZDkWIIsapcTOfv0o2U62bqdhF5kWKX6897i46xrDjgq9Blvw2WTKmbISSm33Bf/2svnw&#13;&#10;iTMfhC2FAasKflKe3y3fv1u0LldXUIMpFTJKYn3euoLXIbg8y7ysVSP8BJyy5KwAGxHoF/dZiaKl&#13;&#10;7I3JrqbTedYClg5BKu/p9r538mXKX1VKhqeq8iowU3DqLaQT07mLZ7ZciHyPwtVaDm2If+iiEdpS&#13;&#10;0XOqexEEO6D+I1WjJYKHKkwkNBlUlZYqzUDTzKZvptnWwqk0C4Hj3Rkm///Sysfj1j0jC91n6IjA&#13;&#10;CEjrfO7pMs7TVdjEL3XKyE8Qns6wqS4wSZc3tx+v51NySfLNr29ijuzy1KEPXxQ0LBoFR+IkQSWO&#13;&#10;Dz70oWNIrOTB6HKjjYk/0bE2yI6C+GtrHdSQ/LcoY2OshfiqTxhvsssc0QrdrmO6pHbHGXdQnmh0&#13;&#10;hF4V3smNpnoPwodngSQDGomkHZ7oqAy0BYfB4qwG/PG3+xhP7JCXs5ZkVXD//SBQcWa+WuItanA0&#13;&#10;cDR2o2EPzRpo0hktjZPJpAcYzGhWCM0rKX4Vq5BLWEm1Ch5Gcx16cdPGSLVapSBSmhPhwW6djKlH&#13;&#10;XF+6V4FuYCUQmY8wCk7kb8jpYxM9bnUIhHRiLuLaozjATSpN3A8bFdfg1/8Uddn75U8AAAD//wMA&#13;&#10;UEsDBBQABgAIAAAAIQDXN0Ii4QAAAA0BAAAPAAAAZHJzL2Rvd25yZXYueG1sTE89T8MwEN2R+A/W&#13;&#10;IbGg1impQknjVFWBgS4VaRc2N3bjQHyObKcN/56DBZbTu3u691GsRtuxs/ahdShgNk2AaaydarER&#13;&#10;cNi/TBbAQpSoZOdQC/jSAVbl9VUhc+Uu+KbPVWwYiWDIpQATY59zHmqjrQxT12sk7uS8lZFW33Dl&#13;&#10;5YXEbcfvkyTjVrZIDkb2emN0/VkNVsBu/r4zd8Ppebuep/71MGyyj6YS4vZmfFrSWC+BRT3Gvw/4&#13;&#10;6UD5oaRgRzegCqwTQG2igMVDSoDoxzQjcPy9zICXBf/fovwGAAD//wMAUEsBAi0AFAAGAAgAAAAh&#13;&#10;ALaDOJL+AAAA4QEAABMAAAAAAAAAAAAAAAAAAAAAAFtDb250ZW50X1R5cGVzXS54bWxQSwECLQAU&#13;&#10;AAYACAAAACEAOP0h/9YAAACUAQAACwAAAAAAAAAAAAAAAAAvAQAAX3JlbHMvLnJlbHNQSwECLQAU&#13;&#10;AAYACAAAACEASrW9khoCAAA/BAAADgAAAAAAAAAAAAAAAAAuAgAAZHJzL2Uyb0RvYy54bWxQSwEC&#13;&#10;LQAUAAYACAAAACEA1zdCIuEAAAANAQAADwAAAAAAAAAAAAAAAAB0BAAAZHJzL2Rvd25yZXYueG1s&#13;&#10;UEsFBgAAAAAEAAQA8wAAAIIFAAAAAA==&#13;&#10;" stroked="f">
                <v:textbox style="mso-fit-shape-to-text:t" inset="0,0,0,0">
                  <w:txbxContent>
                    <w:p w14:paraId="25B593C4" w14:textId="6F5E277C" w:rsidR="00A22803" w:rsidRPr="00D63293" w:rsidRDefault="00A22803" w:rsidP="00A22803">
                      <w:pPr>
                        <w:pStyle w:val="Caption"/>
                        <w:rPr>
                          <w:noProof/>
                          <w:sz w:val="24"/>
                          <w:szCs w:val="24"/>
                        </w:rPr>
                      </w:pPr>
                      <w:bookmarkStart w:id="97" w:name="_Ref117865030"/>
                      <w:bookmarkStart w:id="98" w:name="_Toc121489499"/>
                      <w:r>
                        <w:t xml:space="preserve">Figure </w:t>
                      </w:r>
                      <w:fldSimple w:instr=" STYLEREF 1 \s ">
                        <w:r w:rsidR="00061096">
                          <w:rPr>
                            <w:noProof/>
                          </w:rPr>
                          <w:t>3</w:t>
                        </w:r>
                      </w:fldSimple>
                      <w:r w:rsidR="007B0879">
                        <w:noBreakHyphen/>
                      </w:r>
                      <w:fldSimple w:instr=" SEQ Figure \* ARABIC \s 1 ">
                        <w:r w:rsidR="00061096">
                          <w:rPr>
                            <w:noProof/>
                          </w:rPr>
                          <w:t>4</w:t>
                        </w:r>
                      </w:fldSimple>
                      <w:bookmarkEnd w:id="97"/>
                      <w:r>
                        <w:t xml:space="preserve"> Influent specific conductivity in horizontal column experiments</w:t>
                      </w:r>
                      <w:bookmarkEnd w:id="98"/>
                    </w:p>
                  </w:txbxContent>
                </v:textbox>
                <w10:wrap type="square"/>
              </v:shape>
            </w:pict>
          </mc:Fallback>
        </mc:AlternateContent>
      </w:r>
      <w:r w:rsidRPr="00770477">
        <w:rPr>
          <w:rFonts w:cs="Times New Roman"/>
          <w:noProof/>
          <w:highlight w:val="lightGray"/>
        </w:rPr>
        <w:drawing>
          <wp:anchor distT="0" distB="0" distL="114300" distR="114300" simplePos="0" relativeHeight="251658246" behindDoc="0" locked="0" layoutInCell="1" allowOverlap="1" wp14:anchorId="43CAB338" wp14:editId="5F3757F1">
            <wp:simplePos x="0" y="0"/>
            <wp:positionH relativeFrom="margin">
              <wp:align>center</wp:align>
            </wp:positionH>
            <wp:positionV relativeFrom="margin">
              <wp:align>top</wp:align>
            </wp:positionV>
            <wp:extent cx="5943600" cy="54864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anchor>
        </w:drawing>
      </w:r>
    </w:p>
    <w:p w14:paraId="27309D29" w14:textId="0F0A0830" w:rsidR="00FF108C" w:rsidRPr="00770477" w:rsidRDefault="00FF108C">
      <w:pPr>
        <w:spacing w:line="240" w:lineRule="auto"/>
        <w:rPr>
          <w:rFonts w:eastAsiaTheme="majorEastAsia" w:cs="Times New Roman"/>
          <w:color w:val="2F5496" w:themeColor="accent1" w:themeShade="BF"/>
          <w:sz w:val="26"/>
          <w:szCs w:val="26"/>
          <w:highlight w:val="lightGray"/>
        </w:rPr>
      </w:pPr>
      <w:r w:rsidRPr="00770477">
        <w:rPr>
          <w:rFonts w:cs="Times New Roman"/>
          <w:highlight w:val="lightGray"/>
        </w:rPr>
        <w:br w:type="page"/>
      </w:r>
    </w:p>
    <w:p w14:paraId="693F79C7" w14:textId="5DD22A29" w:rsidR="00CC5F3A" w:rsidRPr="00770477" w:rsidRDefault="00CC5F3A" w:rsidP="007F0C96">
      <w:pPr>
        <w:pStyle w:val="Heading2"/>
        <w:rPr>
          <w:rFonts w:cs="Times New Roman"/>
        </w:rPr>
      </w:pPr>
      <w:bookmarkStart w:id="88" w:name="_Toc121496003"/>
      <w:r w:rsidRPr="00770477">
        <w:rPr>
          <w:rFonts w:cs="Times New Roman"/>
        </w:rPr>
        <w:lastRenderedPageBreak/>
        <w:t>QA/QC</w:t>
      </w:r>
      <w:bookmarkEnd w:id="88"/>
    </w:p>
    <w:p w14:paraId="52EEF491" w14:textId="307AE453" w:rsidR="002B6400" w:rsidRPr="00770477" w:rsidRDefault="005C3220" w:rsidP="00DF0221">
      <w:pPr>
        <w:ind w:firstLine="720"/>
        <w:rPr>
          <w:rFonts w:cs="Times New Roman"/>
        </w:rPr>
      </w:pPr>
      <w:r w:rsidRPr="00770477">
        <w:rPr>
          <w:rFonts w:cs="Times New Roman"/>
        </w:rPr>
        <w:t xml:space="preserve">Replicate samples were taken throughout </w:t>
      </w:r>
      <w:r w:rsidR="00071551" w:rsidRPr="00770477">
        <w:rPr>
          <w:rFonts w:cs="Times New Roman"/>
        </w:rPr>
        <w:t xml:space="preserve">all column experiments. Each analysis type (metals, phosphorus, and neonicotinoids) had two replicate pairs collected for each </w:t>
      </w:r>
      <w:r w:rsidR="00D12219" w:rsidRPr="00770477">
        <w:rPr>
          <w:rFonts w:cs="Times New Roman"/>
        </w:rPr>
        <w:t xml:space="preserve">media type-column orientation combination. </w:t>
      </w:r>
      <w:r w:rsidR="00C326AC" w:rsidRPr="00770477">
        <w:rPr>
          <w:rFonts w:cs="Times New Roman"/>
        </w:rPr>
        <w:t>Full coefficient of variation (CV)</w:t>
      </w:r>
      <w:r w:rsidR="00D12219" w:rsidRPr="00770477">
        <w:rPr>
          <w:rFonts w:cs="Times New Roman"/>
        </w:rPr>
        <w:t xml:space="preserve"> results </w:t>
      </w:r>
      <w:proofErr w:type="gramStart"/>
      <w:r w:rsidR="00D12219" w:rsidRPr="00770477">
        <w:rPr>
          <w:rFonts w:cs="Times New Roman"/>
        </w:rPr>
        <w:t>are</w:t>
      </w:r>
      <w:proofErr w:type="gramEnd"/>
      <w:r w:rsidR="00D12219" w:rsidRPr="00770477">
        <w:rPr>
          <w:rFonts w:cs="Times New Roman"/>
        </w:rPr>
        <w:t xml:space="preserve"> included in </w:t>
      </w:r>
      <w:r w:rsidR="00302953">
        <w:rPr>
          <w:rFonts w:cs="Times New Roman"/>
        </w:rPr>
        <w:fldChar w:fldCharType="begin"/>
      </w:r>
      <w:r w:rsidR="00302953">
        <w:rPr>
          <w:rFonts w:cs="Times New Roman"/>
        </w:rPr>
        <w:instrText xml:space="preserve"> REF _Ref121496125 \h </w:instrText>
      </w:r>
      <w:r w:rsidR="00302953">
        <w:rPr>
          <w:rFonts w:cs="Times New Roman"/>
        </w:rPr>
      </w:r>
      <w:r w:rsidR="00302953">
        <w:rPr>
          <w:rFonts w:cs="Times New Roman"/>
        </w:rPr>
        <w:fldChar w:fldCharType="separate"/>
      </w:r>
      <w:r w:rsidR="00061096">
        <w:t xml:space="preserve">Table </w:t>
      </w:r>
      <w:r w:rsidR="00061096">
        <w:rPr>
          <w:noProof/>
        </w:rPr>
        <w:t>10</w:t>
      </w:r>
      <w:r w:rsidR="00061096">
        <w:noBreakHyphen/>
      </w:r>
      <w:r w:rsidR="00061096">
        <w:rPr>
          <w:noProof/>
        </w:rPr>
        <w:t>10</w:t>
      </w:r>
      <w:r w:rsidR="00302953">
        <w:rPr>
          <w:rFonts w:cs="Times New Roman"/>
        </w:rPr>
        <w:fldChar w:fldCharType="end"/>
      </w:r>
      <w:r w:rsidR="00302953">
        <w:rPr>
          <w:rFonts w:cs="Times New Roman"/>
        </w:rPr>
        <w:t xml:space="preserve"> and </w:t>
      </w:r>
      <w:r w:rsidR="00302953">
        <w:rPr>
          <w:rFonts w:cs="Times New Roman"/>
        </w:rPr>
        <w:fldChar w:fldCharType="begin"/>
      </w:r>
      <w:r w:rsidR="00302953">
        <w:rPr>
          <w:rFonts w:cs="Times New Roman"/>
        </w:rPr>
        <w:instrText xml:space="preserve"> REF _Ref121496127 \h </w:instrText>
      </w:r>
      <w:r w:rsidR="00302953">
        <w:rPr>
          <w:rFonts w:cs="Times New Roman"/>
        </w:rPr>
      </w:r>
      <w:r w:rsidR="00302953">
        <w:rPr>
          <w:rFonts w:cs="Times New Roman"/>
        </w:rPr>
        <w:fldChar w:fldCharType="separate"/>
      </w:r>
      <w:r w:rsidR="00061096">
        <w:t xml:space="preserve">Table </w:t>
      </w:r>
      <w:r w:rsidR="00061096">
        <w:rPr>
          <w:noProof/>
        </w:rPr>
        <w:t>10</w:t>
      </w:r>
      <w:r w:rsidR="00061096">
        <w:noBreakHyphen/>
      </w:r>
      <w:r w:rsidR="00061096">
        <w:rPr>
          <w:noProof/>
        </w:rPr>
        <w:t>11</w:t>
      </w:r>
      <w:r w:rsidR="00302953">
        <w:rPr>
          <w:rFonts w:cs="Times New Roman"/>
        </w:rPr>
        <w:fldChar w:fldCharType="end"/>
      </w:r>
      <w:r w:rsidR="00D12219" w:rsidRPr="00770477">
        <w:rPr>
          <w:rFonts w:cs="Times New Roman"/>
        </w:rPr>
        <w:t xml:space="preserve">. </w:t>
      </w:r>
      <w:r w:rsidR="00C60B7A" w:rsidRPr="00770477">
        <w:rPr>
          <w:rFonts w:cs="Times New Roman"/>
        </w:rPr>
        <w:t xml:space="preserve">Al and </w:t>
      </w:r>
      <w:proofErr w:type="gramStart"/>
      <w:r w:rsidR="00C60B7A" w:rsidRPr="00770477">
        <w:rPr>
          <w:rFonts w:cs="Times New Roman"/>
        </w:rPr>
        <w:t>As</w:t>
      </w:r>
      <w:proofErr w:type="gramEnd"/>
      <w:r w:rsidR="00C60B7A" w:rsidRPr="00770477">
        <w:rPr>
          <w:rFonts w:cs="Times New Roman"/>
        </w:rPr>
        <w:t xml:space="preserve"> both </w:t>
      </w:r>
      <w:r w:rsidR="00F93512" w:rsidRPr="00770477">
        <w:rPr>
          <w:rFonts w:cs="Times New Roman"/>
        </w:rPr>
        <w:t>had a single considerable exc</w:t>
      </w:r>
      <w:r w:rsidR="00FF06AF" w:rsidRPr="00770477">
        <w:rPr>
          <w:rFonts w:cs="Times New Roman"/>
        </w:rPr>
        <w:t>e</w:t>
      </w:r>
      <w:r w:rsidR="00F93512" w:rsidRPr="00770477">
        <w:rPr>
          <w:rFonts w:cs="Times New Roman"/>
        </w:rPr>
        <w:t>ed</w:t>
      </w:r>
      <w:r w:rsidR="00FF06AF" w:rsidRPr="00770477">
        <w:rPr>
          <w:rFonts w:cs="Times New Roman"/>
        </w:rPr>
        <w:t>a</w:t>
      </w:r>
      <w:r w:rsidR="00F93512" w:rsidRPr="00770477">
        <w:rPr>
          <w:rFonts w:cs="Times New Roman"/>
        </w:rPr>
        <w:t xml:space="preserve">nce for </w:t>
      </w:r>
      <w:r w:rsidR="00FF06AF" w:rsidRPr="00770477">
        <w:rPr>
          <w:rFonts w:cs="Times New Roman"/>
        </w:rPr>
        <w:t xml:space="preserve">small steel slag in the vertical column (85% and 27%, respectively). </w:t>
      </w:r>
      <w:r w:rsidR="0070600C" w:rsidRPr="00770477">
        <w:rPr>
          <w:rFonts w:cs="Times New Roman"/>
        </w:rPr>
        <w:t>Be and Mn had more exceedances with 4 and 6 considerable exceedances</w:t>
      </w:r>
      <w:r w:rsidR="00E65CFF" w:rsidRPr="00770477">
        <w:rPr>
          <w:rFonts w:cs="Times New Roman"/>
        </w:rPr>
        <w:t xml:space="preserve">, respectively and 1 moderate exceedance each. </w:t>
      </w:r>
      <w:r w:rsidR="00AA6764" w:rsidRPr="00770477">
        <w:rPr>
          <w:rFonts w:cs="Times New Roman"/>
        </w:rPr>
        <w:t xml:space="preserve">Phosphorus </w:t>
      </w:r>
      <w:r w:rsidR="0041098D" w:rsidRPr="00770477">
        <w:rPr>
          <w:rFonts w:cs="Times New Roman"/>
        </w:rPr>
        <w:t>replicates</w:t>
      </w:r>
      <w:r w:rsidR="00AA6764" w:rsidRPr="00770477">
        <w:rPr>
          <w:rFonts w:cs="Times New Roman"/>
        </w:rPr>
        <w:t xml:space="preserve"> results </w:t>
      </w:r>
      <w:r w:rsidR="0044692D" w:rsidRPr="00770477">
        <w:rPr>
          <w:rFonts w:cs="Times New Roman"/>
        </w:rPr>
        <w:t xml:space="preserve">showed all replicate values for small steel slag in the vertical column with considerable exceedances (25%, 90%, and </w:t>
      </w:r>
      <w:r w:rsidR="00410311" w:rsidRPr="00770477">
        <w:rPr>
          <w:rFonts w:cs="Times New Roman"/>
        </w:rPr>
        <w:t xml:space="preserve">25%) and </w:t>
      </w:r>
      <w:proofErr w:type="gramStart"/>
      <w:r w:rsidR="00410311" w:rsidRPr="00770477">
        <w:rPr>
          <w:rFonts w:cs="Times New Roman"/>
        </w:rPr>
        <w:t>the majority of</w:t>
      </w:r>
      <w:proofErr w:type="gramEnd"/>
      <w:r w:rsidR="00410311" w:rsidRPr="00770477">
        <w:rPr>
          <w:rFonts w:cs="Times New Roman"/>
        </w:rPr>
        <w:t xml:space="preserve"> horizontal column replicates with exceedances (2 moderate and 3 considerable). </w:t>
      </w:r>
      <w:r w:rsidR="00A72692" w:rsidRPr="00770477">
        <w:rPr>
          <w:rFonts w:cs="Times New Roman"/>
        </w:rPr>
        <w:t xml:space="preserve">Lastly, 4 samples (total of 10 moderate exceedances) showed CV exceedances in neonicotinoid samples. </w:t>
      </w:r>
      <w:r w:rsidR="00CA2AC3" w:rsidRPr="00770477">
        <w:rPr>
          <w:rFonts w:cs="Times New Roman"/>
        </w:rPr>
        <w:t xml:space="preserve">Neonicotinoid samples are known to have been highly diluted prior to analysis which is a likely source of variation in replicate samples. </w:t>
      </w:r>
    </w:p>
    <w:p w14:paraId="59825D37" w14:textId="6CD6E05A" w:rsidR="009A1380" w:rsidRPr="00770477" w:rsidRDefault="00CA2AC3" w:rsidP="00AA6C78">
      <w:pPr>
        <w:ind w:firstLine="720"/>
        <w:rPr>
          <w:rFonts w:cs="Times New Roman"/>
        </w:rPr>
      </w:pPr>
      <w:r w:rsidRPr="00770477">
        <w:rPr>
          <w:rFonts w:cs="Times New Roman"/>
        </w:rPr>
        <w:t xml:space="preserve">Blank samples were collected </w:t>
      </w:r>
      <w:r w:rsidR="0035747A" w:rsidRPr="00770477">
        <w:rPr>
          <w:rFonts w:cs="Times New Roman"/>
        </w:rPr>
        <w:t xml:space="preserve">once during each run to test the cleanliness of the sampling environment and as a QA check on the analytical method. All blank samples were returned with values below detection limits for all contaminants. </w:t>
      </w:r>
    </w:p>
    <w:p w14:paraId="3433796E" w14:textId="77777777" w:rsidR="00DF0221" w:rsidRPr="00770477" w:rsidRDefault="00DF0221" w:rsidP="00DF0221">
      <w:pPr>
        <w:rPr>
          <w:rFonts w:cs="Times New Roman"/>
        </w:rPr>
      </w:pPr>
    </w:p>
    <w:p w14:paraId="3F6B0B77" w14:textId="27CBBD18" w:rsidR="0003260F" w:rsidRPr="00770477" w:rsidRDefault="00B61EDE" w:rsidP="00B61EDE">
      <w:pPr>
        <w:pStyle w:val="Heading2"/>
        <w:rPr>
          <w:rFonts w:cs="Times New Roman"/>
        </w:rPr>
      </w:pPr>
      <w:bookmarkStart w:id="89" w:name="_Toc121496004"/>
      <w:r w:rsidRPr="00770477">
        <w:rPr>
          <w:rFonts w:cs="Times New Roman"/>
        </w:rPr>
        <w:t>Vertical Columns</w:t>
      </w:r>
      <w:bookmarkEnd w:id="89"/>
    </w:p>
    <w:p w14:paraId="61CA2E5E" w14:textId="6DC999B5" w:rsidR="00526727" w:rsidRPr="00770477" w:rsidRDefault="00526727" w:rsidP="002A7842">
      <w:pPr>
        <w:ind w:firstLine="576"/>
        <w:rPr>
          <w:rFonts w:cs="Times New Roman"/>
        </w:rPr>
      </w:pPr>
      <w:r w:rsidRPr="00770477">
        <w:rPr>
          <w:rFonts w:cs="Times New Roman"/>
        </w:rPr>
        <w:t>Vertical column</w:t>
      </w:r>
      <w:r w:rsidR="00F70314" w:rsidRPr="00770477">
        <w:rPr>
          <w:rFonts w:cs="Times New Roman"/>
        </w:rPr>
        <w:t>s were run with the SSW as described with a constant flow rate of 6 mL</w:t>
      </w:r>
      <w:r w:rsidR="002A7842" w:rsidRPr="00770477">
        <w:rPr>
          <w:rFonts w:cs="Times New Roman"/>
        </w:rPr>
        <w:t xml:space="preserve"> </w:t>
      </w:r>
      <w:r w:rsidR="00F70314" w:rsidRPr="00770477">
        <w:rPr>
          <w:rFonts w:cs="Times New Roman"/>
        </w:rPr>
        <w:t>min</w:t>
      </w:r>
      <w:r w:rsidR="00F70314" w:rsidRPr="00770477">
        <w:rPr>
          <w:rFonts w:cs="Times New Roman"/>
          <w:vertAlign w:val="superscript"/>
        </w:rPr>
        <w:t>-1</w:t>
      </w:r>
      <w:r w:rsidR="001B4392" w:rsidRPr="00770477">
        <w:rPr>
          <w:rFonts w:cs="Times New Roman"/>
        </w:rPr>
        <w:t xml:space="preserve"> with full saturation. </w:t>
      </w:r>
      <w:r w:rsidR="002A7842" w:rsidRPr="00770477">
        <w:rPr>
          <w:rFonts w:cs="Times New Roman"/>
        </w:rPr>
        <w:t xml:space="preserve">Effluent samples were </w:t>
      </w:r>
      <w:r w:rsidR="00F77DB6" w:rsidRPr="00770477">
        <w:rPr>
          <w:rFonts w:cs="Times New Roman"/>
        </w:rPr>
        <w:t>compared with the influent concentrations at the corresponding sample point to determine the influent-effluent ratio</w:t>
      </w:r>
      <w:r w:rsidR="00F53665" w:rsidRPr="00770477">
        <w:rPr>
          <w:rFonts w:cs="Times New Roman"/>
        </w:rPr>
        <w:t xml:space="preserve">. In the case of vertical columns, influent concentrations were not measured at each sampling point, so influent concentrations were </w:t>
      </w:r>
      <w:r w:rsidR="00D11964" w:rsidRPr="00770477">
        <w:rPr>
          <w:rFonts w:cs="Times New Roman"/>
        </w:rPr>
        <w:lastRenderedPageBreak/>
        <w:t>interpolate</w:t>
      </w:r>
      <w:r w:rsidR="00F53665" w:rsidRPr="00770477">
        <w:rPr>
          <w:rFonts w:cs="Times New Roman"/>
        </w:rPr>
        <w:t xml:space="preserve">d from the 3 influent samples that were </w:t>
      </w:r>
      <w:r w:rsidR="00F315F2" w:rsidRPr="00770477">
        <w:rPr>
          <w:rFonts w:cs="Times New Roman"/>
        </w:rPr>
        <w:t>empirically</w:t>
      </w:r>
      <w:r w:rsidR="00F53665" w:rsidRPr="00770477">
        <w:rPr>
          <w:rFonts w:cs="Times New Roman"/>
        </w:rPr>
        <w:t xml:space="preserve"> measured </w:t>
      </w:r>
      <w:r w:rsidR="00F315F2" w:rsidRPr="00770477">
        <w:rPr>
          <w:rFonts w:cs="Times New Roman"/>
        </w:rPr>
        <w:t xml:space="preserve">throughout the duration of the experiment. </w:t>
      </w:r>
    </w:p>
    <w:p w14:paraId="5294FA14" w14:textId="77777777" w:rsidR="00F315F2" w:rsidRPr="00770477" w:rsidRDefault="00F315F2" w:rsidP="002A7842">
      <w:pPr>
        <w:ind w:firstLine="576"/>
        <w:rPr>
          <w:rFonts w:cs="Times New Roman"/>
        </w:rPr>
      </w:pPr>
    </w:p>
    <w:p w14:paraId="04FD45A0" w14:textId="400BE945" w:rsidR="00931703" w:rsidRPr="00770477" w:rsidRDefault="00931703" w:rsidP="00B61EDE">
      <w:pPr>
        <w:pStyle w:val="Heading3"/>
        <w:rPr>
          <w:rFonts w:cs="Times New Roman"/>
        </w:rPr>
      </w:pPr>
      <w:bookmarkStart w:id="90" w:name="_Toc121496005"/>
      <w:r w:rsidRPr="00770477">
        <w:rPr>
          <w:rFonts w:cs="Times New Roman"/>
        </w:rPr>
        <w:t>General Chemistry</w:t>
      </w:r>
      <w:bookmarkEnd w:id="90"/>
    </w:p>
    <w:p w14:paraId="09CFF28E" w14:textId="45E00E29" w:rsidR="003D60AD" w:rsidRPr="00770477" w:rsidRDefault="007D27A5" w:rsidP="00212068">
      <w:pPr>
        <w:ind w:firstLine="720"/>
        <w:rPr>
          <w:rFonts w:cs="Times New Roman"/>
        </w:rPr>
      </w:pPr>
      <w:r w:rsidRPr="00770477">
        <w:rPr>
          <w:rFonts w:cs="Times New Roman"/>
        </w:rPr>
        <w:t>C</w:t>
      </w:r>
      <w:r w:rsidR="57000A45" w:rsidRPr="00770477">
        <w:rPr>
          <w:rFonts w:cs="Times New Roman"/>
        </w:rPr>
        <w:t>olumns treated with biochar</w:t>
      </w:r>
      <w:r w:rsidRPr="00770477">
        <w:rPr>
          <w:rFonts w:cs="Times New Roman"/>
        </w:rPr>
        <w:t xml:space="preserve"> </w:t>
      </w:r>
      <w:r w:rsidR="00E1522B" w:rsidRPr="00770477">
        <w:rPr>
          <w:rFonts w:cs="Times New Roman"/>
        </w:rPr>
        <w:t>had no noticeable departure from the influent pH values with</w:t>
      </w:r>
      <w:r w:rsidR="00D827FA" w:rsidRPr="00770477">
        <w:rPr>
          <w:rFonts w:cs="Times New Roman"/>
        </w:rPr>
        <w:t xml:space="preserve"> a</w:t>
      </w:r>
      <w:r w:rsidR="00E1522B" w:rsidRPr="00770477">
        <w:rPr>
          <w:rFonts w:cs="Times New Roman"/>
        </w:rPr>
        <w:t xml:space="preserve"> pH </w:t>
      </w:r>
      <w:r w:rsidR="00D827FA" w:rsidRPr="00770477">
        <w:rPr>
          <w:rFonts w:cs="Times New Roman"/>
        </w:rPr>
        <w:t xml:space="preserve">~7.5 and gradually decreasing to just below 7.0. </w:t>
      </w:r>
      <w:r w:rsidR="165ED551" w:rsidRPr="00770477">
        <w:rPr>
          <w:rFonts w:cs="Times New Roman"/>
        </w:rPr>
        <w:t>Conversely,</w:t>
      </w:r>
      <w:r w:rsidR="77FF1ACE" w:rsidRPr="00770477">
        <w:rPr>
          <w:rFonts w:cs="Times New Roman"/>
        </w:rPr>
        <w:t xml:space="preserve"> pH </w:t>
      </w:r>
      <w:r w:rsidR="5740B57B" w:rsidRPr="00770477">
        <w:rPr>
          <w:rFonts w:cs="Times New Roman"/>
        </w:rPr>
        <w:t>noticeably</w:t>
      </w:r>
      <w:r w:rsidR="604DA7A0" w:rsidRPr="00770477">
        <w:rPr>
          <w:rFonts w:cs="Times New Roman"/>
        </w:rPr>
        <w:t xml:space="preserve"> </w:t>
      </w:r>
      <w:r w:rsidR="2BF0A37F" w:rsidRPr="00770477">
        <w:rPr>
          <w:rFonts w:cs="Times New Roman"/>
        </w:rPr>
        <w:t xml:space="preserve">changed </w:t>
      </w:r>
      <w:r w:rsidR="5CD57418" w:rsidRPr="00770477">
        <w:rPr>
          <w:rFonts w:cs="Times New Roman"/>
        </w:rPr>
        <w:t xml:space="preserve">in columns containing </w:t>
      </w:r>
      <w:r w:rsidR="00AB55F2">
        <w:rPr>
          <w:rFonts w:cs="Times New Roman"/>
        </w:rPr>
        <w:t>aggregated fly ash</w:t>
      </w:r>
      <w:r w:rsidR="5CD57418" w:rsidRPr="00770477">
        <w:rPr>
          <w:rFonts w:cs="Times New Roman"/>
        </w:rPr>
        <w:t xml:space="preserve"> and steel slag. </w:t>
      </w:r>
      <w:r w:rsidR="36237EF2" w:rsidRPr="00770477">
        <w:rPr>
          <w:rFonts w:cs="Times New Roman"/>
        </w:rPr>
        <w:t xml:space="preserve">Small steel slag impacted pH most </w:t>
      </w:r>
      <w:r w:rsidR="76801B72" w:rsidRPr="00770477">
        <w:rPr>
          <w:rFonts w:cs="Times New Roman"/>
        </w:rPr>
        <w:t xml:space="preserve">noticeably </w:t>
      </w:r>
      <w:r w:rsidR="247F1450" w:rsidRPr="00770477">
        <w:rPr>
          <w:rFonts w:cs="Times New Roman"/>
        </w:rPr>
        <w:t xml:space="preserve">with initial pH measured at </w:t>
      </w:r>
      <w:r w:rsidR="1980E940" w:rsidRPr="00770477">
        <w:rPr>
          <w:rFonts w:cs="Times New Roman"/>
        </w:rPr>
        <w:t>10.8 and</w:t>
      </w:r>
      <w:r w:rsidR="0058672E" w:rsidRPr="00770477">
        <w:rPr>
          <w:rFonts w:cs="Times New Roman"/>
        </w:rPr>
        <w:t xml:space="preserve"> moderate</w:t>
      </w:r>
      <w:r w:rsidR="695E92F7" w:rsidRPr="00770477">
        <w:rPr>
          <w:rFonts w:cs="Times New Roman"/>
        </w:rPr>
        <w:t xml:space="preserve"> decline </w:t>
      </w:r>
      <w:r w:rsidR="05DB5B1F" w:rsidRPr="00770477">
        <w:rPr>
          <w:rFonts w:cs="Times New Roman"/>
        </w:rPr>
        <w:t>of pH over time to 10.5 by the end of the experiment.</w:t>
      </w:r>
      <w:r w:rsidR="00822111" w:rsidRPr="00770477">
        <w:rPr>
          <w:rFonts w:cs="Times New Roman"/>
        </w:rPr>
        <w:t xml:space="preserve"> This slight decline in pH over time is consistent with the influent pH </w:t>
      </w:r>
      <w:r w:rsidR="002708DC" w:rsidRPr="00770477">
        <w:rPr>
          <w:rFonts w:cs="Times New Roman"/>
        </w:rPr>
        <w:t>also declining throughout the experiment.</w:t>
      </w:r>
      <w:r w:rsidR="05DB5B1F" w:rsidRPr="00770477">
        <w:rPr>
          <w:rFonts w:cs="Times New Roman"/>
        </w:rPr>
        <w:t xml:space="preserve"> Large and small </w:t>
      </w:r>
      <w:r w:rsidR="00AB55F2">
        <w:rPr>
          <w:rFonts w:cs="Times New Roman"/>
        </w:rPr>
        <w:t>aggregated fly ash</w:t>
      </w:r>
      <w:r w:rsidR="05DB5B1F" w:rsidRPr="00770477">
        <w:rPr>
          <w:rFonts w:cs="Times New Roman"/>
        </w:rPr>
        <w:t xml:space="preserve"> </w:t>
      </w:r>
      <w:r w:rsidR="15BEA94C" w:rsidRPr="00770477">
        <w:rPr>
          <w:rFonts w:cs="Times New Roman"/>
        </w:rPr>
        <w:t>showed</w:t>
      </w:r>
      <w:r w:rsidR="05DB5B1F" w:rsidRPr="00770477">
        <w:rPr>
          <w:rFonts w:cs="Times New Roman"/>
        </w:rPr>
        <w:t xml:space="preserve"> </w:t>
      </w:r>
      <w:r w:rsidR="00D8396A" w:rsidRPr="00770477">
        <w:rPr>
          <w:rFonts w:cs="Times New Roman"/>
        </w:rPr>
        <w:t xml:space="preserve">an </w:t>
      </w:r>
      <w:r w:rsidR="05DB5B1F" w:rsidRPr="00770477">
        <w:rPr>
          <w:rFonts w:cs="Times New Roman"/>
        </w:rPr>
        <w:t xml:space="preserve">initial </w:t>
      </w:r>
      <w:r w:rsidR="00D8396A" w:rsidRPr="00770477">
        <w:rPr>
          <w:rFonts w:cs="Times New Roman"/>
        </w:rPr>
        <w:t>pH</w:t>
      </w:r>
      <w:r w:rsidR="05DB5B1F" w:rsidRPr="00770477">
        <w:rPr>
          <w:rFonts w:cs="Times New Roman"/>
        </w:rPr>
        <w:t xml:space="preserve"> measured at 10.4 a</w:t>
      </w:r>
      <w:r w:rsidR="0C56DBF1" w:rsidRPr="00770477">
        <w:rPr>
          <w:rFonts w:cs="Times New Roman"/>
        </w:rPr>
        <w:t>nd decreasing slightly</w:t>
      </w:r>
      <w:r w:rsidR="00841B43" w:rsidRPr="00770477">
        <w:rPr>
          <w:rFonts w:cs="Times New Roman"/>
        </w:rPr>
        <w:t xml:space="preserve"> </w:t>
      </w:r>
      <w:r w:rsidR="0C56DBF1" w:rsidRPr="00770477">
        <w:rPr>
          <w:rFonts w:cs="Times New Roman"/>
        </w:rPr>
        <w:t xml:space="preserve">over time to an eventual pH of 9.8. Large steel slag also </w:t>
      </w:r>
      <w:r w:rsidR="62E3F7EF" w:rsidRPr="00770477">
        <w:rPr>
          <w:rFonts w:cs="Times New Roman"/>
        </w:rPr>
        <w:t xml:space="preserve">raised pH </w:t>
      </w:r>
      <w:r w:rsidR="00001191">
        <w:rPr>
          <w:rFonts w:cs="Times New Roman"/>
        </w:rPr>
        <w:t>noticeably</w:t>
      </w:r>
      <w:r w:rsidR="62E3F7EF" w:rsidRPr="00770477">
        <w:rPr>
          <w:rFonts w:cs="Times New Roman"/>
        </w:rPr>
        <w:t xml:space="preserve"> with an initial value measured at</w:t>
      </w:r>
      <w:r w:rsidR="7D9C1E29" w:rsidRPr="00770477">
        <w:rPr>
          <w:rFonts w:cs="Times New Roman"/>
        </w:rPr>
        <w:t xml:space="preserve"> 10.2, declining over time to pH 9.8. </w:t>
      </w:r>
      <w:r w:rsidR="0229D4DC" w:rsidRPr="00770477">
        <w:rPr>
          <w:rFonts w:cs="Times New Roman"/>
        </w:rPr>
        <w:t xml:space="preserve">Vertical column pH results can be seen in </w:t>
      </w:r>
      <w:r w:rsidR="00A32449" w:rsidRPr="00770477">
        <w:rPr>
          <w:rFonts w:cs="Times New Roman"/>
        </w:rPr>
        <w:fldChar w:fldCharType="begin"/>
      </w:r>
      <w:r w:rsidR="00A32449" w:rsidRPr="00770477">
        <w:rPr>
          <w:rFonts w:cs="Times New Roman"/>
        </w:rPr>
        <w:instrText xml:space="preserve"> REF _Ref117865283 \h </w:instrText>
      </w:r>
      <w:r w:rsidR="00770477">
        <w:rPr>
          <w:rFonts w:cs="Times New Roman"/>
        </w:rPr>
        <w:instrText xml:space="preserve"> \* MERGEFORMAT </w:instrText>
      </w:r>
      <w:r w:rsidR="00A32449" w:rsidRPr="00770477">
        <w:rPr>
          <w:rFonts w:cs="Times New Roman"/>
        </w:rPr>
      </w:r>
      <w:r w:rsidR="00A32449"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5</w:t>
      </w:r>
      <w:r w:rsidR="00A32449" w:rsidRPr="00770477">
        <w:rPr>
          <w:rFonts w:cs="Times New Roman"/>
        </w:rPr>
        <w:fldChar w:fldCharType="end"/>
      </w:r>
      <w:r w:rsidR="714CCBA2" w:rsidRPr="00770477">
        <w:rPr>
          <w:rFonts w:cs="Times New Roman"/>
        </w:rPr>
        <w:t>.</w:t>
      </w:r>
    </w:p>
    <w:p w14:paraId="4683A526" w14:textId="1B056DB1" w:rsidR="00DB5320" w:rsidRPr="00770477" w:rsidRDefault="4F3F0EA5" w:rsidP="00A32449">
      <w:pPr>
        <w:ind w:firstLine="720"/>
        <w:rPr>
          <w:rFonts w:cs="Times New Roman"/>
        </w:rPr>
      </w:pPr>
      <w:r w:rsidRPr="00770477">
        <w:rPr>
          <w:rFonts w:cs="Times New Roman"/>
        </w:rPr>
        <w:t>S</w:t>
      </w:r>
      <w:r w:rsidR="00211767" w:rsidRPr="00770477">
        <w:rPr>
          <w:rFonts w:cs="Times New Roman"/>
        </w:rPr>
        <w:t>pecific conductivity (SpC)</w:t>
      </w:r>
      <w:r w:rsidR="216E0E34" w:rsidRPr="00770477">
        <w:rPr>
          <w:rFonts w:cs="Times New Roman"/>
        </w:rPr>
        <w:t xml:space="preserve">, where available, showed </w:t>
      </w:r>
      <w:r w:rsidR="2D1BD797" w:rsidRPr="00770477">
        <w:rPr>
          <w:rFonts w:cs="Times New Roman"/>
        </w:rPr>
        <w:t xml:space="preserve">two different results. First, large steel slag </w:t>
      </w:r>
      <w:r w:rsidR="3F54252F" w:rsidRPr="00770477">
        <w:rPr>
          <w:rFonts w:cs="Times New Roman"/>
        </w:rPr>
        <w:t xml:space="preserve">had an initial </w:t>
      </w:r>
      <w:r w:rsidR="4B17B4AC" w:rsidRPr="00770477">
        <w:rPr>
          <w:rFonts w:cs="Times New Roman"/>
        </w:rPr>
        <w:t xml:space="preserve">SpC measured at </w:t>
      </w:r>
      <w:r w:rsidR="57ED82E3" w:rsidRPr="00770477">
        <w:rPr>
          <w:rFonts w:cs="Times New Roman"/>
        </w:rPr>
        <w:t>155.8</w:t>
      </w:r>
      <w:r w:rsidR="4E1F92E2" w:rsidRPr="00770477">
        <w:rPr>
          <w:rFonts w:cs="Times New Roman"/>
        </w:rPr>
        <w:t xml:space="preserve"> </w:t>
      </w:r>
      <w:r w:rsidR="002A5368" w:rsidRPr="00770477">
        <w:rPr>
          <w:rFonts w:cs="Times New Roman"/>
        </w:rPr>
        <w:t>µS</w:t>
      </w:r>
      <w:r w:rsidR="002A5368">
        <w:rPr>
          <w:rFonts w:cs="Times New Roman"/>
        </w:rPr>
        <w:t xml:space="preserve"> </w:t>
      </w:r>
      <w:r w:rsidR="002A5368" w:rsidRPr="00770477">
        <w:rPr>
          <w:rFonts w:cs="Times New Roman"/>
        </w:rPr>
        <w:t>cm</w:t>
      </w:r>
      <w:r w:rsidR="002A5368">
        <w:rPr>
          <w:rFonts w:cs="Times New Roman"/>
          <w:vertAlign w:val="superscript"/>
        </w:rPr>
        <w:t>-1</w:t>
      </w:r>
      <w:r w:rsidR="4E1F92E2" w:rsidRPr="00770477">
        <w:rPr>
          <w:rFonts w:cs="Times New Roman"/>
        </w:rPr>
        <w:t xml:space="preserve"> </w:t>
      </w:r>
      <w:r w:rsidR="0E69A588" w:rsidRPr="00770477">
        <w:rPr>
          <w:rFonts w:cs="Times New Roman"/>
        </w:rPr>
        <w:t xml:space="preserve">and </w:t>
      </w:r>
      <w:r w:rsidR="68F25804" w:rsidRPr="00770477">
        <w:rPr>
          <w:rFonts w:cs="Times New Roman"/>
        </w:rPr>
        <w:t xml:space="preserve">decreased over time. Despite the linear </w:t>
      </w:r>
      <w:r w:rsidR="10033ADC" w:rsidRPr="00770477">
        <w:rPr>
          <w:rFonts w:cs="Times New Roman"/>
        </w:rPr>
        <w:t xml:space="preserve">regression used to visualize </w:t>
      </w:r>
      <w:r w:rsidR="6EDE714C" w:rsidRPr="00770477">
        <w:rPr>
          <w:rFonts w:cs="Times New Roman"/>
        </w:rPr>
        <w:t>SpC</w:t>
      </w:r>
      <w:r w:rsidR="0D934CA7" w:rsidRPr="00770477">
        <w:rPr>
          <w:rFonts w:cs="Times New Roman"/>
        </w:rPr>
        <w:t xml:space="preserve"> (</w:t>
      </w:r>
      <w:r w:rsidR="006B0232" w:rsidRPr="00770477">
        <w:rPr>
          <w:rFonts w:cs="Times New Roman"/>
        </w:rPr>
        <w:fldChar w:fldCharType="begin"/>
      </w:r>
      <w:r w:rsidR="006B0232" w:rsidRPr="00770477">
        <w:rPr>
          <w:rFonts w:cs="Times New Roman"/>
        </w:rPr>
        <w:instrText xml:space="preserve"> REF _Ref117865302 \h </w:instrText>
      </w:r>
      <w:r w:rsidR="00770477">
        <w:rPr>
          <w:rFonts w:cs="Times New Roman"/>
        </w:rPr>
        <w:instrText xml:space="preserve"> \* MERGEFORMAT </w:instrText>
      </w:r>
      <w:r w:rsidR="006B0232" w:rsidRPr="00770477">
        <w:rPr>
          <w:rFonts w:cs="Times New Roman"/>
        </w:rPr>
      </w:r>
      <w:r w:rsidR="006B0232"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6</w:t>
      </w:r>
      <w:r w:rsidR="006B0232" w:rsidRPr="00770477">
        <w:rPr>
          <w:rFonts w:cs="Times New Roman"/>
        </w:rPr>
        <w:fldChar w:fldCharType="end"/>
      </w:r>
      <w:r w:rsidR="0D934CA7" w:rsidRPr="00770477">
        <w:rPr>
          <w:rFonts w:cs="Times New Roman"/>
        </w:rPr>
        <w:t xml:space="preserve">), </w:t>
      </w:r>
      <w:r w:rsidR="52FB46AA" w:rsidRPr="00770477">
        <w:rPr>
          <w:rFonts w:cs="Times New Roman"/>
        </w:rPr>
        <w:t xml:space="preserve">the data has a clear </w:t>
      </w:r>
      <w:r w:rsidR="5C98921F" w:rsidRPr="00770477">
        <w:rPr>
          <w:rFonts w:cs="Times New Roman"/>
        </w:rPr>
        <w:t xml:space="preserve">decaying trend with </w:t>
      </w:r>
      <w:r w:rsidR="3B74DDB2" w:rsidRPr="00770477">
        <w:rPr>
          <w:rFonts w:cs="Times New Roman"/>
        </w:rPr>
        <w:t xml:space="preserve">a lower asymptote appearing to be reached near 90 </w:t>
      </w:r>
      <w:r w:rsidR="002A5368" w:rsidRPr="00770477">
        <w:rPr>
          <w:rFonts w:cs="Times New Roman"/>
        </w:rPr>
        <w:t>µS</w:t>
      </w:r>
      <w:r w:rsidR="002A5368">
        <w:rPr>
          <w:rFonts w:cs="Times New Roman"/>
        </w:rPr>
        <w:t xml:space="preserve"> </w:t>
      </w:r>
      <w:proofErr w:type="gramStart"/>
      <w:r w:rsidR="002A5368" w:rsidRPr="00770477">
        <w:rPr>
          <w:rFonts w:cs="Times New Roman"/>
        </w:rPr>
        <w:t>cm</w:t>
      </w:r>
      <w:r w:rsidR="002A5368">
        <w:rPr>
          <w:rFonts w:cs="Times New Roman"/>
          <w:vertAlign w:val="superscript"/>
        </w:rPr>
        <w:t>-1</w:t>
      </w:r>
      <w:proofErr w:type="gramEnd"/>
      <w:r w:rsidR="00E25B70" w:rsidRPr="00770477">
        <w:rPr>
          <w:rFonts w:cs="Times New Roman"/>
        </w:rPr>
        <w:t>. This</w:t>
      </w:r>
      <w:r w:rsidR="2BF42017" w:rsidRPr="00770477">
        <w:rPr>
          <w:rFonts w:cs="Times New Roman"/>
        </w:rPr>
        <w:t xml:space="preserve"> indicat</w:t>
      </w:r>
      <w:r w:rsidR="00E25B70" w:rsidRPr="00770477">
        <w:rPr>
          <w:rFonts w:cs="Times New Roman"/>
        </w:rPr>
        <w:t>es</w:t>
      </w:r>
      <w:r w:rsidR="2BF42017" w:rsidRPr="00770477">
        <w:rPr>
          <w:rFonts w:cs="Times New Roman"/>
        </w:rPr>
        <w:t xml:space="preserve"> that large steel slag is a </w:t>
      </w:r>
      <w:r w:rsidR="3AF590E3" w:rsidRPr="00770477">
        <w:rPr>
          <w:rFonts w:cs="Times New Roman"/>
        </w:rPr>
        <w:t xml:space="preserve">constant </w:t>
      </w:r>
      <w:r w:rsidR="0D0F7833" w:rsidRPr="00770477">
        <w:rPr>
          <w:rFonts w:cs="Times New Roman"/>
        </w:rPr>
        <w:t xml:space="preserve">contributor </w:t>
      </w:r>
      <w:r w:rsidR="00B172F4" w:rsidRPr="00770477">
        <w:rPr>
          <w:rFonts w:cs="Times New Roman"/>
        </w:rPr>
        <w:t>of ions to solution and therefore</w:t>
      </w:r>
      <w:r w:rsidR="000A6274" w:rsidRPr="00770477">
        <w:rPr>
          <w:rFonts w:cs="Times New Roman"/>
        </w:rPr>
        <w:t xml:space="preserve"> to</w:t>
      </w:r>
      <w:r w:rsidR="00FD7F81" w:rsidRPr="00770477">
        <w:rPr>
          <w:rFonts w:cs="Times New Roman"/>
        </w:rPr>
        <w:t xml:space="preserve"> </w:t>
      </w:r>
      <w:r w:rsidR="00B172F4" w:rsidRPr="00770477">
        <w:rPr>
          <w:rFonts w:cs="Times New Roman"/>
        </w:rPr>
        <w:t>an</w:t>
      </w:r>
      <w:r w:rsidR="00FD7F81" w:rsidRPr="00770477">
        <w:rPr>
          <w:rFonts w:cs="Times New Roman"/>
        </w:rPr>
        <w:t xml:space="preserve"> increase in</w:t>
      </w:r>
      <w:r w:rsidR="0D0F7833" w:rsidRPr="00770477">
        <w:rPr>
          <w:rFonts w:cs="Times New Roman"/>
        </w:rPr>
        <w:t xml:space="preserve"> solution SpC. Both biochars, </w:t>
      </w:r>
      <w:proofErr w:type="gramStart"/>
      <w:r w:rsidR="0D0F7833" w:rsidRPr="00770477">
        <w:rPr>
          <w:rFonts w:cs="Times New Roman"/>
        </w:rPr>
        <w:t>similar to</w:t>
      </w:r>
      <w:proofErr w:type="gramEnd"/>
      <w:r w:rsidR="0D0F7833" w:rsidRPr="00770477">
        <w:rPr>
          <w:rFonts w:cs="Times New Roman"/>
        </w:rPr>
        <w:t xml:space="preserve"> pH</w:t>
      </w:r>
      <w:r w:rsidR="751620AC" w:rsidRPr="00770477">
        <w:rPr>
          <w:rFonts w:cs="Times New Roman"/>
        </w:rPr>
        <w:t xml:space="preserve">, showed no </w:t>
      </w:r>
      <w:r w:rsidR="003B6DC2" w:rsidRPr="00770477">
        <w:rPr>
          <w:rFonts w:cs="Times New Roman"/>
        </w:rPr>
        <w:t xml:space="preserve">noticeable </w:t>
      </w:r>
      <w:r w:rsidR="751620AC" w:rsidRPr="00770477">
        <w:rPr>
          <w:rFonts w:cs="Times New Roman"/>
        </w:rPr>
        <w:t>change in SpC over time</w:t>
      </w:r>
      <w:r w:rsidR="5C188C03" w:rsidRPr="00770477">
        <w:rPr>
          <w:rFonts w:cs="Times New Roman"/>
        </w:rPr>
        <w:t xml:space="preserve"> with the </w:t>
      </w:r>
      <w:r w:rsidR="001D372C" w:rsidRPr="00770477">
        <w:rPr>
          <w:rFonts w:cs="Times New Roman"/>
        </w:rPr>
        <w:t>initial</w:t>
      </w:r>
      <w:r w:rsidR="5C188C03" w:rsidRPr="00770477">
        <w:rPr>
          <w:rFonts w:cs="Times New Roman"/>
        </w:rPr>
        <w:t xml:space="preserve"> values measured at 58 </w:t>
      </w:r>
      <w:r w:rsidR="002A5368" w:rsidRPr="00770477">
        <w:rPr>
          <w:rFonts w:cs="Times New Roman"/>
        </w:rPr>
        <w:t>µS</w:t>
      </w:r>
      <w:r w:rsidR="002A5368">
        <w:rPr>
          <w:rFonts w:cs="Times New Roman"/>
        </w:rPr>
        <w:t xml:space="preserve"> </w:t>
      </w:r>
      <w:r w:rsidR="002A5368" w:rsidRPr="00770477">
        <w:rPr>
          <w:rFonts w:cs="Times New Roman"/>
        </w:rPr>
        <w:t>cm</w:t>
      </w:r>
      <w:r w:rsidR="002A5368">
        <w:rPr>
          <w:rFonts w:cs="Times New Roman"/>
          <w:vertAlign w:val="superscript"/>
        </w:rPr>
        <w:t>-1</w:t>
      </w:r>
      <w:r w:rsidR="5C188C03" w:rsidRPr="00770477">
        <w:rPr>
          <w:rFonts w:cs="Times New Roman"/>
        </w:rPr>
        <w:t xml:space="preserve"> and 5</w:t>
      </w:r>
      <w:r w:rsidR="00CD113F" w:rsidRPr="00770477">
        <w:rPr>
          <w:rFonts w:cs="Times New Roman"/>
        </w:rPr>
        <w:t>2</w:t>
      </w:r>
      <w:r w:rsidR="047EBA2F" w:rsidRPr="00770477">
        <w:rPr>
          <w:rFonts w:cs="Times New Roman"/>
        </w:rPr>
        <w:t xml:space="preserve"> </w:t>
      </w:r>
      <w:r w:rsidR="002A5368" w:rsidRPr="00770477">
        <w:rPr>
          <w:rFonts w:cs="Times New Roman"/>
        </w:rPr>
        <w:t>µS</w:t>
      </w:r>
      <w:r w:rsidR="002A5368">
        <w:rPr>
          <w:rFonts w:cs="Times New Roman"/>
        </w:rPr>
        <w:t xml:space="preserve"> </w:t>
      </w:r>
      <w:r w:rsidR="002A5368" w:rsidRPr="00770477">
        <w:rPr>
          <w:rFonts w:cs="Times New Roman"/>
        </w:rPr>
        <w:t>cm</w:t>
      </w:r>
      <w:r w:rsidR="002A5368">
        <w:rPr>
          <w:rFonts w:cs="Times New Roman"/>
          <w:vertAlign w:val="superscript"/>
        </w:rPr>
        <w:t>-1</w:t>
      </w:r>
      <w:r w:rsidR="047EBA2F" w:rsidRPr="00770477">
        <w:rPr>
          <w:rFonts w:cs="Times New Roman"/>
        </w:rPr>
        <w:t xml:space="preserve"> </w:t>
      </w:r>
      <w:r w:rsidR="330BC15E" w:rsidRPr="00770477">
        <w:rPr>
          <w:rFonts w:cs="Times New Roman"/>
        </w:rPr>
        <w:t>for the large and small fractions, respectively</w:t>
      </w:r>
      <w:r w:rsidR="6FFB89E5" w:rsidRPr="00770477">
        <w:rPr>
          <w:rFonts w:cs="Times New Roman"/>
        </w:rPr>
        <w:t xml:space="preserve">. For small biochar, SpC immediately decreased to 51.7 </w:t>
      </w:r>
      <w:r w:rsidR="002A5368" w:rsidRPr="00770477">
        <w:rPr>
          <w:rFonts w:cs="Times New Roman"/>
        </w:rPr>
        <w:t>µS</w:t>
      </w:r>
      <w:r w:rsidR="002A5368">
        <w:rPr>
          <w:rFonts w:cs="Times New Roman"/>
        </w:rPr>
        <w:t xml:space="preserve"> </w:t>
      </w:r>
      <w:r w:rsidR="002A5368" w:rsidRPr="00770477">
        <w:rPr>
          <w:rFonts w:cs="Times New Roman"/>
        </w:rPr>
        <w:t>cm</w:t>
      </w:r>
      <w:r w:rsidR="002A5368">
        <w:rPr>
          <w:rFonts w:cs="Times New Roman"/>
          <w:vertAlign w:val="superscript"/>
        </w:rPr>
        <w:t>-1</w:t>
      </w:r>
      <w:r w:rsidR="6FFB89E5" w:rsidRPr="00770477">
        <w:rPr>
          <w:rFonts w:cs="Times New Roman"/>
        </w:rPr>
        <w:t xml:space="preserve"> after 1 L and both fractions stayed within </w:t>
      </w:r>
      <w:r w:rsidR="35D72AF6" w:rsidRPr="00770477">
        <w:rPr>
          <w:rFonts w:cs="Times New Roman"/>
        </w:rPr>
        <w:t xml:space="preserve">50 </w:t>
      </w:r>
      <w:r w:rsidR="002A5368" w:rsidRPr="00770477">
        <w:rPr>
          <w:rFonts w:cs="Times New Roman"/>
        </w:rPr>
        <w:t>µS</w:t>
      </w:r>
      <w:r w:rsidR="002A5368">
        <w:rPr>
          <w:rFonts w:cs="Times New Roman"/>
        </w:rPr>
        <w:t xml:space="preserve"> </w:t>
      </w:r>
      <w:r w:rsidR="002A5368" w:rsidRPr="00770477">
        <w:rPr>
          <w:rFonts w:cs="Times New Roman"/>
        </w:rPr>
        <w:t>cm</w:t>
      </w:r>
      <w:r w:rsidR="002A5368">
        <w:rPr>
          <w:rFonts w:cs="Times New Roman"/>
          <w:vertAlign w:val="superscript"/>
        </w:rPr>
        <w:t>-1</w:t>
      </w:r>
      <w:r w:rsidR="35D72AF6" w:rsidRPr="00770477">
        <w:rPr>
          <w:rFonts w:cs="Times New Roman"/>
        </w:rPr>
        <w:t xml:space="preserve"> to </w:t>
      </w:r>
      <w:r w:rsidR="3E14D126" w:rsidRPr="00770477">
        <w:rPr>
          <w:rFonts w:cs="Times New Roman"/>
        </w:rPr>
        <w:t xml:space="preserve">52.5 </w:t>
      </w:r>
      <w:r w:rsidR="002A5368" w:rsidRPr="00770477">
        <w:rPr>
          <w:rFonts w:cs="Times New Roman"/>
        </w:rPr>
        <w:t>µS</w:t>
      </w:r>
      <w:r w:rsidR="002A5368">
        <w:rPr>
          <w:rFonts w:cs="Times New Roman"/>
        </w:rPr>
        <w:t xml:space="preserve"> </w:t>
      </w:r>
      <w:r w:rsidR="002A5368" w:rsidRPr="00770477">
        <w:rPr>
          <w:rFonts w:cs="Times New Roman"/>
        </w:rPr>
        <w:t>cm</w:t>
      </w:r>
      <w:r w:rsidR="002A5368">
        <w:rPr>
          <w:rFonts w:cs="Times New Roman"/>
          <w:vertAlign w:val="superscript"/>
        </w:rPr>
        <w:t>-1</w:t>
      </w:r>
      <w:r w:rsidR="3E14D126" w:rsidRPr="00770477">
        <w:rPr>
          <w:rFonts w:cs="Times New Roman"/>
        </w:rPr>
        <w:t xml:space="preserve"> for the duration of the experiment. </w:t>
      </w:r>
    </w:p>
    <w:p w14:paraId="05246818" w14:textId="77777777" w:rsidR="00DB5320" w:rsidRPr="00770477" w:rsidRDefault="00DB5320">
      <w:pPr>
        <w:spacing w:line="240" w:lineRule="auto"/>
        <w:rPr>
          <w:rFonts w:cs="Times New Roman"/>
        </w:rPr>
      </w:pPr>
      <w:r w:rsidRPr="00770477">
        <w:rPr>
          <w:rFonts w:cs="Times New Roman"/>
        </w:rPr>
        <w:br w:type="page"/>
      </w:r>
    </w:p>
    <w:p w14:paraId="28257EB2" w14:textId="77777777" w:rsidR="00161231" w:rsidRPr="00770477" w:rsidRDefault="00161231" w:rsidP="00161231">
      <w:pPr>
        <w:keepNext/>
        <w:spacing w:line="240" w:lineRule="auto"/>
        <w:rPr>
          <w:rFonts w:cs="Times New Roman"/>
        </w:rPr>
      </w:pPr>
      <w:r w:rsidRPr="00770477">
        <w:rPr>
          <w:rFonts w:cs="Times New Roman"/>
          <w:noProof/>
        </w:rPr>
        <w:lastRenderedPageBreak/>
        <w:drawing>
          <wp:inline distT="0" distB="0" distL="0" distR="0" wp14:anchorId="056EEF4F" wp14:editId="203BDA56">
            <wp:extent cx="5943600" cy="5486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inline>
        </w:drawing>
      </w:r>
    </w:p>
    <w:p w14:paraId="36A86833" w14:textId="259AAFCB" w:rsidR="00161231" w:rsidRPr="00770477" w:rsidRDefault="00161231" w:rsidP="00161231">
      <w:pPr>
        <w:pStyle w:val="Caption"/>
        <w:rPr>
          <w:rFonts w:cs="Times New Roman"/>
        </w:rPr>
      </w:pPr>
      <w:bookmarkStart w:id="91" w:name="_Ref117865283"/>
      <w:bookmarkStart w:id="92" w:name="_Ref117865262"/>
      <w:bookmarkStart w:id="93" w:name="_Toc121489500"/>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5</w:t>
      </w:r>
      <w:r w:rsidRPr="00770477">
        <w:rPr>
          <w:rFonts w:cs="Times New Roman"/>
          <w:noProof/>
        </w:rPr>
        <w:fldChar w:fldCharType="end"/>
      </w:r>
      <w:bookmarkEnd w:id="91"/>
      <w:r w:rsidRPr="00770477">
        <w:rPr>
          <w:rFonts w:cs="Times New Roman"/>
        </w:rPr>
        <w:t xml:space="preserve"> Effluent pH results from vertical column experiments</w:t>
      </w:r>
      <w:bookmarkEnd w:id="92"/>
      <w:bookmarkEnd w:id="93"/>
    </w:p>
    <w:p w14:paraId="044A583E" w14:textId="77777777" w:rsidR="00161231" w:rsidRPr="00770477" w:rsidRDefault="00DB5320">
      <w:pPr>
        <w:spacing w:line="240" w:lineRule="auto"/>
        <w:rPr>
          <w:rFonts w:cs="Times New Roman"/>
        </w:rPr>
      </w:pPr>
      <w:r w:rsidRPr="00770477">
        <w:rPr>
          <w:rFonts w:cs="Times New Roman"/>
        </w:rPr>
        <w:br w:type="page"/>
      </w:r>
    </w:p>
    <w:p w14:paraId="0C92F7D8" w14:textId="77777777" w:rsidR="00626450" w:rsidRPr="00770477" w:rsidRDefault="00161231" w:rsidP="00626450">
      <w:pPr>
        <w:keepNext/>
        <w:spacing w:line="240" w:lineRule="auto"/>
        <w:rPr>
          <w:rFonts w:cs="Times New Roman"/>
        </w:rPr>
      </w:pPr>
      <w:r w:rsidRPr="00770477">
        <w:rPr>
          <w:rFonts w:cs="Times New Roman"/>
          <w:noProof/>
        </w:rPr>
        <w:lastRenderedPageBreak/>
        <w:drawing>
          <wp:inline distT="0" distB="0" distL="0" distR="0" wp14:anchorId="411649AC" wp14:editId="1D78CDB1">
            <wp:extent cx="5943600" cy="5486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inline>
        </w:drawing>
      </w:r>
    </w:p>
    <w:p w14:paraId="21A49230" w14:textId="2295127D" w:rsidR="00161231" w:rsidRPr="00770477" w:rsidRDefault="00626450" w:rsidP="00626450">
      <w:pPr>
        <w:pStyle w:val="Caption"/>
        <w:rPr>
          <w:rFonts w:cs="Times New Roman"/>
        </w:rPr>
      </w:pPr>
      <w:bookmarkStart w:id="94" w:name="_Ref117865302"/>
      <w:bookmarkStart w:id="95" w:name="_Toc121489501"/>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6</w:t>
      </w:r>
      <w:r w:rsidRPr="00770477">
        <w:rPr>
          <w:rFonts w:cs="Times New Roman"/>
          <w:noProof/>
        </w:rPr>
        <w:fldChar w:fldCharType="end"/>
      </w:r>
      <w:bookmarkEnd w:id="94"/>
      <w:r w:rsidRPr="00770477">
        <w:rPr>
          <w:rFonts w:cs="Times New Roman"/>
        </w:rPr>
        <w:t xml:space="preserve">  Effluent specific conductivity</w:t>
      </w:r>
      <w:r w:rsidR="00FC1DF8" w:rsidRPr="00770477">
        <w:rPr>
          <w:rFonts w:cs="Times New Roman"/>
        </w:rPr>
        <w:t xml:space="preserve"> results</w:t>
      </w:r>
      <w:r w:rsidRPr="00770477">
        <w:rPr>
          <w:rFonts w:cs="Times New Roman"/>
        </w:rPr>
        <w:t xml:space="preserve"> from vertical column experiments</w:t>
      </w:r>
      <w:r w:rsidR="00FC1DF8" w:rsidRPr="00770477">
        <w:rPr>
          <w:rFonts w:cs="Times New Roman"/>
        </w:rPr>
        <w:t xml:space="preserve"> (run 2 only due to calibration issues in run 1)</w:t>
      </w:r>
      <w:bookmarkEnd w:id="95"/>
    </w:p>
    <w:p w14:paraId="64C08BE7" w14:textId="23A94802" w:rsidR="0098525A" w:rsidRPr="00770477" w:rsidRDefault="00161231" w:rsidP="00DB5320">
      <w:pPr>
        <w:spacing w:line="240" w:lineRule="auto"/>
        <w:rPr>
          <w:rFonts w:cs="Times New Roman"/>
        </w:rPr>
      </w:pPr>
      <w:r w:rsidRPr="00770477">
        <w:rPr>
          <w:rFonts w:cs="Times New Roman"/>
        </w:rPr>
        <w:br w:type="page"/>
      </w:r>
    </w:p>
    <w:p w14:paraId="4E21FBDD" w14:textId="248796F6" w:rsidR="00B61EDE" w:rsidRPr="00770477" w:rsidRDefault="0EA1A294" w:rsidP="00B61EDE">
      <w:pPr>
        <w:pStyle w:val="Heading3"/>
        <w:rPr>
          <w:rFonts w:cs="Times New Roman"/>
        </w:rPr>
      </w:pPr>
      <w:bookmarkStart w:id="96" w:name="_Toc121496006"/>
      <w:r w:rsidRPr="00770477">
        <w:rPr>
          <w:rFonts w:cs="Times New Roman"/>
        </w:rPr>
        <w:lastRenderedPageBreak/>
        <w:t>Metals</w:t>
      </w:r>
      <w:bookmarkEnd w:id="96"/>
    </w:p>
    <w:p w14:paraId="3DBA7623" w14:textId="77A559D2" w:rsidR="003C7374" w:rsidRPr="00770477" w:rsidRDefault="003C7374" w:rsidP="003C7374">
      <w:pPr>
        <w:pStyle w:val="Heading4"/>
        <w:rPr>
          <w:rFonts w:ascii="Times New Roman" w:hAnsi="Times New Roman" w:cs="Times New Roman"/>
        </w:rPr>
      </w:pPr>
      <w:bookmarkStart w:id="97" w:name="_Toc121496007"/>
      <w:r w:rsidRPr="00770477">
        <w:rPr>
          <w:rFonts w:ascii="Times New Roman" w:hAnsi="Times New Roman" w:cs="Times New Roman"/>
        </w:rPr>
        <w:t>Aluminum (Al)</w:t>
      </w:r>
      <w:bookmarkEnd w:id="97"/>
    </w:p>
    <w:p w14:paraId="30B28B23" w14:textId="3547BFB1" w:rsidR="00BA1984" w:rsidRPr="00770477" w:rsidRDefault="00150792" w:rsidP="00D167BD">
      <w:pPr>
        <w:ind w:firstLine="720"/>
        <w:rPr>
          <w:rFonts w:cs="Times New Roman"/>
        </w:rPr>
      </w:pPr>
      <w:r w:rsidRPr="00770477">
        <w:rPr>
          <w:rFonts w:cs="Times New Roman"/>
        </w:rPr>
        <w:t>Despite aluminum</w:t>
      </w:r>
      <w:r w:rsidR="009F371A" w:rsidRPr="00770477">
        <w:rPr>
          <w:rFonts w:cs="Times New Roman"/>
        </w:rPr>
        <w:t xml:space="preserve">’s (Al) designation as category 4 in </w:t>
      </w:r>
      <w:r w:rsidR="00F13D25" w:rsidRPr="00770477">
        <w:rPr>
          <w:rFonts w:cs="Times New Roman"/>
        </w:rPr>
        <w:fldChar w:fldCharType="begin"/>
      </w:r>
      <w:r w:rsidR="00F13D25" w:rsidRPr="00770477">
        <w:rPr>
          <w:rFonts w:cs="Times New Roman"/>
        </w:rPr>
        <w:instrText xml:space="preserve"> REF _Ref120791122 \h </w:instrText>
      </w:r>
      <w:r w:rsidR="00770477">
        <w:rPr>
          <w:rFonts w:cs="Times New Roman"/>
        </w:rPr>
        <w:instrText xml:space="preserve"> \* MERGEFORMAT </w:instrText>
      </w:r>
      <w:r w:rsidR="00F13D25" w:rsidRPr="00770477">
        <w:rPr>
          <w:rFonts w:cs="Times New Roman"/>
        </w:rPr>
      </w:r>
      <w:r w:rsidR="00F13D25" w:rsidRPr="00770477">
        <w:rPr>
          <w:rFonts w:cs="Times New Roman"/>
        </w:rPr>
        <w:fldChar w:fldCharType="separate"/>
      </w:r>
      <w:r w:rsidR="00061096" w:rsidRPr="00770477">
        <w:rPr>
          <w:rFonts w:cs="Times New Roman"/>
        </w:rPr>
        <w:t xml:space="preserve">Table </w:t>
      </w:r>
      <w:r w:rsidR="00061096">
        <w:rPr>
          <w:rFonts w:cs="Times New Roman"/>
          <w:noProof/>
        </w:rPr>
        <w:t>3</w:t>
      </w:r>
      <w:r w:rsidR="00061096">
        <w:rPr>
          <w:rFonts w:cs="Times New Roman"/>
          <w:noProof/>
        </w:rPr>
        <w:noBreakHyphen/>
        <w:t>1</w:t>
      </w:r>
      <w:r w:rsidR="00F13D25" w:rsidRPr="00770477">
        <w:rPr>
          <w:rFonts w:cs="Times New Roman"/>
        </w:rPr>
        <w:fldChar w:fldCharType="end"/>
      </w:r>
      <w:r w:rsidR="00F13D25" w:rsidRPr="00770477">
        <w:rPr>
          <w:rFonts w:cs="Times New Roman"/>
        </w:rPr>
        <w:t xml:space="preserve">, only large and small biochar produced results of interest. </w:t>
      </w:r>
      <w:r w:rsidR="009F08CB" w:rsidRPr="00770477">
        <w:rPr>
          <w:rFonts w:cs="Times New Roman"/>
        </w:rPr>
        <w:t>The fitted model results</w:t>
      </w:r>
      <w:r w:rsidR="00D12B68" w:rsidRPr="00770477">
        <w:rPr>
          <w:rFonts w:cs="Times New Roman"/>
        </w:rPr>
        <w:t xml:space="preserve"> indicated that biochar was effective in removing </w:t>
      </w:r>
      <w:r w:rsidR="0000558D">
        <w:rPr>
          <w:rFonts w:cs="Times New Roman"/>
        </w:rPr>
        <w:t>Al</w:t>
      </w:r>
      <w:r w:rsidR="0000558D" w:rsidRPr="002269C8">
        <w:rPr>
          <w:rFonts w:cs="Times New Roman"/>
          <w:vertAlign w:val="superscript"/>
        </w:rPr>
        <w:t>+3</w:t>
      </w:r>
      <w:r w:rsidR="00D12B68" w:rsidRPr="00770477">
        <w:rPr>
          <w:rFonts w:cs="Times New Roman"/>
        </w:rPr>
        <w:t xml:space="preserve"> from solution </w:t>
      </w:r>
      <w:r w:rsidR="00430B7F" w:rsidRPr="00770477">
        <w:rPr>
          <w:rFonts w:cs="Times New Roman"/>
        </w:rPr>
        <w:t xml:space="preserve">for the first 1 to 2 samples and quickly </w:t>
      </w:r>
      <w:r w:rsidR="00483FBD" w:rsidRPr="00770477">
        <w:rPr>
          <w:rFonts w:cs="Times New Roman"/>
        </w:rPr>
        <w:t xml:space="preserve">broke through </w:t>
      </w:r>
      <w:r w:rsidR="004E0A0B" w:rsidRPr="00770477">
        <w:rPr>
          <w:rFonts w:cs="Times New Roman"/>
        </w:rPr>
        <w:t xml:space="preserve">with </w:t>
      </w:r>
      <w:r w:rsidR="00463825" w:rsidRPr="00770477">
        <w:rPr>
          <w:rFonts w:cs="Times New Roman"/>
        </w:rPr>
        <w:t xml:space="preserve">the model at or near an IE ratio of 1.0. </w:t>
      </w:r>
      <w:r w:rsidR="0067089D" w:rsidRPr="00770477">
        <w:rPr>
          <w:rFonts w:cs="Times New Roman"/>
        </w:rPr>
        <w:fldChar w:fldCharType="begin"/>
      </w:r>
      <w:r w:rsidR="0067089D" w:rsidRPr="00770477">
        <w:rPr>
          <w:rFonts w:cs="Times New Roman"/>
        </w:rPr>
        <w:instrText xml:space="preserve"> REF _Ref117865336 \h </w:instrText>
      </w:r>
      <w:r w:rsidR="00770477">
        <w:rPr>
          <w:rFonts w:cs="Times New Roman"/>
        </w:rPr>
        <w:instrText xml:space="preserve"> \* MERGEFORMAT </w:instrText>
      </w:r>
      <w:r w:rsidR="0067089D" w:rsidRPr="00770477">
        <w:rPr>
          <w:rFonts w:cs="Times New Roman"/>
        </w:rPr>
      </w:r>
      <w:r w:rsidR="0067089D"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7</w:t>
      </w:r>
      <w:r w:rsidR="0067089D" w:rsidRPr="00770477">
        <w:rPr>
          <w:rFonts w:cs="Times New Roman"/>
        </w:rPr>
        <w:fldChar w:fldCharType="end"/>
      </w:r>
      <w:r w:rsidR="0067089D" w:rsidRPr="00770477">
        <w:rPr>
          <w:rFonts w:cs="Times New Roman"/>
        </w:rPr>
        <w:t xml:space="preserve"> below </w:t>
      </w:r>
      <w:r w:rsidR="009B6CAF" w:rsidRPr="00770477">
        <w:rPr>
          <w:rFonts w:cs="Times New Roman"/>
        </w:rPr>
        <w:t>only plots results for small and large biochar</w:t>
      </w:r>
      <w:r w:rsidR="00506519" w:rsidRPr="00770477">
        <w:rPr>
          <w:rFonts w:cs="Times New Roman"/>
        </w:rPr>
        <w:t xml:space="preserve">. This is due to small and large sizes of both steel slag and </w:t>
      </w:r>
      <w:r w:rsidR="00AB55F2">
        <w:rPr>
          <w:rFonts w:cs="Times New Roman"/>
        </w:rPr>
        <w:t>aggregated fly ash</w:t>
      </w:r>
      <w:r w:rsidR="00506519" w:rsidRPr="00770477">
        <w:rPr>
          <w:rFonts w:cs="Times New Roman"/>
        </w:rPr>
        <w:t xml:space="preserve"> </w:t>
      </w:r>
      <w:r w:rsidR="00665384" w:rsidRPr="00770477">
        <w:rPr>
          <w:rFonts w:cs="Times New Roman"/>
        </w:rPr>
        <w:t xml:space="preserve">leaching </w:t>
      </w:r>
      <w:r w:rsidR="006E375F">
        <w:rPr>
          <w:rFonts w:cs="Times New Roman"/>
        </w:rPr>
        <w:t>Al</w:t>
      </w:r>
      <w:r w:rsidR="006E375F" w:rsidRPr="002269C8">
        <w:rPr>
          <w:rFonts w:cs="Times New Roman"/>
          <w:vertAlign w:val="superscript"/>
        </w:rPr>
        <w:t>+3</w:t>
      </w:r>
      <w:r w:rsidR="00665384" w:rsidRPr="00770477">
        <w:rPr>
          <w:rFonts w:cs="Times New Roman"/>
        </w:rPr>
        <w:t xml:space="preserve"> into solution (category 3)</w:t>
      </w:r>
      <w:r w:rsidR="00244D45" w:rsidRPr="00770477">
        <w:rPr>
          <w:rFonts w:cs="Times New Roman"/>
        </w:rPr>
        <w:t xml:space="preserve"> and leaching ratios/quantities can be seen in </w:t>
      </w:r>
      <w:r w:rsidR="00302953">
        <w:rPr>
          <w:rFonts w:cs="Times New Roman"/>
        </w:rPr>
        <w:fldChar w:fldCharType="begin"/>
      </w:r>
      <w:r w:rsidR="00302953">
        <w:rPr>
          <w:rFonts w:cs="Times New Roman"/>
        </w:rPr>
        <w:instrText xml:space="preserve"> REF _Ref121496223 \h </w:instrText>
      </w:r>
      <w:r w:rsidR="00302953">
        <w:rPr>
          <w:rFonts w:cs="Times New Roman"/>
        </w:rPr>
      </w:r>
      <w:r w:rsidR="00302953">
        <w:rPr>
          <w:rFonts w:cs="Times New Roman"/>
        </w:rPr>
        <w:fldChar w:fldCharType="separate"/>
      </w:r>
      <w:r w:rsidR="00061096">
        <w:t xml:space="preserve">Table </w:t>
      </w:r>
      <w:r w:rsidR="00061096">
        <w:rPr>
          <w:noProof/>
        </w:rPr>
        <w:t>10</w:t>
      </w:r>
      <w:r w:rsidR="00061096">
        <w:noBreakHyphen/>
      </w:r>
      <w:r w:rsidR="00061096">
        <w:rPr>
          <w:noProof/>
        </w:rPr>
        <w:t>4</w:t>
      </w:r>
      <w:r w:rsidR="00302953">
        <w:rPr>
          <w:rFonts w:cs="Times New Roman"/>
        </w:rPr>
        <w:fldChar w:fldCharType="end"/>
      </w:r>
      <w:r w:rsidR="005134DF" w:rsidRPr="00770477">
        <w:rPr>
          <w:rFonts w:cs="Times New Roman"/>
        </w:rPr>
        <w:t xml:space="preserve"> in the appendix</w:t>
      </w:r>
      <w:r w:rsidR="00665384" w:rsidRPr="00770477">
        <w:rPr>
          <w:rFonts w:cs="Times New Roman"/>
        </w:rPr>
        <w:t xml:space="preserve">. This media composition </w:t>
      </w:r>
      <w:r w:rsidR="00D167BD" w:rsidRPr="00770477">
        <w:rPr>
          <w:rFonts w:cs="Times New Roman"/>
        </w:rPr>
        <w:t xml:space="preserve">effect will be investigated in the Al discussion section. </w:t>
      </w:r>
    </w:p>
    <w:p w14:paraId="0FE1D8ED" w14:textId="5AACDA38" w:rsidR="00B61EDE" w:rsidRPr="00770477" w:rsidRDefault="00FC1DF8" w:rsidP="00FC1DF8">
      <w:pPr>
        <w:spacing w:line="240" w:lineRule="auto"/>
        <w:rPr>
          <w:rFonts w:cs="Times New Roman"/>
        </w:rPr>
      </w:pPr>
      <w:r w:rsidRPr="00770477">
        <w:rPr>
          <w:rFonts w:cs="Times New Roman"/>
        </w:rPr>
        <w:br w:type="page"/>
      </w:r>
    </w:p>
    <w:p w14:paraId="4CC50E51" w14:textId="3071A933" w:rsidR="00A15C4E" w:rsidRPr="00770477" w:rsidRDefault="00D3577D" w:rsidP="00A15C4E">
      <w:pPr>
        <w:keepNext/>
        <w:rPr>
          <w:rFonts w:cs="Times New Roman"/>
        </w:rPr>
      </w:pPr>
      <w:r w:rsidRPr="00770477">
        <w:rPr>
          <w:rFonts w:cs="Times New Roman"/>
          <w:noProof/>
        </w:rPr>
        <w:lastRenderedPageBreak/>
        <mc:AlternateContent>
          <mc:Choice Requires="wps">
            <w:drawing>
              <wp:anchor distT="0" distB="0" distL="114300" distR="114300" simplePos="0" relativeHeight="251661319" behindDoc="0" locked="0" layoutInCell="1" allowOverlap="1" wp14:anchorId="1374C805" wp14:editId="1493D1DC">
                <wp:simplePos x="0" y="0"/>
                <wp:positionH relativeFrom="column">
                  <wp:posOffset>3912781</wp:posOffset>
                </wp:positionH>
                <wp:positionV relativeFrom="paragraph">
                  <wp:posOffset>999460</wp:posOffset>
                </wp:positionV>
                <wp:extent cx="1584104" cy="393405"/>
                <wp:effectExtent l="0" t="0" r="0" b="6985"/>
                <wp:wrapNone/>
                <wp:docPr id="21" name="Rectangle 21"/>
                <wp:cNvGraphicFramePr/>
                <a:graphic xmlns:a="http://schemas.openxmlformats.org/drawingml/2006/main">
                  <a:graphicData uri="http://schemas.microsoft.com/office/word/2010/wordprocessingShape">
                    <wps:wsp>
                      <wps:cNvSpPr/>
                      <wps:spPr>
                        <a:xfrm>
                          <a:off x="0" y="0"/>
                          <a:ext cx="1584104" cy="3934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B7673F2" id="Rectangle 21" o:spid="_x0000_s1026" style="position:absolute;margin-left:308.1pt;margin-top:78.7pt;width:124.75pt;height:31pt;z-index:25166131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Mr9ewIAAF4FAAAOAAAAZHJzL2Uyb0RvYy54bWysVFFv2yAQfp+0/4B4X22nydZGdaooVaZJ&#10;VVu1nfpMMMSWMMeAxMl+/Q6wna6r9jAtDwS47767+3zH1fWhVWQvrGtAl7Q4yykRmkPV6G1Jvz+v&#10;P11Q4jzTFVOgRUmPwtHrxccPV52ZiwnUoCphCZJoN+9MSWvvzTzLHK9Fy9wZGKHRKMG2zOPRbrPK&#10;sg7ZW5VN8vxz1oGtjAUunMPbm2Ski8gvpeD+XkonPFElxdx8XG1cN2HNFldsvrXM1A3v02D/kEXL&#10;Go1BR6ob5hnZ2eYPqrbhFhxIf8ahzUDKhotYA1ZT5G+qeaqZEbEWFMeZUSb3/2j53f7JPFiUoTNu&#10;7nAbqjhI24Z/zI8coljHUSxx8ITjZTG7mBb5lBKOtvPL82k+C2pmJ29jnf8qoCVhU1KLHyNqxPa3&#10;zifoAAnBHKimWjdKxUNoALFSluwZfrrNtujJf0MpHbAaglciDDfZqZS480clAk7pRyFJU2Hyk5hI&#10;7LJTEMa50L5IpppVIsWe5fgbog9pxUIjYWCWGH/k7gkGZCIZuFOWPT64itiko3P+t8SS8+gRI4P2&#10;o3PbaLDvESisqo+c8INISZqg0gaq44MlFtKIOMPXDX62W+b8A7M4Ezg9OOf+HhepoCsp9DtKarA/&#10;37sPeGxVtFLS4YyV1P3YMSsoUd80NvFlMZ2GoYyH6ezLBA/2tWXz2qJ37QqwFwp8UQyP24D3athK&#10;C+0LPgfLEBVNTHOMXVLu7XBY+TT7+KBwsVxGGA6iYf5WPxkeyIOqoS2fDy/Mmr53PXb9HQzzyOZv&#10;Wjhhg6eG5c6DbGJ/n3Tt9cYhjo3TPzjhlXh9jqjTs7j4BQAA//8DAFBLAwQUAAYACAAAACEArcJ/&#10;Q+MAAAALAQAADwAAAGRycy9kb3ducmV2LnhtbEyPy07DMBBF90j8gzVIbBB1Hm1aQpwKkJDYsKBU&#10;iKUbm9hqPI5iN0n5eoYVLEf36N4z1XZ2HRv1EKxHAekiAaax8cpiK2D//ny7ARaiRCU7j1rAWQfY&#10;1pcXlSyVn/BNj7vYMirBUEoBJsa+5Dw0RjsZFr7XSNmXH5yMdA4tV4OcqNx1PEuSgjtpkRaM7PWT&#10;0c1xd3ICXs95/jLe5Mdpb/PWfvPPxw/jhbi+mh/ugUU9xz8YfvVJHWpyOvgTqsA6AUVaZIRSsFov&#10;gRGxKVZrYAcBWXq3BF5X/P8P9Q8AAAD//wMAUEsBAi0AFAAGAAgAAAAhALaDOJL+AAAA4QEAABMA&#10;AAAAAAAAAAAAAAAAAAAAAFtDb250ZW50X1R5cGVzXS54bWxQSwECLQAUAAYACAAAACEAOP0h/9YA&#10;AACUAQAACwAAAAAAAAAAAAAAAAAvAQAAX3JlbHMvLnJlbHNQSwECLQAUAAYACAAAACEAd/DK/XsC&#10;AABeBQAADgAAAAAAAAAAAAAAAAAuAgAAZHJzL2Uyb0RvYy54bWxQSwECLQAUAAYACAAAACEArcJ/&#10;Q+MAAAALAQAADwAAAAAAAAAAAAAAAADVBAAAZHJzL2Rvd25yZXYueG1sUEsFBgAAAAAEAAQA8wAA&#10;AOUFAAAAAA==&#10;" fillcolor="white [3212]" stroked="f" strokeweight="1pt"/>
            </w:pict>
          </mc:Fallback>
        </mc:AlternateContent>
      </w:r>
      <w:r w:rsidRPr="00770477">
        <w:rPr>
          <w:rFonts w:cs="Times New Roman"/>
          <w:noProof/>
        </w:rPr>
        <mc:AlternateContent>
          <mc:Choice Requires="wps">
            <w:drawing>
              <wp:anchor distT="0" distB="0" distL="114300" distR="114300" simplePos="0" relativeHeight="251659271" behindDoc="0" locked="0" layoutInCell="1" allowOverlap="1" wp14:anchorId="32B929BF" wp14:editId="26778713">
                <wp:simplePos x="0" y="0"/>
                <wp:positionH relativeFrom="column">
                  <wp:posOffset>776132</wp:posOffset>
                </wp:positionH>
                <wp:positionV relativeFrom="paragraph">
                  <wp:posOffset>998855</wp:posOffset>
                </wp:positionV>
                <wp:extent cx="1403498" cy="393405"/>
                <wp:effectExtent l="0" t="0" r="6350" b="6985"/>
                <wp:wrapNone/>
                <wp:docPr id="10" name="Rectangle 10"/>
                <wp:cNvGraphicFramePr/>
                <a:graphic xmlns:a="http://schemas.openxmlformats.org/drawingml/2006/main">
                  <a:graphicData uri="http://schemas.microsoft.com/office/word/2010/wordprocessingShape">
                    <wps:wsp>
                      <wps:cNvSpPr/>
                      <wps:spPr>
                        <a:xfrm>
                          <a:off x="0" y="0"/>
                          <a:ext cx="1403498" cy="3934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4FD5E4" id="Rectangle 10" o:spid="_x0000_s1026" style="position:absolute;margin-left:61.1pt;margin-top:78.65pt;width:110.5pt;height:31pt;z-index:25165927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N+cewIAAF4FAAAOAAAAZHJzL2Uyb0RvYy54bWysVFFv2yAQfp+0/4B4X22n6bZGdaqoVadJ&#10;VVutnfpMMMRImGNA4mS/fgfYTtdVe5iWBwLcd9/dfb7j4nLfabITziswNa1OSkqE4dAos6np96eb&#10;D58p8YGZhmkwoqYH4enl8v27i94uxAxa0I1wBEmMX/S2pm0IdlEUnreiY/4ErDBolOA6FvDoNkXj&#10;WI/snS5mZfmx6ME11gEX3uPtdTbSZeKXUvBwL6UXgeiaYm4hrS6t67gWywu22DhmW8WHNNg/ZNEx&#10;ZTDoRHXNAiNbp/6g6hR34EGGEw5dAVIqLlINWE1VvqrmsWVWpFpQHG8nmfz/o+V3u0f74FCG3vqF&#10;x22sYi9dF/8xP7JPYh0mscQ+EI6X1bw8nZ/j5+VoOz0/nZdnUc3i6G2dD18EdCRuaurwYySN2O7W&#10;hwwdITGYB62aG6V1OsQGEFfakR3DT7feVAP5byhtItZA9MqE8aY4lpJ24aBFxGnzTUiiGkx+lhJJ&#10;XXYMwjgXJlTZ1LJG5NhnJf7G6GNaqdBEGJklxp+4B4IRmUlG7pzlgI+uIjXp5Fz+LbHsPHmkyGDC&#10;5NwpA+4tAo1VDZEzfhQpSxNVWkNzeHDEQR4Rb/mNws92y3x4YA5nAqcH5zzc4yI19DWFYUdJC+7n&#10;W/cRj62KVkp6nLGa+h9b5gQl+qvBJj6v5vM4lOkwP/s0w4N7aVm/tJhtdwXYCxW+KJanbcQHPW6l&#10;g+4Zn4NVjIomZjjGrikPbjxchTz7+KBwsVolGA6iZeHWPFoeyaOqsS2f9s/M2aF3A3b9HYzzyBav&#10;Wjhjo6eB1TaAVKm/j7oOeuMQp8YZHpz4Srw8J9TxWVz+AgAA//8DAFBLAwQUAAYACAAAACEAaJ+L&#10;leAAAAALAQAADwAAAGRycy9kb3ducmV2LnhtbEyPzU7DMBCE70i8g7VIXBB1avMb4lSAhMSlB0qF&#10;OLrxEluN7Sh2k5SnZznBbWd3NPtNtZp9x0YckotBwXJRAMPQRONCq2D7/nJ5ByxlHYzuYkAFR0yw&#10;qk9PKl2aOIU3HDe5ZRQSUqkV2Jz7kvPUWPQ6LWKPgW5fcfA6kxxabgY9UbjvuCiKG+61C/TB6h6f&#10;LTb7zcErWB+lfB0v5H7aOtm6b/759GGjUudn8+MDsIxz/jPDLz6hQ01Mu3gIJrGOtBCCrDRc30pg&#10;5JBXkjY7BWJ5L4HXFf/fof4BAAD//wMAUEsBAi0AFAAGAAgAAAAhALaDOJL+AAAA4QEAABMAAAAA&#10;AAAAAAAAAAAAAAAAAFtDb250ZW50X1R5cGVzXS54bWxQSwECLQAUAAYACAAAACEAOP0h/9YAAACU&#10;AQAACwAAAAAAAAAAAAAAAAAvAQAAX3JlbHMvLnJlbHNQSwECLQAUAAYACAAAACEABqjfnHsCAABe&#10;BQAADgAAAAAAAAAAAAAAAAAuAgAAZHJzL2Uyb0RvYy54bWxQSwECLQAUAAYACAAAACEAaJ+LleAA&#10;AAALAQAADwAAAAAAAAAAAAAAAADVBAAAZHJzL2Rvd25yZXYueG1sUEsFBgAAAAAEAAQA8wAAAOIF&#10;AAAAAA==&#10;" fillcolor="white [3212]" stroked="f" strokeweight="1pt"/>
            </w:pict>
          </mc:Fallback>
        </mc:AlternateContent>
      </w:r>
      <w:r w:rsidR="009A5A81" w:rsidRPr="00770477">
        <w:rPr>
          <w:rFonts w:cs="Times New Roman"/>
          <w:noProof/>
        </w:rPr>
        <w:drawing>
          <wp:inline distT="0" distB="0" distL="0" distR="0" wp14:anchorId="27CFB57E" wp14:editId="090F2A3B">
            <wp:extent cx="5943600" cy="5486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inline>
        </w:drawing>
      </w:r>
    </w:p>
    <w:p w14:paraId="27BA9097" w14:textId="73378CF4" w:rsidR="00A15C4E" w:rsidRPr="00770477" w:rsidRDefault="00A15C4E" w:rsidP="00FF7925">
      <w:pPr>
        <w:pStyle w:val="Caption"/>
        <w:spacing w:line="240" w:lineRule="auto"/>
        <w:rPr>
          <w:rFonts w:cs="Times New Roman"/>
        </w:rPr>
      </w:pPr>
      <w:bookmarkStart w:id="98" w:name="_Ref117865336"/>
      <w:bookmarkStart w:id="99" w:name="_Toc121489502"/>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7</w:t>
      </w:r>
      <w:r w:rsidRPr="00770477">
        <w:rPr>
          <w:rFonts w:cs="Times New Roman"/>
          <w:noProof/>
        </w:rPr>
        <w:fldChar w:fldCharType="end"/>
      </w:r>
      <w:bookmarkEnd w:id="98"/>
      <w:r w:rsidRPr="00770477">
        <w:rPr>
          <w:rFonts w:cs="Times New Roman"/>
        </w:rPr>
        <w:t xml:space="preserve"> Dissolved </w:t>
      </w:r>
      <w:r w:rsidR="006E375F">
        <w:rPr>
          <w:rFonts w:cs="Times New Roman"/>
        </w:rPr>
        <w:t>Al</w:t>
      </w:r>
      <w:r w:rsidR="002269C8">
        <w:rPr>
          <w:rFonts w:cs="Times New Roman"/>
          <w:vertAlign w:val="superscript"/>
        </w:rPr>
        <w:t>+3</w:t>
      </w:r>
      <w:r w:rsidRPr="00770477">
        <w:rPr>
          <w:rFonts w:cs="Times New Roman"/>
        </w:rPr>
        <w:t xml:space="preserve"> removal in vertical column experiments</w:t>
      </w:r>
      <w:r w:rsidR="00F01EF2">
        <w:rPr>
          <w:rFonts w:cs="Times New Roman"/>
        </w:rPr>
        <w:t xml:space="preserve"> as demonstrated by the</w:t>
      </w:r>
      <w:r w:rsidR="003729E5">
        <w:rPr>
          <w:rFonts w:cs="Times New Roman"/>
        </w:rPr>
        <w:t xml:space="preserve"> influent-effluent ratio as defined </w:t>
      </w:r>
      <w:r w:rsidR="0075253F">
        <w:rPr>
          <w:rFonts w:cs="Times New Roman"/>
        </w:rPr>
        <w:t>by effluent</w:t>
      </w:r>
      <w:r w:rsidR="003729E5">
        <w:rPr>
          <w:rFonts w:cs="Times New Roman"/>
        </w:rPr>
        <w:t xml:space="preserve"> concentration (</w:t>
      </w:r>
      <w:proofErr w:type="spellStart"/>
      <w:r w:rsidR="003729E5">
        <w:rPr>
          <w:rFonts w:cs="Times New Roman"/>
        </w:rPr>
        <w:t>C</w:t>
      </w:r>
      <w:r w:rsidR="003729E5">
        <w:rPr>
          <w:rFonts w:cs="Times New Roman"/>
          <w:vertAlign w:val="subscript"/>
        </w:rPr>
        <w:t>eff</w:t>
      </w:r>
      <w:proofErr w:type="spellEnd"/>
      <w:r w:rsidR="003729E5">
        <w:rPr>
          <w:rFonts w:cs="Times New Roman"/>
        </w:rPr>
        <w:t>) divided by influent concentration (</w:t>
      </w:r>
      <w:proofErr w:type="spellStart"/>
      <w:r w:rsidR="003729E5">
        <w:rPr>
          <w:rFonts w:cs="Times New Roman"/>
        </w:rPr>
        <w:t>C</w:t>
      </w:r>
      <w:r w:rsidR="003729E5">
        <w:rPr>
          <w:rFonts w:cs="Times New Roman"/>
          <w:vertAlign w:val="subscript"/>
        </w:rPr>
        <w:t>in</w:t>
      </w:r>
      <w:proofErr w:type="spellEnd"/>
      <w:r w:rsidR="003729E5">
        <w:rPr>
          <w:rFonts w:cs="Times New Roman"/>
        </w:rPr>
        <w:t xml:space="preserve">) and plotted against </w:t>
      </w:r>
      <w:r w:rsidR="0075253F">
        <w:rPr>
          <w:rFonts w:cs="Times New Roman"/>
        </w:rPr>
        <w:t>pore volumes passed.</w:t>
      </w:r>
      <w:r w:rsidR="000F26B4" w:rsidRPr="00770477">
        <w:rPr>
          <w:rFonts w:cs="Times New Roman"/>
        </w:rPr>
        <w:t xml:space="preserve"> </w:t>
      </w:r>
      <w:r w:rsidR="00E9245B">
        <w:rPr>
          <w:rFonts w:cs="Times New Roman"/>
        </w:rPr>
        <w:t>Aggregated f</w:t>
      </w:r>
      <w:r w:rsidR="000F26B4" w:rsidRPr="00770477">
        <w:rPr>
          <w:rFonts w:cs="Times New Roman"/>
        </w:rPr>
        <w:t xml:space="preserve">ly ash and steel slag is not shown </w:t>
      </w:r>
      <w:r w:rsidR="006D03F6" w:rsidRPr="00770477">
        <w:rPr>
          <w:rFonts w:cs="Times New Roman"/>
        </w:rPr>
        <w:t xml:space="preserve">due to </w:t>
      </w:r>
      <w:r w:rsidR="006E375F">
        <w:rPr>
          <w:rFonts w:cs="Times New Roman"/>
        </w:rPr>
        <w:t>Al</w:t>
      </w:r>
      <w:r w:rsidR="006E375F" w:rsidRPr="002269C8">
        <w:rPr>
          <w:rFonts w:cs="Times New Roman"/>
          <w:vertAlign w:val="superscript"/>
        </w:rPr>
        <w:t>+3</w:t>
      </w:r>
      <w:r w:rsidR="006D03F6" w:rsidRPr="00770477">
        <w:rPr>
          <w:rFonts w:cs="Times New Roman"/>
        </w:rPr>
        <w:t xml:space="preserve"> leaching which places IE ratio values outside the </w:t>
      </w:r>
      <w:r w:rsidR="00D3577D" w:rsidRPr="00770477">
        <w:rPr>
          <w:rFonts w:cs="Times New Roman"/>
        </w:rPr>
        <w:t>range of 0.0 – 2.0.</w:t>
      </w:r>
      <w:bookmarkEnd w:id="99"/>
      <w:r w:rsidR="00D3577D" w:rsidRPr="00770477">
        <w:rPr>
          <w:rFonts w:cs="Times New Roman"/>
        </w:rPr>
        <w:t xml:space="preserve"> </w:t>
      </w:r>
    </w:p>
    <w:p w14:paraId="7EA1E87A" w14:textId="37A6D520" w:rsidR="00212068" w:rsidRPr="00770477" w:rsidRDefault="00A15C4E" w:rsidP="00A15C4E">
      <w:pPr>
        <w:spacing w:line="240" w:lineRule="auto"/>
        <w:rPr>
          <w:rFonts w:cs="Times New Roman"/>
          <w:i/>
          <w:iCs/>
          <w:color w:val="44546A" w:themeColor="text2"/>
          <w:sz w:val="18"/>
          <w:szCs w:val="18"/>
        </w:rPr>
      </w:pPr>
      <w:r w:rsidRPr="00770477">
        <w:rPr>
          <w:rFonts w:cs="Times New Roman"/>
        </w:rPr>
        <w:br w:type="page"/>
      </w:r>
    </w:p>
    <w:p w14:paraId="7A831BDA" w14:textId="00576BA8" w:rsidR="003C7374" w:rsidRPr="00770477" w:rsidRDefault="003C7374" w:rsidP="003C7374">
      <w:pPr>
        <w:pStyle w:val="Heading4"/>
        <w:rPr>
          <w:rFonts w:ascii="Times New Roman" w:hAnsi="Times New Roman" w:cs="Times New Roman"/>
        </w:rPr>
      </w:pPr>
      <w:bookmarkStart w:id="100" w:name="_Toc121496008"/>
      <w:r w:rsidRPr="00770477">
        <w:rPr>
          <w:rFonts w:ascii="Times New Roman" w:hAnsi="Times New Roman" w:cs="Times New Roman"/>
        </w:rPr>
        <w:lastRenderedPageBreak/>
        <w:t>Arsenic (As)</w:t>
      </w:r>
      <w:bookmarkEnd w:id="100"/>
    </w:p>
    <w:p w14:paraId="145695EB" w14:textId="11078DEF" w:rsidR="00A84312" w:rsidRPr="00770477" w:rsidRDefault="00855856" w:rsidP="00A84312">
      <w:pPr>
        <w:ind w:firstLine="720"/>
        <w:rPr>
          <w:rFonts w:cs="Times New Roman"/>
        </w:rPr>
      </w:pPr>
      <w:r>
        <w:rPr>
          <w:rFonts w:cs="Times New Roman"/>
        </w:rPr>
        <w:t>As</w:t>
      </w:r>
      <w:r w:rsidRPr="009E5089">
        <w:rPr>
          <w:rFonts w:cs="Times New Roman"/>
          <w:vertAlign w:val="superscript"/>
        </w:rPr>
        <w:t>+5</w:t>
      </w:r>
      <w:r w:rsidR="00F750E8" w:rsidRPr="00770477">
        <w:rPr>
          <w:rFonts w:cs="Times New Roman"/>
        </w:rPr>
        <w:t xml:space="preserve"> removal</w:t>
      </w:r>
      <w:r w:rsidR="00C756AF" w:rsidRPr="00770477">
        <w:rPr>
          <w:rFonts w:cs="Times New Roman"/>
        </w:rPr>
        <w:t xml:space="preserve"> (</w:t>
      </w:r>
      <w:r w:rsidR="00251C15" w:rsidRPr="00770477">
        <w:rPr>
          <w:rFonts w:cs="Times New Roman"/>
        </w:rPr>
        <w:fldChar w:fldCharType="begin"/>
      </w:r>
      <w:r w:rsidR="00251C15" w:rsidRPr="00770477">
        <w:rPr>
          <w:rFonts w:cs="Times New Roman"/>
        </w:rPr>
        <w:instrText xml:space="preserve"> REF _Ref117865462 \h </w:instrText>
      </w:r>
      <w:r w:rsidR="00770477">
        <w:rPr>
          <w:rFonts w:cs="Times New Roman"/>
        </w:rPr>
        <w:instrText xml:space="preserve"> \* MERGEFORMAT </w:instrText>
      </w:r>
      <w:r w:rsidR="00251C15" w:rsidRPr="00770477">
        <w:rPr>
          <w:rFonts w:cs="Times New Roman"/>
        </w:rPr>
      </w:r>
      <w:r w:rsidR="00251C15"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8</w:t>
      </w:r>
      <w:r w:rsidR="00251C15" w:rsidRPr="00770477">
        <w:rPr>
          <w:rFonts w:cs="Times New Roman"/>
        </w:rPr>
        <w:fldChar w:fldCharType="end"/>
      </w:r>
      <w:r w:rsidR="00251C15" w:rsidRPr="00770477">
        <w:rPr>
          <w:rFonts w:cs="Times New Roman"/>
        </w:rPr>
        <w:t xml:space="preserve">) </w:t>
      </w:r>
      <w:r w:rsidR="002748F8" w:rsidRPr="00770477">
        <w:rPr>
          <w:rFonts w:cs="Times New Roman"/>
        </w:rPr>
        <w:t>for all 6 media followed a very similar trend with no one med</w:t>
      </w:r>
      <w:r w:rsidR="009A3D88" w:rsidRPr="00770477">
        <w:rPr>
          <w:rFonts w:cs="Times New Roman"/>
        </w:rPr>
        <w:t xml:space="preserve">ium standing out as outperforming the </w:t>
      </w:r>
      <w:r w:rsidR="007675BA" w:rsidRPr="00770477">
        <w:rPr>
          <w:rFonts w:cs="Times New Roman"/>
        </w:rPr>
        <w:t>group</w:t>
      </w:r>
      <w:r w:rsidR="0071258A" w:rsidRPr="00770477">
        <w:rPr>
          <w:rFonts w:cs="Times New Roman"/>
        </w:rPr>
        <w:t xml:space="preserve"> (p</w:t>
      </w:r>
      <w:r w:rsidR="003F446B" w:rsidRPr="00770477">
        <w:rPr>
          <w:rFonts w:cs="Times New Roman"/>
        </w:rPr>
        <w:t xml:space="preserve"> = 0.12 – 0.99 and </w:t>
      </w:r>
      <w:r w:rsidR="00AE6F6F" w:rsidRPr="00770477">
        <w:rPr>
          <w:rFonts w:cs="Times New Roman"/>
        </w:rPr>
        <w:t xml:space="preserve">only small biochar and small </w:t>
      </w:r>
      <w:r w:rsidR="00E9245B">
        <w:rPr>
          <w:rFonts w:cs="Times New Roman"/>
        </w:rPr>
        <w:t>aggregated fly ash</w:t>
      </w:r>
      <w:r w:rsidR="00AE6F6F" w:rsidRPr="00770477">
        <w:rPr>
          <w:rFonts w:cs="Times New Roman"/>
        </w:rPr>
        <w:t xml:space="preserve"> significantly different from one another with two model parameters </w:t>
      </w:r>
      <w:r w:rsidR="000A5A4C" w:rsidRPr="00770477">
        <w:rPr>
          <w:rFonts w:cs="Times New Roman"/>
        </w:rPr>
        <w:t>with p &lt; 0.05</w:t>
      </w:r>
      <w:r w:rsidR="0035542F" w:rsidRPr="00770477">
        <w:rPr>
          <w:rFonts w:cs="Times New Roman"/>
        </w:rPr>
        <w:t>)</w:t>
      </w:r>
      <w:r w:rsidR="009A3D88" w:rsidRPr="00770477">
        <w:rPr>
          <w:rFonts w:cs="Times New Roman"/>
        </w:rPr>
        <w:t xml:space="preserve">. Initial removal ranged from around </w:t>
      </w:r>
      <w:r w:rsidR="00084E77" w:rsidRPr="00770477">
        <w:rPr>
          <w:rFonts w:cs="Times New Roman"/>
        </w:rPr>
        <w:t>20% removal (</w:t>
      </w:r>
      <w:r w:rsidR="0035542F" w:rsidRPr="00770477">
        <w:rPr>
          <w:rFonts w:cs="Times New Roman"/>
        </w:rPr>
        <w:t xml:space="preserve">large and small </w:t>
      </w:r>
      <w:r w:rsidR="00084E77" w:rsidRPr="00770477">
        <w:rPr>
          <w:rFonts w:cs="Times New Roman"/>
        </w:rPr>
        <w:t>biochar) to around 50% (</w:t>
      </w:r>
      <w:r w:rsidR="0035542F" w:rsidRPr="00770477">
        <w:rPr>
          <w:rFonts w:cs="Times New Roman"/>
        </w:rPr>
        <w:t xml:space="preserve">large and small </w:t>
      </w:r>
      <w:r w:rsidR="00084E77" w:rsidRPr="00770477">
        <w:rPr>
          <w:rFonts w:cs="Times New Roman"/>
        </w:rPr>
        <w:t xml:space="preserve">steel slag). </w:t>
      </w:r>
      <w:proofErr w:type="gramStart"/>
      <w:r w:rsidR="00263564" w:rsidRPr="00770477">
        <w:rPr>
          <w:rFonts w:cs="Times New Roman"/>
        </w:rPr>
        <w:t xml:space="preserve">Large </w:t>
      </w:r>
      <w:r w:rsidR="00E9245B">
        <w:rPr>
          <w:rFonts w:cs="Times New Roman"/>
        </w:rPr>
        <w:t>aggregated</w:t>
      </w:r>
      <w:proofErr w:type="gramEnd"/>
      <w:r w:rsidR="00E9245B">
        <w:rPr>
          <w:rFonts w:cs="Times New Roman"/>
        </w:rPr>
        <w:t xml:space="preserve"> fly ash</w:t>
      </w:r>
      <w:r w:rsidR="00263564" w:rsidRPr="00770477">
        <w:rPr>
          <w:rFonts w:cs="Times New Roman"/>
        </w:rPr>
        <w:t xml:space="preserve"> and small steel slag </w:t>
      </w:r>
      <w:r w:rsidR="00921B82" w:rsidRPr="00770477">
        <w:rPr>
          <w:rFonts w:cs="Times New Roman"/>
        </w:rPr>
        <w:t>reached</w:t>
      </w:r>
      <w:r w:rsidR="00AD05D4" w:rsidRPr="00770477">
        <w:rPr>
          <w:rFonts w:cs="Times New Roman"/>
        </w:rPr>
        <w:t xml:space="preserve"> an asymptote of ~0.85 indicating 15% </w:t>
      </w:r>
      <w:r>
        <w:rPr>
          <w:rFonts w:cs="Times New Roman"/>
        </w:rPr>
        <w:t>As</w:t>
      </w:r>
      <w:r w:rsidRPr="009E5089">
        <w:rPr>
          <w:rFonts w:cs="Times New Roman"/>
          <w:vertAlign w:val="superscript"/>
        </w:rPr>
        <w:t>+5</w:t>
      </w:r>
      <w:r w:rsidR="00C66B8B" w:rsidRPr="00770477">
        <w:rPr>
          <w:rFonts w:cs="Times New Roman"/>
        </w:rPr>
        <w:t xml:space="preserve"> removal</w:t>
      </w:r>
      <w:r w:rsidR="7DAB66F6" w:rsidRPr="00770477">
        <w:rPr>
          <w:rFonts w:cs="Times New Roman"/>
        </w:rPr>
        <w:t xml:space="preserve"> after </w:t>
      </w:r>
      <w:r w:rsidR="005868DD" w:rsidRPr="00770477">
        <w:rPr>
          <w:rFonts w:cs="Times New Roman"/>
        </w:rPr>
        <w:t>approximately 270</w:t>
      </w:r>
      <w:r w:rsidR="7DAB66F6" w:rsidRPr="00770477">
        <w:rPr>
          <w:rFonts w:cs="Times New Roman"/>
        </w:rPr>
        <w:t xml:space="preserve"> pore volumes</w:t>
      </w:r>
      <w:r w:rsidR="00C66B8B" w:rsidRPr="00770477">
        <w:rPr>
          <w:rFonts w:cs="Times New Roman"/>
        </w:rPr>
        <w:t xml:space="preserve">. Fixing the asymptote to 1 for these two media </w:t>
      </w:r>
      <w:r w:rsidR="00B77436" w:rsidRPr="00770477">
        <w:rPr>
          <w:rFonts w:cs="Times New Roman"/>
        </w:rPr>
        <w:t>predict</w:t>
      </w:r>
      <w:r w:rsidR="001B1628" w:rsidRPr="00770477">
        <w:rPr>
          <w:rFonts w:cs="Times New Roman"/>
        </w:rPr>
        <w:t>s</w:t>
      </w:r>
      <w:r w:rsidR="00B77436" w:rsidRPr="00770477">
        <w:rPr>
          <w:rFonts w:cs="Times New Roman"/>
        </w:rPr>
        <w:t xml:space="preserve"> exhaustion at </w:t>
      </w:r>
      <w:r w:rsidR="00E97D68" w:rsidRPr="00770477">
        <w:rPr>
          <w:rFonts w:cs="Times New Roman"/>
        </w:rPr>
        <w:t xml:space="preserve">840 pore volumes for small steel slag and 1575 pore volumes for </w:t>
      </w:r>
      <w:proofErr w:type="gramStart"/>
      <w:r w:rsidR="00E97D68" w:rsidRPr="00770477">
        <w:rPr>
          <w:rFonts w:cs="Times New Roman"/>
        </w:rPr>
        <w:t xml:space="preserve">large </w:t>
      </w:r>
      <w:r w:rsidR="00E9245B">
        <w:rPr>
          <w:rFonts w:cs="Times New Roman"/>
        </w:rPr>
        <w:t>aggregated</w:t>
      </w:r>
      <w:proofErr w:type="gramEnd"/>
      <w:r w:rsidR="00E9245B">
        <w:rPr>
          <w:rFonts w:cs="Times New Roman"/>
        </w:rPr>
        <w:t xml:space="preserve"> fly ash</w:t>
      </w:r>
      <w:r w:rsidR="00E97D68" w:rsidRPr="00770477">
        <w:rPr>
          <w:rFonts w:cs="Times New Roman"/>
        </w:rPr>
        <w:t xml:space="preserve">. </w:t>
      </w:r>
      <w:r w:rsidR="00755E9D" w:rsidRPr="00770477">
        <w:rPr>
          <w:rFonts w:cs="Times New Roman"/>
        </w:rPr>
        <w:t xml:space="preserve">All other </w:t>
      </w:r>
      <w:proofErr w:type="gramStart"/>
      <w:r w:rsidR="00755E9D" w:rsidRPr="00770477">
        <w:rPr>
          <w:rFonts w:cs="Times New Roman"/>
        </w:rPr>
        <w:t>media  tapered</w:t>
      </w:r>
      <w:proofErr w:type="gramEnd"/>
      <w:r w:rsidR="00755E9D" w:rsidRPr="00770477">
        <w:rPr>
          <w:rFonts w:cs="Times New Roman"/>
        </w:rPr>
        <w:t xml:space="preserve"> off and achieved an upper asymptote that was within 0.05 of an IE ratio of 1.0.</w:t>
      </w:r>
    </w:p>
    <w:p w14:paraId="30549DDA" w14:textId="77777777" w:rsidR="00586147" w:rsidRPr="00770477" w:rsidRDefault="00586147" w:rsidP="00A84312">
      <w:pPr>
        <w:ind w:firstLine="720"/>
        <w:rPr>
          <w:rFonts w:cs="Times New Roman"/>
        </w:rPr>
      </w:pPr>
    </w:p>
    <w:p w14:paraId="01071D81" w14:textId="24357D71" w:rsidR="00212068" w:rsidRPr="00770477" w:rsidRDefault="00A84312" w:rsidP="00A84312">
      <w:pPr>
        <w:spacing w:line="240" w:lineRule="auto"/>
        <w:rPr>
          <w:rFonts w:cs="Times New Roman"/>
        </w:rPr>
      </w:pPr>
      <w:r w:rsidRPr="00770477">
        <w:rPr>
          <w:rFonts w:cs="Times New Roman"/>
        </w:rPr>
        <w:br w:type="page"/>
      </w:r>
    </w:p>
    <w:p w14:paraId="01FF4402" w14:textId="77777777" w:rsidR="00A84312" w:rsidRPr="00770477" w:rsidRDefault="00A84312" w:rsidP="00A84312">
      <w:pPr>
        <w:keepNext/>
        <w:rPr>
          <w:rFonts w:cs="Times New Roman"/>
        </w:rPr>
      </w:pPr>
      <w:r w:rsidRPr="00770477">
        <w:rPr>
          <w:rFonts w:cs="Times New Roman"/>
          <w:noProof/>
        </w:rPr>
        <w:lastRenderedPageBreak/>
        <w:drawing>
          <wp:inline distT="0" distB="0" distL="0" distR="0" wp14:anchorId="6D217579" wp14:editId="71870DBF">
            <wp:extent cx="5943600" cy="5486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inline>
        </w:drawing>
      </w:r>
    </w:p>
    <w:p w14:paraId="7930A41F" w14:textId="4DCDADF2" w:rsidR="00A84312" w:rsidRPr="00770477" w:rsidRDefault="00A84312" w:rsidP="00AE1144">
      <w:pPr>
        <w:pStyle w:val="Caption"/>
        <w:spacing w:line="240" w:lineRule="auto"/>
        <w:rPr>
          <w:rFonts w:cs="Times New Roman"/>
        </w:rPr>
      </w:pPr>
      <w:bookmarkStart w:id="101" w:name="_Ref117865462"/>
      <w:bookmarkStart w:id="102" w:name="_Toc121489503"/>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8</w:t>
      </w:r>
      <w:r w:rsidRPr="00770477">
        <w:rPr>
          <w:rFonts w:cs="Times New Roman"/>
          <w:noProof/>
        </w:rPr>
        <w:fldChar w:fldCharType="end"/>
      </w:r>
      <w:bookmarkEnd w:id="101"/>
      <w:r w:rsidRPr="00770477">
        <w:rPr>
          <w:rFonts w:cs="Times New Roman"/>
        </w:rPr>
        <w:t xml:space="preserve"> Dissolved </w:t>
      </w:r>
      <w:r w:rsidR="00866AB7">
        <w:rPr>
          <w:rFonts w:cs="Times New Roman"/>
        </w:rPr>
        <w:t>As</w:t>
      </w:r>
      <w:r w:rsidR="00866AB7" w:rsidRPr="009E5089">
        <w:rPr>
          <w:rFonts w:cs="Times New Roman"/>
          <w:vertAlign w:val="superscript"/>
        </w:rPr>
        <w:t>+5</w:t>
      </w:r>
      <w:r w:rsidRPr="00770477">
        <w:rPr>
          <w:rFonts w:cs="Times New Roman"/>
        </w:rPr>
        <w:t xml:space="preserve"> removal in vertical column experiments</w:t>
      </w:r>
      <w:r w:rsidR="0075253F" w:rsidRPr="0075253F">
        <w:rPr>
          <w:rFonts w:cs="Times New Roman"/>
        </w:rPr>
        <w:t xml:space="preserve"> </w:t>
      </w:r>
      <w:r w:rsidR="0075253F">
        <w:rPr>
          <w:rFonts w:cs="Times New Roman"/>
        </w:rPr>
        <w:t>as demonstrated by the influent-effluent ratio as defined by effluent concentration (</w:t>
      </w:r>
      <w:proofErr w:type="spellStart"/>
      <w:r w:rsidR="0075253F">
        <w:rPr>
          <w:rFonts w:cs="Times New Roman"/>
        </w:rPr>
        <w:t>C</w:t>
      </w:r>
      <w:r w:rsidR="0075253F">
        <w:rPr>
          <w:rFonts w:cs="Times New Roman"/>
          <w:vertAlign w:val="subscript"/>
        </w:rPr>
        <w:t>eff</w:t>
      </w:r>
      <w:proofErr w:type="spellEnd"/>
      <w:r w:rsidR="0075253F">
        <w:rPr>
          <w:rFonts w:cs="Times New Roman"/>
        </w:rPr>
        <w:t>) divided by influent concentration (</w:t>
      </w:r>
      <w:proofErr w:type="spellStart"/>
      <w:r w:rsidR="0075253F">
        <w:rPr>
          <w:rFonts w:cs="Times New Roman"/>
        </w:rPr>
        <w:t>C</w:t>
      </w:r>
      <w:r w:rsidR="0075253F">
        <w:rPr>
          <w:rFonts w:cs="Times New Roman"/>
          <w:vertAlign w:val="subscript"/>
        </w:rPr>
        <w:t>in</w:t>
      </w:r>
      <w:proofErr w:type="spellEnd"/>
      <w:r w:rsidR="0075253F">
        <w:rPr>
          <w:rFonts w:cs="Times New Roman"/>
        </w:rPr>
        <w:t>) and plotted against pore volumes passed.</w:t>
      </w:r>
      <w:bookmarkEnd w:id="102"/>
    </w:p>
    <w:p w14:paraId="0D43C3AC" w14:textId="32A2A714" w:rsidR="00A84312" w:rsidRPr="00770477" w:rsidRDefault="00A84312" w:rsidP="00A84312">
      <w:pPr>
        <w:spacing w:line="240" w:lineRule="auto"/>
        <w:rPr>
          <w:rFonts w:cs="Times New Roman"/>
          <w:i/>
          <w:iCs/>
          <w:color w:val="44546A" w:themeColor="text2"/>
          <w:sz w:val="18"/>
          <w:szCs w:val="18"/>
        </w:rPr>
      </w:pPr>
      <w:r w:rsidRPr="00770477">
        <w:rPr>
          <w:rFonts w:cs="Times New Roman"/>
        </w:rPr>
        <w:br w:type="page"/>
      </w:r>
    </w:p>
    <w:p w14:paraId="393521E0" w14:textId="43FC5648" w:rsidR="003C7374" w:rsidRPr="00770477" w:rsidRDefault="003C7374" w:rsidP="003C7374">
      <w:pPr>
        <w:pStyle w:val="Heading4"/>
        <w:rPr>
          <w:rFonts w:ascii="Times New Roman" w:hAnsi="Times New Roman" w:cs="Times New Roman"/>
        </w:rPr>
      </w:pPr>
      <w:bookmarkStart w:id="103" w:name="_Toc121496009"/>
      <w:r w:rsidRPr="00770477">
        <w:rPr>
          <w:rFonts w:ascii="Times New Roman" w:hAnsi="Times New Roman" w:cs="Times New Roman"/>
        </w:rPr>
        <w:lastRenderedPageBreak/>
        <w:t>Ber</w:t>
      </w:r>
      <w:r w:rsidR="00D25FD7" w:rsidRPr="00770477">
        <w:rPr>
          <w:rFonts w:ascii="Times New Roman" w:hAnsi="Times New Roman" w:cs="Times New Roman"/>
        </w:rPr>
        <w:t>yllium (Be)</w:t>
      </w:r>
      <w:bookmarkEnd w:id="103"/>
    </w:p>
    <w:p w14:paraId="79371DED" w14:textId="7F0A2D83" w:rsidR="00A84312" w:rsidRPr="00770477" w:rsidRDefault="006672E2" w:rsidP="00212068">
      <w:pPr>
        <w:ind w:firstLine="720"/>
        <w:rPr>
          <w:rFonts w:cs="Times New Roman"/>
        </w:rPr>
      </w:pPr>
      <w:r w:rsidRPr="00770477">
        <w:rPr>
          <w:rFonts w:cs="Times New Roman"/>
        </w:rPr>
        <w:t>Be</w:t>
      </w:r>
      <w:r w:rsidR="005804E9" w:rsidRPr="00770477">
        <w:rPr>
          <w:rFonts w:cs="Times New Roman"/>
        </w:rPr>
        <w:t>ryllium (Be)</w:t>
      </w:r>
      <w:r w:rsidRPr="00770477">
        <w:rPr>
          <w:rFonts w:cs="Times New Roman"/>
        </w:rPr>
        <w:t xml:space="preserve"> showed more </w:t>
      </w:r>
      <w:r w:rsidR="2304AA2D" w:rsidRPr="00770477">
        <w:rPr>
          <w:rFonts w:cs="Times New Roman"/>
        </w:rPr>
        <w:t xml:space="preserve">a wider range of </w:t>
      </w:r>
      <w:r w:rsidRPr="00770477">
        <w:rPr>
          <w:rFonts w:cs="Times New Roman"/>
        </w:rPr>
        <w:t xml:space="preserve">results </w:t>
      </w:r>
      <w:r w:rsidR="7E53E105" w:rsidRPr="00770477">
        <w:rPr>
          <w:rFonts w:cs="Times New Roman"/>
        </w:rPr>
        <w:t>than Al,</w:t>
      </w:r>
      <w:r w:rsidRPr="00770477">
        <w:rPr>
          <w:rFonts w:cs="Times New Roman"/>
        </w:rPr>
        <w:t xml:space="preserve"> with a variety of trends and removal efficiencies observed</w:t>
      </w:r>
      <w:r w:rsidR="000B7587" w:rsidRPr="00770477">
        <w:rPr>
          <w:rFonts w:cs="Times New Roman"/>
        </w:rPr>
        <w:t xml:space="preserve"> (</w:t>
      </w:r>
      <w:r w:rsidR="00AC0E68" w:rsidRPr="00770477">
        <w:rPr>
          <w:rFonts w:cs="Times New Roman"/>
        </w:rPr>
        <w:fldChar w:fldCharType="begin"/>
      </w:r>
      <w:r w:rsidR="00AC0E68" w:rsidRPr="00770477">
        <w:rPr>
          <w:rFonts w:cs="Times New Roman"/>
        </w:rPr>
        <w:instrText xml:space="preserve"> REF _Ref117865517 \h </w:instrText>
      </w:r>
      <w:r w:rsidR="00770477">
        <w:rPr>
          <w:rFonts w:cs="Times New Roman"/>
        </w:rPr>
        <w:instrText xml:space="preserve"> \* MERGEFORMAT </w:instrText>
      </w:r>
      <w:r w:rsidR="00AC0E68" w:rsidRPr="00770477">
        <w:rPr>
          <w:rFonts w:cs="Times New Roman"/>
        </w:rPr>
      </w:r>
      <w:r w:rsidR="00AC0E68"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9</w:t>
      </w:r>
      <w:r w:rsidR="00AC0E68" w:rsidRPr="00770477">
        <w:rPr>
          <w:rFonts w:cs="Times New Roman"/>
        </w:rPr>
        <w:fldChar w:fldCharType="end"/>
      </w:r>
      <w:r w:rsidR="000B7587" w:rsidRPr="00770477">
        <w:rPr>
          <w:rFonts w:cs="Times New Roman"/>
        </w:rPr>
        <w:t>)</w:t>
      </w:r>
      <w:r w:rsidRPr="00770477">
        <w:rPr>
          <w:rFonts w:cs="Times New Roman"/>
        </w:rPr>
        <w:t xml:space="preserve">. </w:t>
      </w:r>
      <w:r w:rsidR="000D1B33" w:rsidRPr="00770477">
        <w:rPr>
          <w:rFonts w:cs="Times New Roman"/>
        </w:rPr>
        <w:t xml:space="preserve">Large steel slag was the only </w:t>
      </w:r>
      <w:r w:rsidR="00CF71A0" w:rsidRPr="00770477">
        <w:rPr>
          <w:rFonts w:cs="Times New Roman"/>
        </w:rPr>
        <w:t xml:space="preserve">model which was significantly </w:t>
      </w:r>
      <w:r w:rsidR="004B47CB" w:rsidRPr="00770477">
        <w:rPr>
          <w:rFonts w:cs="Times New Roman"/>
        </w:rPr>
        <w:t>unique</w:t>
      </w:r>
      <w:r w:rsidR="00CF71A0" w:rsidRPr="00770477">
        <w:rPr>
          <w:rFonts w:cs="Times New Roman"/>
        </w:rPr>
        <w:t xml:space="preserve"> </w:t>
      </w:r>
      <w:r w:rsidR="004B47CB" w:rsidRPr="00770477">
        <w:rPr>
          <w:rFonts w:cs="Times New Roman"/>
        </w:rPr>
        <w:t xml:space="preserve">compared to all the </w:t>
      </w:r>
      <w:r w:rsidR="00E25378" w:rsidRPr="00770477">
        <w:rPr>
          <w:rFonts w:cs="Times New Roman"/>
        </w:rPr>
        <w:t>vertical column results (p = 0.03).</w:t>
      </w:r>
      <w:r w:rsidR="00D2710E" w:rsidRPr="00770477">
        <w:rPr>
          <w:rFonts w:cs="Times New Roman"/>
        </w:rPr>
        <w:t xml:space="preserve"> Initial </w:t>
      </w:r>
      <w:r w:rsidR="005D5109">
        <w:rPr>
          <w:rFonts w:cs="Times New Roman"/>
        </w:rPr>
        <w:t>Be</w:t>
      </w:r>
      <w:r w:rsidR="005D5109" w:rsidRPr="001B5ACC">
        <w:rPr>
          <w:rFonts w:cs="Times New Roman"/>
          <w:vertAlign w:val="superscript"/>
        </w:rPr>
        <w:t>+2</w:t>
      </w:r>
      <w:r w:rsidR="00D2710E" w:rsidRPr="00770477">
        <w:rPr>
          <w:rFonts w:cs="Times New Roman"/>
        </w:rPr>
        <w:t xml:space="preserve"> removal by large steel slag was around 55% and resulted in an upper IE ratio asymptote </w:t>
      </w:r>
      <w:r w:rsidR="00E5367F" w:rsidRPr="00770477">
        <w:rPr>
          <w:rFonts w:cs="Times New Roman"/>
        </w:rPr>
        <w:t xml:space="preserve">of 0.85. </w:t>
      </w:r>
      <w:r w:rsidR="00464304" w:rsidRPr="00770477">
        <w:rPr>
          <w:rFonts w:cs="Times New Roman"/>
        </w:rPr>
        <w:t xml:space="preserve">When the upper IE ratio asymptote is fixed to 1, the new model predicts </w:t>
      </w:r>
      <w:r w:rsidR="004C313E" w:rsidRPr="00770477">
        <w:rPr>
          <w:rFonts w:cs="Times New Roman"/>
        </w:rPr>
        <w:t>an exhaustion at 810 pore volumes.</w:t>
      </w:r>
      <w:r w:rsidR="00CF71A0" w:rsidRPr="00770477">
        <w:rPr>
          <w:rFonts w:cs="Times New Roman"/>
        </w:rPr>
        <w:t xml:space="preserve"> </w:t>
      </w:r>
      <w:r w:rsidR="009E5AF1" w:rsidRPr="00770477">
        <w:rPr>
          <w:rFonts w:cs="Times New Roman"/>
        </w:rPr>
        <w:t xml:space="preserve">Although not significantly so, </w:t>
      </w:r>
      <w:proofErr w:type="gramStart"/>
      <w:r w:rsidR="009E5AF1" w:rsidRPr="00770477">
        <w:rPr>
          <w:rFonts w:cs="Times New Roman"/>
        </w:rPr>
        <w:t>l</w:t>
      </w:r>
      <w:r w:rsidR="00A35210" w:rsidRPr="00770477">
        <w:rPr>
          <w:rFonts w:cs="Times New Roman"/>
        </w:rPr>
        <w:t xml:space="preserve">arge </w:t>
      </w:r>
      <w:r w:rsidR="00E9245B">
        <w:rPr>
          <w:rFonts w:cs="Times New Roman"/>
        </w:rPr>
        <w:t>aggregated</w:t>
      </w:r>
      <w:proofErr w:type="gramEnd"/>
      <w:r w:rsidR="00E9245B">
        <w:rPr>
          <w:rFonts w:cs="Times New Roman"/>
        </w:rPr>
        <w:t xml:space="preserve"> fly ash</w:t>
      </w:r>
      <w:r w:rsidR="00A35210" w:rsidRPr="00770477">
        <w:rPr>
          <w:rFonts w:cs="Times New Roman"/>
        </w:rPr>
        <w:t xml:space="preserve"> </w:t>
      </w:r>
      <w:r w:rsidR="00C01674" w:rsidRPr="00770477">
        <w:rPr>
          <w:rFonts w:cs="Times New Roman"/>
        </w:rPr>
        <w:t xml:space="preserve">appeared to </w:t>
      </w:r>
      <w:r w:rsidR="7DCF5643" w:rsidRPr="00770477">
        <w:rPr>
          <w:rFonts w:cs="Times New Roman"/>
        </w:rPr>
        <w:t xml:space="preserve">initially </w:t>
      </w:r>
      <w:r w:rsidR="008557D3" w:rsidRPr="00770477">
        <w:rPr>
          <w:rFonts w:cs="Times New Roman"/>
        </w:rPr>
        <w:t>remove</w:t>
      </w:r>
      <w:r w:rsidR="00F2030A" w:rsidRPr="00770477">
        <w:rPr>
          <w:rFonts w:cs="Times New Roman"/>
        </w:rPr>
        <w:t xml:space="preserve"> </w:t>
      </w:r>
      <w:r w:rsidR="005D5109">
        <w:rPr>
          <w:rFonts w:cs="Times New Roman"/>
        </w:rPr>
        <w:t>Be</w:t>
      </w:r>
      <w:r w:rsidR="005D5109" w:rsidRPr="001B5ACC">
        <w:rPr>
          <w:rFonts w:cs="Times New Roman"/>
          <w:vertAlign w:val="superscript"/>
        </w:rPr>
        <w:t>+2</w:t>
      </w:r>
      <w:r w:rsidR="00F2030A" w:rsidRPr="00770477">
        <w:rPr>
          <w:rFonts w:cs="Times New Roman"/>
        </w:rPr>
        <w:t xml:space="preserve"> well </w:t>
      </w:r>
      <w:r w:rsidR="00511EFB" w:rsidRPr="00770477">
        <w:rPr>
          <w:rFonts w:cs="Times New Roman"/>
        </w:rPr>
        <w:t>(75% after 40 pore volumes passed)</w:t>
      </w:r>
      <w:r w:rsidR="515D58F8" w:rsidRPr="00770477">
        <w:rPr>
          <w:rFonts w:cs="Times New Roman"/>
        </w:rPr>
        <w:t>,</w:t>
      </w:r>
      <w:r w:rsidR="00F2030A" w:rsidRPr="00770477">
        <w:rPr>
          <w:rFonts w:cs="Times New Roman"/>
        </w:rPr>
        <w:t xml:space="preserve"> with a </w:t>
      </w:r>
      <w:r w:rsidR="57C3EF5C" w:rsidRPr="00770477">
        <w:rPr>
          <w:rFonts w:cs="Times New Roman"/>
        </w:rPr>
        <w:t>relatively rapid</w:t>
      </w:r>
      <w:r w:rsidR="00F2030A" w:rsidRPr="00770477">
        <w:rPr>
          <w:rFonts w:cs="Times New Roman"/>
        </w:rPr>
        <w:t xml:space="preserve"> tapering off to exhaustion at around 3</w:t>
      </w:r>
      <w:r w:rsidR="6ABC9F84" w:rsidRPr="00770477">
        <w:rPr>
          <w:rFonts w:cs="Times New Roman"/>
        </w:rPr>
        <w:t>90</w:t>
      </w:r>
      <w:r w:rsidR="00F2030A" w:rsidRPr="00770477">
        <w:rPr>
          <w:rFonts w:cs="Times New Roman"/>
        </w:rPr>
        <w:t xml:space="preserve"> pore volumes.</w:t>
      </w:r>
      <w:r w:rsidR="00355870" w:rsidRPr="00770477">
        <w:rPr>
          <w:rFonts w:cs="Times New Roman"/>
        </w:rPr>
        <w:t xml:space="preserve"> The model predicts that </w:t>
      </w:r>
      <w:proofErr w:type="gramStart"/>
      <w:r w:rsidR="00B301B8" w:rsidRPr="00770477">
        <w:rPr>
          <w:rFonts w:cs="Times New Roman"/>
        </w:rPr>
        <w:t xml:space="preserve">large </w:t>
      </w:r>
      <w:r w:rsidR="00E9245B">
        <w:rPr>
          <w:rFonts w:cs="Times New Roman"/>
        </w:rPr>
        <w:t>aggregated</w:t>
      </w:r>
      <w:proofErr w:type="gramEnd"/>
      <w:r w:rsidR="00E9245B">
        <w:rPr>
          <w:rFonts w:cs="Times New Roman"/>
        </w:rPr>
        <w:t xml:space="preserve"> fly ash</w:t>
      </w:r>
      <w:r w:rsidR="00B301B8" w:rsidRPr="00770477">
        <w:rPr>
          <w:rFonts w:cs="Times New Roman"/>
        </w:rPr>
        <w:t xml:space="preserve"> will go above an IE ratio of 1.0 around 430 pore volumes indicating the later stages </w:t>
      </w:r>
      <w:r w:rsidR="00D234C4" w:rsidRPr="00770477">
        <w:rPr>
          <w:rFonts w:cs="Times New Roman"/>
        </w:rPr>
        <w:t xml:space="preserve">are leaching </w:t>
      </w:r>
      <w:r w:rsidR="001B5ACC">
        <w:rPr>
          <w:rFonts w:cs="Times New Roman"/>
        </w:rPr>
        <w:t>Be</w:t>
      </w:r>
      <w:r w:rsidR="001B5ACC" w:rsidRPr="001B5ACC">
        <w:rPr>
          <w:rFonts w:cs="Times New Roman"/>
          <w:vertAlign w:val="superscript"/>
        </w:rPr>
        <w:t>+2</w:t>
      </w:r>
      <w:r w:rsidR="00D234C4" w:rsidRPr="00770477">
        <w:rPr>
          <w:rFonts w:cs="Times New Roman"/>
        </w:rPr>
        <w:t>.</w:t>
      </w:r>
      <w:r w:rsidR="00F2030A" w:rsidRPr="00770477">
        <w:rPr>
          <w:rFonts w:cs="Times New Roman"/>
        </w:rPr>
        <w:t xml:space="preserve"> </w:t>
      </w:r>
      <w:r w:rsidR="008B3425" w:rsidRPr="00770477">
        <w:rPr>
          <w:rFonts w:cs="Times New Roman"/>
        </w:rPr>
        <w:t xml:space="preserve">Initially </w:t>
      </w:r>
      <w:r w:rsidR="003F7E00" w:rsidRPr="00770477">
        <w:rPr>
          <w:rFonts w:cs="Times New Roman"/>
        </w:rPr>
        <w:t xml:space="preserve">small steel slag removed around 80% of </w:t>
      </w:r>
      <w:r w:rsidR="001B5ACC">
        <w:rPr>
          <w:rFonts w:cs="Times New Roman"/>
        </w:rPr>
        <w:t>Be</w:t>
      </w:r>
      <w:r w:rsidR="001B5ACC" w:rsidRPr="001B5ACC">
        <w:rPr>
          <w:rFonts w:cs="Times New Roman"/>
          <w:vertAlign w:val="superscript"/>
        </w:rPr>
        <w:t>+2</w:t>
      </w:r>
      <w:r w:rsidR="003F7E00" w:rsidRPr="00770477">
        <w:rPr>
          <w:rFonts w:cs="Times New Roman"/>
        </w:rPr>
        <w:t xml:space="preserve"> in solution</w:t>
      </w:r>
      <w:r w:rsidR="00D234C4" w:rsidRPr="00770477">
        <w:rPr>
          <w:rFonts w:cs="Times New Roman"/>
        </w:rPr>
        <w:t xml:space="preserve"> ho</w:t>
      </w:r>
      <w:r w:rsidR="004B2A1A" w:rsidRPr="00770477">
        <w:rPr>
          <w:rFonts w:cs="Times New Roman"/>
        </w:rPr>
        <w:t>wever, b</w:t>
      </w:r>
      <w:r w:rsidR="003F7E00" w:rsidRPr="00770477">
        <w:rPr>
          <w:rFonts w:cs="Times New Roman"/>
        </w:rPr>
        <w:t xml:space="preserve">y the end of the experiment, </w:t>
      </w:r>
      <w:r w:rsidR="00623FF7" w:rsidRPr="00770477">
        <w:rPr>
          <w:rFonts w:cs="Times New Roman"/>
        </w:rPr>
        <w:t>removal was around 25%</w:t>
      </w:r>
      <w:r w:rsidR="004B2A1A" w:rsidRPr="00770477">
        <w:rPr>
          <w:rFonts w:cs="Times New Roman"/>
        </w:rPr>
        <w:t>. T</w:t>
      </w:r>
      <w:r w:rsidR="00623FF7" w:rsidRPr="00770477">
        <w:rPr>
          <w:rFonts w:cs="Times New Roman"/>
        </w:rPr>
        <w:t xml:space="preserve">he </w:t>
      </w:r>
      <w:r w:rsidR="00CA0703" w:rsidRPr="00770477">
        <w:rPr>
          <w:rFonts w:cs="Times New Roman"/>
        </w:rPr>
        <w:t>G</w:t>
      </w:r>
      <w:r w:rsidR="00623FF7" w:rsidRPr="00770477">
        <w:rPr>
          <w:rFonts w:cs="Times New Roman"/>
        </w:rPr>
        <w:t xml:space="preserve">ompertz fit predicts </w:t>
      </w:r>
      <w:r w:rsidR="0049511C" w:rsidRPr="00770477">
        <w:rPr>
          <w:rFonts w:cs="Times New Roman"/>
        </w:rPr>
        <w:t>an upper asymptote</w:t>
      </w:r>
      <w:r w:rsidR="004B2A1A" w:rsidRPr="00770477">
        <w:rPr>
          <w:rFonts w:cs="Times New Roman"/>
        </w:rPr>
        <w:t xml:space="preserve"> for small steel slag</w:t>
      </w:r>
      <w:r w:rsidR="0049511C" w:rsidRPr="00770477">
        <w:rPr>
          <w:rFonts w:cs="Times New Roman"/>
        </w:rPr>
        <w:t xml:space="preserve"> just above an IE ratio of 1 with exhaustion at </w:t>
      </w:r>
      <w:r w:rsidR="7DD6DF41" w:rsidRPr="00770477">
        <w:rPr>
          <w:rFonts w:cs="Times New Roman"/>
        </w:rPr>
        <w:t xml:space="preserve">approximately </w:t>
      </w:r>
      <w:r w:rsidR="0049511C" w:rsidRPr="00770477">
        <w:rPr>
          <w:rFonts w:cs="Times New Roman"/>
        </w:rPr>
        <w:t>133</w:t>
      </w:r>
      <w:r w:rsidR="6F930F08" w:rsidRPr="00770477">
        <w:rPr>
          <w:rFonts w:cs="Times New Roman"/>
        </w:rPr>
        <w:t>0</w:t>
      </w:r>
      <w:r w:rsidR="0049511C" w:rsidRPr="00770477">
        <w:rPr>
          <w:rFonts w:cs="Times New Roman"/>
        </w:rPr>
        <w:t xml:space="preserve"> pore volumes</w:t>
      </w:r>
      <w:r w:rsidR="007C59AB" w:rsidRPr="00770477">
        <w:rPr>
          <w:rFonts w:cs="Times New Roman"/>
        </w:rPr>
        <w:t xml:space="preserve">. The </w:t>
      </w:r>
      <w:r w:rsidR="00845FEB" w:rsidRPr="00770477">
        <w:rPr>
          <w:rFonts w:cs="Times New Roman"/>
        </w:rPr>
        <w:t xml:space="preserve">results </w:t>
      </w:r>
      <w:r w:rsidR="47398E06" w:rsidRPr="00770477">
        <w:rPr>
          <w:rFonts w:cs="Times New Roman"/>
        </w:rPr>
        <w:t xml:space="preserve">from the other materials </w:t>
      </w:r>
      <w:r w:rsidR="008642A3" w:rsidRPr="00770477">
        <w:rPr>
          <w:rFonts w:cs="Times New Roman"/>
        </w:rPr>
        <w:t>reached</w:t>
      </w:r>
      <w:r w:rsidR="00845FEB" w:rsidRPr="00770477">
        <w:rPr>
          <w:rFonts w:cs="Times New Roman"/>
        </w:rPr>
        <w:t xml:space="preserve"> an asymptote within the duration of the experiment. </w:t>
      </w:r>
      <w:r w:rsidR="00AD60F2" w:rsidRPr="00770477">
        <w:rPr>
          <w:rFonts w:cs="Times New Roman"/>
        </w:rPr>
        <w:t>Initial removal was</w:t>
      </w:r>
      <w:r w:rsidR="00B82538" w:rsidRPr="00770477">
        <w:rPr>
          <w:rFonts w:cs="Times New Roman"/>
        </w:rPr>
        <w:t xml:space="preserve"> observed to be around 45</w:t>
      </w:r>
      <w:r w:rsidR="007154D6" w:rsidRPr="00770477">
        <w:rPr>
          <w:rFonts w:cs="Times New Roman"/>
        </w:rPr>
        <w:t>% (</w:t>
      </w:r>
      <w:proofErr w:type="gramStart"/>
      <w:r w:rsidR="007154D6" w:rsidRPr="00770477">
        <w:rPr>
          <w:rFonts w:cs="Times New Roman"/>
        </w:rPr>
        <w:t xml:space="preserve">small </w:t>
      </w:r>
      <w:r w:rsidR="00E9245B">
        <w:rPr>
          <w:rFonts w:cs="Times New Roman"/>
        </w:rPr>
        <w:t>aggregated</w:t>
      </w:r>
      <w:proofErr w:type="gramEnd"/>
      <w:r w:rsidR="00E9245B">
        <w:rPr>
          <w:rFonts w:cs="Times New Roman"/>
        </w:rPr>
        <w:t xml:space="preserve"> fly ash</w:t>
      </w:r>
      <w:r w:rsidR="007154D6" w:rsidRPr="00770477">
        <w:rPr>
          <w:rFonts w:cs="Times New Roman"/>
        </w:rPr>
        <w:t xml:space="preserve"> and small biochar), and </w:t>
      </w:r>
      <w:r w:rsidR="00AA59E4" w:rsidRPr="00770477">
        <w:rPr>
          <w:rFonts w:cs="Times New Roman"/>
        </w:rPr>
        <w:t>around 25% (large biochar). Large biochar</w:t>
      </w:r>
      <w:r w:rsidR="004C313E" w:rsidRPr="00770477">
        <w:rPr>
          <w:rFonts w:cs="Times New Roman"/>
        </w:rPr>
        <w:t xml:space="preserve"> and small biochar </w:t>
      </w:r>
      <w:r w:rsidR="00412C7F" w:rsidRPr="00770477">
        <w:rPr>
          <w:rFonts w:cs="Times New Roman"/>
        </w:rPr>
        <w:t>achieved upper asymptotes below an IE ratio of 0.95</w:t>
      </w:r>
      <w:r w:rsidR="00176E5A" w:rsidRPr="00770477">
        <w:rPr>
          <w:rFonts w:cs="Times New Roman"/>
        </w:rPr>
        <w:t xml:space="preserve">, where </w:t>
      </w:r>
      <w:proofErr w:type="gramStart"/>
      <w:r w:rsidR="00176E5A" w:rsidRPr="00770477">
        <w:rPr>
          <w:rFonts w:cs="Times New Roman"/>
        </w:rPr>
        <w:t xml:space="preserve">small </w:t>
      </w:r>
      <w:r w:rsidR="00E9245B">
        <w:rPr>
          <w:rFonts w:cs="Times New Roman"/>
        </w:rPr>
        <w:t>aggregated</w:t>
      </w:r>
      <w:proofErr w:type="gramEnd"/>
      <w:r w:rsidR="00E9245B">
        <w:rPr>
          <w:rFonts w:cs="Times New Roman"/>
        </w:rPr>
        <w:t xml:space="preserve"> fly ash</w:t>
      </w:r>
      <w:r w:rsidR="00176E5A" w:rsidRPr="00770477">
        <w:rPr>
          <w:rFonts w:cs="Times New Roman"/>
        </w:rPr>
        <w:t xml:space="preserve"> was deemed to be exhausted after </w:t>
      </w:r>
      <w:r w:rsidR="75BB4726" w:rsidRPr="00770477">
        <w:rPr>
          <w:rFonts w:cs="Times New Roman"/>
        </w:rPr>
        <w:t xml:space="preserve">approximately </w:t>
      </w:r>
      <w:r w:rsidR="00176E5A" w:rsidRPr="00770477">
        <w:rPr>
          <w:rFonts w:cs="Times New Roman"/>
        </w:rPr>
        <w:t>30</w:t>
      </w:r>
      <w:r w:rsidR="5D411F67" w:rsidRPr="00770477">
        <w:rPr>
          <w:rFonts w:cs="Times New Roman"/>
        </w:rPr>
        <w:t>0</w:t>
      </w:r>
      <w:r w:rsidR="00176E5A" w:rsidRPr="00770477">
        <w:rPr>
          <w:rFonts w:cs="Times New Roman"/>
        </w:rPr>
        <w:t xml:space="preserve"> pore volumes. </w:t>
      </w:r>
      <w:r w:rsidR="000A77F1" w:rsidRPr="00770477">
        <w:rPr>
          <w:rFonts w:cs="Times New Roman"/>
        </w:rPr>
        <w:t xml:space="preserve">When the asymptote is fixed to 1, </w:t>
      </w:r>
      <w:r w:rsidR="002859F6" w:rsidRPr="00770477">
        <w:rPr>
          <w:rFonts w:cs="Times New Roman"/>
        </w:rPr>
        <w:t xml:space="preserve">small biochar reaches exhaustion at </w:t>
      </w:r>
      <w:r w:rsidR="40E99AC7" w:rsidRPr="00770477">
        <w:rPr>
          <w:rFonts w:cs="Times New Roman"/>
        </w:rPr>
        <w:t xml:space="preserve">approximately </w:t>
      </w:r>
      <w:r w:rsidR="002859F6" w:rsidRPr="00770477">
        <w:rPr>
          <w:rFonts w:cs="Times New Roman"/>
        </w:rPr>
        <w:t>53</w:t>
      </w:r>
      <w:r w:rsidR="5447F00C" w:rsidRPr="00770477">
        <w:rPr>
          <w:rFonts w:cs="Times New Roman"/>
        </w:rPr>
        <w:t>20</w:t>
      </w:r>
      <w:r w:rsidR="002859F6" w:rsidRPr="00770477">
        <w:rPr>
          <w:rFonts w:cs="Times New Roman"/>
        </w:rPr>
        <w:t xml:space="preserve"> pore volumes and </w:t>
      </w:r>
      <w:r w:rsidR="00522A17" w:rsidRPr="00770477">
        <w:rPr>
          <w:rFonts w:cs="Times New Roman"/>
        </w:rPr>
        <w:t xml:space="preserve">large steel slag is precited to reach exhaustion at </w:t>
      </w:r>
      <w:r w:rsidR="06E57229" w:rsidRPr="00770477">
        <w:rPr>
          <w:rFonts w:cs="Times New Roman"/>
        </w:rPr>
        <w:t>approximately</w:t>
      </w:r>
      <w:r w:rsidR="00522A17" w:rsidRPr="00770477">
        <w:rPr>
          <w:rFonts w:cs="Times New Roman"/>
        </w:rPr>
        <w:t xml:space="preserve"> </w:t>
      </w:r>
      <w:r w:rsidR="000123B0" w:rsidRPr="00770477">
        <w:rPr>
          <w:rFonts w:cs="Times New Roman"/>
        </w:rPr>
        <w:t>81</w:t>
      </w:r>
      <w:r w:rsidR="4ED20855" w:rsidRPr="00770477">
        <w:rPr>
          <w:rFonts w:cs="Times New Roman"/>
        </w:rPr>
        <w:t>0</w:t>
      </w:r>
      <w:r w:rsidR="000123B0" w:rsidRPr="00770477">
        <w:rPr>
          <w:rFonts w:cs="Times New Roman"/>
        </w:rPr>
        <w:t xml:space="preserve"> pore volumes. Large biochar did not result a predicted exhaustion value due to the negative slope of the curve at the termination of </w:t>
      </w:r>
      <w:r w:rsidR="00027DA8" w:rsidRPr="00770477">
        <w:rPr>
          <w:rFonts w:cs="Times New Roman"/>
        </w:rPr>
        <w:t xml:space="preserve">the experimental data. </w:t>
      </w:r>
    </w:p>
    <w:p w14:paraId="35CA425E" w14:textId="1C092480" w:rsidR="00E97D68" w:rsidRPr="00770477" w:rsidRDefault="00A84312" w:rsidP="00A84312">
      <w:pPr>
        <w:spacing w:line="240" w:lineRule="auto"/>
        <w:rPr>
          <w:rFonts w:cs="Times New Roman"/>
        </w:rPr>
      </w:pPr>
      <w:r w:rsidRPr="00770477">
        <w:rPr>
          <w:rFonts w:cs="Times New Roman"/>
        </w:rPr>
        <w:br w:type="page"/>
      </w:r>
    </w:p>
    <w:p w14:paraId="17367F39" w14:textId="77777777" w:rsidR="006F59C7" w:rsidRPr="00770477" w:rsidRDefault="006F59C7" w:rsidP="006F59C7">
      <w:pPr>
        <w:keepNext/>
        <w:spacing w:line="240" w:lineRule="auto"/>
        <w:rPr>
          <w:rFonts w:cs="Times New Roman"/>
        </w:rPr>
      </w:pPr>
      <w:r w:rsidRPr="00770477">
        <w:rPr>
          <w:rFonts w:cs="Times New Roman"/>
          <w:noProof/>
        </w:rPr>
        <w:lastRenderedPageBreak/>
        <w:drawing>
          <wp:inline distT="0" distB="0" distL="0" distR="0" wp14:anchorId="1B3BFEE7" wp14:editId="3B230EEA">
            <wp:extent cx="5943600" cy="5486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inline>
        </w:drawing>
      </w:r>
    </w:p>
    <w:p w14:paraId="2F31FECB" w14:textId="47869305" w:rsidR="00A84312" w:rsidRPr="00770477" w:rsidRDefault="006F59C7" w:rsidP="00AE1144">
      <w:pPr>
        <w:pStyle w:val="Caption"/>
        <w:spacing w:line="240" w:lineRule="auto"/>
        <w:rPr>
          <w:rFonts w:cs="Times New Roman"/>
        </w:rPr>
      </w:pPr>
      <w:bookmarkStart w:id="104" w:name="_Ref117865517"/>
      <w:bookmarkStart w:id="105" w:name="_Toc121489504"/>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9</w:t>
      </w:r>
      <w:r w:rsidRPr="00770477">
        <w:rPr>
          <w:rFonts w:cs="Times New Roman"/>
          <w:noProof/>
        </w:rPr>
        <w:fldChar w:fldCharType="end"/>
      </w:r>
      <w:bookmarkEnd w:id="104"/>
      <w:r w:rsidR="0075253F">
        <w:rPr>
          <w:rFonts w:cs="Times New Roman"/>
        </w:rPr>
        <w:t xml:space="preserve"> </w:t>
      </w:r>
      <w:r w:rsidR="001B5ACC">
        <w:rPr>
          <w:rFonts w:cs="Times New Roman"/>
        </w:rPr>
        <w:t>Be</w:t>
      </w:r>
      <w:r w:rsidR="001B5ACC" w:rsidRPr="001B5ACC">
        <w:rPr>
          <w:rFonts w:cs="Times New Roman"/>
          <w:vertAlign w:val="superscript"/>
        </w:rPr>
        <w:t>+2</w:t>
      </w:r>
      <w:r w:rsidRPr="00770477">
        <w:rPr>
          <w:rFonts w:cs="Times New Roman"/>
        </w:rPr>
        <w:t xml:space="preserve"> removal in vertical column experiments</w:t>
      </w:r>
      <w:r w:rsidR="0075253F" w:rsidRPr="0075253F">
        <w:rPr>
          <w:rFonts w:cs="Times New Roman"/>
        </w:rPr>
        <w:t xml:space="preserve"> </w:t>
      </w:r>
      <w:r w:rsidR="0075253F">
        <w:rPr>
          <w:rFonts w:cs="Times New Roman"/>
        </w:rPr>
        <w:t>as demonstrated by the influent-effluent ratio as defined by effluent concentration (</w:t>
      </w:r>
      <w:proofErr w:type="spellStart"/>
      <w:r w:rsidR="0075253F">
        <w:rPr>
          <w:rFonts w:cs="Times New Roman"/>
        </w:rPr>
        <w:t>C</w:t>
      </w:r>
      <w:r w:rsidR="0075253F">
        <w:rPr>
          <w:rFonts w:cs="Times New Roman"/>
          <w:vertAlign w:val="subscript"/>
        </w:rPr>
        <w:t>eff</w:t>
      </w:r>
      <w:proofErr w:type="spellEnd"/>
      <w:r w:rsidR="0075253F">
        <w:rPr>
          <w:rFonts w:cs="Times New Roman"/>
        </w:rPr>
        <w:t>) divided by influent concentration (</w:t>
      </w:r>
      <w:proofErr w:type="spellStart"/>
      <w:r w:rsidR="0075253F">
        <w:rPr>
          <w:rFonts w:cs="Times New Roman"/>
        </w:rPr>
        <w:t>C</w:t>
      </w:r>
      <w:r w:rsidR="0075253F">
        <w:rPr>
          <w:rFonts w:cs="Times New Roman"/>
          <w:vertAlign w:val="subscript"/>
        </w:rPr>
        <w:t>in</w:t>
      </w:r>
      <w:proofErr w:type="spellEnd"/>
      <w:r w:rsidR="0075253F">
        <w:rPr>
          <w:rFonts w:cs="Times New Roman"/>
        </w:rPr>
        <w:t>) and plotted against pore volumes passed.</w:t>
      </w:r>
      <w:bookmarkEnd w:id="105"/>
    </w:p>
    <w:p w14:paraId="51FF31B2" w14:textId="0035791C" w:rsidR="00212068" w:rsidRPr="00770477" w:rsidRDefault="00A84312" w:rsidP="006F59C7">
      <w:pPr>
        <w:spacing w:line="240" w:lineRule="auto"/>
        <w:rPr>
          <w:rFonts w:cs="Times New Roman"/>
        </w:rPr>
      </w:pPr>
      <w:r w:rsidRPr="00770477">
        <w:rPr>
          <w:rFonts w:cs="Times New Roman"/>
        </w:rPr>
        <w:br w:type="page"/>
      </w:r>
    </w:p>
    <w:p w14:paraId="4D47FD60" w14:textId="78095B0D" w:rsidR="00D25FD7" w:rsidRPr="00770477" w:rsidRDefault="00CD594A" w:rsidP="00D25FD7">
      <w:pPr>
        <w:pStyle w:val="Heading4"/>
        <w:rPr>
          <w:rFonts w:ascii="Times New Roman" w:hAnsi="Times New Roman" w:cs="Times New Roman"/>
        </w:rPr>
      </w:pPr>
      <w:bookmarkStart w:id="106" w:name="_Toc121496010"/>
      <w:r w:rsidRPr="00770477">
        <w:rPr>
          <w:rFonts w:ascii="Times New Roman" w:hAnsi="Times New Roman" w:cs="Times New Roman"/>
        </w:rPr>
        <w:lastRenderedPageBreak/>
        <w:t>Manganese (Mn)</w:t>
      </w:r>
      <w:bookmarkEnd w:id="106"/>
    </w:p>
    <w:p w14:paraId="75323D52" w14:textId="470C11D8" w:rsidR="003C570B" w:rsidRPr="00770477" w:rsidRDefault="003C570B" w:rsidP="003C570B">
      <w:pPr>
        <w:ind w:firstLine="720"/>
        <w:rPr>
          <w:rFonts w:cs="Times New Roman"/>
        </w:rPr>
      </w:pPr>
      <w:r w:rsidRPr="00770477">
        <w:rPr>
          <w:rFonts w:cs="Times New Roman"/>
        </w:rPr>
        <w:t xml:space="preserve">Dissolved </w:t>
      </w:r>
      <w:r w:rsidR="00E61BC4">
        <w:rPr>
          <w:rFonts w:cs="Times New Roman"/>
        </w:rPr>
        <w:t>Mn</w:t>
      </w:r>
      <w:r w:rsidR="00E61BC4" w:rsidRPr="002A402D">
        <w:rPr>
          <w:rFonts w:cs="Times New Roman"/>
          <w:vertAlign w:val="superscript"/>
        </w:rPr>
        <w:t>+2</w:t>
      </w:r>
      <w:r w:rsidRPr="00770477">
        <w:rPr>
          <w:rFonts w:cs="Times New Roman"/>
        </w:rPr>
        <w:t xml:space="preserve"> removal</w:t>
      </w:r>
      <w:r w:rsidR="0022359B" w:rsidRPr="00770477">
        <w:rPr>
          <w:rFonts w:cs="Times New Roman"/>
        </w:rPr>
        <w:t xml:space="preserve"> (</w:t>
      </w:r>
      <w:r w:rsidR="0022359B" w:rsidRPr="00770477">
        <w:rPr>
          <w:rFonts w:cs="Times New Roman"/>
        </w:rPr>
        <w:fldChar w:fldCharType="begin"/>
      </w:r>
      <w:r w:rsidR="0022359B" w:rsidRPr="00770477">
        <w:rPr>
          <w:rFonts w:cs="Times New Roman"/>
        </w:rPr>
        <w:instrText xml:space="preserve"> REF _Ref117865612 \h </w:instrText>
      </w:r>
      <w:r w:rsidR="00770477">
        <w:rPr>
          <w:rFonts w:cs="Times New Roman"/>
        </w:rPr>
        <w:instrText xml:space="preserve"> \* MERGEFORMAT </w:instrText>
      </w:r>
      <w:r w:rsidR="0022359B" w:rsidRPr="00770477">
        <w:rPr>
          <w:rFonts w:cs="Times New Roman"/>
        </w:rPr>
      </w:r>
      <w:r w:rsidR="0022359B"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10</w:t>
      </w:r>
      <w:r w:rsidR="0022359B" w:rsidRPr="00770477">
        <w:rPr>
          <w:rFonts w:cs="Times New Roman"/>
        </w:rPr>
        <w:fldChar w:fldCharType="end"/>
      </w:r>
      <w:r w:rsidR="0022359B" w:rsidRPr="00770477">
        <w:rPr>
          <w:rFonts w:cs="Times New Roman"/>
        </w:rPr>
        <w:t>)</w:t>
      </w:r>
      <w:r w:rsidRPr="00770477">
        <w:rPr>
          <w:rFonts w:cs="Times New Roman"/>
        </w:rPr>
        <w:t xml:space="preserve"> </w:t>
      </w:r>
      <w:r w:rsidR="24F9E182" w:rsidRPr="00770477">
        <w:rPr>
          <w:rFonts w:cs="Times New Roman"/>
        </w:rPr>
        <w:t>results generally fall with two categories</w:t>
      </w:r>
      <w:r w:rsidRPr="00770477">
        <w:rPr>
          <w:rFonts w:cs="Times New Roman"/>
        </w:rPr>
        <w:t xml:space="preserve"> into </w:t>
      </w:r>
      <w:r w:rsidR="008915C3" w:rsidRPr="00770477">
        <w:rPr>
          <w:rFonts w:cs="Times New Roman"/>
        </w:rPr>
        <w:t>two</w:t>
      </w:r>
      <w:r w:rsidRPr="00770477">
        <w:rPr>
          <w:rFonts w:cs="Times New Roman"/>
        </w:rPr>
        <w:t xml:space="preserve"> categories</w:t>
      </w:r>
      <w:r w:rsidR="008179CC" w:rsidRPr="00770477">
        <w:rPr>
          <w:rFonts w:cs="Times New Roman"/>
        </w:rPr>
        <w:t xml:space="preserve"> and all models were highly significant (p ≤ 0.001)</w:t>
      </w:r>
      <w:r w:rsidRPr="00770477">
        <w:rPr>
          <w:rFonts w:cs="Times New Roman"/>
        </w:rPr>
        <w:t>. First</w:t>
      </w:r>
      <w:r w:rsidR="003731EF" w:rsidRPr="00770477">
        <w:rPr>
          <w:rFonts w:cs="Times New Roman"/>
        </w:rPr>
        <w:t>, both large and small</w:t>
      </w:r>
      <w:r w:rsidRPr="00770477">
        <w:rPr>
          <w:rFonts w:cs="Times New Roman"/>
        </w:rPr>
        <w:t xml:space="preserve"> biochar appear to be a source of </w:t>
      </w:r>
      <w:r w:rsidR="002A402D">
        <w:rPr>
          <w:rFonts w:cs="Times New Roman"/>
        </w:rPr>
        <w:t>Mn</w:t>
      </w:r>
      <w:r w:rsidR="002A402D" w:rsidRPr="002A402D">
        <w:rPr>
          <w:rFonts w:cs="Times New Roman"/>
          <w:vertAlign w:val="superscript"/>
        </w:rPr>
        <w:t>+2</w:t>
      </w:r>
      <w:r w:rsidRPr="00770477">
        <w:rPr>
          <w:rFonts w:cs="Times New Roman"/>
        </w:rPr>
        <w:t xml:space="preserve"> early in the experiment, eventually tapering to an IE ratio at or near 1.00. </w:t>
      </w:r>
      <w:r w:rsidR="008915C3" w:rsidRPr="00770477">
        <w:rPr>
          <w:rFonts w:cs="Times New Roman"/>
        </w:rPr>
        <w:t>The second</w:t>
      </w:r>
      <w:r w:rsidRPr="00770477">
        <w:rPr>
          <w:rFonts w:cs="Times New Roman"/>
        </w:rPr>
        <w:t xml:space="preserve"> group </w:t>
      </w:r>
      <w:r w:rsidR="00852CB0" w:rsidRPr="00770477">
        <w:rPr>
          <w:rFonts w:cs="Times New Roman"/>
        </w:rPr>
        <w:t>includes</w:t>
      </w:r>
      <w:r w:rsidRPr="00770477">
        <w:rPr>
          <w:rFonts w:cs="Times New Roman"/>
        </w:rPr>
        <w:t xml:space="preserve"> </w:t>
      </w:r>
      <w:r w:rsidR="008915C3" w:rsidRPr="00770477">
        <w:rPr>
          <w:rFonts w:cs="Times New Roman"/>
        </w:rPr>
        <w:t>both</w:t>
      </w:r>
      <w:r w:rsidR="00594F63" w:rsidRPr="00770477">
        <w:rPr>
          <w:rFonts w:cs="Times New Roman"/>
        </w:rPr>
        <w:t xml:space="preserve"> large and small</w:t>
      </w:r>
      <w:r w:rsidR="008915C3" w:rsidRPr="00770477">
        <w:rPr>
          <w:rFonts w:cs="Times New Roman"/>
        </w:rPr>
        <w:t xml:space="preserve"> </w:t>
      </w:r>
      <w:r w:rsidR="00E9245B">
        <w:rPr>
          <w:rFonts w:cs="Times New Roman"/>
        </w:rPr>
        <w:t>aggregated fly ash</w:t>
      </w:r>
      <w:r w:rsidR="008915C3" w:rsidRPr="00770477">
        <w:rPr>
          <w:rFonts w:cs="Times New Roman"/>
        </w:rPr>
        <w:t xml:space="preserve"> and steel slag</w:t>
      </w:r>
      <w:r w:rsidR="52749BB1" w:rsidRPr="00770477">
        <w:rPr>
          <w:rFonts w:cs="Times New Roman"/>
        </w:rPr>
        <w:t xml:space="preserve"> media types</w:t>
      </w:r>
      <w:r w:rsidRPr="00770477">
        <w:rPr>
          <w:rFonts w:cs="Times New Roman"/>
        </w:rPr>
        <w:t>.</w:t>
      </w:r>
      <w:r w:rsidR="005874BC" w:rsidRPr="00770477">
        <w:rPr>
          <w:rFonts w:cs="Times New Roman"/>
        </w:rPr>
        <w:t xml:space="preserve"> </w:t>
      </w:r>
      <w:r w:rsidR="00C42B83" w:rsidRPr="00770477">
        <w:rPr>
          <w:rFonts w:cs="Times New Roman"/>
        </w:rPr>
        <w:t xml:space="preserve">All four media removed </w:t>
      </w:r>
      <w:r w:rsidR="002A402D">
        <w:rPr>
          <w:rFonts w:cs="Times New Roman"/>
        </w:rPr>
        <w:t>Mn</w:t>
      </w:r>
      <w:r w:rsidR="002A402D">
        <w:rPr>
          <w:rFonts w:cs="Times New Roman"/>
          <w:vertAlign w:val="superscript"/>
        </w:rPr>
        <w:t>+2</w:t>
      </w:r>
      <w:r w:rsidR="00C42B83" w:rsidRPr="00770477">
        <w:rPr>
          <w:rFonts w:cs="Times New Roman"/>
        </w:rPr>
        <w:t xml:space="preserve"> from solution with initial IE ratios ranging from </w:t>
      </w:r>
      <w:r w:rsidR="002D3BFC" w:rsidRPr="00770477">
        <w:rPr>
          <w:rFonts w:cs="Times New Roman"/>
        </w:rPr>
        <w:t>0.25 to 0.02 (75% removal to 98% removal).</w:t>
      </w:r>
      <w:r w:rsidR="00A75888" w:rsidRPr="00770477">
        <w:rPr>
          <w:rFonts w:cs="Times New Roman"/>
        </w:rPr>
        <w:t xml:space="preserve"> Both steel slags </w:t>
      </w:r>
      <w:r w:rsidR="00F01B0A" w:rsidRPr="00770477">
        <w:rPr>
          <w:rFonts w:cs="Times New Roman"/>
        </w:rPr>
        <w:t xml:space="preserve">remained relatively constant throughout the experiment ending at an IE ratio of 0.30 (70% removal) and </w:t>
      </w:r>
      <w:r w:rsidR="00F14B0E" w:rsidRPr="00770477">
        <w:rPr>
          <w:rFonts w:cs="Times New Roman"/>
        </w:rPr>
        <w:t xml:space="preserve">0.06 (94% removal) for the large and small fractions, respectively. Both </w:t>
      </w:r>
      <w:r w:rsidR="00E9245B">
        <w:rPr>
          <w:rFonts w:cs="Times New Roman"/>
        </w:rPr>
        <w:t>aggregated fly ash</w:t>
      </w:r>
      <w:r w:rsidR="00BA5A8D" w:rsidRPr="00770477">
        <w:rPr>
          <w:rFonts w:cs="Times New Roman"/>
        </w:rPr>
        <w:t xml:space="preserve"> </w:t>
      </w:r>
      <w:r w:rsidR="00056545" w:rsidRPr="00770477">
        <w:rPr>
          <w:rFonts w:cs="Times New Roman"/>
        </w:rPr>
        <w:t xml:space="preserve">sizes </w:t>
      </w:r>
      <w:r w:rsidR="000D7FA5" w:rsidRPr="00770477">
        <w:rPr>
          <w:rFonts w:cs="Times New Roman"/>
        </w:rPr>
        <w:t xml:space="preserve">visually </w:t>
      </w:r>
      <w:r w:rsidR="009161AA" w:rsidRPr="00770477">
        <w:rPr>
          <w:rFonts w:cs="Times New Roman"/>
        </w:rPr>
        <w:t>appeared to have</w:t>
      </w:r>
      <w:r w:rsidR="00E72E62" w:rsidRPr="00770477">
        <w:rPr>
          <w:rFonts w:cs="Times New Roman"/>
        </w:rPr>
        <w:t xml:space="preserve"> the same rate and magnitude with</w:t>
      </w:r>
      <w:r w:rsidR="00AB0EC6" w:rsidRPr="00770477">
        <w:rPr>
          <w:rFonts w:cs="Times New Roman"/>
        </w:rPr>
        <w:t xml:space="preserve"> initial</w:t>
      </w:r>
      <w:r w:rsidR="00E72E62" w:rsidRPr="00770477">
        <w:rPr>
          <w:rFonts w:cs="Times New Roman"/>
        </w:rPr>
        <w:t xml:space="preserve"> IE ratios </w:t>
      </w:r>
      <w:r w:rsidR="00AB0EC6" w:rsidRPr="00770477">
        <w:rPr>
          <w:rFonts w:cs="Times New Roman"/>
        </w:rPr>
        <w:t>of</w:t>
      </w:r>
      <w:r w:rsidR="00E72E62" w:rsidRPr="00770477">
        <w:rPr>
          <w:rFonts w:cs="Times New Roman"/>
        </w:rPr>
        <w:t xml:space="preserve"> 0.</w:t>
      </w:r>
      <w:r w:rsidR="007D224E" w:rsidRPr="00770477">
        <w:rPr>
          <w:rFonts w:cs="Times New Roman"/>
        </w:rPr>
        <w:t>10</w:t>
      </w:r>
      <w:r w:rsidR="00E72E62" w:rsidRPr="00770477">
        <w:rPr>
          <w:rFonts w:cs="Times New Roman"/>
        </w:rPr>
        <w:t xml:space="preserve"> (</w:t>
      </w:r>
      <w:r w:rsidR="007D224E" w:rsidRPr="00770477">
        <w:rPr>
          <w:rFonts w:cs="Times New Roman"/>
        </w:rPr>
        <w:t>90</w:t>
      </w:r>
      <w:r w:rsidR="00E72E62" w:rsidRPr="00770477">
        <w:rPr>
          <w:rFonts w:cs="Times New Roman"/>
        </w:rPr>
        <w:t>% removal) and</w:t>
      </w:r>
      <w:r w:rsidR="007D224E" w:rsidRPr="00770477">
        <w:rPr>
          <w:rFonts w:cs="Times New Roman"/>
        </w:rPr>
        <w:t xml:space="preserve"> finishing at</w:t>
      </w:r>
      <w:r w:rsidR="00E72E62" w:rsidRPr="00770477">
        <w:rPr>
          <w:rFonts w:cs="Times New Roman"/>
        </w:rPr>
        <w:t xml:space="preserve"> 0.2</w:t>
      </w:r>
      <w:r w:rsidR="004144C6" w:rsidRPr="00770477">
        <w:rPr>
          <w:rFonts w:cs="Times New Roman"/>
        </w:rPr>
        <w:t>5</w:t>
      </w:r>
      <w:r w:rsidR="00E72E62" w:rsidRPr="00770477">
        <w:rPr>
          <w:rFonts w:cs="Times New Roman"/>
        </w:rPr>
        <w:t xml:space="preserve"> (7</w:t>
      </w:r>
      <w:r w:rsidR="004144C6" w:rsidRPr="00770477">
        <w:rPr>
          <w:rFonts w:cs="Times New Roman"/>
        </w:rPr>
        <w:t>5</w:t>
      </w:r>
      <w:r w:rsidR="00E72E62" w:rsidRPr="00770477">
        <w:rPr>
          <w:rFonts w:cs="Times New Roman"/>
        </w:rPr>
        <w:t>% removal)</w:t>
      </w:r>
      <w:r w:rsidR="0021561B" w:rsidRPr="00770477">
        <w:rPr>
          <w:rFonts w:cs="Times New Roman"/>
        </w:rPr>
        <w:t xml:space="preserve">. </w:t>
      </w:r>
      <w:r w:rsidR="000D7528" w:rsidRPr="00770477">
        <w:rPr>
          <w:rFonts w:cs="Times New Roman"/>
        </w:rPr>
        <w:t>Visually</w:t>
      </w:r>
      <w:r w:rsidR="0021561B" w:rsidRPr="00770477">
        <w:rPr>
          <w:rFonts w:cs="Times New Roman"/>
        </w:rPr>
        <w:t>, small steel slag was the best performer</w:t>
      </w:r>
      <w:r w:rsidR="00A01712" w:rsidRPr="00770477">
        <w:rPr>
          <w:rFonts w:cs="Times New Roman"/>
        </w:rPr>
        <w:t xml:space="preserve"> </w:t>
      </w:r>
      <w:r w:rsidR="0021561B" w:rsidRPr="00770477">
        <w:rPr>
          <w:rFonts w:cs="Times New Roman"/>
        </w:rPr>
        <w:t>followed by both</w:t>
      </w:r>
      <w:r w:rsidR="005D46F0" w:rsidRPr="00770477">
        <w:rPr>
          <w:rFonts w:cs="Times New Roman"/>
        </w:rPr>
        <w:t xml:space="preserve"> sizes of</w:t>
      </w:r>
      <w:r w:rsidR="0021561B" w:rsidRPr="00770477">
        <w:rPr>
          <w:rFonts w:cs="Times New Roman"/>
        </w:rPr>
        <w:t xml:space="preserve"> </w:t>
      </w:r>
      <w:r w:rsidR="00E9245B">
        <w:rPr>
          <w:rFonts w:cs="Times New Roman"/>
        </w:rPr>
        <w:t>aggregated fly ash</w:t>
      </w:r>
      <w:r w:rsidR="001A120C" w:rsidRPr="00770477">
        <w:rPr>
          <w:rFonts w:cs="Times New Roman"/>
        </w:rPr>
        <w:t>.</w:t>
      </w:r>
      <w:r w:rsidR="003B3ABB" w:rsidRPr="00770477">
        <w:rPr>
          <w:rFonts w:cs="Times New Roman"/>
        </w:rPr>
        <w:t xml:space="preserve"> Aside from biochars, </w:t>
      </w:r>
      <w:r w:rsidR="006204FA" w:rsidRPr="00770477">
        <w:rPr>
          <w:rFonts w:cs="Times New Roman"/>
        </w:rPr>
        <w:t xml:space="preserve">visually, </w:t>
      </w:r>
      <w:r w:rsidR="003B3ABB" w:rsidRPr="00770477">
        <w:rPr>
          <w:rFonts w:cs="Times New Roman"/>
        </w:rPr>
        <w:t xml:space="preserve">large steel slag </w:t>
      </w:r>
      <w:r w:rsidR="003479B3" w:rsidRPr="00770477">
        <w:rPr>
          <w:rFonts w:cs="Times New Roman"/>
        </w:rPr>
        <w:t xml:space="preserve">was the least effective, albeit with removal rates at or below 75% for the duration of the experiment. </w:t>
      </w:r>
      <w:r w:rsidR="0074659C" w:rsidRPr="00770477">
        <w:rPr>
          <w:rFonts w:cs="Times New Roman"/>
        </w:rPr>
        <w:t xml:space="preserve">Both steel slags finished the experiment with a negative slope, so no exhaustion </w:t>
      </w:r>
      <w:r w:rsidR="00162996" w:rsidRPr="00770477">
        <w:rPr>
          <w:rFonts w:cs="Times New Roman"/>
        </w:rPr>
        <w:t>estimates,</w:t>
      </w:r>
      <w:r w:rsidR="0074659C" w:rsidRPr="00770477">
        <w:rPr>
          <w:rFonts w:cs="Times New Roman"/>
        </w:rPr>
        <w:t xml:space="preserve"> or upper IE ratio asymptote could be determined. </w:t>
      </w:r>
      <w:r w:rsidR="00E9245B">
        <w:rPr>
          <w:rFonts w:cs="Times New Roman"/>
        </w:rPr>
        <w:t>Aggregated f</w:t>
      </w:r>
      <w:r w:rsidR="00BE52FB" w:rsidRPr="00770477">
        <w:rPr>
          <w:rFonts w:cs="Times New Roman"/>
        </w:rPr>
        <w:t xml:space="preserve">ly ash however yielded an upper IE ratio asymptote of </w:t>
      </w:r>
      <w:r w:rsidR="00F939D0" w:rsidRPr="00770477">
        <w:rPr>
          <w:rFonts w:cs="Times New Roman"/>
        </w:rPr>
        <w:t>0.90 for the large fraction and 0.56 for the small. Because these did not reach the designated exhaustion IE ratio of 0.95, to determine exhaustion</w:t>
      </w:r>
      <w:r w:rsidR="00455742" w:rsidRPr="00770477">
        <w:rPr>
          <w:rFonts w:cs="Times New Roman"/>
        </w:rPr>
        <w:t>,</w:t>
      </w:r>
      <w:r w:rsidR="00F939D0" w:rsidRPr="00770477">
        <w:rPr>
          <w:rFonts w:cs="Times New Roman"/>
        </w:rPr>
        <w:t xml:space="preserve"> the upper IE ratio asymptote was fixed to 1.00 which yielded </w:t>
      </w:r>
      <w:r w:rsidR="00864BBA" w:rsidRPr="00770477">
        <w:rPr>
          <w:rFonts w:cs="Times New Roman"/>
        </w:rPr>
        <w:t xml:space="preserve">exhaustion points at </w:t>
      </w:r>
      <w:r w:rsidR="0063A55F" w:rsidRPr="00770477">
        <w:rPr>
          <w:rFonts w:cs="Times New Roman"/>
        </w:rPr>
        <w:t>approximately</w:t>
      </w:r>
      <w:r w:rsidR="00864BBA" w:rsidRPr="00770477">
        <w:rPr>
          <w:rFonts w:cs="Times New Roman"/>
        </w:rPr>
        <w:t xml:space="preserve"> 397</w:t>
      </w:r>
      <w:r w:rsidR="70BBC0EB" w:rsidRPr="00770477">
        <w:rPr>
          <w:rFonts w:cs="Times New Roman"/>
        </w:rPr>
        <w:t>0</w:t>
      </w:r>
      <w:r w:rsidR="00864BBA" w:rsidRPr="00770477">
        <w:rPr>
          <w:rFonts w:cs="Times New Roman"/>
        </w:rPr>
        <w:t xml:space="preserve"> pore volumes for </w:t>
      </w:r>
      <w:proofErr w:type="gramStart"/>
      <w:r w:rsidR="00864BBA" w:rsidRPr="00770477">
        <w:rPr>
          <w:rFonts w:cs="Times New Roman"/>
        </w:rPr>
        <w:t xml:space="preserve">large </w:t>
      </w:r>
      <w:r w:rsidR="00E9245B">
        <w:rPr>
          <w:rFonts w:cs="Times New Roman"/>
        </w:rPr>
        <w:t>aggregated</w:t>
      </w:r>
      <w:proofErr w:type="gramEnd"/>
      <w:r w:rsidR="00E9245B">
        <w:rPr>
          <w:rFonts w:cs="Times New Roman"/>
        </w:rPr>
        <w:t xml:space="preserve"> fly ash</w:t>
      </w:r>
      <w:r w:rsidR="00864BBA" w:rsidRPr="00770477">
        <w:rPr>
          <w:rFonts w:cs="Times New Roman"/>
        </w:rPr>
        <w:t xml:space="preserve"> and </w:t>
      </w:r>
      <w:r w:rsidR="00D01CC9" w:rsidRPr="00770477">
        <w:rPr>
          <w:rFonts w:cs="Times New Roman"/>
        </w:rPr>
        <w:t>640</w:t>
      </w:r>
      <w:r w:rsidR="35809C12" w:rsidRPr="00770477">
        <w:rPr>
          <w:rFonts w:cs="Times New Roman"/>
        </w:rPr>
        <w:t>0</w:t>
      </w:r>
      <w:r w:rsidR="00D01CC9" w:rsidRPr="00770477">
        <w:rPr>
          <w:rFonts w:cs="Times New Roman"/>
        </w:rPr>
        <w:t xml:space="preserve"> pore volumes for small </w:t>
      </w:r>
      <w:r w:rsidR="00957224">
        <w:rPr>
          <w:rFonts w:cs="Times New Roman"/>
        </w:rPr>
        <w:t>aggregated fly ash</w:t>
      </w:r>
      <w:r w:rsidR="00D01CC9" w:rsidRPr="00770477">
        <w:rPr>
          <w:rFonts w:cs="Times New Roman"/>
        </w:rPr>
        <w:t>.</w:t>
      </w:r>
    </w:p>
    <w:p w14:paraId="6231EAFF" w14:textId="53E7A32D" w:rsidR="006F59C7" w:rsidRPr="00770477" w:rsidRDefault="003A3F6E" w:rsidP="003A3F6E">
      <w:pPr>
        <w:spacing w:line="240" w:lineRule="auto"/>
        <w:rPr>
          <w:rFonts w:cs="Times New Roman"/>
          <w:highlight w:val="yellow"/>
        </w:rPr>
      </w:pPr>
      <w:r w:rsidRPr="00770477">
        <w:rPr>
          <w:rFonts w:cs="Times New Roman"/>
          <w:highlight w:val="yellow"/>
        </w:rPr>
        <w:br w:type="page"/>
      </w:r>
    </w:p>
    <w:p w14:paraId="20B6105F" w14:textId="77777777" w:rsidR="006D5FB3" w:rsidRPr="00770477" w:rsidRDefault="006D5FB3" w:rsidP="006D5FB3">
      <w:pPr>
        <w:keepNext/>
        <w:rPr>
          <w:rFonts w:cs="Times New Roman"/>
        </w:rPr>
      </w:pPr>
      <w:r w:rsidRPr="00770477">
        <w:rPr>
          <w:rFonts w:cs="Times New Roman"/>
          <w:noProof/>
        </w:rPr>
        <w:lastRenderedPageBreak/>
        <w:drawing>
          <wp:inline distT="0" distB="0" distL="0" distR="0" wp14:anchorId="40FA42DD" wp14:editId="42D844DB">
            <wp:extent cx="5943600" cy="5486400"/>
            <wp:effectExtent l="0" t="0" r="0" b="0"/>
            <wp:docPr id="17" name="Picture 17"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ical user interface&#10;&#10;Description automatically generated with medium confidenc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inline>
        </w:drawing>
      </w:r>
    </w:p>
    <w:p w14:paraId="4DC2AD89" w14:textId="0F27B436" w:rsidR="002A4365" w:rsidRPr="00770477" w:rsidRDefault="006D5FB3" w:rsidP="00AE1144">
      <w:pPr>
        <w:pStyle w:val="Caption"/>
        <w:spacing w:line="240" w:lineRule="auto"/>
        <w:rPr>
          <w:rFonts w:cs="Times New Roman"/>
        </w:rPr>
      </w:pPr>
      <w:bookmarkStart w:id="107" w:name="_Ref117865612"/>
      <w:bookmarkStart w:id="108" w:name="_Toc121489505"/>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10</w:t>
      </w:r>
      <w:r w:rsidRPr="00770477">
        <w:rPr>
          <w:rFonts w:cs="Times New Roman"/>
          <w:noProof/>
        </w:rPr>
        <w:fldChar w:fldCharType="end"/>
      </w:r>
      <w:bookmarkEnd w:id="107"/>
      <w:r w:rsidRPr="00770477">
        <w:rPr>
          <w:rFonts w:cs="Times New Roman"/>
        </w:rPr>
        <w:t xml:space="preserve"> </w:t>
      </w:r>
      <w:r w:rsidR="002A402D">
        <w:rPr>
          <w:rFonts w:cs="Times New Roman"/>
        </w:rPr>
        <w:t>Mn</w:t>
      </w:r>
      <w:r w:rsidR="002A402D" w:rsidRPr="002A402D">
        <w:rPr>
          <w:rFonts w:cs="Times New Roman"/>
          <w:vertAlign w:val="superscript"/>
        </w:rPr>
        <w:t>+2</w:t>
      </w:r>
      <w:r w:rsidRPr="00770477">
        <w:rPr>
          <w:rFonts w:cs="Times New Roman"/>
        </w:rPr>
        <w:t xml:space="preserve"> removal in vertical column experiments</w:t>
      </w:r>
      <w:r w:rsidR="0075253F" w:rsidRPr="0075253F">
        <w:rPr>
          <w:rFonts w:cs="Times New Roman"/>
        </w:rPr>
        <w:t xml:space="preserve"> </w:t>
      </w:r>
      <w:r w:rsidR="0075253F">
        <w:rPr>
          <w:rFonts w:cs="Times New Roman"/>
        </w:rPr>
        <w:t>as demonstrated by the influent-effluent ratio as defined by effluent concentration (</w:t>
      </w:r>
      <w:proofErr w:type="spellStart"/>
      <w:r w:rsidR="0075253F">
        <w:rPr>
          <w:rFonts w:cs="Times New Roman"/>
        </w:rPr>
        <w:t>C</w:t>
      </w:r>
      <w:r w:rsidR="0075253F">
        <w:rPr>
          <w:rFonts w:cs="Times New Roman"/>
          <w:vertAlign w:val="subscript"/>
        </w:rPr>
        <w:t>eff</w:t>
      </w:r>
      <w:proofErr w:type="spellEnd"/>
      <w:r w:rsidR="0075253F">
        <w:rPr>
          <w:rFonts w:cs="Times New Roman"/>
        </w:rPr>
        <w:t>) divided by influent concentration (</w:t>
      </w:r>
      <w:proofErr w:type="spellStart"/>
      <w:r w:rsidR="0075253F">
        <w:rPr>
          <w:rFonts w:cs="Times New Roman"/>
        </w:rPr>
        <w:t>C</w:t>
      </w:r>
      <w:r w:rsidR="0075253F">
        <w:rPr>
          <w:rFonts w:cs="Times New Roman"/>
          <w:vertAlign w:val="subscript"/>
        </w:rPr>
        <w:t>in</w:t>
      </w:r>
      <w:proofErr w:type="spellEnd"/>
      <w:r w:rsidR="0075253F">
        <w:rPr>
          <w:rFonts w:cs="Times New Roman"/>
        </w:rPr>
        <w:t>) and plotted against pore volumes passed.</w:t>
      </w:r>
      <w:bookmarkEnd w:id="108"/>
    </w:p>
    <w:p w14:paraId="64627161" w14:textId="1A17497F" w:rsidR="00CD594A" w:rsidRPr="00770477" w:rsidRDefault="006D5FB3" w:rsidP="005463F7">
      <w:pPr>
        <w:spacing w:line="240" w:lineRule="auto"/>
        <w:rPr>
          <w:rFonts w:cs="Times New Roman"/>
        </w:rPr>
      </w:pPr>
      <w:r w:rsidRPr="00770477">
        <w:rPr>
          <w:rFonts w:cs="Times New Roman"/>
        </w:rPr>
        <w:br w:type="page"/>
      </w:r>
    </w:p>
    <w:p w14:paraId="61C7FCC3" w14:textId="4D4C450C" w:rsidR="0057644C" w:rsidRPr="00770477" w:rsidRDefault="00663472" w:rsidP="00663472">
      <w:pPr>
        <w:pStyle w:val="Heading3"/>
        <w:rPr>
          <w:rFonts w:cs="Times New Roman"/>
        </w:rPr>
      </w:pPr>
      <w:bookmarkStart w:id="109" w:name="_Toc121496011"/>
      <w:r w:rsidRPr="00770477">
        <w:rPr>
          <w:rFonts w:cs="Times New Roman"/>
        </w:rPr>
        <w:lastRenderedPageBreak/>
        <w:t>Neonicotinoids</w:t>
      </w:r>
      <w:bookmarkEnd w:id="109"/>
    </w:p>
    <w:p w14:paraId="7B428EE2" w14:textId="5BA3307C" w:rsidR="00C732C2" w:rsidRDefault="00C732C2" w:rsidP="00104580">
      <w:pPr>
        <w:ind w:firstLine="720"/>
        <w:rPr>
          <w:rFonts w:cs="Times New Roman"/>
        </w:rPr>
      </w:pPr>
      <w:r w:rsidRPr="00770477">
        <w:rPr>
          <w:rFonts w:cs="Times New Roman"/>
        </w:rPr>
        <w:t>Neonicotinoid results were analyzed as has been described</w:t>
      </w:r>
      <w:r w:rsidR="00030997" w:rsidRPr="00770477">
        <w:rPr>
          <w:rFonts w:cs="Times New Roman"/>
        </w:rPr>
        <w:t xml:space="preserve">. Each sub-species was analyzed separately to determine differences between </w:t>
      </w:r>
      <w:r w:rsidR="00835C87" w:rsidRPr="00770477">
        <w:rPr>
          <w:rFonts w:cs="Times New Roman"/>
        </w:rPr>
        <w:t xml:space="preserve">different properties of each. Overall, </w:t>
      </w:r>
      <w:r w:rsidR="00104580" w:rsidRPr="00770477">
        <w:rPr>
          <w:rFonts w:cs="Times New Roman"/>
        </w:rPr>
        <w:t xml:space="preserve">results were consistent with variation in the overall magnitude of removal between the sub species. </w:t>
      </w:r>
    </w:p>
    <w:p w14:paraId="137051C3" w14:textId="77777777" w:rsidR="00636575" w:rsidRPr="00770477" w:rsidRDefault="00636575" w:rsidP="00636575">
      <w:pPr>
        <w:rPr>
          <w:rFonts w:cs="Times New Roman"/>
        </w:rPr>
      </w:pPr>
    </w:p>
    <w:p w14:paraId="0201AF69" w14:textId="7BCE95B1" w:rsidR="000D19F8" w:rsidRPr="00770477" w:rsidRDefault="000D19F8" w:rsidP="000D19F8">
      <w:pPr>
        <w:pStyle w:val="Heading4"/>
        <w:rPr>
          <w:rFonts w:ascii="Times New Roman" w:hAnsi="Times New Roman" w:cs="Times New Roman"/>
        </w:rPr>
      </w:pPr>
      <w:bookmarkStart w:id="110" w:name="_Toc121496012"/>
      <w:r w:rsidRPr="00770477">
        <w:rPr>
          <w:rFonts w:ascii="Times New Roman" w:hAnsi="Times New Roman" w:cs="Times New Roman"/>
        </w:rPr>
        <w:t>Acetamiprid</w:t>
      </w:r>
      <w:bookmarkEnd w:id="110"/>
    </w:p>
    <w:p w14:paraId="77DAD7F9" w14:textId="25BEE07D" w:rsidR="0067347A" w:rsidRPr="00770477" w:rsidRDefault="005D3F11" w:rsidP="00567D50">
      <w:pPr>
        <w:ind w:firstLine="720"/>
        <w:rPr>
          <w:rFonts w:cs="Times New Roman"/>
        </w:rPr>
      </w:pPr>
      <w:r w:rsidRPr="00770477">
        <w:rPr>
          <w:rFonts w:cs="Times New Roman"/>
        </w:rPr>
        <w:t xml:space="preserve">Acetamiprid removal </w:t>
      </w:r>
      <w:r w:rsidR="00520D52" w:rsidRPr="00770477">
        <w:rPr>
          <w:rFonts w:cs="Times New Roman"/>
        </w:rPr>
        <w:t xml:space="preserve">largely followed two patterns, one with a near-linear behavior over the duration of the experiment and one </w:t>
      </w:r>
      <w:r w:rsidR="00177B05" w:rsidRPr="00770477">
        <w:rPr>
          <w:rFonts w:cs="Times New Roman"/>
        </w:rPr>
        <w:t>which follows a decaying asymptotic curve</w:t>
      </w:r>
      <w:r w:rsidR="0014462B" w:rsidRPr="00770477">
        <w:rPr>
          <w:rFonts w:cs="Times New Roman"/>
        </w:rPr>
        <w:t xml:space="preserve"> (</w:t>
      </w:r>
      <w:r w:rsidR="0014462B" w:rsidRPr="00770477">
        <w:rPr>
          <w:rFonts w:cs="Times New Roman"/>
        </w:rPr>
        <w:fldChar w:fldCharType="begin"/>
      </w:r>
      <w:r w:rsidR="0014462B" w:rsidRPr="00770477">
        <w:rPr>
          <w:rFonts w:cs="Times New Roman"/>
        </w:rPr>
        <w:instrText xml:space="preserve"> REF _Ref117865955 \h </w:instrText>
      </w:r>
      <w:r w:rsidR="00770477">
        <w:rPr>
          <w:rFonts w:cs="Times New Roman"/>
        </w:rPr>
        <w:instrText xml:space="preserve"> \* MERGEFORMAT </w:instrText>
      </w:r>
      <w:r w:rsidR="0014462B" w:rsidRPr="00770477">
        <w:rPr>
          <w:rFonts w:cs="Times New Roman"/>
        </w:rPr>
      </w:r>
      <w:r w:rsidR="0014462B"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11</w:t>
      </w:r>
      <w:r w:rsidR="0014462B" w:rsidRPr="00770477">
        <w:rPr>
          <w:rFonts w:cs="Times New Roman"/>
        </w:rPr>
        <w:fldChar w:fldCharType="end"/>
      </w:r>
      <w:r w:rsidR="0014462B" w:rsidRPr="00770477">
        <w:rPr>
          <w:rFonts w:cs="Times New Roman"/>
        </w:rPr>
        <w:t>)</w:t>
      </w:r>
      <w:r w:rsidR="00177B05" w:rsidRPr="00770477">
        <w:rPr>
          <w:rFonts w:cs="Times New Roman"/>
        </w:rPr>
        <w:t xml:space="preserve">. </w:t>
      </w:r>
      <w:r w:rsidR="00475CC9" w:rsidRPr="00770477">
        <w:rPr>
          <w:rFonts w:cs="Times New Roman"/>
        </w:rPr>
        <w:t xml:space="preserve">Modeled results were significant (p &lt; 0.05) for </w:t>
      </w:r>
      <w:r w:rsidR="003D04E1" w:rsidRPr="00770477">
        <w:rPr>
          <w:rFonts w:cs="Times New Roman"/>
        </w:rPr>
        <w:t>large biochar (p = 0.04), small biochar (p = 0.04), and small steel slag (p = 0.01) with large steel slag being highly significant (p = 0.001)</w:t>
      </w:r>
      <w:r w:rsidR="00491FB1" w:rsidRPr="00770477">
        <w:rPr>
          <w:rFonts w:cs="Times New Roman"/>
        </w:rPr>
        <w:t xml:space="preserve">. Modeled curves for large and small </w:t>
      </w:r>
      <w:r w:rsidR="00957224">
        <w:rPr>
          <w:rFonts w:cs="Times New Roman"/>
        </w:rPr>
        <w:t>aggregated fly ash</w:t>
      </w:r>
      <w:r w:rsidR="00491FB1" w:rsidRPr="00770477">
        <w:rPr>
          <w:rFonts w:cs="Times New Roman"/>
        </w:rPr>
        <w:t xml:space="preserve"> were not statistically significant </w:t>
      </w:r>
      <w:r w:rsidR="00353E97" w:rsidRPr="00770477">
        <w:rPr>
          <w:rFonts w:cs="Times New Roman"/>
        </w:rPr>
        <w:t xml:space="preserve">when compared to </w:t>
      </w:r>
      <w:r w:rsidR="00491FB1" w:rsidRPr="00770477">
        <w:rPr>
          <w:rFonts w:cs="Times New Roman"/>
        </w:rPr>
        <w:t xml:space="preserve">the </w:t>
      </w:r>
      <w:r w:rsidR="00BE38E1" w:rsidRPr="00770477">
        <w:rPr>
          <w:rFonts w:cs="Times New Roman"/>
        </w:rPr>
        <w:t>collective results.</w:t>
      </w:r>
      <w:r w:rsidR="00491FB1" w:rsidRPr="00770477">
        <w:rPr>
          <w:rFonts w:cs="Times New Roman"/>
        </w:rPr>
        <w:t xml:space="preserve"> </w:t>
      </w:r>
      <w:r w:rsidR="00177B05" w:rsidRPr="00770477">
        <w:rPr>
          <w:rFonts w:cs="Times New Roman"/>
        </w:rPr>
        <w:t xml:space="preserve">Near-linear behavior was observed in large steel slag, small steel slag, and large </w:t>
      </w:r>
      <w:r w:rsidR="00957224">
        <w:rPr>
          <w:rFonts w:cs="Times New Roman"/>
        </w:rPr>
        <w:t>aggregated fly ash</w:t>
      </w:r>
      <w:r w:rsidR="00177B05" w:rsidRPr="00770477">
        <w:rPr>
          <w:rFonts w:cs="Times New Roman"/>
        </w:rPr>
        <w:t xml:space="preserve"> at different removal levels. </w:t>
      </w:r>
      <w:r w:rsidR="005957DA" w:rsidRPr="00770477">
        <w:rPr>
          <w:rFonts w:cs="Times New Roman"/>
        </w:rPr>
        <w:t>Large steel slag initially was not removing nor leaching acetamiprid into solution, however by 430 pore volume</w:t>
      </w:r>
      <w:r w:rsidR="00774534" w:rsidRPr="00770477">
        <w:rPr>
          <w:rFonts w:cs="Times New Roman"/>
        </w:rPr>
        <w:t xml:space="preserve">s, the IE ratio </w:t>
      </w:r>
      <w:r w:rsidR="00387626" w:rsidRPr="00770477">
        <w:rPr>
          <w:rFonts w:cs="Times New Roman"/>
        </w:rPr>
        <w:t>became &gt;1.0</w:t>
      </w:r>
      <w:r w:rsidR="005957DA" w:rsidRPr="00770477">
        <w:rPr>
          <w:rFonts w:cs="Times New Roman"/>
        </w:rPr>
        <w:t xml:space="preserve">. </w:t>
      </w:r>
      <w:proofErr w:type="gramStart"/>
      <w:r w:rsidR="005957DA" w:rsidRPr="00770477">
        <w:rPr>
          <w:rFonts w:cs="Times New Roman"/>
        </w:rPr>
        <w:t xml:space="preserve">Large </w:t>
      </w:r>
      <w:r w:rsidR="00957224">
        <w:rPr>
          <w:rFonts w:cs="Times New Roman"/>
        </w:rPr>
        <w:t>aggregated</w:t>
      </w:r>
      <w:proofErr w:type="gramEnd"/>
      <w:r w:rsidR="00957224">
        <w:rPr>
          <w:rFonts w:cs="Times New Roman"/>
        </w:rPr>
        <w:t xml:space="preserve"> fly ash</w:t>
      </w:r>
      <w:r w:rsidR="005957DA" w:rsidRPr="00770477">
        <w:rPr>
          <w:rFonts w:cs="Times New Roman"/>
        </w:rPr>
        <w:t xml:space="preserve"> </w:t>
      </w:r>
      <w:r w:rsidR="00901333" w:rsidRPr="00770477">
        <w:rPr>
          <w:rFonts w:cs="Times New Roman"/>
        </w:rPr>
        <w:t xml:space="preserve">initially removed just under 50% of acetamiprid from solution with a near-linear decline in removal efficiency finishing at around 10% removal. </w:t>
      </w:r>
      <w:r w:rsidR="006330CE" w:rsidRPr="00770477">
        <w:rPr>
          <w:rFonts w:cs="Times New Roman"/>
        </w:rPr>
        <w:t xml:space="preserve">Small steel slag removed nearly 80% of acetamiprid from solution initially and removal declined over time to </w:t>
      </w:r>
      <w:r w:rsidR="00DA0430" w:rsidRPr="00770477">
        <w:rPr>
          <w:rFonts w:cs="Times New Roman"/>
        </w:rPr>
        <w:t>about 40% removal (highest ending removal rate). Small steel slag did show a slight deca</w:t>
      </w:r>
      <w:r w:rsidR="00AB11A4" w:rsidRPr="00770477">
        <w:rPr>
          <w:rFonts w:cs="Times New Roman"/>
        </w:rPr>
        <w:t xml:space="preserve">y starting at around 270 pore volumes but generally appeared to decrease in removal efficiency in a near-linear fashion </w:t>
      </w:r>
      <w:r w:rsidR="00E127AA" w:rsidRPr="00770477">
        <w:rPr>
          <w:rFonts w:cs="Times New Roman"/>
        </w:rPr>
        <w:t xml:space="preserve">through the duration of the experiment. Asymptotic decay curves </w:t>
      </w:r>
      <w:r w:rsidR="00071546" w:rsidRPr="00770477">
        <w:rPr>
          <w:rFonts w:cs="Times New Roman"/>
        </w:rPr>
        <w:t>best describe</w:t>
      </w:r>
      <w:r w:rsidR="00E127AA" w:rsidRPr="00770477">
        <w:rPr>
          <w:rFonts w:cs="Times New Roman"/>
        </w:rPr>
        <w:t xml:space="preserve"> </w:t>
      </w:r>
      <w:proofErr w:type="gramStart"/>
      <w:r w:rsidR="00E127AA" w:rsidRPr="00770477">
        <w:rPr>
          <w:rFonts w:cs="Times New Roman"/>
        </w:rPr>
        <w:t xml:space="preserve">small </w:t>
      </w:r>
      <w:r w:rsidR="00957224">
        <w:rPr>
          <w:rFonts w:cs="Times New Roman"/>
        </w:rPr>
        <w:t>aggregated</w:t>
      </w:r>
      <w:proofErr w:type="gramEnd"/>
      <w:r w:rsidR="00957224">
        <w:rPr>
          <w:rFonts w:cs="Times New Roman"/>
        </w:rPr>
        <w:t xml:space="preserve"> fly ash</w:t>
      </w:r>
      <w:r w:rsidR="00E127AA" w:rsidRPr="00770477">
        <w:rPr>
          <w:rFonts w:cs="Times New Roman"/>
        </w:rPr>
        <w:t xml:space="preserve"> and both biochar</w:t>
      </w:r>
      <w:r w:rsidR="00D63DC7" w:rsidRPr="00770477">
        <w:rPr>
          <w:rFonts w:cs="Times New Roman"/>
        </w:rPr>
        <w:t xml:space="preserve"> removal of </w:t>
      </w:r>
      <w:r w:rsidR="00EE7FCA" w:rsidRPr="00770477">
        <w:rPr>
          <w:rFonts w:cs="Times New Roman"/>
        </w:rPr>
        <w:t>acetamiprid</w:t>
      </w:r>
      <w:r w:rsidR="00E127AA" w:rsidRPr="00770477">
        <w:rPr>
          <w:rFonts w:cs="Times New Roman"/>
        </w:rPr>
        <w:t xml:space="preserve">. </w:t>
      </w:r>
      <w:r w:rsidR="006000EE" w:rsidRPr="00770477">
        <w:rPr>
          <w:rFonts w:cs="Times New Roman"/>
        </w:rPr>
        <w:t>Large biochar had an initial removal of about 45% with a steady decay finishing the experiment within 0.05</w:t>
      </w:r>
      <w:r w:rsidR="00AD5A95" w:rsidRPr="00770477">
        <w:rPr>
          <w:rFonts w:cs="Times New Roman"/>
        </w:rPr>
        <w:t xml:space="preserve"> of an IE </w:t>
      </w:r>
      <w:proofErr w:type="gramStart"/>
      <w:r w:rsidR="00AD5A95" w:rsidRPr="00770477">
        <w:rPr>
          <w:rFonts w:cs="Times New Roman"/>
        </w:rPr>
        <w:t>ratio</w:t>
      </w:r>
      <w:proofErr w:type="gramEnd"/>
      <w:r w:rsidR="00AD5A95" w:rsidRPr="00770477">
        <w:rPr>
          <w:rFonts w:cs="Times New Roman"/>
        </w:rPr>
        <w:t xml:space="preserve"> of 1.00. </w:t>
      </w:r>
      <w:r w:rsidR="002C387A" w:rsidRPr="00770477">
        <w:rPr>
          <w:rFonts w:cs="Times New Roman"/>
        </w:rPr>
        <w:t xml:space="preserve">Small biochar started with the </w:t>
      </w:r>
      <w:r w:rsidR="00387626" w:rsidRPr="00770477">
        <w:rPr>
          <w:rFonts w:cs="Times New Roman"/>
        </w:rPr>
        <w:t>second-best</w:t>
      </w:r>
      <w:r w:rsidR="002C387A" w:rsidRPr="00770477">
        <w:rPr>
          <w:rFonts w:cs="Times New Roman"/>
        </w:rPr>
        <w:t xml:space="preserve"> removal </w:t>
      </w:r>
      <w:r w:rsidR="00FC75DD" w:rsidRPr="00770477">
        <w:rPr>
          <w:rFonts w:cs="Times New Roman"/>
        </w:rPr>
        <w:t xml:space="preserve">at around 75% and tapered off to about 15% by the end of </w:t>
      </w:r>
      <w:r w:rsidR="00FC75DD" w:rsidRPr="00770477">
        <w:rPr>
          <w:rFonts w:cs="Times New Roman"/>
        </w:rPr>
        <w:lastRenderedPageBreak/>
        <w:t xml:space="preserve">the experiment. </w:t>
      </w:r>
      <w:proofErr w:type="gramStart"/>
      <w:r w:rsidR="00C82A7C" w:rsidRPr="00770477">
        <w:rPr>
          <w:rFonts w:cs="Times New Roman"/>
        </w:rPr>
        <w:t xml:space="preserve">Small </w:t>
      </w:r>
      <w:r w:rsidR="00957224">
        <w:rPr>
          <w:rFonts w:cs="Times New Roman"/>
        </w:rPr>
        <w:t>aggregated</w:t>
      </w:r>
      <w:proofErr w:type="gramEnd"/>
      <w:r w:rsidR="00957224">
        <w:rPr>
          <w:rFonts w:cs="Times New Roman"/>
        </w:rPr>
        <w:t xml:space="preserve"> fly ash</w:t>
      </w:r>
      <w:r w:rsidR="00C82A7C" w:rsidRPr="00770477">
        <w:rPr>
          <w:rFonts w:cs="Times New Roman"/>
        </w:rPr>
        <w:t xml:space="preserve"> had an initial removal of about 60% and by </w:t>
      </w:r>
      <w:r w:rsidR="005E540E" w:rsidRPr="00770477">
        <w:rPr>
          <w:rFonts w:cs="Times New Roman"/>
        </w:rPr>
        <w:t>270 pore volumes, the curve indicates an asymptote was reached at about 20% removal (</w:t>
      </w:r>
      <w:r w:rsidR="006876C4" w:rsidRPr="00770477">
        <w:rPr>
          <w:rFonts w:cs="Times New Roman"/>
        </w:rPr>
        <w:t xml:space="preserve">upper </w:t>
      </w:r>
      <w:r w:rsidR="005E540E" w:rsidRPr="00770477">
        <w:rPr>
          <w:rFonts w:cs="Times New Roman"/>
        </w:rPr>
        <w:t>IE ratio</w:t>
      </w:r>
      <w:r w:rsidR="006876C4" w:rsidRPr="00770477">
        <w:rPr>
          <w:rFonts w:cs="Times New Roman"/>
        </w:rPr>
        <w:t xml:space="preserve"> asymptote</w:t>
      </w:r>
      <w:r w:rsidR="005E540E" w:rsidRPr="00770477">
        <w:rPr>
          <w:rFonts w:cs="Times New Roman"/>
        </w:rPr>
        <w:t xml:space="preserve"> </w:t>
      </w:r>
      <w:r w:rsidR="006876C4" w:rsidRPr="00770477">
        <w:rPr>
          <w:rFonts w:cs="Times New Roman"/>
        </w:rPr>
        <w:t xml:space="preserve">0.79). </w:t>
      </w:r>
      <w:r w:rsidR="0018615A" w:rsidRPr="00770477">
        <w:rPr>
          <w:rFonts w:cs="Times New Roman"/>
        </w:rPr>
        <w:t xml:space="preserve">Upper IE asymptotes were </w:t>
      </w:r>
      <w:r w:rsidR="00A7143E" w:rsidRPr="00770477">
        <w:rPr>
          <w:rFonts w:cs="Times New Roman"/>
        </w:rPr>
        <w:t xml:space="preserve">1.99, 0.79, 0.96, 0.86, 4.38, and </w:t>
      </w:r>
      <w:r w:rsidR="000C4BBA" w:rsidRPr="00770477">
        <w:rPr>
          <w:rFonts w:cs="Times New Roman"/>
        </w:rPr>
        <w:t xml:space="preserve">0.81 for large and small </w:t>
      </w:r>
      <w:r w:rsidR="00957224">
        <w:rPr>
          <w:rFonts w:cs="Times New Roman"/>
        </w:rPr>
        <w:t>aggregated fly ash</w:t>
      </w:r>
      <w:r w:rsidR="000C4BBA" w:rsidRPr="00770477">
        <w:rPr>
          <w:rFonts w:cs="Times New Roman"/>
        </w:rPr>
        <w:t>, large and small biochar, and large and small steel slag, respectively.</w:t>
      </w:r>
      <w:r w:rsidR="00092936" w:rsidRPr="00770477">
        <w:rPr>
          <w:rFonts w:cs="Times New Roman"/>
        </w:rPr>
        <w:t xml:space="preserve"> Exhaustion was reached at </w:t>
      </w:r>
      <w:r w:rsidR="1AC6763B" w:rsidRPr="00770477">
        <w:rPr>
          <w:rFonts w:cs="Times New Roman"/>
        </w:rPr>
        <w:t>approximat</w:t>
      </w:r>
      <w:r w:rsidR="67E5DFDD" w:rsidRPr="00770477">
        <w:rPr>
          <w:rFonts w:cs="Times New Roman"/>
        </w:rPr>
        <w:t>e</w:t>
      </w:r>
      <w:r w:rsidR="1AC6763B" w:rsidRPr="00770477">
        <w:rPr>
          <w:rFonts w:cs="Times New Roman"/>
        </w:rPr>
        <w:t>ly</w:t>
      </w:r>
      <w:r w:rsidR="00092936" w:rsidRPr="00770477">
        <w:rPr>
          <w:rFonts w:cs="Times New Roman"/>
        </w:rPr>
        <w:t xml:space="preserve"> </w:t>
      </w:r>
      <w:r w:rsidR="00265BB4" w:rsidRPr="00770477">
        <w:rPr>
          <w:rFonts w:cs="Times New Roman"/>
        </w:rPr>
        <w:t>8</w:t>
      </w:r>
      <w:r w:rsidR="7C4762BA" w:rsidRPr="00770477">
        <w:rPr>
          <w:rFonts w:cs="Times New Roman"/>
        </w:rPr>
        <w:t>70</w:t>
      </w:r>
      <w:r w:rsidR="00265BB4" w:rsidRPr="00770477">
        <w:rPr>
          <w:rFonts w:cs="Times New Roman"/>
        </w:rPr>
        <w:t>, 66</w:t>
      </w:r>
      <w:r w:rsidR="795EBE74" w:rsidRPr="00770477">
        <w:rPr>
          <w:rFonts w:cs="Times New Roman"/>
        </w:rPr>
        <w:t>0</w:t>
      </w:r>
      <w:r w:rsidR="00265BB4" w:rsidRPr="00770477">
        <w:rPr>
          <w:rFonts w:cs="Times New Roman"/>
        </w:rPr>
        <w:t xml:space="preserve">, and 63 pore volumes for </w:t>
      </w:r>
      <w:proofErr w:type="gramStart"/>
      <w:r w:rsidR="00B00A54" w:rsidRPr="00770477">
        <w:rPr>
          <w:rFonts w:cs="Times New Roman"/>
        </w:rPr>
        <w:t xml:space="preserve">large </w:t>
      </w:r>
      <w:r w:rsidR="00957224">
        <w:rPr>
          <w:rFonts w:cs="Times New Roman"/>
        </w:rPr>
        <w:t>aggregated</w:t>
      </w:r>
      <w:proofErr w:type="gramEnd"/>
      <w:r w:rsidR="00957224">
        <w:rPr>
          <w:rFonts w:cs="Times New Roman"/>
        </w:rPr>
        <w:t xml:space="preserve"> fly ash</w:t>
      </w:r>
      <w:r w:rsidR="00B00A54" w:rsidRPr="00770477">
        <w:rPr>
          <w:rFonts w:cs="Times New Roman"/>
        </w:rPr>
        <w:t>, large biochar, and large steel slag, respectively without having to fix the upper IE ratio asymptote. For all small media, the upper IE ratio asymptote was fixed to 1.00</w:t>
      </w:r>
      <w:r w:rsidR="728677BA" w:rsidRPr="00770477">
        <w:rPr>
          <w:rFonts w:cs="Times New Roman"/>
        </w:rPr>
        <w:t>,</w:t>
      </w:r>
      <w:r w:rsidR="00B00A54" w:rsidRPr="00770477">
        <w:rPr>
          <w:rFonts w:cs="Times New Roman"/>
        </w:rPr>
        <w:t xml:space="preserve"> which yielded an exhaustion </w:t>
      </w:r>
      <w:r w:rsidR="0067347A" w:rsidRPr="00770477">
        <w:rPr>
          <w:rFonts w:cs="Times New Roman"/>
        </w:rPr>
        <w:t>estimate</w:t>
      </w:r>
      <w:r w:rsidR="00B00A54" w:rsidRPr="00770477">
        <w:rPr>
          <w:rFonts w:cs="Times New Roman"/>
        </w:rPr>
        <w:t xml:space="preserve"> of </w:t>
      </w:r>
      <w:r w:rsidR="08D5426F" w:rsidRPr="00770477">
        <w:rPr>
          <w:rFonts w:cs="Times New Roman"/>
        </w:rPr>
        <w:t xml:space="preserve">approximately </w:t>
      </w:r>
      <w:r w:rsidR="1911BF42" w:rsidRPr="00770477">
        <w:rPr>
          <w:rFonts w:cs="Times New Roman"/>
        </w:rPr>
        <w:t>8</w:t>
      </w:r>
      <w:r w:rsidR="1F4FC48C" w:rsidRPr="00770477">
        <w:rPr>
          <w:rFonts w:cs="Times New Roman"/>
        </w:rPr>
        <w:t>30</w:t>
      </w:r>
      <w:r w:rsidR="1911BF42" w:rsidRPr="00770477">
        <w:rPr>
          <w:rFonts w:cs="Times New Roman"/>
        </w:rPr>
        <w:t>, 65</w:t>
      </w:r>
      <w:r w:rsidR="7420B827" w:rsidRPr="00770477">
        <w:rPr>
          <w:rFonts w:cs="Times New Roman"/>
        </w:rPr>
        <w:t>0</w:t>
      </w:r>
      <w:r w:rsidR="0067347A" w:rsidRPr="00770477">
        <w:rPr>
          <w:rFonts w:cs="Times New Roman"/>
        </w:rPr>
        <w:t>, and 152</w:t>
      </w:r>
      <w:r w:rsidR="334224DA" w:rsidRPr="00770477">
        <w:rPr>
          <w:rFonts w:cs="Times New Roman"/>
        </w:rPr>
        <w:t>0</w:t>
      </w:r>
      <w:r w:rsidR="0067347A" w:rsidRPr="00770477">
        <w:rPr>
          <w:rFonts w:cs="Times New Roman"/>
        </w:rPr>
        <w:t xml:space="preserve"> pore volumes for </w:t>
      </w:r>
      <w:proofErr w:type="gramStart"/>
      <w:r w:rsidR="0067347A" w:rsidRPr="00770477">
        <w:rPr>
          <w:rFonts w:cs="Times New Roman"/>
        </w:rPr>
        <w:t xml:space="preserve">small </w:t>
      </w:r>
      <w:r w:rsidR="00957224">
        <w:rPr>
          <w:rFonts w:cs="Times New Roman"/>
        </w:rPr>
        <w:t>aggregated</w:t>
      </w:r>
      <w:proofErr w:type="gramEnd"/>
      <w:r w:rsidR="00957224">
        <w:rPr>
          <w:rFonts w:cs="Times New Roman"/>
        </w:rPr>
        <w:t xml:space="preserve"> fly ash</w:t>
      </w:r>
      <w:r w:rsidR="0067347A" w:rsidRPr="00770477">
        <w:rPr>
          <w:rFonts w:cs="Times New Roman"/>
        </w:rPr>
        <w:t xml:space="preserve">, small biochar, and small steel slag, respectively. </w:t>
      </w:r>
    </w:p>
    <w:p w14:paraId="53655FD6" w14:textId="77777777" w:rsidR="00CB474C" w:rsidRPr="00770477" w:rsidRDefault="00CB474C" w:rsidP="00CB474C">
      <w:pPr>
        <w:rPr>
          <w:rFonts w:cs="Times New Roman"/>
        </w:rPr>
      </w:pPr>
    </w:p>
    <w:p w14:paraId="1E9B47F7" w14:textId="77777777" w:rsidR="00BB7149" w:rsidRPr="00770477" w:rsidRDefault="00BB7149" w:rsidP="00BB7149">
      <w:pPr>
        <w:keepNext/>
        <w:spacing w:line="240" w:lineRule="auto"/>
        <w:rPr>
          <w:rFonts w:cs="Times New Roman"/>
        </w:rPr>
      </w:pPr>
      <w:r w:rsidRPr="00770477">
        <w:rPr>
          <w:rFonts w:cs="Times New Roman"/>
          <w:noProof/>
        </w:rPr>
        <w:lastRenderedPageBreak/>
        <w:drawing>
          <wp:inline distT="0" distB="0" distL="0" distR="0" wp14:anchorId="476659C9" wp14:editId="6367D909">
            <wp:extent cx="5943600" cy="54864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inline>
        </w:drawing>
      </w:r>
    </w:p>
    <w:p w14:paraId="2AAB8A67" w14:textId="1B3A7188" w:rsidR="00567D50" w:rsidRPr="00770477" w:rsidRDefault="00BB7149" w:rsidP="00AE1144">
      <w:pPr>
        <w:pStyle w:val="Caption"/>
        <w:spacing w:line="240" w:lineRule="auto"/>
        <w:rPr>
          <w:rFonts w:cs="Times New Roman"/>
        </w:rPr>
      </w:pPr>
      <w:bookmarkStart w:id="111" w:name="_Ref117865955"/>
      <w:bookmarkStart w:id="112" w:name="_Toc121489506"/>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11</w:t>
      </w:r>
      <w:r w:rsidRPr="00770477">
        <w:rPr>
          <w:rFonts w:cs="Times New Roman"/>
          <w:noProof/>
        </w:rPr>
        <w:fldChar w:fldCharType="end"/>
      </w:r>
      <w:bookmarkEnd w:id="111"/>
      <w:r w:rsidR="00AF4A8D">
        <w:rPr>
          <w:rFonts w:cs="Times New Roman"/>
        </w:rPr>
        <w:t xml:space="preserve"> </w:t>
      </w:r>
      <w:r w:rsidRPr="00770477">
        <w:rPr>
          <w:rFonts w:cs="Times New Roman"/>
        </w:rPr>
        <w:t>Acetamiprid removal in vertical column experiments</w:t>
      </w:r>
      <w:r w:rsidR="0075253F" w:rsidRPr="0075253F">
        <w:rPr>
          <w:rFonts w:cs="Times New Roman"/>
        </w:rPr>
        <w:t xml:space="preserve"> </w:t>
      </w:r>
      <w:r w:rsidR="0075253F">
        <w:rPr>
          <w:rFonts w:cs="Times New Roman"/>
        </w:rPr>
        <w:t>as demonstrated by the influent-effluent ratio as defined by effluent concentration (</w:t>
      </w:r>
      <w:proofErr w:type="spellStart"/>
      <w:r w:rsidR="0075253F">
        <w:rPr>
          <w:rFonts w:cs="Times New Roman"/>
        </w:rPr>
        <w:t>C</w:t>
      </w:r>
      <w:r w:rsidR="0075253F">
        <w:rPr>
          <w:rFonts w:cs="Times New Roman"/>
          <w:vertAlign w:val="subscript"/>
        </w:rPr>
        <w:t>eff</w:t>
      </w:r>
      <w:proofErr w:type="spellEnd"/>
      <w:r w:rsidR="0075253F">
        <w:rPr>
          <w:rFonts w:cs="Times New Roman"/>
        </w:rPr>
        <w:t>) divided by influent concentration (</w:t>
      </w:r>
      <w:proofErr w:type="spellStart"/>
      <w:r w:rsidR="0075253F">
        <w:rPr>
          <w:rFonts w:cs="Times New Roman"/>
        </w:rPr>
        <w:t>C</w:t>
      </w:r>
      <w:r w:rsidR="0075253F">
        <w:rPr>
          <w:rFonts w:cs="Times New Roman"/>
          <w:vertAlign w:val="subscript"/>
        </w:rPr>
        <w:t>in</w:t>
      </w:r>
      <w:proofErr w:type="spellEnd"/>
      <w:r w:rsidR="0075253F">
        <w:rPr>
          <w:rFonts w:cs="Times New Roman"/>
        </w:rPr>
        <w:t>) and plotted against pore volumes passed.</w:t>
      </w:r>
      <w:bookmarkEnd w:id="112"/>
    </w:p>
    <w:p w14:paraId="00D61779" w14:textId="79E5F626" w:rsidR="00BB7149" w:rsidRPr="00770477" w:rsidRDefault="00BB7149" w:rsidP="002A6150">
      <w:pPr>
        <w:spacing w:line="240" w:lineRule="auto"/>
        <w:rPr>
          <w:rFonts w:cs="Times New Roman"/>
        </w:rPr>
      </w:pPr>
      <w:r w:rsidRPr="00770477">
        <w:rPr>
          <w:rFonts w:cs="Times New Roman"/>
        </w:rPr>
        <w:br w:type="page"/>
      </w:r>
    </w:p>
    <w:p w14:paraId="626DE0E0" w14:textId="1BF86A0D" w:rsidR="000D19F8" w:rsidRPr="00770477" w:rsidRDefault="000D19F8" w:rsidP="000D19F8">
      <w:pPr>
        <w:pStyle w:val="Heading4"/>
        <w:rPr>
          <w:rFonts w:ascii="Times New Roman" w:hAnsi="Times New Roman" w:cs="Times New Roman"/>
        </w:rPr>
      </w:pPr>
      <w:bookmarkStart w:id="113" w:name="_Toc121496013"/>
      <w:r w:rsidRPr="00770477">
        <w:rPr>
          <w:rFonts w:ascii="Times New Roman" w:hAnsi="Times New Roman" w:cs="Times New Roman"/>
        </w:rPr>
        <w:lastRenderedPageBreak/>
        <w:t>Dinotefuran</w:t>
      </w:r>
      <w:bookmarkEnd w:id="113"/>
    </w:p>
    <w:p w14:paraId="240936A9" w14:textId="2A3DA0DA" w:rsidR="003379D3" w:rsidRPr="00770477" w:rsidRDefault="008414AC" w:rsidP="00567D50">
      <w:pPr>
        <w:ind w:firstLine="720"/>
        <w:rPr>
          <w:rFonts w:cs="Times New Roman"/>
        </w:rPr>
      </w:pPr>
      <w:r w:rsidRPr="00770477">
        <w:rPr>
          <w:rFonts w:cs="Times New Roman"/>
        </w:rPr>
        <w:t>Dinotefuran results</w:t>
      </w:r>
      <w:r w:rsidR="00886171" w:rsidRPr="00770477">
        <w:rPr>
          <w:rFonts w:cs="Times New Roman"/>
        </w:rPr>
        <w:t xml:space="preserve"> (</w:t>
      </w:r>
      <w:r w:rsidR="00886171" w:rsidRPr="00770477">
        <w:rPr>
          <w:rFonts w:cs="Times New Roman"/>
        </w:rPr>
        <w:fldChar w:fldCharType="begin"/>
      </w:r>
      <w:r w:rsidR="00886171" w:rsidRPr="00770477">
        <w:rPr>
          <w:rFonts w:cs="Times New Roman"/>
        </w:rPr>
        <w:instrText xml:space="preserve"> REF _Ref117865974 \h </w:instrText>
      </w:r>
      <w:r w:rsidR="00770477">
        <w:rPr>
          <w:rFonts w:cs="Times New Roman"/>
        </w:rPr>
        <w:instrText xml:space="preserve"> \* MERGEFORMAT </w:instrText>
      </w:r>
      <w:r w:rsidR="00886171" w:rsidRPr="00770477">
        <w:rPr>
          <w:rFonts w:cs="Times New Roman"/>
        </w:rPr>
      </w:r>
      <w:r w:rsidR="00886171"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12</w:t>
      </w:r>
      <w:r w:rsidR="00886171" w:rsidRPr="00770477">
        <w:rPr>
          <w:rFonts w:cs="Times New Roman"/>
        </w:rPr>
        <w:fldChar w:fldCharType="end"/>
      </w:r>
      <w:r w:rsidR="00886171" w:rsidRPr="00770477">
        <w:rPr>
          <w:rFonts w:cs="Times New Roman"/>
        </w:rPr>
        <w:t>)</w:t>
      </w:r>
      <w:r w:rsidRPr="00770477">
        <w:rPr>
          <w:rFonts w:cs="Times New Roman"/>
        </w:rPr>
        <w:t xml:space="preserve"> yielded only one statistically unique modeled fit with small biochar</w:t>
      </w:r>
      <w:r w:rsidR="007A507E" w:rsidRPr="00770477">
        <w:rPr>
          <w:rFonts w:cs="Times New Roman"/>
        </w:rPr>
        <w:t xml:space="preserve"> (p = 0.09). Small biochar initially had the best dinotefuran removal of 50% and </w:t>
      </w:r>
      <w:r w:rsidR="00321C72" w:rsidRPr="00770477">
        <w:rPr>
          <w:rFonts w:cs="Times New Roman"/>
        </w:rPr>
        <w:t xml:space="preserve">the modeled removal rate tapered off to 0% removal by the end of the experiment. Although not significant, large biochar showed a similar pattern </w:t>
      </w:r>
      <w:r w:rsidR="00FB126C" w:rsidRPr="00770477">
        <w:rPr>
          <w:rFonts w:cs="Times New Roman"/>
        </w:rPr>
        <w:t xml:space="preserve">albeit with a lower initial removal of around 25%. </w:t>
      </w:r>
      <w:r w:rsidR="0019457F" w:rsidRPr="00770477">
        <w:rPr>
          <w:rFonts w:cs="Times New Roman"/>
        </w:rPr>
        <w:t xml:space="preserve">Large biochar’s exhaustion was predicted at 200 pore volumes while the small fraction was predicted at 280 pore volumes. </w:t>
      </w:r>
      <w:r w:rsidR="00FF1AF7" w:rsidRPr="00770477">
        <w:rPr>
          <w:rFonts w:cs="Times New Roman"/>
        </w:rPr>
        <w:t xml:space="preserve">Visually, </w:t>
      </w:r>
      <w:proofErr w:type="gramStart"/>
      <w:r w:rsidR="00FF1AF7" w:rsidRPr="00770477">
        <w:rPr>
          <w:rFonts w:cs="Times New Roman"/>
        </w:rPr>
        <w:t xml:space="preserve">large </w:t>
      </w:r>
      <w:r w:rsidR="00957224">
        <w:rPr>
          <w:rFonts w:cs="Times New Roman"/>
        </w:rPr>
        <w:t>aggregated</w:t>
      </w:r>
      <w:proofErr w:type="gramEnd"/>
      <w:r w:rsidR="00957224">
        <w:rPr>
          <w:rFonts w:cs="Times New Roman"/>
        </w:rPr>
        <w:t xml:space="preserve"> fly ash</w:t>
      </w:r>
      <w:r w:rsidR="00FF1AF7" w:rsidRPr="00770477">
        <w:rPr>
          <w:rFonts w:cs="Times New Roman"/>
        </w:rPr>
        <w:t xml:space="preserve"> and small steel slag had similar magnitudes and trends </w:t>
      </w:r>
      <w:r w:rsidR="008D7926" w:rsidRPr="00770477">
        <w:rPr>
          <w:rFonts w:cs="Times New Roman"/>
        </w:rPr>
        <w:t>both initially measured to remove between 20 and 25% of dinotefuran</w:t>
      </w:r>
      <w:r w:rsidR="003842DC" w:rsidRPr="00770477">
        <w:rPr>
          <w:rFonts w:cs="Times New Roman"/>
        </w:rPr>
        <w:t xml:space="preserve"> with </w:t>
      </w:r>
      <w:r w:rsidR="00832F23" w:rsidRPr="00770477">
        <w:rPr>
          <w:rFonts w:cs="Times New Roman"/>
        </w:rPr>
        <w:t xml:space="preserve">removal modeled at the same rate for the duration of the experiment. Large steel slag </w:t>
      </w:r>
      <w:r w:rsidR="00E84160" w:rsidRPr="00770477">
        <w:rPr>
          <w:rFonts w:cs="Times New Roman"/>
        </w:rPr>
        <w:t xml:space="preserve">was measured to initially remove little to no </w:t>
      </w:r>
      <w:r w:rsidR="00996928" w:rsidRPr="00770477">
        <w:rPr>
          <w:rFonts w:cs="Times New Roman"/>
        </w:rPr>
        <w:t>dinotefuran,</w:t>
      </w:r>
      <w:r w:rsidR="00E84160" w:rsidRPr="00770477">
        <w:rPr>
          <w:rFonts w:cs="Times New Roman"/>
        </w:rPr>
        <w:t xml:space="preserve"> and the modeled trend showed </w:t>
      </w:r>
      <w:r w:rsidR="00276769" w:rsidRPr="00770477">
        <w:rPr>
          <w:rFonts w:cs="Times New Roman"/>
        </w:rPr>
        <w:t xml:space="preserve">small steel slag with an IE ratio above 1.0 by approximately 160 pore volumes with a final measured IE ratio of </w:t>
      </w:r>
      <w:r w:rsidR="00996928" w:rsidRPr="00770477">
        <w:rPr>
          <w:rFonts w:cs="Times New Roman"/>
        </w:rPr>
        <w:t>approximately 1.55.</w:t>
      </w:r>
      <w:r w:rsidR="3570A052" w:rsidRPr="00770477">
        <w:rPr>
          <w:rFonts w:cs="Times New Roman"/>
        </w:rPr>
        <w:t xml:space="preserve"> </w:t>
      </w:r>
    </w:p>
    <w:p w14:paraId="37F12541" w14:textId="4C0992E5" w:rsidR="002A6150" w:rsidRPr="00770477" w:rsidRDefault="003379D3" w:rsidP="003379D3">
      <w:pPr>
        <w:spacing w:line="240" w:lineRule="auto"/>
        <w:rPr>
          <w:rFonts w:cs="Times New Roman"/>
        </w:rPr>
      </w:pPr>
      <w:r w:rsidRPr="00770477">
        <w:rPr>
          <w:rFonts w:cs="Times New Roman"/>
        </w:rPr>
        <w:br w:type="page"/>
      </w:r>
    </w:p>
    <w:p w14:paraId="284EB700" w14:textId="77777777" w:rsidR="00BB7149" w:rsidRPr="00770477" w:rsidRDefault="00BB7149" w:rsidP="00BB7149">
      <w:pPr>
        <w:keepNext/>
        <w:spacing w:line="240" w:lineRule="auto"/>
        <w:rPr>
          <w:rFonts w:cs="Times New Roman"/>
        </w:rPr>
      </w:pPr>
      <w:r w:rsidRPr="00770477">
        <w:rPr>
          <w:rFonts w:cs="Times New Roman"/>
          <w:noProof/>
        </w:rPr>
        <w:lastRenderedPageBreak/>
        <w:drawing>
          <wp:inline distT="0" distB="0" distL="0" distR="0" wp14:anchorId="6BE43516" wp14:editId="3694DCAF">
            <wp:extent cx="5943600" cy="54864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inline>
        </w:drawing>
      </w:r>
    </w:p>
    <w:p w14:paraId="779AF07F" w14:textId="602F710E" w:rsidR="003379D3" w:rsidRPr="00770477" w:rsidRDefault="00BB7149" w:rsidP="00AE1144">
      <w:pPr>
        <w:pStyle w:val="Caption"/>
        <w:spacing w:line="240" w:lineRule="auto"/>
        <w:rPr>
          <w:rFonts w:cs="Times New Roman"/>
        </w:rPr>
      </w:pPr>
      <w:bookmarkStart w:id="114" w:name="_Ref117865974"/>
      <w:bookmarkStart w:id="115" w:name="_Toc121489507"/>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12</w:t>
      </w:r>
      <w:r w:rsidRPr="00770477">
        <w:rPr>
          <w:rFonts w:cs="Times New Roman"/>
          <w:noProof/>
        </w:rPr>
        <w:fldChar w:fldCharType="end"/>
      </w:r>
      <w:bookmarkEnd w:id="114"/>
      <w:r w:rsidRPr="00770477">
        <w:rPr>
          <w:rFonts w:cs="Times New Roman"/>
        </w:rPr>
        <w:t xml:space="preserve"> Dinotefuran removal in vertical column experiments</w:t>
      </w:r>
      <w:r w:rsidR="0075253F" w:rsidRPr="0075253F">
        <w:rPr>
          <w:rFonts w:cs="Times New Roman"/>
        </w:rPr>
        <w:t xml:space="preserve"> </w:t>
      </w:r>
      <w:r w:rsidR="0075253F">
        <w:rPr>
          <w:rFonts w:cs="Times New Roman"/>
        </w:rPr>
        <w:t>as demonstrated by the influent-effluent ratio as defined by effluent concentration (</w:t>
      </w:r>
      <w:proofErr w:type="spellStart"/>
      <w:r w:rsidR="0075253F">
        <w:rPr>
          <w:rFonts w:cs="Times New Roman"/>
        </w:rPr>
        <w:t>C</w:t>
      </w:r>
      <w:r w:rsidR="0075253F">
        <w:rPr>
          <w:rFonts w:cs="Times New Roman"/>
          <w:vertAlign w:val="subscript"/>
        </w:rPr>
        <w:t>eff</w:t>
      </w:r>
      <w:proofErr w:type="spellEnd"/>
      <w:r w:rsidR="0075253F">
        <w:rPr>
          <w:rFonts w:cs="Times New Roman"/>
        </w:rPr>
        <w:t>) divided by influent concentration (</w:t>
      </w:r>
      <w:proofErr w:type="spellStart"/>
      <w:r w:rsidR="0075253F">
        <w:rPr>
          <w:rFonts w:cs="Times New Roman"/>
        </w:rPr>
        <w:t>C</w:t>
      </w:r>
      <w:r w:rsidR="0075253F">
        <w:rPr>
          <w:rFonts w:cs="Times New Roman"/>
          <w:vertAlign w:val="subscript"/>
        </w:rPr>
        <w:t>in</w:t>
      </w:r>
      <w:proofErr w:type="spellEnd"/>
      <w:r w:rsidR="0075253F">
        <w:rPr>
          <w:rFonts w:cs="Times New Roman"/>
        </w:rPr>
        <w:t>) and plotted against pore volumes passed.</w:t>
      </w:r>
      <w:bookmarkEnd w:id="115"/>
    </w:p>
    <w:p w14:paraId="2DA3E84C" w14:textId="552243EE" w:rsidR="00567D50" w:rsidRPr="00770477" w:rsidRDefault="003379D3" w:rsidP="002A6150">
      <w:pPr>
        <w:spacing w:line="240" w:lineRule="auto"/>
        <w:rPr>
          <w:rFonts w:cs="Times New Roman"/>
        </w:rPr>
      </w:pPr>
      <w:r w:rsidRPr="00770477">
        <w:rPr>
          <w:rFonts w:cs="Times New Roman"/>
        </w:rPr>
        <w:br w:type="page"/>
      </w:r>
    </w:p>
    <w:p w14:paraId="5610CB00" w14:textId="77222CD5" w:rsidR="000D19F8" w:rsidRPr="00770477" w:rsidRDefault="000D19F8" w:rsidP="000D19F8">
      <w:pPr>
        <w:pStyle w:val="Heading4"/>
        <w:rPr>
          <w:rFonts w:ascii="Times New Roman" w:hAnsi="Times New Roman" w:cs="Times New Roman"/>
        </w:rPr>
      </w:pPr>
      <w:bookmarkStart w:id="116" w:name="_Toc121496014"/>
      <w:r w:rsidRPr="00770477">
        <w:rPr>
          <w:rFonts w:ascii="Times New Roman" w:hAnsi="Times New Roman" w:cs="Times New Roman"/>
        </w:rPr>
        <w:lastRenderedPageBreak/>
        <w:t>Imidacloprid</w:t>
      </w:r>
      <w:bookmarkEnd w:id="116"/>
    </w:p>
    <w:p w14:paraId="6D776E2F" w14:textId="2E07C133" w:rsidR="003379D3" w:rsidRPr="00770477" w:rsidRDefault="00145294" w:rsidP="00D271DC">
      <w:pPr>
        <w:rPr>
          <w:rFonts w:cs="Times New Roman"/>
        </w:rPr>
      </w:pPr>
      <w:r w:rsidRPr="00770477">
        <w:rPr>
          <w:rFonts w:cs="Times New Roman"/>
        </w:rPr>
        <w:tab/>
        <w:t>Data from imidacloprid</w:t>
      </w:r>
      <w:r w:rsidR="00D271DC" w:rsidRPr="00770477">
        <w:rPr>
          <w:rFonts w:cs="Times New Roman"/>
        </w:rPr>
        <w:t xml:space="preserve"> (</w:t>
      </w:r>
      <w:r w:rsidR="00D271DC" w:rsidRPr="00770477">
        <w:rPr>
          <w:rFonts w:cs="Times New Roman"/>
        </w:rPr>
        <w:fldChar w:fldCharType="begin"/>
      </w:r>
      <w:r w:rsidR="00D271DC" w:rsidRPr="00770477">
        <w:rPr>
          <w:rFonts w:cs="Times New Roman"/>
        </w:rPr>
        <w:instrText xml:space="preserve"> REF _Ref117865996 \h </w:instrText>
      </w:r>
      <w:r w:rsidR="00770477">
        <w:rPr>
          <w:rFonts w:cs="Times New Roman"/>
        </w:rPr>
        <w:instrText xml:space="preserve"> \* MERGEFORMAT </w:instrText>
      </w:r>
      <w:r w:rsidR="00D271DC" w:rsidRPr="00770477">
        <w:rPr>
          <w:rFonts w:cs="Times New Roman"/>
        </w:rPr>
      </w:r>
      <w:r w:rsidR="00D271DC"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13</w:t>
      </w:r>
      <w:r w:rsidR="00D271DC" w:rsidRPr="00770477">
        <w:rPr>
          <w:rFonts w:cs="Times New Roman"/>
        </w:rPr>
        <w:fldChar w:fldCharType="end"/>
      </w:r>
      <w:r w:rsidR="00D271DC" w:rsidRPr="00770477">
        <w:rPr>
          <w:rFonts w:cs="Times New Roman"/>
        </w:rPr>
        <w:t>)</w:t>
      </w:r>
      <w:r w:rsidRPr="00770477">
        <w:rPr>
          <w:rFonts w:cs="Times New Roman"/>
        </w:rPr>
        <w:t xml:space="preserve"> resulted in two media with significantly unique model fits: large biochar (p = 0.06) and small biochar (p = 0.02).</w:t>
      </w:r>
      <w:r w:rsidR="00C402DD" w:rsidRPr="00770477">
        <w:rPr>
          <w:rFonts w:cs="Times New Roman"/>
        </w:rPr>
        <w:t xml:space="preserve"> </w:t>
      </w:r>
      <w:r w:rsidR="00915AF8" w:rsidRPr="00770477">
        <w:rPr>
          <w:rFonts w:cs="Times New Roman"/>
        </w:rPr>
        <w:t xml:space="preserve">Visually, both model fits are very similar, and in fact, all parameters for both biochar sizes were not unique (parameter pairwise p values all &gt;0.05). </w:t>
      </w:r>
      <w:r w:rsidR="00BE6CE7" w:rsidRPr="00770477">
        <w:rPr>
          <w:rFonts w:cs="Times New Roman"/>
        </w:rPr>
        <w:t xml:space="preserve">Large biochar had an initial removal rate </w:t>
      </w:r>
      <w:r w:rsidR="00BA3580" w:rsidRPr="00770477">
        <w:rPr>
          <w:rFonts w:cs="Times New Roman"/>
        </w:rPr>
        <w:t xml:space="preserve">of approximately 50% and the model tapered off asymptotically </w:t>
      </w:r>
      <w:r w:rsidR="00C106EB" w:rsidRPr="00770477">
        <w:rPr>
          <w:rFonts w:cs="Times New Roman"/>
        </w:rPr>
        <w:t xml:space="preserve">to an IE ratio just below 1.0 and exhaustion modeled at </w:t>
      </w:r>
      <w:r w:rsidR="0069538C" w:rsidRPr="00770477">
        <w:rPr>
          <w:rFonts w:cs="Times New Roman"/>
        </w:rPr>
        <w:t xml:space="preserve">520 pore volumes. The same trend was observed with small biochar however at a </w:t>
      </w:r>
      <w:r w:rsidR="00E7621E" w:rsidRPr="00770477">
        <w:rPr>
          <w:rFonts w:cs="Times New Roman"/>
        </w:rPr>
        <w:t xml:space="preserve">magnitude of removal higher than the large fraction. Initial removal was 75% </w:t>
      </w:r>
      <w:r w:rsidR="00B06D41" w:rsidRPr="00770477">
        <w:rPr>
          <w:rFonts w:cs="Times New Roman"/>
        </w:rPr>
        <w:t xml:space="preserve">and tapered to a removal rate of 15% by approximately 430 pore volumes passed. </w:t>
      </w:r>
      <w:r w:rsidR="00EA4BAD" w:rsidRPr="00770477">
        <w:rPr>
          <w:rFonts w:cs="Times New Roman"/>
        </w:rPr>
        <w:t xml:space="preserve">When the upper IE ratio asymptote is fixed to 1.0 and the model re-run, the predicted exhaustion </w:t>
      </w:r>
      <w:r w:rsidR="003B35BB" w:rsidRPr="00770477">
        <w:rPr>
          <w:rFonts w:cs="Times New Roman"/>
        </w:rPr>
        <w:t xml:space="preserve">point is 630 pore volumes. </w:t>
      </w:r>
      <w:r w:rsidR="00E87E28" w:rsidRPr="00770477">
        <w:rPr>
          <w:rFonts w:cs="Times New Roman"/>
        </w:rPr>
        <w:t xml:space="preserve">Pairwise comparison of the model parameters for both </w:t>
      </w:r>
      <w:r w:rsidR="00957224">
        <w:rPr>
          <w:rFonts w:cs="Times New Roman"/>
        </w:rPr>
        <w:t>aggregated fly ash</w:t>
      </w:r>
      <w:r w:rsidR="00E87E28" w:rsidRPr="00770477">
        <w:rPr>
          <w:rFonts w:cs="Times New Roman"/>
        </w:rPr>
        <w:t xml:space="preserve"> sizes </w:t>
      </w:r>
      <w:r w:rsidR="00FF4995" w:rsidRPr="00770477">
        <w:rPr>
          <w:rFonts w:cs="Times New Roman"/>
        </w:rPr>
        <w:t xml:space="preserve">determined </w:t>
      </w:r>
      <w:r w:rsidR="0019259A" w:rsidRPr="00770477">
        <w:rPr>
          <w:rFonts w:cs="Times New Roman"/>
        </w:rPr>
        <w:t>no significant difference between the modeled fit between each size (all parameter</w:t>
      </w:r>
      <w:r w:rsidR="00483DBA" w:rsidRPr="00770477">
        <w:rPr>
          <w:rFonts w:cs="Times New Roman"/>
        </w:rPr>
        <w:t xml:space="preserve"> pairwise comparison &gt; 0.05)</w:t>
      </w:r>
      <w:r w:rsidR="0019259A" w:rsidRPr="00770477">
        <w:rPr>
          <w:rFonts w:cs="Times New Roman"/>
        </w:rPr>
        <w:t xml:space="preserve">, nor are the results for either </w:t>
      </w:r>
      <w:r w:rsidR="00483DBA" w:rsidRPr="00770477">
        <w:rPr>
          <w:rFonts w:cs="Times New Roman"/>
        </w:rPr>
        <w:t xml:space="preserve">determined to be unique (p = </w:t>
      </w:r>
      <w:r w:rsidR="00FF4995" w:rsidRPr="00770477">
        <w:rPr>
          <w:rFonts w:cs="Times New Roman"/>
        </w:rPr>
        <w:t xml:space="preserve">0.99; 0.70). Visually, both had an initial removal rate </w:t>
      </w:r>
      <w:r w:rsidR="00C7771D" w:rsidRPr="00770477">
        <w:rPr>
          <w:rFonts w:cs="Times New Roman"/>
        </w:rPr>
        <w:t xml:space="preserve">between 40 and 50% and tapered to a removal rate between 10 and 20%. </w:t>
      </w:r>
      <w:r w:rsidR="001123AA" w:rsidRPr="00770477">
        <w:rPr>
          <w:rFonts w:cs="Times New Roman"/>
        </w:rPr>
        <w:t xml:space="preserve">The </w:t>
      </w:r>
      <w:r w:rsidR="000C7BB4" w:rsidRPr="00770477">
        <w:rPr>
          <w:rFonts w:cs="Times New Roman"/>
        </w:rPr>
        <w:t xml:space="preserve">fitted model predicts an eventual upper asymptote for </w:t>
      </w:r>
      <w:proofErr w:type="gramStart"/>
      <w:r w:rsidR="000C7BB4" w:rsidRPr="00770477">
        <w:rPr>
          <w:rFonts w:cs="Times New Roman"/>
        </w:rPr>
        <w:t xml:space="preserve">large </w:t>
      </w:r>
      <w:r w:rsidR="00957224">
        <w:rPr>
          <w:rFonts w:cs="Times New Roman"/>
        </w:rPr>
        <w:t>aggregated</w:t>
      </w:r>
      <w:proofErr w:type="gramEnd"/>
      <w:r w:rsidR="00957224">
        <w:rPr>
          <w:rFonts w:cs="Times New Roman"/>
        </w:rPr>
        <w:t xml:space="preserve"> fly ash</w:t>
      </w:r>
      <w:r w:rsidR="000C7BB4" w:rsidRPr="00770477">
        <w:rPr>
          <w:rFonts w:cs="Times New Roman"/>
        </w:rPr>
        <w:t xml:space="preserve"> at 1.58 after 1200 pore volumes. </w:t>
      </w:r>
      <w:proofErr w:type="gramStart"/>
      <w:r w:rsidR="000C7BB4" w:rsidRPr="00770477">
        <w:rPr>
          <w:rFonts w:cs="Times New Roman"/>
        </w:rPr>
        <w:t xml:space="preserve">Small </w:t>
      </w:r>
      <w:r w:rsidR="00957224">
        <w:rPr>
          <w:rFonts w:cs="Times New Roman"/>
        </w:rPr>
        <w:t>aggregated</w:t>
      </w:r>
      <w:proofErr w:type="gramEnd"/>
      <w:r w:rsidR="00957224">
        <w:rPr>
          <w:rFonts w:cs="Times New Roman"/>
        </w:rPr>
        <w:t xml:space="preserve"> fly ash</w:t>
      </w:r>
      <w:r w:rsidR="000C7BB4" w:rsidRPr="00770477">
        <w:rPr>
          <w:rFonts w:cs="Times New Roman"/>
        </w:rPr>
        <w:t xml:space="preserve">, on the other hand, has an upper IE ratio asymptote fitted at </w:t>
      </w:r>
      <w:r w:rsidR="00780F8C" w:rsidRPr="00770477">
        <w:rPr>
          <w:rFonts w:cs="Times New Roman"/>
        </w:rPr>
        <w:t>0.</w:t>
      </w:r>
      <w:r w:rsidR="00E22CEE" w:rsidRPr="00770477">
        <w:rPr>
          <w:rFonts w:cs="Times New Roman"/>
        </w:rPr>
        <w:t>81</w:t>
      </w:r>
      <w:r w:rsidR="00780F8C" w:rsidRPr="00770477">
        <w:rPr>
          <w:rFonts w:cs="Times New Roman"/>
        </w:rPr>
        <w:t>, therefore the model was re-run with the asymptote set at 1.0</w:t>
      </w:r>
      <w:r w:rsidR="006D2495" w:rsidRPr="00770477">
        <w:rPr>
          <w:rFonts w:cs="Times New Roman"/>
        </w:rPr>
        <w:t xml:space="preserve"> which yielded a predicted exhaustion after </w:t>
      </w:r>
      <w:r w:rsidR="00D41EFC" w:rsidRPr="00770477">
        <w:rPr>
          <w:rFonts w:cs="Times New Roman"/>
        </w:rPr>
        <w:t>950</w:t>
      </w:r>
      <w:r w:rsidR="006D2495" w:rsidRPr="00770477">
        <w:rPr>
          <w:rFonts w:cs="Times New Roman"/>
        </w:rPr>
        <w:t xml:space="preserve"> pore volumes. </w:t>
      </w:r>
      <w:r w:rsidR="00BB67D4" w:rsidRPr="00770477">
        <w:rPr>
          <w:rFonts w:cs="Times New Roman"/>
        </w:rPr>
        <w:t xml:space="preserve">Lastly, the two steel slag </w:t>
      </w:r>
      <w:r w:rsidR="002E3A73" w:rsidRPr="00770477">
        <w:rPr>
          <w:rFonts w:cs="Times New Roman"/>
        </w:rPr>
        <w:t xml:space="preserve">sizes were </w:t>
      </w:r>
      <w:r w:rsidR="003532E2" w:rsidRPr="00770477">
        <w:rPr>
          <w:rFonts w:cs="Times New Roman"/>
        </w:rPr>
        <w:t xml:space="preserve">quite different despite only one model parameter being statistically unique (p &lt;&lt; 0.001). </w:t>
      </w:r>
      <w:r w:rsidR="00F472DD" w:rsidRPr="00770477">
        <w:rPr>
          <w:rFonts w:cs="Times New Roman"/>
        </w:rPr>
        <w:t xml:space="preserve">Small steel slag had an initial removal of 70% </w:t>
      </w:r>
      <w:r w:rsidR="00732E20" w:rsidRPr="00770477">
        <w:rPr>
          <w:rFonts w:cs="Times New Roman"/>
        </w:rPr>
        <w:t xml:space="preserve">and had a mild taper resulting in a removal rate of 25% by the end of the experiment. </w:t>
      </w:r>
      <w:r w:rsidR="00087BA5" w:rsidRPr="00770477">
        <w:rPr>
          <w:rFonts w:cs="Times New Roman"/>
        </w:rPr>
        <w:t xml:space="preserve">The upper IE ratio asymptote was modeled at 0.79, therefore that parameter was fixed to 1.0 and the model re-run. This resulted in a predicted exhaustion at </w:t>
      </w:r>
      <w:r w:rsidR="00C10943" w:rsidRPr="00770477">
        <w:rPr>
          <w:rFonts w:cs="Times New Roman"/>
        </w:rPr>
        <w:t>1660. Large steel slag</w:t>
      </w:r>
      <w:r w:rsidR="00272EA1" w:rsidRPr="00770477">
        <w:rPr>
          <w:rFonts w:cs="Times New Roman"/>
        </w:rPr>
        <w:t xml:space="preserve"> </w:t>
      </w:r>
      <w:r w:rsidR="003B7214" w:rsidRPr="00770477">
        <w:rPr>
          <w:rFonts w:cs="Times New Roman"/>
        </w:rPr>
        <w:t xml:space="preserve">had initial removal rates at or near </w:t>
      </w:r>
      <w:r w:rsidR="0065164F" w:rsidRPr="00770477">
        <w:rPr>
          <w:rFonts w:cs="Times New Roman"/>
        </w:rPr>
        <w:t xml:space="preserve">0% then eventually </w:t>
      </w:r>
      <w:r w:rsidR="00531CD1" w:rsidRPr="00770477">
        <w:rPr>
          <w:rFonts w:cs="Times New Roman"/>
        </w:rPr>
        <w:t xml:space="preserve">increasing to a final upper IE ratio asymptote of 4.60. </w:t>
      </w:r>
      <w:r w:rsidR="002A6150" w:rsidRPr="00770477">
        <w:rPr>
          <w:rFonts w:cs="Times New Roman"/>
        </w:rPr>
        <w:br w:type="page"/>
      </w:r>
    </w:p>
    <w:p w14:paraId="54384179" w14:textId="77777777" w:rsidR="003379D3" w:rsidRPr="00770477" w:rsidRDefault="003379D3" w:rsidP="003379D3">
      <w:pPr>
        <w:keepNext/>
        <w:spacing w:line="240" w:lineRule="auto"/>
        <w:rPr>
          <w:rFonts w:cs="Times New Roman"/>
        </w:rPr>
      </w:pPr>
      <w:r w:rsidRPr="00770477">
        <w:rPr>
          <w:rFonts w:cs="Times New Roman"/>
          <w:noProof/>
        </w:rPr>
        <w:lastRenderedPageBreak/>
        <w:drawing>
          <wp:inline distT="0" distB="0" distL="0" distR="0" wp14:anchorId="68B562E2" wp14:editId="4D0337AA">
            <wp:extent cx="5943600" cy="54864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inline>
        </w:drawing>
      </w:r>
    </w:p>
    <w:p w14:paraId="18B29883" w14:textId="1FC56BCB" w:rsidR="003379D3" w:rsidRPr="00770477" w:rsidRDefault="003379D3" w:rsidP="00AE1144">
      <w:pPr>
        <w:pStyle w:val="Caption"/>
        <w:spacing w:line="240" w:lineRule="auto"/>
        <w:rPr>
          <w:rFonts w:cs="Times New Roman"/>
        </w:rPr>
      </w:pPr>
      <w:bookmarkStart w:id="117" w:name="_Ref117865996"/>
      <w:bookmarkStart w:id="118" w:name="_Toc121489508"/>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13</w:t>
      </w:r>
      <w:r w:rsidRPr="00770477">
        <w:rPr>
          <w:rFonts w:cs="Times New Roman"/>
          <w:noProof/>
        </w:rPr>
        <w:fldChar w:fldCharType="end"/>
      </w:r>
      <w:bookmarkEnd w:id="117"/>
      <w:r w:rsidRPr="00770477">
        <w:rPr>
          <w:rFonts w:cs="Times New Roman"/>
        </w:rPr>
        <w:t xml:space="preserve"> Imidacloprid removal in vertical column experiments</w:t>
      </w:r>
      <w:r w:rsidR="00AF4A8D" w:rsidRPr="00AF4A8D">
        <w:rPr>
          <w:rFonts w:cs="Times New Roman"/>
        </w:rPr>
        <w:t xml:space="preserve"> </w:t>
      </w:r>
      <w:r w:rsidR="00AF4A8D">
        <w:rPr>
          <w:rFonts w:cs="Times New Roman"/>
        </w:rPr>
        <w:t>as demonstrated by the influent-effluent ratio as defined by effluent concentration (</w:t>
      </w:r>
      <w:proofErr w:type="spellStart"/>
      <w:r w:rsidR="00AF4A8D">
        <w:rPr>
          <w:rFonts w:cs="Times New Roman"/>
        </w:rPr>
        <w:t>C</w:t>
      </w:r>
      <w:r w:rsidR="00AF4A8D">
        <w:rPr>
          <w:rFonts w:cs="Times New Roman"/>
          <w:vertAlign w:val="subscript"/>
        </w:rPr>
        <w:t>eff</w:t>
      </w:r>
      <w:proofErr w:type="spellEnd"/>
      <w:r w:rsidR="00AF4A8D">
        <w:rPr>
          <w:rFonts w:cs="Times New Roman"/>
        </w:rPr>
        <w:t>) divided by influent concentration (</w:t>
      </w:r>
      <w:proofErr w:type="spellStart"/>
      <w:r w:rsidR="00AF4A8D">
        <w:rPr>
          <w:rFonts w:cs="Times New Roman"/>
        </w:rPr>
        <w:t>C</w:t>
      </w:r>
      <w:r w:rsidR="00AF4A8D">
        <w:rPr>
          <w:rFonts w:cs="Times New Roman"/>
          <w:vertAlign w:val="subscript"/>
        </w:rPr>
        <w:t>in</w:t>
      </w:r>
      <w:proofErr w:type="spellEnd"/>
      <w:r w:rsidR="00AF4A8D">
        <w:rPr>
          <w:rFonts w:cs="Times New Roman"/>
        </w:rPr>
        <w:t>) and plotted against pore volumes passed.</w:t>
      </w:r>
      <w:bookmarkEnd w:id="118"/>
    </w:p>
    <w:p w14:paraId="25B7F4F7" w14:textId="19CAEB53" w:rsidR="00567D50" w:rsidRPr="00770477" w:rsidRDefault="00950E65" w:rsidP="00950E65">
      <w:pPr>
        <w:spacing w:line="240" w:lineRule="auto"/>
        <w:rPr>
          <w:rFonts w:cs="Times New Roman"/>
        </w:rPr>
      </w:pPr>
      <w:r w:rsidRPr="00770477">
        <w:rPr>
          <w:rFonts w:cs="Times New Roman"/>
        </w:rPr>
        <w:br w:type="page"/>
      </w:r>
    </w:p>
    <w:p w14:paraId="3904BF8D" w14:textId="0CEBDB52" w:rsidR="00663472" w:rsidRPr="00770477" w:rsidRDefault="00663472" w:rsidP="00663472">
      <w:pPr>
        <w:pStyle w:val="Heading3"/>
        <w:rPr>
          <w:rFonts w:cs="Times New Roman"/>
        </w:rPr>
      </w:pPr>
      <w:bookmarkStart w:id="119" w:name="_Toc121496015"/>
      <w:r w:rsidRPr="00770477">
        <w:rPr>
          <w:rFonts w:cs="Times New Roman"/>
        </w:rPr>
        <w:lastRenderedPageBreak/>
        <w:t>Phosphorus</w:t>
      </w:r>
      <w:bookmarkEnd w:id="119"/>
    </w:p>
    <w:p w14:paraId="6165C7B7" w14:textId="2378DCBE" w:rsidR="00950E65" w:rsidRPr="00770477" w:rsidRDefault="004F2D60" w:rsidP="008F388B">
      <w:pPr>
        <w:ind w:firstLine="720"/>
        <w:rPr>
          <w:rFonts w:cs="Times New Roman"/>
        </w:rPr>
      </w:pPr>
      <w:r w:rsidRPr="00770477">
        <w:rPr>
          <w:rFonts w:cs="Times New Roman"/>
        </w:rPr>
        <w:t>Phosphorus removal from solution</w:t>
      </w:r>
      <w:r w:rsidR="0014462B" w:rsidRPr="00770477">
        <w:rPr>
          <w:rFonts w:cs="Times New Roman"/>
        </w:rPr>
        <w:t xml:space="preserve"> (</w:t>
      </w:r>
      <w:r w:rsidR="0014462B" w:rsidRPr="00770477">
        <w:rPr>
          <w:rFonts w:cs="Times New Roman"/>
        </w:rPr>
        <w:fldChar w:fldCharType="begin"/>
      </w:r>
      <w:r w:rsidR="0014462B" w:rsidRPr="00770477">
        <w:rPr>
          <w:rFonts w:cs="Times New Roman"/>
        </w:rPr>
        <w:instrText xml:space="preserve"> REF _Ref117866016 \h </w:instrText>
      </w:r>
      <w:r w:rsidR="00770477">
        <w:rPr>
          <w:rFonts w:cs="Times New Roman"/>
        </w:rPr>
        <w:instrText xml:space="preserve"> \* MERGEFORMAT </w:instrText>
      </w:r>
      <w:r w:rsidR="0014462B" w:rsidRPr="00770477">
        <w:rPr>
          <w:rFonts w:cs="Times New Roman"/>
        </w:rPr>
      </w:r>
      <w:r w:rsidR="0014462B"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14</w:t>
      </w:r>
      <w:r w:rsidR="0014462B" w:rsidRPr="00770477">
        <w:rPr>
          <w:rFonts w:cs="Times New Roman"/>
        </w:rPr>
        <w:fldChar w:fldCharType="end"/>
      </w:r>
      <w:r w:rsidR="0014462B" w:rsidRPr="00770477">
        <w:rPr>
          <w:rFonts w:cs="Times New Roman"/>
        </w:rPr>
        <w:t>)</w:t>
      </w:r>
      <w:r w:rsidRPr="00770477">
        <w:rPr>
          <w:rFonts w:cs="Times New Roman"/>
        </w:rPr>
        <w:t xml:space="preserve"> </w:t>
      </w:r>
      <w:r w:rsidR="00E0636E" w:rsidRPr="00770477">
        <w:rPr>
          <w:rFonts w:cs="Times New Roman"/>
        </w:rPr>
        <w:t>is</w:t>
      </w:r>
      <w:r w:rsidRPr="00770477">
        <w:rPr>
          <w:rFonts w:cs="Times New Roman"/>
        </w:rPr>
        <w:t xml:space="preserve"> generally be broken into three categories</w:t>
      </w:r>
      <w:r w:rsidR="00E0636E" w:rsidRPr="00770477">
        <w:rPr>
          <w:rFonts w:cs="Times New Roman"/>
        </w:rPr>
        <w:t xml:space="preserve">: no removal or leaching, </w:t>
      </w:r>
      <w:r w:rsidR="00124F56" w:rsidRPr="00770477">
        <w:rPr>
          <w:rFonts w:cs="Times New Roman"/>
        </w:rPr>
        <w:t>removal then exhausted/leaching, and constant removal</w:t>
      </w:r>
      <w:r w:rsidRPr="00770477">
        <w:rPr>
          <w:rFonts w:cs="Times New Roman"/>
        </w:rPr>
        <w:t xml:space="preserve">. </w:t>
      </w:r>
      <w:r w:rsidR="0054074B" w:rsidRPr="00770477">
        <w:rPr>
          <w:rFonts w:cs="Times New Roman"/>
        </w:rPr>
        <w:t xml:space="preserve">Large biochar </w:t>
      </w:r>
      <w:r w:rsidR="00703E51" w:rsidRPr="00770477">
        <w:rPr>
          <w:rFonts w:cs="Times New Roman"/>
        </w:rPr>
        <w:t xml:space="preserve">yielded a statistically unique result (p = 0.03) as well as large steel slag (p = 0.003). </w:t>
      </w:r>
      <w:r w:rsidR="0067140C" w:rsidRPr="00770477">
        <w:rPr>
          <w:rFonts w:cs="Times New Roman"/>
        </w:rPr>
        <w:t>B</w:t>
      </w:r>
      <w:r w:rsidR="006E4D0D" w:rsidRPr="00770477">
        <w:rPr>
          <w:rFonts w:cs="Times New Roman"/>
        </w:rPr>
        <w:t>oth biochar fractions neither removed nor leached P into solution</w:t>
      </w:r>
      <w:r w:rsidR="001A23E2" w:rsidRPr="00770477">
        <w:rPr>
          <w:rFonts w:cs="Times New Roman"/>
        </w:rPr>
        <w:t xml:space="preserve">. </w:t>
      </w:r>
      <w:r w:rsidR="004C639B" w:rsidRPr="00770477">
        <w:rPr>
          <w:rFonts w:cs="Times New Roman"/>
        </w:rPr>
        <w:t xml:space="preserve">A pairwise comparison of the model parameters was not able to be run, however, visually, their results are highly similar. </w:t>
      </w:r>
      <w:r w:rsidR="001A23E2" w:rsidRPr="00770477">
        <w:rPr>
          <w:rFonts w:cs="Times New Roman"/>
        </w:rPr>
        <w:t>Second</w:t>
      </w:r>
      <w:r w:rsidR="00441348" w:rsidRPr="00770477">
        <w:rPr>
          <w:rFonts w:cs="Times New Roman"/>
        </w:rPr>
        <w:t>,</w:t>
      </w:r>
      <w:r w:rsidR="001A23E2" w:rsidRPr="00770477">
        <w:rPr>
          <w:rFonts w:cs="Times New Roman"/>
        </w:rPr>
        <w:t xml:space="preserve"> both </w:t>
      </w:r>
      <w:r w:rsidR="00441348" w:rsidRPr="00770477">
        <w:rPr>
          <w:rFonts w:cs="Times New Roman"/>
        </w:rPr>
        <w:t>sizes of</w:t>
      </w:r>
      <w:r w:rsidR="001A23E2" w:rsidRPr="00770477">
        <w:rPr>
          <w:rFonts w:cs="Times New Roman"/>
        </w:rPr>
        <w:t xml:space="preserve"> </w:t>
      </w:r>
      <w:r w:rsidR="00957224">
        <w:rPr>
          <w:rFonts w:cs="Times New Roman"/>
        </w:rPr>
        <w:t>aggregated fly ash</w:t>
      </w:r>
      <w:r w:rsidR="001A23E2" w:rsidRPr="00770477">
        <w:rPr>
          <w:rFonts w:cs="Times New Roman"/>
        </w:rPr>
        <w:t xml:space="preserve"> and large steel slag initially removed some </w:t>
      </w:r>
      <w:proofErr w:type="gramStart"/>
      <w:r w:rsidR="001A23E2" w:rsidRPr="00770477">
        <w:rPr>
          <w:rFonts w:cs="Times New Roman"/>
        </w:rPr>
        <w:t>P</w:t>
      </w:r>
      <w:proofErr w:type="gramEnd"/>
      <w:r w:rsidR="001A23E2" w:rsidRPr="00770477">
        <w:rPr>
          <w:rFonts w:cs="Times New Roman"/>
        </w:rPr>
        <w:t xml:space="preserve"> but all </w:t>
      </w:r>
      <w:r w:rsidR="00E3169C" w:rsidRPr="00770477">
        <w:rPr>
          <w:rFonts w:cs="Times New Roman"/>
        </w:rPr>
        <w:t xml:space="preserve">finished the experiment neither removing or leaching </w:t>
      </w:r>
      <w:r w:rsidR="00F82EF2">
        <w:rPr>
          <w:rFonts w:cs="Times New Roman"/>
        </w:rPr>
        <w:t>large</w:t>
      </w:r>
      <w:r w:rsidR="00E3169C" w:rsidRPr="00770477">
        <w:rPr>
          <w:rFonts w:cs="Times New Roman"/>
        </w:rPr>
        <w:t xml:space="preserve"> amounts of P into solution.</w:t>
      </w:r>
      <w:r w:rsidR="00EC11AB" w:rsidRPr="00770477">
        <w:rPr>
          <w:rFonts w:cs="Times New Roman"/>
        </w:rPr>
        <w:t xml:space="preserve"> </w:t>
      </w:r>
      <w:r w:rsidR="00D34E12" w:rsidRPr="00770477">
        <w:rPr>
          <w:rFonts w:cs="Times New Roman"/>
        </w:rPr>
        <w:t xml:space="preserve">Parameter pairwise comparisons between these three media demonstrates that the </w:t>
      </w:r>
      <w:proofErr w:type="gramStart"/>
      <w:r w:rsidR="00D34E12" w:rsidRPr="00770477">
        <w:rPr>
          <w:rFonts w:cs="Times New Roman"/>
        </w:rPr>
        <w:t xml:space="preserve">small </w:t>
      </w:r>
      <w:r w:rsidR="00957224">
        <w:rPr>
          <w:rFonts w:cs="Times New Roman"/>
        </w:rPr>
        <w:t>aggregated</w:t>
      </w:r>
      <w:proofErr w:type="gramEnd"/>
      <w:r w:rsidR="00957224">
        <w:rPr>
          <w:rFonts w:cs="Times New Roman"/>
        </w:rPr>
        <w:t xml:space="preserve"> fly ash</w:t>
      </w:r>
      <w:r w:rsidR="00D34E12" w:rsidRPr="00770477">
        <w:rPr>
          <w:rFonts w:cs="Times New Roman"/>
        </w:rPr>
        <w:t xml:space="preserve"> and large steel slag are </w:t>
      </w:r>
      <w:r w:rsidR="00E459E6" w:rsidRPr="00770477">
        <w:rPr>
          <w:rFonts w:cs="Times New Roman"/>
        </w:rPr>
        <w:t>unique</w:t>
      </w:r>
      <w:r w:rsidR="00D34E12" w:rsidRPr="00770477">
        <w:rPr>
          <w:rFonts w:cs="Times New Roman"/>
        </w:rPr>
        <w:t xml:space="preserve"> from one another (two parameters </w:t>
      </w:r>
      <w:r w:rsidR="0046223A" w:rsidRPr="00770477">
        <w:rPr>
          <w:rFonts w:cs="Times New Roman"/>
        </w:rPr>
        <w:t xml:space="preserve">with p &lt; 0.1) and large </w:t>
      </w:r>
      <w:r w:rsidR="00957224">
        <w:rPr>
          <w:rFonts w:cs="Times New Roman"/>
        </w:rPr>
        <w:t>aggregated fly ash</w:t>
      </w:r>
      <w:r w:rsidR="0046223A" w:rsidRPr="00770477">
        <w:rPr>
          <w:rFonts w:cs="Times New Roman"/>
        </w:rPr>
        <w:t xml:space="preserve"> and large steel slag are similar, but not entirely so with one parameter </w:t>
      </w:r>
      <w:r w:rsidR="00E459E6" w:rsidRPr="00770477">
        <w:rPr>
          <w:rFonts w:cs="Times New Roman"/>
        </w:rPr>
        <w:t xml:space="preserve">statistically unique between them (p = 0.001). </w:t>
      </w:r>
      <w:r w:rsidR="00E658D5" w:rsidRPr="00770477">
        <w:rPr>
          <w:rFonts w:cs="Times New Roman"/>
        </w:rPr>
        <w:t xml:space="preserve">Despite these curves being somewhat unique from one another, </w:t>
      </w:r>
      <w:r w:rsidR="008063E7" w:rsidRPr="00770477">
        <w:rPr>
          <w:rFonts w:cs="Times New Roman"/>
        </w:rPr>
        <w:t xml:space="preserve">the category of removal and exhaustion/leaching still holds true. </w:t>
      </w:r>
      <w:r w:rsidR="00AE7377" w:rsidRPr="00770477">
        <w:rPr>
          <w:rFonts w:cs="Times New Roman"/>
        </w:rPr>
        <w:t xml:space="preserve">Initially </w:t>
      </w:r>
      <w:proofErr w:type="gramStart"/>
      <w:r w:rsidR="00AE7377" w:rsidRPr="00770477">
        <w:rPr>
          <w:rFonts w:cs="Times New Roman"/>
        </w:rPr>
        <w:t xml:space="preserve">large </w:t>
      </w:r>
      <w:r w:rsidR="00957224">
        <w:rPr>
          <w:rFonts w:cs="Times New Roman"/>
        </w:rPr>
        <w:t>aggregated</w:t>
      </w:r>
      <w:proofErr w:type="gramEnd"/>
      <w:r w:rsidR="00957224">
        <w:rPr>
          <w:rFonts w:cs="Times New Roman"/>
        </w:rPr>
        <w:t xml:space="preserve"> fly ash</w:t>
      </w:r>
      <w:r w:rsidR="00AE7377" w:rsidRPr="00770477">
        <w:rPr>
          <w:rFonts w:cs="Times New Roman"/>
        </w:rPr>
        <w:t xml:space="preserve"> removed nearly 85%, small </w:t>
      </w:r>
      <w:r w:rsidR="00957224">
        <w:rPr>
          <w:rFonts w:cs="Times New Roman"/>
        </w:rPr>
        <w:t>aggregated fly ash</w:t>
      </w:r>
      <w:r w:rsidR="00AE7377" w:rsidRPr="00770477">
        <w:rPr>
          <w:rFonts w:cs="Times New Roman"/>
        </w:rPr>
        <w:t xml:space="preserve"> removed around 70%, and large steel slag removed just under 50%. </w:t>
      </w:r>
      <w:r w:rsidR="00363419" w:rsidRPr="00770477">
        <w:rPr>
          <w:rFonts w:cs="Times New Roman"/>
        </w:rPr>
        <w:t xml:space="preserve">Upper IE ratio asymptotes were measured at 0.96 for large steel slag </w:t>
      </w:r>
      <w:r w:rsidR="004F0E96" w:rsidRPr="00770477">
        <w:rPr>
          <w:rFonts w:cs="Times New Roman"/>
        </w:rPr>
        <w:t>and</w:t>
      </w:r>
      <w:r w:rsidR="00363419" w:rsidRPr="00770477">
        <w:rPr>
          <w:rFonts w:cs="Times New Roman"/>
        </w:rPr>
        <w:t xml:space="preserve"> </w:t>
      </w:r>
      <w:r w:rsidR="009959D9" w:rsidRPr="00770477">
        <w:rPr>
          <w:rFonts w:cs="Times New Roman"/>
        </w:rPr>
        <w:t xml:space="preserve">1.09 for both </w:t>
      </w:r>
      <w:r w:rsidR="004F0E96" w:rsidRPr="00770477">
        <w:rPr>
          <w:rFonts w:cs="Times New Roman"/>
        </w:rPr>
        <w:t xml:space="preserve">large and small </w:t>
      </w:r>
      <w:r w:rsidR="00957224">
        <w:rPr>
          <w:rFonts w:cs="Times New Roman"/>
        </w:rPr>
        <w:t>aggregated fly ash</w:t>
      </w:r>
      <w:r w:rsidR="004F0E96" w:rsidRPr="00770477">
        <w:rPr>
          <w:rFonts w:cs="Times New Roman"/>
        </w:rPr>
        <w:t xml:space="preserve">. </w:t>
      </w:r>
      <w:r w:rsidR="00706229" w:rsidRPr="00770477">
        <w:rPr>
          <w:rFonts w:cs="Times New Roman"/>
        </w:rPr>
        <w:t xml:space="preserve">Exhaustion was reached at 402, 395, and 367 pore volumes for </w:t>
      </w:r>
      <w:proofErr w:type="gramStart"/>
      <w:r w:rsidR="00706229" w:rsidRPr="00770477">
        <w:rPr>
          <w:rFonts w:cs="Times New Roman"/>
        </w:rPr>
        <w:t xml:space="preserve">large </w:t>
      </w:r>
      <w:r w:rsidR="00957224">
        <w:rPr>
          <w:rFonts w:cs="Times New Roman"/>
        </w:rPr>
        <w:t>aggregated</w:t>
      </w:r>
      <w:proofErr w:type="gramEnd"/>
      <w:r w:rsidR="00957224">
        <w:rPr>
          <w:rFonts w:cs="Times New Roman"/>
        </w:rPr>
        <w:t xml:space="preserve"> fly ash</w:t>
      </w:r>
      <w:r w:rsidR="00706229" w:rsidRPr="00770477">
        <w:rPr>
          <w:rFonts w:cs="Times New Roman"/>
        </w:rPr>
        <w:t xml:space="preserve">, small </w:t>
      </w:r>
      <w:r w:rsidR="00957224">
        <w:rPr>
          <w:rFonts w:cs="Times New Roman"/>
        </w:rPr>
        <w:t>aggregated fly ash</w:t>
      </w:r>
      <w:r w:rsidR="00706229" w:rsidRPr="00770477">
        <w:rPr>
          <w:rFonts w:cs="Times New Roman"/>
        </w:rPr>
        <w:t xml:space="preserve">, and large steel slag, respectively. The last category </w:t>
      </w:r>
      <w:r w:rsidR="00A439B5" w:rsidRPr="00770477">
        <w:rPr>
          <w:rFonts w:cs="Times New Roman"/>
        </w:rPr>
        <w:t xml:space="preserve">was small steel slag alone which </w:t>
      </w:r>
      <w:r w:rsidR="008F388B" w:rsidRPr="00770477">
        <w:rPr>
          <w:rFonts w:cs="Times New Roman"/>
        </w:rPr>
        <w:t xml:space="preserve">yielded an initial </w:t>
      </w:r>
      <w:r w:rsidR="00A439B5" w:rsidRPr="00770477">
        <w:rPr>
          <w:rFonts w:cs="Times New Roman"/>
        </w:rPr>
        <w:t xml:space="preserve">removal </w:t>
      </w:r>
      <w:r w:rsidR="008F388B" w:rsidRPr="00770477">
        <w:rPr>
          <w:rFonts w:cs="Times New Roman"/>
        </w:rPr>
        <w:t>near</w:t>
      </w:r>
      <w:r w:rsidR="0046663E" w:rsidRPr="00770477">
        <w:rPr>
          <w:rFonts w:cs="Times New Roman"/>
        </w:rPr>
        <w:t xml:space="preserve"> 85% and a steady decay was observed with a final removal measure at </w:t>
      </w:r>
      <w:r w:rsidR="00B643DC" w:rsidRPr="00770477">
        <w:rPr>
          <w:rFonts w:cs="Times New Roman"/>
        </w:rPr>
        <w:t xml:space="preserve">50%. The upper asymptote was measured at 0.45 (55% removal) and when the upper IE ratio asymptote was fixed to 1.00, the exhaustion was estimated to </w:t>
      </w:r>
      <w:r w:rsidR="00306AE3" w:rsidRPr="00770477">
        <w:rPr>
          <w:rFonts w:cs="Times New Roman"/>
        </w:rPr>
        <w:t>be at 22</w:t>
      </w:r>
      <w:r w:rsidR="008F388B" w:rsidRPr="00770477">
        <w:rPr>
          <w:rFonts w:cs="Times New Roman"/>
        </w:rPr>
        <w:t>80</w:t>
      </w:r>
      <w:r w:rsidR="00306AE3" w:rsidRPr="00770477">
        <w:rPr>
          <w:rFonts w:cs="Times New Roman"/>
        </w:rPr>
        <w:t xml:space="preserve"> pore volumes. </w:t>
      </w:r>
    </w:p>
    <w:p w14:paraId="084CBACF" w14:textId="77777777" w:rsidR="00950E65" w:rsidRPr="00770477" w:rsidRDefault="00950E65">
      <w:pPr>
        <w:spacing w:line="240" w:lineRule="auto"/>
        <w:rPr>
          <w:rFonts w:cs="Times New Roman"/>
        </w:rPr>
      </w:pPr>
      <w:r w:rsidRPr="00770477">
        <w:rPr>
          <w:rFonts w:cs="Times New Roman"/>
        </w:rPr>
        <w:br w:type="page"/>
      </w:r>
    </w:p>
    <w:p w14:paraId="5AC2D24B" w14:textId="77777777" w:rsidR="00CB474C" w:rsidRPr="00770477" w:rsidRDefault="00CB474C" w:rsidP="00CB474C">
      <w:pPr>
        <w:keepNext/>
        <w:spacing w:line="240" w:lineRule="auto"/>
        <w:rPr>
          <w:rFonts w:cs="Times New Roman"/>
        </w:rPr>
      </w:pPr>
      <w:r w:rsidRPr="00770477">
        <w:rPr>
          <w:rFonts w:cs="Times New Roman"/>
          <w:noProof/>
        </w:rPr>
        <w:lastRenderedPageBreak/>
        <w:drawing>
          <wp:inline distT="0" distB="0" distL="0" distR="0" wp14:anchorId="57E3D379" wp14:editId="0254CD7B">
            <wp:extent cx="5943600" cy="54864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inline>
        </w:drawing>
      </w:r>
    </w:p>
    <w:p w14:paraId="5A8C5F38" w14:textId="19BAE17E" w:rsidR="00CB474C" w:rsidRPr="00770477" w:rsidRDefault="00CB474C" w:rsidP="00AE1144">
      <w:pPr>
        <w:pStyle w:val="Caption"/>
        <w:spacing w:line="240" w:lineRule="auto"/>
        <w:rPr>
          <w:rFonts w:cs="Times New Roman"/>
        </w:rPr>
      </w:pPr>
      <w:bookmarkStart w:id="120" w:name="_Ref117866016"/>
      <w:bookmarkStart w:id="121" w:name="_Toc121489509"/>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14</w:t>
      </w:r>
      <w:r w:rsidRPr="00770477">
        <w:rPr>
          <w:rFonts w:cs="Times New Roman"/>
          <w:noProof/>
        </w:rPr>
        <w:fldChar w:fldCharType="end"/>
      </w:r>
      <w:bookmarkEnd w:id="120"/>
      <w:r w:rsidRPr="00770477">
        <w:rPr>
          <w:rFonts w:cs="Times New Roman"/>
        </w:rPr>
        <w:t xml:space="preserve"> Phosphorus removal in vertical column experiments</w:t>
      </w:r>
      <w:r w:rsidR="00AF4A8D" w:rsidRPr="00AF4A8D">
        <w:rPr>
          <w:rFonts w:cs="Times New Roman"/>
        </w:rPr>
        <w:t xml:space="preserve"> </w:t>
      </w:r>
      <w:r w:rsidR="00AF4A8D">
        <w:rPr>
          <w:rFonts w:cs="Times New Roman"/>
        </w:rPr>
        <w:t>as demonstrated by the influent-effluent ratio as defined by effluent concentration (</w:t>
      </w:r>
      <w:proofErr w:type="spellStart"/>
      <w:r w:rsidR="00AF4A8D">
        <w:rPr>
          <w:rFonts w:cs="Times New Roman"/>
        </w:rPr>
        <w:t>C</w:t>
      </w:r>
      <w:r w:rsidR="00AF4A8D">
        <w:rPr>
          <w:rFonts w:cs="Times New Roman"/>
          <w:vertAlign w:val="subscript"/>
        </w:rPr>
        <w:t>eff</w:t>
      </w:r>
      <w:proofErr w:type="spellEnd"/>
      <w:r w:rsidR="00AF4A8D">
        <w:rPr>
          <w:rFonts w:cs="Times New Roman"/>
        </w:rPr>
        <w:t>) divided by influent concentration (</w:t>
      </w:r>
      <w:proofErr w:type="spellStart"/>
      <w:r w:rsidR="00AF4A8D">
        <w:rPr>
          <w:rFonts w:cs="Times New Roman"/>
        </w:rPr>
        <w:t>C</w:t>
      </w:r>
      <w:r w:rsidR="00AF4A8D">
        <w:rPr>
          <w:rFonts w:cs="Times New Roman"/>
          <w:vertAlign w:val="subscript"/>
        </w:rPr>
        <w:t>in</w:t>
      </w:r>
      <w:proofErr w:type="spellEnd"/>
      <w:r w:rsidR="00AF4A8D">
        <w:rPr>
          <w:rFonts w:cs="Times New Roman"/>
        </w:rPr>
        <w:t>) and plotted against pore volumes passed.</w:t>
      </w:r>
      <w:bookmarkEnd w:id="121"/>
    </w:p>
    <w:p w14:paraId="1B4434F4" w14:textId="731A7F23" w:rsidR="008F3B15" w:rsidRPr="00770477" w:rsidRDefault="00950E65" w:rsidP="00950E65">
      <w:pPr>
        <w:spacing w:line="240" w:lineRule="auto"/>
        <w:rPr>
          <w:rFonts w:cs="Times New Roman"/>
        </w:rPr>
      </w:pPr>
      <w:r w:rsidRPr="00770477">
        <w:rPr>
          <w:rFonts w:cs="Times New Roman"/>
        </w:rPr>
        <w:br w:type="page"/>
      </w:r>
    </w:p>
    <w:p w14:paraId="3C7707BD" w14:textId="76DCF748" w:rsidR="00663472" w:rsidRPr="00770477" w:rsidRDefault="00663472" w:rsidP="008F3B15">
      <w:pPr>
        <w:pStyle w:val="Heading2"/>
        <w:rPr>
          <w:rFonts w:cs="Times New Roman"/>
        </w:rPr>
      </w:pPr>
      <w:bookmarkStart w:id="122" w:name="_Toc121496016"/>
      <w:r w:rsidRPr="00770477">
        <w:rPr>
          <w:rFonts w:cs="Times New Roman"/>
        </w:rPr>
        <w:lastRenderedPageBreak/>
        <w:t>Horizontal Columns</w:t>
      </w:r>
      <w:bookmarkEnd w:id="122"/>
    </w:p>
    <w:p w14:paraId="17765787" w14:textId="5A2732F0" w:rsidR="00E90C07" w:rsidRPr="00770477" w:rsidRDefault="2AAF8BAB" w:rsidP="008F3B15">
      <w:pPr>
        <w:ind w:firstLine="720"/>
        <w:rPr>
          <w:rFonts w:cs="Times New Roman"/>
        </w:rPr>
      </w:pPr>
      <w:r w:rsidRPr="00770477">
        <w:rPr>
          <w:rFonts w:cs="Times New Roman"/>
        </w:rPr>
        <w:t>This horizontal</w:t>
      </w:r>
      <w:r w:rsidR="3FD26133" w:rsidRPr="00770477">
        <w:rPr>
          <w:rFonts w:cs="Times New Roman"/>
        </w:rPr>
        <w:t xml:space="preserve"> column orientation included the implementation of </w:t>
      </w:r>
      <w:r w:rsidR="5AC98116" w:rsidRPr="00770477">
        <w:rPr>
          <w:rFonts w:cs="Times New Roman"/>
        </w:rPr>
        <w:t xml:space="preserve">a “bioretention simulation” where a vertical column filled with concrete sand </w:t>
      </w:r>
      <w:r w:rsidR="719EF3DD" w:rsidRPr="00770477">
        <w:rPr>
          <w:rFonts w:cs="Times New Roman"/>
        </w:rPr>
        <w:t>fed into a horizontal tube filled with the media of study.</w:t>
      </w:r>
      <w:r w:rsidR="004E2F54" w:rsidRPr="00770477">
        <w:rPr>
          <w:rFonts w:cs="Times New Roman"/>
        </w:rPr>
        <w:t xml:space="preserve"> Although the exact composition of</w:t>
      </w:r>
      <w:r w:rsidR="00C868C1" w:rsidRPr="00770477">
        <w:rPr>
          <w:rFonts w:cs="Times New Roman"/>
        </w:rPr>
        <w:t xml:space="preserve"> the concrete sand is not known, the control column results </w:t>
      </w:r>
      <w:r w:rsidR="00841D84" w:rsidRPr="00770477">
        <w:rPr>
          <w:rFonts w:cs="Times New Roman"/>
        </w:rPr>
        <w:t>provide an understanding of the impact of the sand on the solution chemistry.</w:t>
      </w:r>
      <w:r w:rsidR="719EF3DD" w:rsidRPr="00770477">
        <w:rPr>
          <w:rFonts w:cs="Times New Roman"/>
        </w:rPr>
        <w:t xml:space="preserve"> Results for this orientation primarily focus on the separation of </w:t>
      </w:r>
      <w:r w:rsidR="210E6EDD" w:rsidRPr="00770477">
        <w:rPr>
          <w:rFonts w:cs="Times New Roman"/>
        </w:rPr>
        <w:t>experimental columns (</w:t>
      </w:r>
      <w:proofErr w:type="gramStart"/>
      <w:r w:rsidR="210E6EDD" w:rsidRPr="00770477">
        <w:rPr>
          <w:rFonts w:cs="Times New Roman"/>
        </w:rPr>
        <w:t>i.e.</w:t>
      </w:r>
      <w:proofErr w:type="gramEnd"/>
      <w:r w:rsidR="210E6EDD" w:rsidRPr="00770477">
        <w:rPr>
          <w:rFonts w:cs="Times New Roman"/>
        </w:rPr>
        <w:t xml:space="preserve"> columns containing the media of study) from the control column (only </w:t>
      </w:r>
      <w:r w:rsidR="1B13123A" w:rsidRPr="00770477">
        <w:rPr>
          <w:rFonts w:cs="Times New Roman"/>
        </w:rPr>
        <w:t xml:space="preserve">a vertical tube with concrete sand). </w:t>
      </w:r>
    </w:p>
    <w:p w14:paraId="03CF0C20" w14:textId="77777777" w:rsidR="00900FEE" w:rsidRPr="00770477" w:rsidRDefault="00900FEE" w:rsidP="00900FEE">
      <w:pPr>
        <w:rPr>
          <w:rFonts w:cs="Times New Roman"/>
        </w:rPr>
      </w:pPr>
    </w:p>
    <w:p w14:paraId="1E096597" w14:textId="68CC1B67" w:rsidR="00E17603" w:rsidRPr="00770477" w:rsidRDefault="00E17603" w:rsidP="00E17603">
      <w:pPr>
        <w:pStyle w:val="Heading3"/>
        <w:rPr>
          <w:rFonts w:cs="Times New Roman"/>
        </w:rPr>
      </w:pPr>
      <w:bookmarkStart w:id="123" w:name="_Toc121496017"/>
      <w:r w:rsidRPr="00770477">
        <w:rPr>
          <w:rFonts w:cs="Times New Roman"/>
        </w:rPr>
        <w:t>General Chemistry</w:t>
      </w:r>
      <w:bookmarkEnd w:id="123"/>
    </w:p>
    <w:p w14:paraId="794431F4" w14:textId="1CB84A58" w:rsidR="00E17603" w:rsidRPr="00770477" w:rsidRDefault="651CD3CE" w:rsidP="00C639F8">
      <w:pPr>
        <w:ind w:firstLine="720"/>
        <w:rPr>
          <w:rFonts w:cs="Times New Roman"/>
        </w:rPr>
      </w:pPr>
      <w:r w:rsidRPr="00770477">
        <w:rPr>
          <w:rFonts w:cs="Times New Roman"/>
        </w:rPr>
        <w:t xml:space="preserve">The </w:t>
      </w:r>
      <w:r w:rsidR="5F0664BD" w:rsidRPr="00770477">
        <w:rPr>
          <w:rFonts w:cs="Times New Roman"/>
        </w:rPr>
        <w:t xml:space="preserve">pH in </w:t>
      </w:r>
      <w:r w:rsidR="7E8DA924" w:rsidRPr="00770477">
        <w:rPr>
          <w:rFonts w:cs="Times New Roman"/>
        </w:rPr>
        <w:t>the control column</w:t>
      </w:r>
      <w:r w:rsidR="2B5E6DAE" w:rsidRPr="00770477">
        <w:rPr>
          <w:rFonts w:cs="Times New Roman"/>
        </w:rPr>
        <w:t xml:space="preserve"> (</w:t>
      </w:r>
      <w:r w:rsidR="00494B74" w:rsidRPr="00770477">
        <w:rPr>
          <w:rFonts w:cs="Times New Roman"/>
        </w:rPr>
        <w:fldChar w:fldCharType="begin"/>
      </w:r>
      <w:r w:rsidR="00494B74" w:rsidRPr="00770477">
        <w:rPr>
          <w:rFonts w:cs="Times New Roman"/>
        </w:rPr>
        <w:instrText xml:space="preserve"> REF _Ref117866095 \h </w:instrText>
      </w:r>
      <w:r w:rsidR="00770477">
        <w:rPr>
          <w:rFonts w:cs="Times New Roman"/>
        </w:rPr>
        <w:instrText xml:space="preserve"> \* MERGEFORMAT </w:instrText>
      </w:r>
      <w:r w:rsidR="00494B74" w:rsidRPr="00770477">
        <w:rPr>
          <w:rFonts w:cs="Times New Roman"/>
        </w:rPr>
      </w:r>
      <w:r w:rsidR="00494B74"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15</w:t>
      </w:r>
      <w:r w:rsidR="00494B74" w:rsidRPr="00770477">
        <w:rPr>
          <w:rFonts w:cs="Times New Roman"/>
        </w:rPr>
        <w:fldChar w:fldCharType="end"/>
      </w:r>
      <w:r w:rsidR="2B5E6DAE" w:rsidRPr="00770477">
        <w:rPr>
          <w:rFonts w:cs="Times New Roman"/>
        </w:rPr>
        <w:t>)</w:t>
      </w:r>
      <w:r w:rsidR="7E8DA924" w:rsidRPr="00770477">
        <w:rPr>
          <w:rFonts w:cs="Times New Roman"/>
        </w:rPr>
        <w:t xml:space="preserve"> showed that </w:t>
      </w:r>
      <w:r w:rsidR="73988163" w:rsidRPr="00770477">
        <w:rPr>
          <w:rFonts w:cs="Times New Roman"/>
        </w:rPr>
        <w:t xml:space="preserve">sand alone </w:t>
      </w:r>
      <w:r w:rsidR="00E55BB5" w:rsidRPr="00770477">
        <w:rPr>
          <w:rFonts w:cs="Times New Roman"/>
        </w:rPr>
        <w:t>facilitated a reaction</w:t>
      </w:r>
      <w:r w:rsidR="001B0C78" w:rsidRPr="00770477">
        <w:rPr>
          <w:rFonts w:cs="Times New Roman"/>
        </w:rPr>
        <w:t xml:space="preserve"> that increased solution pH </w:t>
      </w:r>
      <w:r w:rsidR="1EBED5CB" w:rsidRPr="00770477">
        <w:rPr>
          <w:rFonts w:cs="Times New Roman"/>
        </w:rPr>
        <w:t xml:space="preserve">with initial pH values measuring </w:t>
      </w:r>
      <w:r w:rsidR="72111F0E" w:rsidRPr="00770477">
        <w:rPr>
          <w:rFonts w:cs="Times New Roman"/>
        </w:rPr>
        <w:t>10.2 and 10.3 for the 0 L and 1</w:t>
      </w:r>
      <w:r w:rsidR="62BE46A6" w:rsidRPr="00770477">
        <w:rPr>
          <w:rFonts w:cs="Times New Roman"/>
        </w:rPr>
        <w:t>.0</w:t>
      </w:r>
      <w:r w:rsidR="72111F0E" w:rsidRPr="00770477">
        <w:rPr>
          <w:rFonts w:cs="Times New Roman"/>
        </w:rPr>
        <w:t xml:space="preserve"> L measuring points.</w:t>
      </w:r>
      <w:r w:rsidR="00691C2D" w:rsidRPr="00770477">
        <w:rPr>
          <w:rFonts w:cs="Times New Roman"/>
        </w:rPr>
        <w:t xml:space="preserve"> Solution</w:t>
      </w:r>
      <w:r w:rsidR="72111F0E" w:rsidRPr="00770477">
        <w:rPr>
          <w:rFonts w:cs="Times New Roman"/>
        </w:rPr>
        <w:t xml:space="preserve"> pH generally decreased over time </w:t>
      </w:r>
      <w:r w:rsidR="144F6232" w:rsidRPr="00770477">
        <w:rPr>
          <w:rFonts w:cs="Times New Roman"/>
        </w:rPr>
        <w:t xml:space="preserve">with the final pH measured at 9.8. Biochar showed the same trend as was shown in </w:t>
      </w:r>
      <w:r w:rsidR="289904FA" w:rsidRPr="00770477">
        <w:rPr>
          <w:rFonts w:cs="Times New Roman"/>
        </w:rPr>
        <w:t>the vertical columns</w:t>
      </w:r>
      <w:r w:rsidR="004115F0" w:rsidRPr="00770477">
        <w:rPr>
          <w:rFonts w:cs="Times New Roman"/>
        </w:rPr>
        <w:t xml:space="preserve"> (</w:t>
      </w:r>
      <w:r w:rsidR="004115F0" w:rsidRPr="00770477">
        <w:rPr>
          <w:rFonts w:cs="Times New Roman"/>
        </w:rPr>
        <w:fldChar w:fldCharType="begin"/>
      </w:r>
      <w:r w:rsidR="004115F0" w:rsidRPr="00770477">
        <w:rPr>
          <w:rFonts w:cs="Times New Roman"/>
        </w:rPr>
        <w:instrText xml:space="preserve"> REF _Ref117865283 \h </w:instrText>
      </w:r>
      <w:r w:rsidR="00770477">
        <w:rPr>
          <w:rFonts w:cs="Times New Roman"/>
        </w:rPr>
        <w:instrText xml:space="preserve"> \* MERGEFORMAT </w:instrText>
      </w:r>
      <w:r w:rsidR="004115F0" w:rsidRPr="00770477">
        <w:rPr>
          <w:rFonts w:cs="Times New Roman"/>
        </w:rPr>
      </w:r>
      <w:r w:rsidR="004115F0"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5</w:t>
      </w:r>
      <w:r w:rsidR="004115F0" w:rsidRPr="00770477">
        <w:rPr>
          <w:rFonts w:cs="Times New Roman"/>
        </w:rPr>
        <w:fldChar w:fldCharType="end"/>
      </w:r>
      <w:r w:rsidR="004115F0" w:rsidRPr="00770477">
        <w:rPr>
          <w:rFonts w:cs="Times New Roman"/>
        </w:rPr>
        <w:t>)</w:t>
      </w:r>
      <w:r w:rsidR="289904FA" w:rsidRPr="00770477">
        <w:rPr>
          <w:rFonts w:cs="Times New Roman"/>
        </w:rPr>
        <w:t xml:space="preserve"> with </w:t>
      </w:r>
      <w:r w:rsidR="18692FC5" w:rsidRPr="00770477">
        <w:rPr>
          <w:rFonts w:cs="Times New Roman"/>
        </w:rPr>
        <w:t>effluent pH initially at 8.1</w:t>
      </w:r>
      <w:r w:rsidR="23AC21F5" w:rsidRPr="00770477">
        <w:rPr>
          <w:rFonts w:cs="Times New Roman"/>
        </w:rPr>
        <w:t xml:space="preserve">. </w:t>
      </w:r>
      <w:r w:rsidR="007615A2">
        <w:rPr>
          <w:rFonts w:cs="Times New Roman"/>
        </w:rPr>
        <w:t>B</w:t>
      </w:r>
      <w:r w:rsidR="0C289001" w:rsidRPr="00770477">
        <w:rPr>
          <w:rFonts w:cs="Times New Roman"/>
        </w:rPr>
        <w:t xml:space="preserve">iochar </w:t>
      </w:r>
      <w:r w:rsidR="7BAC2524" w:rsidRPr="00770477">
        <w:rPr>
          <w:rFonts w:cs="Times New Roman"/>
        </w:rPr>
        <w:t>effluent</w:t>
      </w:r>
      <w:r w:rsidR="77E93872" w:rsidRPr="00770477">
        <w:rPr>
          <w:rFonts w:cs="Times New Roman"/>
        </w:rPr>
        <w:t xml:space="preserve"> </w:t>
      </w:r>
      <w:r w:rsidR="46922276" w:rsidRPr="00770477">
        <w:rPr>
          <w:rFonts w:cs="Times New Roman"/>
        </w:rPr>
        <w:t xml:space="preserve">pH </w:t>
      </w:r>
      <w:r w:rsidR="007615A2">
        <w:rPr>
          <w:rFonts w:cs="Times New Roman"/>
        </w:rPr>
        <w:t>was</w:t>
      </w:r>
      <w:r w:rsidR="46922276" w:rsidRPr="00770477">
        <w:rPr>
          <w:rFonts w:cs="Times New Roman"/>
        </w:rPr>
        <w:t xml:space="preserve"> within a relatively tight window of </w:t>
      </w:r>
      <w:r w:rsidR="4EB01E55" w:rsidRPr="00770477">
        <w:rPr>
          <w:rFonts w:cs="Times New Roman"/>
        </w:rPr>
        <w:t xml:space="preserve">7.5 to 8.7 pH units. </w:t>
      </w:r>
      <w:r w:rsidR="00DA3FBE" w:rsidRPr="00770477">
        <w:rPr>
          <w:rFonts w:cs="Times New Roman"/>
        </w:rPr>
        <w:t>Treatment with s</w:t>
      </w:r>
      <w:r w:rsidR="4EB01E55" w:rsidRPr="00770477">
        <w:rPr>
          <w:rFonts w:cs="Times New Roman"/>
        </w:rPr>
        <w:t xml:space="preserve">teel slag </w:t>
      </w:r>
      <w:r w:rsidR="00DA3FBE" w:rsidRPr="00770477">
        <w:rPr>
          <w:rFonts w:cs="Times New Roman"/>
        </w:rPr>
        <w:t xml:space="preserve">yielded </w:t>
      </w:r>
      <w:r w:rsidR="00EA441E" w:rsidRPr="00770477">
        <w:rPr>
          <w:rFonts w:cs="Times New Roman"/>
        </w:rPr>
        <w:t>an</w:t>
      </w:r>
      <w:r w:rsidR="3C5E74F8" w:rsidRPr="00770477">
        <w:rPr>
          <w:rFonts w:cs="Times New Roman"/>
        </w:rPr>
        <w:t xml:space="preserve"> </w:t>
      </w:r>
      <w:r w:rsidR="00EA441E" w:rsidRPr="00770477">
        <w:rPr>
          <w:rFonts w:cs="Times New Roman"/>
        </w:rPr>
        <w:t>increase</w:t>
      </w:r>
      <w:r w:rsidR="3C5E74F8" w:rsidRPr="00770477">
        <w:rPr>
          <w:rFonts w:cs="Times New Roman"/>
        </w:rPr>
        <w:t xml:space="preserve"> solution pH</w:t>
      </w:r>
      <w:r w:rsidR="00DA3FBE" w:rsidRPr="00770477">
        <w:rPr>
          <w:rFonts w:cs="Times New Roman"/>
        </w:rPr>
        <w:t xml:space="preserve"> with </w:t>
      </w:r>
      <w:r w:rsidR="000F24E7" w:rsidRPr="00770477">
        <w:rPr>
          <w:rFonts w:cs="Times New Roman"/>
        </w:rPr>
        <w:t>an</w:t>
      </w:r>
      <w:r w:rsidR="00DA3FBE" w:rsidRPr="00770477">
        <w:rPr>
          <w:rFonts w:cs="Times New Roman"/>
        </w:rPr>
        <w:t xml:space="preserve"> initial effluent </w:t>
      </w:r>
      <w:r w:rsidR="6CF19123" w:rsidRPr="00770477">
        <w:rPr>
          <w:rFonts w:cs="Times New Roman"/>
        </w:rPr>
        <w:t xml:space="preserve">pH </w:t>
      </w:r>
      <w:r w:rsidR="000F24E7" w:rsidRPr="00770477">
        <w:rPr>
          <w:rFonts w:cs="Times New Roman"/>
        </w:rPr>
        <w:t>of</w:t>
      </w:r>
      <w:r w:rsidR="6CF19123" w:rsidRPr="00770477">
        <w:rPr>
          <w:rFonts w:cs="Times New Roman"/>
        </w:rPr>
        <w:t xml:space="preserve"> </w:t>
      </w:r>
      <w:r w:rsidR="0CF1C08E" w:rsidRPr="00770477">
        <w:rPr>
          <w:rFonts w:cs="Times New Roman"/>
        </w:rPr>
        <w:t xml:space="preserve">11.9 </w:t>
      </w:r>
      <w:r w:rsidR="000F24E7" w:rsidRPr="00770477">
        <w:rPr>
          <w:rFonts w:cs="Times New Roman"/>
        </w:rPr>
        <w:t>and</w:t>
      </w:r>
      <w:r w:rsidR="0CF1C08E" w:rsidRPr="00770477">
        <w:rPr>
          <w:rFonts w:cs="Times New Roman"/>
        </w:rPr>
        <w:t xml:space="preserve"> a generally decreasing trend over time resulting </w:t>
      </w:r>
      <w:r w:rsidR="000F24E7" w:rsidRPr="00770477">
        <w:rPr>
          <w:rFonts w:cs="Times New Roman"/>
        </w:rPr>
        <w:t>in</w:t>
      </w:r>
      <w:r w:rsidR="0CF1C08E" w:rsidRPr="00770477">
        <w:rPr>
          <w:rFonts w:cs="Times New Roman"/>
        </w:rPr>
        <w:t xml:space="preserve"> a final pH of 11.2. Lastly, </w:t>
      </w:r>
      <w:r w:rsidR="00E748F5">
        <w:rPr>
          <w:rFonts w:cs="Times New Roman"/>
        </w:rPr>
        <w:t>aggregated fly ash</w:t>
      </w:r>
      <w:r w:rsidR="0CF1C08E" w:rsidRPr="00770477">
        <w:rPr>
          <w:rFonts w:cs="Times New Roman"/>
        </w:rPr>
        <w:t xml:space="preserve"> </w:t>
      </w:r>
      <w:r w:rsidR="72BDEB6B" w:rsidRPr="00770477">
        <w:rPr>
          <w:rFonts w:cs="Times New Roman"/>
        </w:rPr>
        <w:t xml:space="preserve">also </w:t>
      </w:r>
      <w:r w:rsidR="000F24E7" w:rsidRPr="00770477">
        <w:rPr>
          <w:rFonts w:cs="Times New Roman"/>
        </w:rPr>
        <w:t>increased</w:t>
      </w:r>
      <w:r w:rsidR="506EFD55" w:rsidRPr="00770477">
        <w:rPr>
          <w:rFonts w:cs="Times New Roman"/>
        </w:rPr>
        <w:t xml:space="preserve"> </w:t>
      </w:r>
      <w:r w:rsidR="79986E60" w:rsidRPr="00770477">
        <w:rPr>
          <w:rFonts w:cs="Times New Roman"/>
        </w:rPr>
        <w:t xml:space="preserve">solution pH with an initial </w:t>
      </w:r>
      <w:r w:rsidR="1EA62CD3" w:rsidRPr="00770477">
        <w:rPr>
          <w:rFonts w:cs="Times New Roman"/>
        </w:rPr>
        <w:t xml:space="preserve">pH measured at </w:t>
      </w:r>
      <w:r w:rsidR="583F792E" w:rsidRPr="00770477">
        <w:rPr>
          <w:rFonts w:cs="Times New Roman"/>
        </w:rPr>
        <w:t>11.3</w:t>
      </w:r>
      <w:r w:rsidR="1CE1742C" w:rsidRPr="00770477">
        <w:rPr>
          <w:rFonts w:cs="Times New Roman"/>
        </w:rPr>
        <w:t xml:space="preserve">. </w:t>
      </w:r>
      <w:r w:rsidR="248790E6" w:rsidRPr="00770477">
        <w:rPr>
          <w:rFonts w:cs="Times New Roman"/>
        </w:rPr>
        <w:t xml:space="preserve">For the first 5 measured points (0 L to 10 L) pH generally was increasing with pH measured at 11.8 at 10 L. However, the </w:t>
      </w:r>
      <w:r w:rsidR="005E5631" w:rsidRPr="00770477">
        <w:rPr>
          <w:rFonts w:cs="Times New Roman"/>
        </w:rPr>
        <w:t>latter</w:t>
      </w:r>
      <w:r w:rsidR="248790E6" w:rsidRPr="00770477">
        <w:rPr>
          <w:rFonts w:cs="Times New Roman"/>
        </w:rPr>
        <w:t xml:space="preserve"> half of the experiment saw decreasing pH with the final two points (17 L and 27 L) measuring </w:t>
      </w:r>
      <w:r w:rsidR="0BD3CA48" w:rsidRPr="00770477">
        <w:rPr>
          <w:rFonts w:cs="Times New Roman"/>
        </w:rPr>
        <w:t xml:space="preserve">11.2 and 10.7, respectively, which lead to an overall </w:t>
      </w:r>
      <w:r w:rsidR="4D2A6B9C" w:rsidRPr="00770477">
        <w:rPr>
          <w:rFonts w:cs="Times New Roman"/>
        </w:rPr>
        <w:t xml:space="preserve">decreasing trend in the data. </w:t>
      </w:r>
    </w:p>
    <w:p w14:paraId="7C66E6DA" w14:textId="4A1DF8A9" w:rsidR="001457D0" w:rsidRPr="00770477" w:rsidRDefault="00CA1DA2" w:rsidP="00C639F8">
      <w:pPr>
        <w:ind w:firstLine="720"/>
        <w:rPr>
          <w:rFonts w:cs="Times New Roman"/>
        </w:rPr>
      </w:pPr>
      <w:r w:rsidRPr="00770477">
        <w:rPr>
          <w:rFonts w:cs="Times New Roman"/>
        </w:rPr>
        <w:t>Effluent SpC in horizontal column experiments</w:t>
      </w:r>
      <w:r w:rsidR="00E81016" w:rsidRPr="00770477">
        <w:rPr>
          <w:rFonts w:cs="Times New Roman"/>
        </w:rPr>
        <w:t xml:space="preserve"> (</w:t>
      </w:r>
      <w:r w:rsidR="00E81016" w:rsidRPr="00770477">
        <w:rPr>
          <w:rFonts w:cs="Times New Roman"/>
        </w:rPr>
        <w:fldChar w:fldCharType="begin"/>
      </w:r>
      <w:r w:rsidR="00E81016" w:rsidRPr="00770477">
        <w:rPr>
          <w:rFonts w:cs="Times New Roman"/>
        </w:rPr>
        <w:instrText xml:space="preserve"> REF _Ref117866112 \h </w:instrText>
      </w:r>
      <w:r w:rsidR="00770477">
        <w:rPr>
          <w:rFonts w:cs="Times New Roman"/>
        </w:rPr>
        <w:instrText xml:space="preserve"> \* MERGEFORMAT </w:instrText>
      </w:r>
      <w:r w:rsidR="00E81016" w:rsidRPr="00770477">
        <w:rPr>
          <w:rFonts w:cs="Times New Roman"/>
        </w:rPr>
      </w:r>
      <w:r w:rsidR="00E81016"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16</w:t>
      </w:r>
      <w:r w:rsidR="00E81016" w:rsidRPr="00770477">
        <w:rPr>
          <w:rFonts w:cs="Times New Roman"/>
        </w:rPr>
        <w:fldChar w:fldCharType="end"/>
      </w:r>
      <w:r w:rsidR="00E81016" w:rsidRPr="00770477">
        <w:rPr>
          <w:rFonts w:cs="Times New Roman"/>
        </w:rPr>
        <w:t>)</w:t>
      </w:r>
      <w:r w:rsidRPr="00770477">
        <w:rPr>
          <w:rFonts w:cs="Times New Roman"/>
        </w:rPr>
        <w:t xml:space="preserve"> </w:t>
      </w:r>
      <w:r w:rsidR="00C845BC" w:rsidRPr="00770477">
        <w:rPr>
          <w:rFonts w:cs="Times New Roman"/>
        </w:rPr>
        <w:t xml:space="preserve">showed two very distinct trends. </w:t>
      </w:r>
      <w:r w:rsidR="004E36DE" w:rsidRPr="00770477">
        <w:rPr>
          <w:rFonts w:cs="Times New Roman"/>
        </w:rPr>
        <w:t xml:space="preserve">First, both the control and the biochar showed </w:t>
      </w:r>
      <w:r w:rsidR="00EF23E3" w:rsidRPr="00770477">
        <w:rPr>
          <w:rFonts w:cs="Times New Roman"/>
        </w:rPr>
        <w:t>a slight increase in</w:t>
      </w:r>
      <w:r w:rsidR="00BE1E38" w:rsidRPr="00770477">
        <w:rPr>
          <w:rFonts w:cs="Times New Roman"/>
        </w:rPr>
        <w:t xml:space="preserve"> SpC from the influent values </w:t>
      </w:r>
      <w:r w:rsidR="00FF05DA" w:rsidRPr="00770477">
        <w:rPr>
          <w:rFonts w:cs="Times New Roman"/>
        </w:rPr>
        <w:t xml:space="preserve">measuring between 70 </w:t>
      </w:r>
      <w:r w:rsidR="002A5368" w:rsidRPr="00770477">
        <w:rPr>
          <w:rFonts w:cs="Times New Roman"/>
        </w:rPr>
        <w:t>µS</w:t>
      </w:r>
      <w:r w:rsidR="002A5368">
        <w:rPr>
          <w:rFonts w:cs="Times New Roman"/>
        </w:rPr>
        <w:t xml:space="preserve"> </w:t>
      </w:r>
      <w:r w:rsidR="002A5368" w:rsidRPr="00770477">
        <w:rPr>
          <w:rFonts w:cs="Times New Roman"/>
        </w:rPr>
        <w:t>cm</w:t>
      </w:r>
      <w:r w:rsidR="002A5368">
        <w:rPr>
          <w:rFonts w:cs="Times New Roman"/>
          <w:vertAlign w:val="superscript"/>
        </w:rPr>
        <w:t>-1</w:t>
      </w:r>
      <w:r w:rsidR="00FF05DA" w:rsidRPr="00770477">
        <w:rPr>
          <w:rFonts w:cs="Times New Roman"/>
        </w:rPr>
        <w:t xml:space="preserve"> and 80 </w:t>
      </w:r>
      <w:r w:rsidR="002A5368" w:rsidRPr="00770477">
        <w:rPr>
          <w:rFonts w:cs="Times New Roman"/>
        </w:rPr>
        <w:t>µS</w:t>
      </w:r>
      <w:r w:rsidR="002A5368">
        <w:rPr>
          <w:rFonts w:cs="Times New Roman"/>
        </w:rPr>
        <w:t xml:space="preserve"> </w:t>
      </w:r>
      <w:r w:rsidR="002A5368" w:rsidRPr="00770477">
        <w:rPr>
          <w:rFonts w:cs="Times New Roman"/>
        </w:rPr>
        <w:t>cm</w:t>
      </w:r>
      <w:r w:rsidR="002A5368">
        <w:rPr>
          <w:rFonts w:cs="Times New Roman"/>
          <w:vertAlign w:val="superscript"/>
        </w:rPr>
        <w:t>-1</w:t>
      </w:r>
      <w:r w:rsidR="00FF05DA" w:rsidRPr="00770477">
        <w:rPr>
          <w:rFonts w:cs="Times New Roman"/>
        </w:rPr>
        <w:t xml:space="preserve"> through the duration of the experiment. </w:t>
      </w:r>
      <w:r w:rsidR="002B121C" w:rsidRPr="00770477">
        <w:rPr>
          <w:rFonts w:cs="Times New Roman"/>
        </w:rPr>
        <w:t xml:space="preserve">Two </w:t>
      </w:r>
      <w:r w:rsidR="002B121C" w:rsidRPr="00770477">
        <w:rPr>
          <w:rFonts w:cs="Times New Roman"/>
        </w:rPr>
        <w:lastRenderedPageBreak/>
        <w:t xml:space="preserve">notable exceptions to this were the 1 L and </w:t>
      </w:r>
      <w:r w:rsidR="00F76327" w:rsidRPr="00770477">
        <w:rPr>
          <w:rFonts w:cs="Times New Roman"/>
        </w:rPr>
        <w:t xml:space="preserve">6 L </w:t>
      </w:r>
      <w:r w:rsidR="006A3F49" w:rsidRPr="00770477">
        <w:rPr>
          <w:rFonts w:cs="Times New Roman"/>
        </w:rPr>
        <w:t xml:space="preserve">biochar sampling points. </w:t>
      </w:r>
      <w:r w:rsidR="00023FC2" w:rsidRPr="00770477">
        <w:rPr>
          <w:rFonts w:cs="Times New Roman"/>
        </w:rPr>
        <w:t>The 1 L point was measured at 731</w:t>
      </w:r>
      <w:r w:rsidR="002D2989" w:rsidRPr="00770477">
        <w:rPr>
          <w:rFonts w:cs="Times New Roman"/>
        </w:rPr>
        <w:t xml:space="preserve"> </w:t>
      </w:r>
      <w:r w:rsidR="00B76383" w:rsidRPr="00770477">
        <w:rPr>
          <w:rFonts w:cs="Times New Roman"/>
        </w:rPr>
        <w:t>µS</w:t>
      </w:r>
      <w:r w:rsidR="00B76383">
        <w:rPr>
          <w:rFonts w:cs="Times New Roman"/>
        </w:rPr>
        <w:t xml:space="preserve"> </w:t>
      </w:r>
      <w:r w:rsidR="00B76383" w:rsidRPr="00770477">
        <w:rPr>
          <w:rFonts w:cs="Times New Roman"/>
        </w:rPr>
        <w:t>cm</w:t>
      </w:r>
      <w:r w:rsidR="00B76383">
        <w:rPr>
          <w:rFonts w:cs="Times New Roman"/>
          <w:vertAlign w:val="superscript"/>
        </w:rPr>
        <w:t>-1</w:t>
      </w:r>
      <w:r w:rsidR="0028623E" w:rsidRPr="00770477">
        <w:rPr>
          <w:rFonts w:cs="Times New Roman"/>
        </w:rPr>
        <w:t xml:space="preserve"> </w:t>
      </w:r>
      <w:r w:rsidR="007B71A0" w:rsidRPr="00770477">
        <w:rPr>
          <w:rFonts w:cs="Times New Roman"/>
        </w:rPr>
        <w:t xml:space="preserve">which </w:t>
      </w:r>
      <w:r w:rsidR="002D2989" w:rsidRPr="00770477">
        <w:rPr>
          <w:rFonts w:cs="Times New Roman"/>
        </w:rPr>
        <w:t>severely</w:t>
      </w:r>
      <w:r w:rsidR="007B71A0" w:rsidRPr="00770477">
        <w:rPr>
          <w:rFonts w:cs="Times New Roman"/>
        </w:rPr>
        <w:t xml:space="preserve"> skewed the linear regression</w:t>
      </w:r>
      <w:r w:rsidR="00B477A8" w:rsidRPr="00770477">
        <w:rPr>
          <w:rFonts w:cs="Times New Roman"/>
        </w:rPr>
        <w:t xml:space="preserve"> and was likely a result of fines flushing through the sample setup</w:t>
      </w:r>
      <w:r w:rsidR="007B71A0" w:rsidRPr="00770477">
        <w:rPr>
          <w:rFonts w:cs="Times New Roman"/>
        </w:rPr>
        <w:t>. Furthermore, the 6 L measurement was</w:t>
      </w:r>
      <w:r w:rsidR="00AF4F9E" w:rsidRPr="00770477">
        <w:rPr>
          <w:rFonts w:cs="Times New Roman"/>
        </w:rPr>
        <w:t xml:space="preserve"> slightly above the </w:t>
      </w:r>
      <w:r w:rsidR="00B50335" w:rsidRPr="00770477">
        <w:rPr>
          <w:rFonts w:cs="Times New Roman"/>
        </w:rPr>
        <w:t xml:space="preserve">70-80 </w:t>
      </w:r>
      <w:r w:rsidR="00B76383" w:rsidRPr="00770477">
        <w:rPr>
          <w:rFonts w:cs="Times New Roman"/>
        </w:rPr>
        <w:t>µS</w:t>
      </w:r>
      <w:r w:rsidR="00B76383">
        <w:rPr>
          <w:rFonts w:cs="Times New Roman"/>
        </w:rPr>
        <w:t xml:space="preserve"> </w:t>
      </w:r>
      <w:r w:rsidR="00B76383" w:rsidRPr="00770477">
        <w:rPr>
          <w:rFonts w:cs="Times New Roman"/>
        </w:rPr>
        <w:t>cm</w:t>
      </w:r>
      <w:r w:rsidR="00B76383">
        <w:rPr>
          <w:rFonts w:cs="Times New Roman"/>
          <w:vertAlign w:val="superscript"/>
        </w:rPr>
        <w:t>-1</w:t>
      </w:r>
      <w:r w:rsidR="00B50335" w:rsidRPr="00770477">
        <w:rPr>
          <w:rFonts w:cs="Times New Roman"/>
        </w:rPr>
        <w:t xml:space="preserve"> range, measuring at </w:t>
      </w:r>
      <w:r w:rsidR="002D2989" w:rsidRPr="00770477">
        <w:rPr>
          <w:rFonts w:cs="Times New Roman"/>
        </w:rPr>
        <w:t xml:space="preserve">93.5 </w:t>
      </w:r>
      <w:r w:rsidR="00B76383" w:rsidRPr="00770477">
        <w:rPr>
          <w:rFonts w:cs="Times New Roman"/>
        </w:rPr>
        <w:t>µS</w:t>
      </w:r>
      <w:r w:rsidR="00B76383">
        <w:rPr>
          <w:rFonts w:cs="Times New Roman"/>
        </w:rPr>
        <w:t xml:space="preserve"> </w:t>
      </w:r>
      <w:r w:rsidR="00B76383" w:rsidRPr="00770477">
        <w:rPr>
          <w:rFonts w:cs="Times New Roman"/>
        </w:rPr>
        <w:t>cm</w:t>
      </w:r>
      <w:r w:rsidR="00B76383">
        <w:rPr>
          <w:rFonts w:cs="Times New Roman"/>
          <w:vertAlign w:val="superscript"/>
        </w:rPr>
        <w:t>-1</w:t>
      </w:r>
      <w:r w:rsidR="002D2989" w:rsidRPr="00770477">
        <w:rPr>
          <w:rFonts w:cs="Times New Roman"/>
        </w:rPr>
        <w:t xml:space="preserve">. </w:t>
      </w:r>
      <w:r w:rsidR="00C264EF" w:rsidRPr="00770477">
        <w:rPr>
          <w:rFonts w:cs="Times New Roman"/>
        </w:rPr>
        <w:t xml:space="preserve">Steel slag showed </w:t>
      </w:r>
      <w:r w:rsidR="000B4CFE" w:rsidRPr="00770477">
        <w:rPr>
          <w:rFonts w:cs="Times New Roman"/>
        </w:rPr>
        <w:t xml:space="preserve">a near identical relationship </w:t>
      </w:r>
      <w:r w:rsidR="005E47B9" w:rsidRPr="00770477">
        <w:rPr>
          <w:rFonts w:cs="Times New Roman"/>
        </w:rPr>
        <w:t>to the vertical column</w:t>
      </w:r>
      <w:r w:rsidR="008F7646" w:rsidRPr="00770477">
        <w:rPr>
          <w:rFonts w:cs="Times New Roman"/>
        </w:rPr>
        <w:t>s</w:t>
      </w:r>
      <w:r w:rsidR="00FB0A44" w:rsidRPr="00770477">
        <w:rPr>
          <w:rFonts w:cs="Times New Roman"/>
        </w:rPr>
        <w:t xml:space="preserve"> only with values </w:t>
      </w:r>
      <w:r w:rsidR="00975A5E" w:rsidRPr="00770477">
        <w:rPr>
          <w:rFonts w:cs="Times New Roman"/>
        </w:rPr>
        <w:t>spiking much higher</w:t>
      </w:r>
      <w:r w:rsidR="003976AB" w:rsidRPr="00770477">
        <w:rPr>
          <w:rFonts w:cs="Times New Roman"/>
        </w:rPr>
        <w:t xml:space="preserve"> than those observed in </w:t>
      </w:r>
      <w:r w:rsidR="00025553" w:rsidRPr="00770477">
        <w:rPr>
          <w:rFonts w:cs="Times New Roman"/>
        </w:rPr>
        <w:t xml:space="preserve">the vertical columns (approximately 150 </w:t>
      </w:r>
      <w:r w:rsidR="00B76383" w:rsidRPr="00770477">
        <w:rPr>
          <w:rFonts w:cs="Times New Roman"/>
        </w:rPr>
        <w:t>µS</w:t>
      </w:r>
      <w:r w:rsidR="00B76383">
        <w:rPr>
          <w:rFonts w:cs="Times New Roman"/>
        </w:rPr>
        <w:t xml:space="preserve"> </w:t>
      </w:r>
      <w:proofErr w:type="gramStart"/>
      <w:r w:rsidR="00B76383" w:rsidRPr="00770477">
        <w:rPr>
          <w:rFonts w:cs="Times New Roman"/>
        </w:rPr>
        <w:t>cm</w:t>
      </w:r>
      <w:r w:rsidR="00B76383">
        <w:rPr>
          <w:rFonts w:cs="Times New Roman"/>
          <w:vertAlign w:val="superscript"/>
        </w:rPr>
        <w:t>-1</w:t>
      </w:r>
      <w:proofErr w:type="gramEnd"/>
      <w:r w:rsidR="00025553" w:rsidRPr="00770477">
        <w:rPr>
          <w:rFonts w:cs="Times New Roman"/>
        </w:rPr>
        <w:t>)</w:t>
      </w:r>
      <w:r w:rsidR="00FB0A44" w:rsidRPr="00770477">
        <w:rPr>
          <w:rFonts w:cs="Times New Roman"/>
        </w:rPr>
        <w:t xml:space="preserve">. The initial SpC measurement was 775 </w:t>
      </w:r>
      <w:r w:rsidR="00B76383" w:rsidRPr="00770477">
        <w:rPr>
          <w:rFonts w:cs="Times New Roman"/>
        </w:rPr>
        <w:t>µS</w:t>
      </w:r>
      <w:r w:rsidR="00B76383">
        <w:rPr>
          <w:rFonts w:cs="Times New Roman"/>
        </w:rPr>
        <w:t xml:space="preserve"> </w:t>
      </w:r>
      <w:r w:rsidR="00B76383" w:rsidRPr="00770477">
        <w:rPr>
          <w:rFonts w:cs="Times New Roman"/>
        </w:rPr>
        <w:t>cm</w:t>
      </w:r>
      <w:r w:rsidR="00B76383">
        <w:rPr>
          <w:rFonts w:cs="Times New Roman"/>
          <w:vertAlign w:val="superscript"/>
        </w:rPr>
        <w:t>-1</w:t>
      </w:r>
      <w:r w:rsidR="00814A99" w:rsidRPr="00770477">
        <w:rPr>
          <w:rFonts w:cs="Times New Roman"/>
        </w:rPr>
        <w:t xml:space="preserve"> and despite the linear regression, the data shows a </w:t>
      </w:r>
      <w:r w:rsidR="00540757" w:rsidRPr="00770477">
        <w:rPr>
          <w:rFonts w:cs="Times New Roman"/>
        </w:rPr>
        <w:t xml:space="preserve">decaying curve </w:t>
      </w:r>
      <w:r w:rsidR="00246E9F" w:rsidRPr="00770477">
        <w:rPr>
          <w:rFonts w:cs="Times New Roman"/>
        </w:rPr>
        <w:t xml:space="preserve">which appears to be </w:t>
      </w:r>
      <w:r w:rsidR="004A721E" w:rsidRPr="00770477">
        <w:rPr>
          <w:rFonts w:cs="Times New Roman"/>
        </w:rPr>
        <w:t xml:space="preserve">reaching a lower asymptote between </w:t>
      </w:r>
      <w:r w:rsidR="00E2693D" w:rsidRPr="00770477">
        <w:rPr>
          <w:rFonts w:cs="Times New Roman"/>
        </w:rPr>
        <w:t xml:space="preserve">250 </w:t>
      </w:r>
      <w:r w:rsidR="00B76383" w:rsidRPr="00770477">
        <w:rPr>
          <w:rFonts w:cs="Times New Roman"/>
        </w:rPr>
        <w:t>µS</w:t>
      </w:r>
      <w:r w:rsidR="00B76383">
        <w:rPr>
          <w:rFonts w:cs="Times New Roman"/>
        </w:rPr>
        <w:t xml:space="preserve"> </w:t>
      </w:r>
      <w:r w:rsidR="00B76383" w:rsidRPr="00770477">
        <w:rPr>
          <w:rFonts w:cs="Times New Roman"/>
        </w:rPr>
        <w:t>cm</w:t>
      </w:r>
      <w:r w:rsidR="00B76383">
        <w:rPr>
          <w:rFonts w:cs="Times New Roman"/>
          <w:vertAlign w:val="superscript"/>
        </w:rPr>
        <w:t>-1</w:t>
      </w:r>
      <w:r w:rsidR="00E2693D" w:rsidRPr="00770477">
        <w:rPr>
          <w:rFonts w:cs="Times New Roman"/>
        </w:rPr>
        <w:t xml:space="preserve"> and 350 </w:t>
      </w:r>
      <w:r w:rsidR="00B76383" w:rsidRPr="00770477">
        <w:rPr>
          <w:rFonts w:cs="Times New Roman"/>
        </w:rPr>
        <w:t>µS</w:t>
      </w:r>
      <w:r w:rsidR="00B76383">
        <w:rPr>
          <w:rFonts w:cs="Times New Roman"/>
        </w:rPr>
        <w:t xml:space="preserve"> </w:t>
      </w:r>
      <w:r w:rsidR="00B76383" w:rsidRPr="00770477">
        <w:rPr>
          <w:rFonts w:cs="Times New Roman"/>
        </w:rPr>
        <w:t>cm</w:t>
      </w:r>
      <w:r w:rsidR="00B76383">
        <w:rPr>
          <w:rFonts w:cs="Times New Roman"/>
          <w:vertAlign w:val="superscript"/>
        </w:rPr>
        <w:t>-1</w:t>
      </w:r>
      <w:r w:rsidR="00E2693D" w:rsidRPr="00770477">
        <w:rPr>
          <w:rFonts w:cs="Times New Roman"/>
        </w:rPr>
        <w:t xml:space="preserve">. </w:t>
      </w:r>
      <w:r w:rsidR="00E748F5">
        <w:rPr>
          <w:rFonts w:cs="Times New Roman"/>
        </w:rPr>
        <w:t>Aggregated f</w:t>
      </w:r>
      <w:r w:rsidR="00911979" w:rsidRPr="00770477">
        <w:rPr>
          <w:rFonts w:cs="Times New Roman"/>
        </w:rPr>
        <w:t xml:space="preserve">ly ash showed </w:t>
      </w:r>
      <w:r w:rsidR="004D4F4C" w:rsidRPr="00770477">
        <w:rPr>
          <w:rFonts w:cs="Times New Roman"/>
        </w:rPr>
        <w:t>a</w:t>
      </w:r>
      <w:r w:rsidR="00384017" w:rsidRPr="00770477">
        <w:rPr>
          <w:rFonts w:cs="Times New Roman"/>
        </w:rPr>
        <w:t xml:space="preserve"> </w:t>
      </w:r>
      <w:r w:rsidR="004D4F4C" w:rsidRPr="00770477">
        <w:rPr>
          <w:rFonts w:cs="Times New Roman"/>
        </w:rPr>
        <w:t>similar</w:t>
      </w:r>
      <w:r w:rsidR="00384017" w:rsidRPr="00770477">
        <w:rPr>
          <w:rFonts w:cs="Times New Roman"/>
        </w:rPr>
        <w:t xml:space="preserve"> relationship </w:t>
      </w:r>
      <w:r w:rsidR="004D4F4C" w:rsidRPr="00770477">
        <w:rPr>
          <w:rFonts w:cs="Times New Roman"/>
        </w:rPr>
        <w:t>to</w:t>
      </w:r>
      <w:r w:rsidR="00384017" w:rsidRPr="00770477">
        <w:rPr>
          <w:rFonts w:cs="Times New Roman"/>
        </w:rPr>
        <w:t xml:space="preserve"> steel slag,</w:t>
      </w:r>
      <w:r w:rsidR="00716091" w:rsidRPr="00770477">
        <w:rPr>
          <w:rFonts w:cs="Times New Roman"/>
        </w:rPr>
        <w:t xml:space="preserve"> only with initial </w:t>
      </w:r>
      <w:r w:rsidR="009B2666" w:rsidRPr="00770477">
        <w:rPr>
          <w:rFonts w:cs="Times New Roman"/>
        </w:rPr>
        <w:t xml:space="preserve">SpC values of approximately 500 </w:t>
      </w:r>
      <w:r w:rsidR="00B76383" w:rsidRPr="00770477">
        <w:rPr>
          <w:rFonts w:cs="Times New Roman"/>
        </w:rPr>
        <w:t>µS</w:t>
      </w:r>
      <w:r w:rsidR="00B76383">
        <w:rPr>
          <w:rFonts w:cs="Times New Roman"/>
        </w:rPr>
        <w:t xml:space="preserve"> </w:t>
      </w:r>
      <w:r w:rsidR="00B76383" w:rsidRPr="00770477">
        <w:rPr>
          <w:rFonts w:cs="Times New Roman"/>
        </w:rPr>
        <w:t>cm</w:t>
      </w:r>
      <w:r w:rsidR="00B76383">
        <w:rPr>
          <w:rFonts w:cs="Times New Roman"/>
          <w:vertAlign w:val="superscript"/>
        </w:rPr>
        <w:t>-1</w:t>
      </w:r>
      <w:r w:rsidR="004D4F4C" w:rsidRPr="00770477">
        <w:rPr>
          <w:rFonts w:cs="Times New Roman"/>
        </w:rPr>
        <w:t xml:space="preserve"> but a</w:t>
      </w:r>
      <w:r w:rsidR="00051DED" w:rsidRPr="00770477">
        <w:rPr>
          <w:rFonts w:cs="Times New Roman"/>
        </w:rPr>
        <w:t xml:space="preserve"> tapering to a similar SpC</w:t>
      </w:r>
      <w:r w:rsidR="00735919" w:rsidRPr="00770477">
        <w:rPr>
          <w:rFonts w:cs="Times New Roman"/>
        </w:rPr>
        <w:t xml:space="preserve"> around 200 </w:t>
      </w:r>
      <w:r w:rsidR="00B76383" w:rsidRPr="00770477">
        <w:rPr>
          <w:rFonts w:cs="Times New Roman"/>
        </w:rPr>
        <w:t>µS</w:t>
      </w:r>
      <w:r w:rsidR="00B76383">
        <w:rPr>
          <w:rFonts w:cs="Times New Roman"/>
        </w:rPr>
        <w:t xml:space="preserve"> </w:t>
      </w:r>
      <w:r w:rsidR="00B76383" w:rsidRPr="00770477">
        <w:rPr>
          <w:rFonts w:cs="Times New Roman"/>
        </w:rPr>
        <w:t>cm</w:t>
      </w:r>
      <w:r w:rsidR="00B76383">
        <w:rPr>
          <w:rFonts w:cs="Times New Roman"/>
          <w:vertAlign w:val="superscript"/>
        </w:rPr>
        <w:t>-1</w:t>
      </w:r>
      <w:r w:rsidR="00384017" w:rsidRPr="00770477">
        <w:rPr>
          <w:rFonts w:cs="Times New Roman"/>
        </w:rPr>
        <w:t xml:space="preserve">. </w:t>
      </w:r>
    </w:p>
    <w:p w14:paraId="5300C8F4" w14:textId="77777777" w:rsidR="001457D0" w:rsidRPr="00770477" w:rsidRDefault="001457D0">
      <w:pPr>
        <w:spacing w:line="240" w:lineRule="auto"/>
        <w:rPr>
          <w:rFonts w:cs="Times New Roman"/>
        </w:rPr>
      </w:pPr>
      <w:r w:rsidRPr="00770477">
        <w:rPr>
          <w:rFonts w:cs="Times New Roman"/>
        </w:rPr>
        <w:br w:type="page"/>
      </w:r>
    </w:p>
    <w:p w14:paraId="16092535" w14:textId="77777777" w:rsidR="008261C5" w:rsidRPr="00770477" w:rsidRDefault="008261C5" w:rsidP="008261C5">
      <w:pPr>
        <w:keepNext/>
        <w:spacing w:line="240" w:lineRule="auto"/>
        <w:rPr>
          <w:rFonts w:cs="Times New Roman"/>
        </w:rPr>
      </w:pPr>
      <w:r w:rsidRPr="00770477">
        <w:rPr>
          <w:rFonts w:cs="Times New Roman"/>
          <w:noProof/>
        </w:rPr>
        <w:lastRenderedPageBreak/>
        <w:drawing>
          <wp:inline distT="0" distB="0" distL="0" distR="0" wp14:anchorId="5A7B56BA" wp14:editId="47318561">
            <wp:extent cx="5943600" cy="54864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inline>
        </w:drawing>
      </w:r>
    </w:p>
    <w:p w14:paraId="1391D56C" w14:textId="5034BC6D" w:rsidR="00471510" w:rsidRPr="00770477" w:rsidRDefault="1995BB9C" w:rsidP="008261C5">
      <w:pPr>
        <w:pStyle w:val="Caption"/>
        <w:rPr>
          <w:rFonts w:cs="Times New Roman"/>
        </w:rPr>
      </w:pPr>
      <w:bookmarkStart w:id="124" w:name="_Ref117866095"/>
      <w:bookmarkStart w:id="125" w:name="_Toc121489510"/>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15</w:t>
      </w:r>
      <w:r w:rsidRPr="00770477">
        <w:rPr>
          <w:rFonts w:cs="Times New Roman"/>
          <w:noProof/>
        </w:rPr>
        <w:fldChar w:fldCharType="end"/>
      </w:r>
      <w:bookmarkEnd w:id="124"/>
      <w:r w:rsidRPr="00770477">
        <w:rPr>
          <w:rFonts w:cs="Times New Roman"/>
        </w:rPr>
        <w:t xml:space="preserve"> Effluent pH results from horizontal column experiments</w:t>
      </w:r>
      <w:r w:rsidR="00AF4A8D">
        <w:rPr>
          <w:rFonts w:cs="Times New Roman"/>
        </w:rPr>
        <w:t>.</w:t>
      </w:r>
      <w:bookmarkEnd w:id="125"/>
    </w:p>
    <w:p w14:paraId="53335A62" w14:textId="77777777" w:rsidR="008261C5" w:rsidRPr="00770477" w:rsidRDefault="001457D0">
      <w:pPr>
        <w:spacing w:line="240" w:lineRule="auto"/>
        <w:rPr>
          <w:rFonts w:cs="Times New Roman"/>
        </w:rPr>
      </w:pPr>
      <w:r w:rsidRPr="00770477">
        <w:rPr>
          <w:rFonts w:cs="Times New Roman"/>
        </w:rPr>
        <w:br w:type="page"/>
      </w:r>
    </w:p>
    <w:p w14:paraId="78ED5BF3" w14:textId="77777777" w:rsidR="008261C5" w:rsidRPr="00770477" w:rsidRDefault="008261C5" w:rsidP="008261C5">
      <w:pPr>
        <w:keepNext/>
        <w:spacing w:line="240" w:lineRule="auto"/>
        <w:rPr>
          <w:rFonts w:cs="Times New Roman"/>
        </w:rPr>
      </w:pPr>
      <w:r w:rsidRPr="00770477">
        <w:rPr>
          <w:rFonts w:cs="Times New Roman"/>
          <w:noProof/>
        </w:rPr>
        <w:lastRenderedPageBreak/>
        <w:drawing>
          <wp:inline distT="0" distB="0" distL="0" distR="0" wp14:anchorId="78757DF1" wp14:editId="6B516BED">
            <wp:extent cx="5943600" cy="54864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inline>
        </w:drawing>
      </w:r>
    </w:p>
    <w:p w14:paraId="6E604266" w14:textId="0E0ABFAF" w:rsidR="008261C5" w:rsidRPr="00770477" w:rsidRDefault="1995BB9C" w:rsidP="008261C5">
      <w:pPr>
        <w:pStyle w:val="Caption"/>
        <w:rPr>
          <w:rFonts w:cs="Times New Roman"/>
        </w:rPr>
      </w:pPr>
      <w:bookmarkStart w:id="126" w:name="_Ref117866112"/>
      <w:bookmarkStart w:id="127" w:name="_Toc121489511"/>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16</w:t>
      </w:r>
      <w:r w:rsidRPr="00770477">
        <w:rPr>
          <w:rFonts w:cs="Times New Roman"/>
          <w:noProof/>
        </w:rPr>
        <w:fldChar w:fldCharType="end"/>
      </w:r>
      <w:bookmarkEnd w:id="126"/>
      <w:r w:rsidRPr="00770477">
        <w:rPr>
          <w:rFonts w:cs="Times New Roman"/>
        </w:rPr>
        <w:t xml:space="preserve"> Effluent specific conductivity results in horizontal column experiments</w:t>
      </w:r>
      <w:r w:rsidR="00AF4A8D">
        <w:rPr>
          <w:rFonts w:cs="Times New Roman"/>
        </w:rPr>
        <w:t>.</w:t>
      </w:r>
      <w:bookmarkEnd w:id="127"/>
    </w:p>
    <w:p w14:paraId="28CB8B9B" w14:textId="3949C6D6" w:rsidR="00C639F8" w:rsidRPr="00770477" w:rsidRDefault="008261C5" w:rsidP="001457D0">
      <w:pPr>
        <w:spacing w:line="240" w:lineRule="auto"/>
        <w:rPr>
          <w:rFonts w:cs="Times New Roman"/>
        </w:rPr>
      </w:pPr>
      <w:r w:rsidRPr="00770477">
        <w:rPr>
          <w:rFonts w:cs="Times New Roman"/>
        </w:rPr>
        <w:br w:type="page"/>
      </w:r>
    </w:p>
    <w:p w14:paraId="398F0E7C" w14:textId="00B71464" w:rsidR="00663472" w:rsidRPr="00770477" w:rsidRDefault="00663472" w:rsidP="00663472">
      <w:pPr>
        <w:pStyle w:val="Heading3"/>
        <w:rPr>
          <w:rFonts w:cs="Times New Roman"/>
        </w:rPr>
      </w:pPr>
      <w:bookmarkStart w:id="128" w:name="_Toc121496018"/>
      <w:r w:rsidRPr="00770477">
        <w:rPr>
          <w:rFonts w:cs="Times New Roman"/>
        </w:rPr>
        <w:lastRenderedPageBreak/>
        <w:t>Metals</w:t>
      </w:r>
      <w:bookmarkEnd w:id="128"/>
    </w:p>
    <w:p w14:paraId="675FD9A7" w14:textId="7BAF795C" w:rsidR="00F0178C" w:rsidRDefault="00F0178C" w:rsidP="004F3CC5">
      <w:pPr>
        <w:ind w:firstLine="720"/>
        <w:rPr>
          <w:rFonts w:cs="Times New Roman"/>
        </w:rPr>
      </w:pPr>
      <w:r w:rsidRPr="00770477">
        <w:rPr>
          <w:rFonts w:cs="Times New Roman"/>
        </w:rPr>
        <w:t xml:space="preserve">Horizontal metal results yielded many results below the detection limit, therefore </w:t>
      </w:r>
      <w:r w:rsidR="004F3CC5" w:rsidRPr="00770477">
        <w:rPr>
          <w:rFonts w:cs="Times New Roman"/>
        </w:rPr>
        <w:t xml:space="preserve">hindering the discussion of the horizontal orientation’s effect on metal concentrations in solution. Furthermore, other </w:t>
      </w:r>
      <w:r w:rsidR="00712316" w:rsidRPr="00770477">
        <w:rPr>
          <w:rFonts w:cs="Times New Roman"/>
        </w:rPr>
        <w:t xml:space="preserve">metals yielded data above detection limits, however, </w:t>
      </w:r>
      <w:r w:rsidR="00CC1B57" w:rsidRPr="00770477">
        <w:rPr>
          <w:rFonts w:cs="Times New Roman"/>
        </w:rPr>
        <w:t xml:space="preserve">there was no </w:t>
      </w:r>
      <w:r w:rsidR="00F82EF2">
        <w:rPr>
          <w:rFonts w:cs="Times New Roman"/>
        </w:rPr>
        <w:t>noticeable</w:t>
      </w:r>
      <w:r w:rsidR="00CC1B57" w:rsidRPr="00770477">
        <w:rPr>
          <w:rFonts w:cs="Times New Roman"/>
        </w:rPr>
        <w:t xml:space="preserve"> departure from the control column indicating any </w:t>
      </w:r>
      <w:r w:rsidR="00882E94" w:rsidRPr="00770477">
        <w:rPr>
          <w:rFonts w:cs="Times New Roman"/>
        </w:rPr>
        <w:t xml:space="preserve">contaminant removal/leaching is likely solely due to the impact of the bioretention simulation sand. </w:t>
      </w:r>
      <w:r w:rsidR="0095505F" w:rsidRPr="00770477">
        <w:rPr>
          <w:rFonts w:cs="Times New Roman"/>
        </w:rPr>
        <w:t xml:space="preserve">These categories can be referenced in </w:t>
      </w:r>
      <w:r w:rsidR="0095505F" w:rsidRPr="00770477">
        <w:rPr>
          <w:rFonts w:cs="Times New Roman"/>
        </w:rPr>
        <w:fldChar w:fldCharType="begin"/>
      </w:r>
      <w:r w:rsidR="0095505F" w:rsidRPr="00770477">
        <w:rPr>
          <w:rFonts w:cs="Times New Roman"/>
        </w:rPr>
        <w:instrText xml:space="preserve"> REF _Ref120791122 \h </w:instrText>
      </w:r>
      <w:r w:rsidR="00770477">
        <w:rPr>
          <w:rFonts w:cs="Times New Roman"/>
        </w:rPr>
        <w:instrText xml:space="preserve"> \* MERGEFORMAT </w:instrText>
      </w:r>
      <w:r w:rsidR="0095505F" w:rsidRPr="00770477">
        <w:rPr>
          <w:rFonts w:cs="Times New Roman"/>
        </w:rPr>
      </w:r>
      <w:r w:rsidR="0095505F" w:rsidRPr="00770477">
        <w:rPr>
          <w:rFonts w:cs="Times New Roman"/>
        </w:rPr>
        <w:fldChar w:fldCharType="separate"/>
      </w:r>
      <w:r w:rsidR="00061096" w:rsidRPr="00770477">
        <w:rPr>
          <w:rFonts w:cs="Times New Roman"/>
        </w:rPr>
        <w:t xml:space="preserve">Table </w:t>
      </w:r>
      <w:r w:rsidR="00061096">
        <w:rPr>
          <w:rFonts w:cs="Times New Roman"/>
          <w:noProof/>
        </w:rPr>
        <w:t>3</w:t>
      </w:r>
      <w:r w:rsidR="00061096">
        <w:rPr>
          <w:rFonts w:cs="Times New Roman"/>
          <w:noProof/>
        </w:rPr>
        <w:noBreakHyphen/>
        <w:t>1</w:t>
      </w:r>
      <w:r w:rsidR="0095505F" w:rsidRPr="00770477">
        <w:rPr>
          <w:rFonts w:cs="Times New Roman"/>
        </w:rPr>
        <w:fldChar w:fldCharType="end"/>
      </w:r>
      <w:r w:rsidR="0095505F" w:rsidRPr="00770477">
        <w:rPr>
          <w:rFonts w:cs="Times New Roman"/>
        </w:rPr>
        <w:t xml:space="preserve">. </w:t>
      </w:r>
    </w:p>
    <w:p w14:paraId="7EF94BE9" w14:textId="77777777" w:rsidR="00636575" w:rsidRPr="00770477" w:rsidRDefault="00636575" w:rsidP="00636575">
      <w:pPr>
        <w:rPr>
          <w:rFonts w:cs="Times New Roman"/>
        </w:rPr>
      </w:pPr>
    </w:p>
    <w:p w14:paraId="27325F0C" w14:textId="096FCC68" w:rsidR="00306AE3" w:rsidRPr="00770477" w:rsidRDefault="00896ECD" w:rsidP="00E2304D">
      <w:pPr>
        <w:pStyle w:val="Heading4"/>
        <w:rPr>
          <w:rFonts w:ascii="Times New Roman" w:hAnsi="Times New Roman" w:cs="Times New Roman"/>
        </w:rPr>
      </w:pPr>
      <w:bookmarkStart w:id="129" w:name="_Toc121496019"/>
      <w:r w:rsidRPr="00770477">
        <w:rPr>
          <w:rFonts w:ascii="Times New Roman" w:hAnsi="Times New Roman" w:cs="Times New Roman"/>
        </w:rPr>
        <w:t>Arsenic (As)</w:t>
      </w:r>
      <w:bookmarkEnd w:id="129"/>
    </w:p>
    <w:p w14:paraId="736EC3EA" w14:textId="24EF8DEA" w:rsidR="001457D0" w:rsidRPr="00770477" w:rsidRDefault="00E54136" w:rsidP="00EA66D9">
      <w:pPr>
        <w:ind w:firstLine="720"/>
        <w:rPr>
          <w:rFonts w:cs="Times New Roman"/>
        </w:rPr>
      </w:pPr>
      <w:r w:rsidRPr="00770477">
        <w:rPr>
          <w:rFonts w:cs="Times New Roman"/>
        </w:rPr>
        <w:t>A</w:t>
      </w:r>
      <w:r w:rsidR="00882E94" w:rsidRPr="00770477">
        <w:rPr>
          <w:rFonts w:cs="Times New Roman"/>
        </w:rPr>
        <w:t>rsenic (As)</w:t>
      </w:r>
      <w:r w:rsidRPr="00770477">
        <w:rPr>
          <w:rFonts w:cs="Times New Roman"/>
        </w:rPr>
        <w:t xml:space="preserve"> results from the horizontal column experiment </w:t>
      </w:r>
      <w:r w:rsidR="005666F3" w:rsidRPr="00770477">
        <w:rPr>
          <w:rFonts w:cs="Times New Roman"/>
        </w:rPr>
        <w:t xml:space="preserve">showed a </w:t>
      </w:r>
      <w:r w:rsidR="00454EAD" w:rsidRPr="00770477">
        <w:rPr>
          <w:rFonts w:cs="Times New Roman"/>
        </w:rPr>
        <w:t>noticeable s</w:t>
      </w:r>
      <w:r w:rsidR="005666F3" w:rsidRPr="00770477">
        <w:rPr>
          <w:rFonts w:cs="Times New Roman"/>
        </w:rPr>
        <w:t>eparation from the control column</w:t>
      </w:r>
      <w:r w:rsidR="00E81016" w:rsidRPr="00770477">
        <w:rPr>
          <w:rFonts w:cs="Times New Roman"/>
        </w:rPr>
        <w:t xml:space="preserve"> (</w:t>
      </w:r>
      <w:r w:rsidR="00E81016" w:rsidRPr="00770477">
        <w:rPr>
          <w:rFonts w:cs="Times New Roman"/>
        </w:rPr>
        <w:fldChar w:fldCharType="begin"/>
      </w:r>
      <w:r w:rsidR="00E81016" w:rsidRPr="00770477">
        <w:rPr>
          <w:rFonts w:cs="Times New Roman"/>
        </w:rPr>
        <w:instrText xml:space="preserve"> REF _Ref117866131 \h </w:instrText>
      </w:r>
      <w:r w:rsidR="00770477">
        <w:rPr>
          <w:rFonts w:cs="Times New Roman"/>
        </w:rPr>
        <w:instrText xml:space="preserve"> \* MERGEFORMAT </w:instrText>
      </w:r>
      <w:r w:rsidR="00E81016" w:rsidRPr="00770477">
        <w:rPr>
          <w:rFonts w:cs="Times New Roman"/>
        </w:rPr>
      </w:r>
      <w:r w:rsidR="00E81016"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17</w:t>
      </w:r>
      <w:r w:rsidR="00E81016" w:rsidRPr="00770477">
        <w:rPr>
          <w:rFonts w:cs="Times New Roman"/>
        </w:rPr>
        <w:fldChar w:fldCharType="end"/>
      </w:r>
      <w:r w:rsidR="00F24162" w:rsidRPr="00770477">
        <w:rPr>
          <w:rFonts w:cs="Times New Roman"/>
        </w:rPr>
        <w:t>) with</w:t>
      </w:r>
      <w:r w:rsidR="00880D55" w:rsidRPr="00770477">
        <w:rPr>
          <w:rFonts w:cs="Times New Roman"/>
        </w:rPr>
        <w:t xml:space="preserve"> the control column </w:t>
      </w:r>
      <w:r w:rsidR="00F24162" w:rsidRPr="00770477">
        <w:rPr>
          <w:rFonts w:cs="Times New Roman"/>
        </w:rPr>
        <w:t>remaining</w:t>
      </w:r>
      <w:r w:rsidR="00880D55" w:rsidRPr="00770477">
        <w:rPr>
          <w:rFonts w:cs="Times New Roman"/>
        </w:rPr>
        <w:t xml:space="preserve"> at or around an IE ratio of 1.00</w:t>
      </w:r>
      <w:r w:rsidR="00F24162" w:rsidRPr="00770477">
        <w:rPr>
          <w:rFonts w:cs="Times New Roman"/>
        </w:rPr>
        <w:t xml:space="preserve"> for the entirety of the experiment</w:t>
      </w:r>
      <w:r w:rsidR="00880D55" w:rsidRPr="00770477">
        <w:rPr>
          <w:rFonts w:cs="Times New Roman"/>
        </w:rPr>
        <w:t xml:space="preserve">. Although for some points the </w:t>
      </w:r>
      <w:r w:rsidR="00B41C69" w:rsidRPr="00770477">
        <w:rPr>
          <w:rFonts w:cs="Times New Roman"/>
        </w:rPr>
        <w:t xml:space="preserve">biochar performed marginally better than the control, results </w:t>
      </w:r>
      <w:r w:rsidR="00C775A1" w:rsidRPr="00770477">
        <w:rPr>
          <w:rFonts w:cs="Times New Roman"/>
        </w:rPr>
        <w:t>was</w:t>
      </w:r>
      <w:r w:rsidR="00B41C69" w:rsidRPr="00770477">
        <w:rPr>
          <w:rFonts w:cs="Times New Roman"/>
        </w:rPr>
        <w:t xml:space="preserve"> not a far enough departure </w:t>
      </w:r>
      <w:r w:rsidR="00896ECD" w:rsidRPr="00770477">
        <w:rPr>
          <w:rFonts w:cs="Times New Roman"/>
        </w:rPr>
        <w:t xml:space="preserve">from the control to constitute the biochar adding any additional removal of </w:t>
      </w:r>
      <w:proofErr w:type="gramStart"/>
      <w:r w:rsidR="00866AB7">
        <w:rPr>
          <w:rFonts w:cs="Times New Roman"/>
        </w:rPr>
        <w:t>As</w:t>
      </w:r>
      <w:proofErr w:type="gramEnd"/>
      <w:r w:rsidR="00866AB7" w:rsidRPr="009E5089">
        <w:rPr>
          <w:rFonts w:cs="Times New Roman"/>
          <w:vertAlign w:val="superscript"/>
        </w:rPr>
        <w:t>+5</w:t>
      </w:r>
      <w:r w:rsidR="00896ECD" w:rsidRPr="00770477">
        <w:rPr>
          <w:rFonts w:cs="Times New Roman"/>
        </w:rPr>
        <w:t xml:space="preserve"> from solution. </w:t>
      </w:r>
      <w:r w:rsidR="002124A6" w:rsidRPr="00770477">
        <w:rPr>
          <w:rFonts w:cs="Times New Roman"/>
        </w:rPr>
        <w:t>Pairwise comparison</w:t>
      </w:r>
      <w:r w:rsidR="0024316B" w:rsidRPr="00770477">
        <w:rPr>
          <w:rFonts w:cs="Times New Roman"/>
        </w:rPr>
        <w:t xml:space="preserve">s of the fitted model parameters </w:t>
      </w:r>
      <w:r w:rsidR="0083523A" w:rsidRPr="00770477">
        <w:rPr>
          <w:rFonts w:cs="Times New Roman"/>
        </w:rPr>
        <w:t>were</w:t>
      </w:r>
      <w:r w:rsidR="0024316B" w:rsidRPr="00770477">
        <w:rPr>
          <w:rFonts w:cs="Times New Roman"/>
        </w:rPr>
        <w:t xml:space="preserve"> unsuccessful due to a</w:t>
      </w:r>
      <w:r w:rsidR="00B96F11" w:rsidRPr="00770477">
        <w:rPr>
          <w:rFonts w:cs="Times New Roman"/>
        </w:rPr>
        <w:t xml:space="preserve"> square root of a negative error in the </w:t>
      </w:r>
      <w:r w:rsidR="003677BE" w:rsidRPr="00770477">
        <w:rPr>
          <w:rFonts w:cs="Times New Roman"/>
        </w:rPr>
        <w:t xml:space="preserve">pairwise calculations. </w:t>
      </w:r>
      <w:r w:rsidR="007957FC" w:rsidRPr="00770477">
        <w:rPr>
          <w:rFonts w:cs="Times New Roman"/>
        </w:rPr>
        <w:t>Despite a visual</w:t>
      </w:r>
      <w:r w:rsidR="008B2788" w:rsidRPr="00770477">
        <w:rPr>
          <w:rFonts w:cs="Times New Roman"/>
        </w:rPr>
        <w:t xml:space="preserve"> separation </w:t>
      </w:r>
      <w:r w:rsidR="009D0A2E" w:rsidRPr="00770477">
        <w:rPr>
          <w:rFonts w:cs="Times New Roman"/>
        </w:rPr>
        <w:t>between</w:t>
      </w:r>
      <w:r w:rsidR="008B2788" w:rsidRPr="00770477">
        <w:rPr>
          <w:rFonts w:cs="Times New Roman"/>
        </w:rPr>
        <w:t xml:space="preserve"> the control</w:t>
      </w:r>
      <w:r w:rsidR="009D0A2E" w:rsidRPr="00770477">
        <w:rPr>
          <w:rFonts w:cs="Times New Roman"/>
        </w:rPr>
        <w:t xml:space="preserve"> and </w:t>
      </w:r>
      <w:r w:rsidR="00E748F5">
        <w:rPr>
          <w:rFonts w:cs="Times New Roman"/>
        </w:rPr>
        <w:t>aggregated fly ash</w:t>
      </w:r>
      <w:r w:rsidR="009D0A2E" w:rsidRPr="00770477">
        <w:rPr>
          <w:rFonts w:cs="Times New Roman"/>
        </w:rPr>
        <w:t xml:space="preserve"> columns</w:t>
      </w:r>
      <w:r w:rsidR="007957FC" w:rsidRPr="00770477">
        <w:rPr>
          <w:rFonts w:cs="Times New Roman"/>
        </w:rPr>
        <w:t xml:space="preserve">, both </w:t>
      </w:r>
      <w:r w:rsidR="008847CD" w:rsidRPr="00770477">
        <w:rPr>
          <w:rFonts w:cs="Times New Roman"/>
        </w:rPr>
        <w:t>were not determined to be uniquely different from the whole of results (p &gt; 0</w:t>
      </w:r>
      <w:r w:rsidR="00296C09" w:rsidRPr="00770477">
        <w:rPr>
          <w:rFonts w:cs="Times New Roman"/>
        </w:rPr>
        <w:t>.05). In spite of this,</w:t>
      </w:r>
      <w:r w:rsidR="008B2788" w:rsidRPr="00770477">
        <w:rPr>
          <w:rFonts w:cs="Times New Roman"/>
        </w:rPr>
        <w:t xml:space="preserve"> initial </w:t>
      </w:r>
      <w:proofErr w:type="gramStart"/>
      <w:r w:rsidR="00A47FE1">
        <w:rPr>
          <w:rFonts w:cs="Times New Roman"/>
        </w:rPr>
        <w:t>As</w:t>
      </w:r>
      <w:proofErr w:type="gramEnd"/>
      <w:r w:rsidR="00A47FE1" w:rsidRPr="009E5089">
        <w:rPr>
          <w:rFonts w:cs="Times New Roman"/>
          <w:vertAlign w:val="superscript"/>
        </w:rPr>
        <w:t>+5</w:t>
      </w:r>
      <w:r w:rsidR="008B2788" w:rsidRPr="00770477">
        <w:rPr>
          <w:rFonts w:cs="Times New Roman"/>
        </w:rPr>
        <w:t xml:space="preserve"> concentrations</w:t>
      </w:r>
      <w:r w:rsidR="00296C09" w:rsidRPr="00770477">
        <w:rPr>
          <w:rFonts w:cs="Times New Roman"/>
        </w:rPr>
        <w:t xml:space="preserve"> in the </w:t>
      </w:r>
      <w:r w:rsidR="00E748F5">
        <w:rPr>
          <w:rFonts w:cs="Times New Roman"/>
        </w:rPr>
        <w:t>aggregated fly ash</w:t>
      </w:r>
      <w:r w:rsidR="00296C09" w:rsidRPr="00770477">
        <w:rPr>
          <w:rFonts w:cs="Times New Roman"/>
        </w:rPr>
        <w:t xml:space="preserve"> column was</w:t>
      </w:r>
      <w:r w:rsidR="008B2788" w:rsidRPr="00770477">
        <w:rPr>
          <w:rFonts w:cs="Times New Roman"/>
        </w:rPr>
        <w:t xml:space="preserve"> reduced by just below 50%. </w:t>
      </w:r>
      <w:r w:rsidR="00BE617D" w:rsidRPr="00770477">
        <w:rPr>
          <w:rFonts w:cs="Times New Roman"/>
        </w:rPr>
        <w:t xml:space="preserve">Removal decayed over time to an upper IE ratio asymptote of </w:t>
      </w:r>
      <w:r w:rsidR="000F5582" w:rsidRPr="00770477">
        <w:rPr>
          <w:rFonts w:cs="Times New Roman"/>
        </w:rPr>
        <w:t xml:space="preserve">0.81 (19% removal) at around </w:t>
      </w:r>
      <w:r w:rsidR="009A7A13" w:rsidRPr="00770477">
        <w:rPr>
          <w:rFonts w:cs="Times New Roman"/>
        </w:rPr>
        <w:t xml:space="preserve">10 L passed through the columns. </w:t>
      </w:r>
      <w:r w:rsidR="00D97C68" w:rsidRPr="00770477">
        <w:rPr>
          <w:rFonts w:cs="Times New Roman"/>
        </w:rPr>
        <w:t xml:space="preserve">If the upper IE asymptote is fixed to 1.00, </w:t>
      </w:r>
      <w:r w:rsidR="00E748F5">
        <w:rPr>
          <w:rFonts w:cs="Times New Roman"/>
        </w:rPr>
        <w:t>aggregated fly ash</w:t>
      </w:r>
      <w:r w:rsidR="00D97C68" w:rsidRPr="00770477">
        <w:rPr>
          <w:rFonts w:cs="Times New Roman"/>
        </w:rPr>
        <w:t xml:space="preserve"> reaches exhaustion at 55 L passed. </w:t>
      </w:r>
      <w:r w:rsidR="00610065" w:rsidRPr="00770477">
        <w:rPr>
          <w:rFonts w:cs="Times New Roman"/>
        </w:rPr>
        <w:t xml:space="preserve">Steel slag </w:t>
      </w:r>
      <w:r w:rsidR="00496DDC" w:rsidRPr="00770477">
        <w:rPr>
          <w:rFonts w:cs="Times New Roman"/>
        </w:rPr>
        <w:t xml:space="preserve">was </w:t>
      </w:r>
      <w:r w:rsidR="00600136" w:rsidRPr="00770477">
        <w:rPr>
          <w:rFonts w:cs="Times New Roman"/>
        </w:rPr>
        <w:t>statistically unique (p = 0.01)</w:t>
      </w:r>
      <w:r w:rsidR="00610065" w:rsidRPr="00770477">
        <w:rPr>
          <w:rFonts w:cs="Times New Roman"/>
        </w:rPr>
        <w:t xml:space="preserve"> and had a traditional s-curve relationship. </w:t>
      </w:r>
      <w:r w:rsidR="00E266E5" w:rsidRPr="00770477">
        <w:rPr>
          <w:rFonts w:cs="Times New Roman"/>
        </w:rPr>
        <w:t xml:space="preserve">Dissolved </w:t>
      </w:r>
      <w:r w:rsidR="009D4DF8">
        <w:rPr>
          <w:rFonts w:cs="Times New Roman"/>
        </w:rPr>
        <w:t>As</w:t>
      </w:r>
      <w:r w:rsidR="009D4DF8" w:rsidRPr="009E5089">
        <w:rPr>
          <w:rFonts w:cs="Times New Roman"/>
          <w:vertAlign w:val="superscript"/>
        </w:rPr>
        <w:t>+5</w:t>
      </w:r>
      <w:r w:rsidR="00E266E5" w:rsidRPr="00770477">
        <w:rPr>
          <w:rFonts w:cs="Times New Roman"/>
        </w:rPr>
        <w:t xml:space="preserve"> removal initially was at or just below 100% followed by a period of exponential </w:t>
      </w:r>
      <w:r w:rsidR="00C868D1" w:rsidRPr="00770477">
        <w:rPr>
          <w:rFonts w:cs="Times New Roman"/>
        </w:rPr>
        <w:t xml:space="preserve">decrease in removal. The curve reached an inflection point at </w:t>
      </w:r>
      <w:r w:rsidR="00C868D1" w:rsidRPr="00770477">
        <w:rPr>
          <w:rFonts w:cs="Times New Roman"/>
        </w:rPr>
        <w:lastRenderedPageBreak/>
        <w:t xml:space="preserve">about 10 L passed </w:t>
      </w:r>
      <w:r w:rsidR="00F34807" w:rsidRPr="00770477">
        <w:rPr>
          <w:rFonts w:cs="Times New Roman"/>
        </w:rPr>
        <w:t xml:space="preserve">where the removal was measured to be about 80%. The curve then entered exponential decay </w:t>
      </w:r>
      <w:r w:rsidR="00AB06DD" w:rsidRPr="00770477">
        <w:rPr>
          <w:rFonts w:cs="Times New Roman"/>
        </w:rPr>
        <w:t xml:space="preserve">and the experiment ended with a removal of about 45%. </w:t>
      </w:r>
      <w:r w:rsidR="0048066A" w:rsidRPr="00770477">
        <w:rPr>
          <w:rFonts w:cs="Times New Roman"/>
        </w:rPr>
        <w:t xml:space="preserve">The upper IE ratio asymptote for steel slag was </w:t>
      </w:r>
      <w:r w:rsidR="00BA7E9C" w:rsidRPr="00770477">
        <w:rPr>
          <w:rFonts w:cs="Times New Roman"/>
        </w:rPr>
        <w:t xml:space="preserve">fit at 0.63, and with the upper IE ratio asymptote fixed to 1.00, the estimated </w:t>
      </w:r>
      <w:r w:rsidR="002A19B0" w:rsidRPr="00770477">
        <w:rPr>
          <w:rFonts w:cs="Times New Roman"/>
        </w:rPr>
        <w:t xml:space="preserve">exhaustion is reached at </w:t>
      </w:r>
      <w:r w:rsidR="004270BF" w:rsidRPr="00770477">
        <w:rPr>
          <w:rFonts w:cs="Times New Roman"/>
        </w:rPr>
        <w:t>5</w:t>
      </w:r>
      <w:r w:rsidR="00EC36E8" w:rsidRPr="00770477">
        <w:rPr>
          <w:rFonts w:cs="Times New Roman"/>
        </w:rPr>
        <w:t xml:space="preserve">1 L. </w:t>
      </w:r>
      <w:r w:rsidR="001457D0" w:rsidRPr="00770477">
        <w:rPr>
          <w:rFonts w:cs="Times New Roman"/>
        </w:rPr>
        <w:br w:type="page"/>
      </w:r>
    </w:p>
    <w:p w14:paraId="65671135" w14:textId="77777777" w:rsidR="00EF56D6" w:rsidRPr="00770477" w:rsidRDefault="00EF56D6" w:rsidP="00EF56D6">
      <w:pPr>
        <w:keepNext/>
        <w:spacing w:line="240" w:lineRule="auto"/>
        <w:rPr>
          <w:rFonts w:cs="Times New Roman"/>
        </w:rPr>
      </w:pPr>
      <w:r w:rsidRPr="00770477">
        <w:rPr>
          <w:rFonts w:cs="Times New Roman"/>
          <w:noProof/>
        </w:rPr>
        <w:lastRenderedPageBreak/>
        <w:drawing>
          <wp:inline distT="0" distB="0" distL="0" distR="0" wp14:anchorId="34BA904C" wp14:editId="12EE58EA">
            <wp:extent cx="5943600" cy="54864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inline>
        </w:drawing>
      </w:r>
    </w:p>
    <w:p w14:paraId="4FBEEE54" w14:textId="563A2470" w:rsidR="008261C5" w:rsidRPr="00770477" w:rsidRDefault="00EF56D6" w:rsidP="00AE1144">
      <w:pPr>
        <w:pStyle w:val="Caption"/>
        <w:spacing w:line="240" w:lineRule="auto"/>
        <w:rPr>
          <w:rFonts w:cs="Times New Roman"/>
        </w:rPr>
      </w:pPr>
      <w:bookmarkStart w:id="130" w:name="_Ref117866131"/>
      <w:bookmarkStart w:id="131" w:name="_Toc121489512"/>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17</w:t>
      </w:r>
      <w:r w:rsidRPr="00770477">
        <w:rPr>
          <w:rFonts w:cs="Times New Roman"/>
          <w:noProof/>
        </w:rPr>
        <w:fldChar w:fldCharType="end"/>
      </w:r>
      <w:bookmarkEnd w:id="130"/>
      <w:r w:rsidRPr="00770477">
        <w:rPr>
          <w:rFonts w:cs="Times New Roman"/>
        </w:rPr>
        <w:t xml:space="preserve"> Dissolved </w:t>
      </w:r>
      <w:r w:rsidR="009D4DF8">
        <w:rPr>
          <w:rFonts w:cs="Times New Roman"/>
        </w:rPr>
        <w:t>As</w:t>
      </w:r>
      <w:r w:rsidR="009D4DF8" w:rsidRPr="009E5089">
        <w:rPr>
          <w:rFonts w:cs="Times New Roman"/>
          <w:vertAlign w:val="superscript"/>
        </w:rPr>
        <w:t>+5</w:t>
      </w:r>
      <w:r w:rsidRPr="00770477">
        <w:rPr>
          <w:rFonts w:cs="Times New Roman"/>
        </w:rPr>
        <w:t xml:space="preserve"> removal in horizontal column experiments</w:t>
      </w:r>
      <w:r w:rsidR="00AF4A8D" w:rsidRPr="00AF4A8D">
        <w:rPr>
          <w:rFonts w:cs="Times New Roman"/>
        </w:rPr>
        <w:t xml:space="preserve"> </w:t>
      </w:r>
      <w:r w:rsidR="00AF4A8D">
        <w:rPr>
          <w:rFonts w:cs="Times New Roman"/>
        </w:rPr>
        <w:t>as demonstrated by the influent-effluent ratio as defined by effluent concentration (</w:t>
      </w:r>
      <w:proofErr w:type="spellStart"/>
      <w:r w:rsidR="00AF4A8D">
        <w:rPr>
          <w:rFonts w:cs="Times New Roman"/>
        </w:rPr>
        <w:t>C</w:t>
      </w:r>
      <w:r w:rsidR="00AF4A8D">
        <w:rPr>
          <w:rFonts w:cs="Times New Roman"/>
          <w:vertAlign w:val="subscript"/>
        </w:rPr>
        <w:t>eff</w:t>
      </w:r>
      <w:proofErr w:type="spellEnd"/>
      <w:r w:rsidR="00AF4A8D">
        <w:rPr>
          <w:rFonts w:cs="Times New Roman"/>
        </w:rPr>
        <w:t>) divided by influent concentration (</w:t>
      </w:r>
      <w:proofErr w:type="spellStart"/>
      <w:r w:rsidR="00AF4A8D">
        <w:rPr>
          <w:rFonts w:cs="Times New Roman"/>
        </w:rPr>
        <w:t>C</w:t>
      </w:r>
      <w:r w:rsidR="00AF4A8D">
        <w:rPr>
          <w:rFonts w:cs="Times New Roman"/>
          <w:vertAlign w:val="subscript"/>
        </w:rPr>
        <w:t>in</w:t>
      </w:r>
      <w:proofErr w:type="spellEnd"/>
      <w:r w:rsidR="00AF4A8D">
        <w:rPr>
          <w:rFonts w:cs="Times New Roman"/>
        </w:rPr>
        <w:t>) and plotted against volume passed.</w:t>
      </w:r>
      <w:bookmarkEnd w:id="131"/>
    </w:p>
    <w:p w14:paraId="17A51145" w14:textId="5E5DCE44" w:rsidR="00C639F8" w:rsidRPr="00770477" w:rsidRDefault="001457D0" w:rsidP="001457D0">
      <w:pPr>
        <w:spacing w:line="240" w:lineRule="auto"/>
        <w:rPr>
          <w:rFonts w:cs="Times New Roman"/>
        </w:rPr>
      </w:pPr>
      <w:r w:rsidRPr="00770477">
        <w:rPr>
          <w:rFonts w:cs="Times New Roman"/>
        </w:rPr>
        <w:br w:type="page"/>
      </w:r>
    </w:p>
    <w:p w14:paraId="193DFC94" w14:textId="5AC425D5" w:rsidR="00663472" w:rsidRPr="00770477" w:rsidRDefault="00E873DC" w:rsidP="00C44370">
      <w:pPr>
        <w:pStyle w:val="Heading3"/>
        <w:ind w:left="0" w:firstLine="0"/>
        <w:rPr>
          <w:rFonts w:cs="Times New Roman"/>
        </w:rPr>
      </w:pPr>
      <w:bookmarkStart w:id="132" w:name="_Toc121496020"/>
      <w:r w:rsidRPr="00770477">
        <w:rPr>
          <w:rFonts w:cs="Times New Roman"/>
        </w:rPr>
        <w:lastRenderedPageBreak/>
        <w:t>Neonicotinoids</w:t>
      </w:r>
      <w:bookmarkEnd w:id="132"/>
    </w:p>
    <w:p w14:paraId="31EC4667" w14:textId="399279CF" w:rsidR="00697F81" w:rsidRPr="00770477" w:rsidRDefault="526F3329" w:rsidP="00C44370">
      <w:pPr>
        <w:ind w:firstLine="720"/>
        <w:rPr>
          <w:rFonts w:cs="Times New Roman"/>
        </w:rPr>
      </w:pPr>
      <w:r w:rsidRPr="00770477">
        <w:rPr>
          <w:rFonts w:cs="Times New Roman"/>
        </w:rPr>
        <w:t>All three neonicotinoid</w:t>
      </w:r>
      <w:r w:rsidR="008D5153" w:rsidRPr="00770477">
        <w:rPr>
          <w:rFonts w:cs="Times New Roman"/>
        </w:rPr>
        <w:t xml:space="preserve"> results</w:t>
      </w:r>
      <w:r w:rsidRPr="00770477">
        <w:rPr>
          <w:rFonts w:cs="Times New Roman"/>
        </w:rPr>
        <w:t xml:space="preserve"> (acetamiprid, dinotefuran, and imidacloprid)</w:t>
      </w:r>
      <w:r w:rsidR="00876545" w:rsidRPr="00770477">
        <w:rPr>
          <w:rFonts w:cs="Times New Roman"/>
        </w:rPr>
        <w:t xml:space="preserve"> yielded t</w:t>
      </w:r>
      <w:r w:rsidR="1DDB12CA" w:rsidRPr="00770477">
        <w:rPr>
          <w:rFonts w:cs="Times New Roman"/>
        </w:rPr>
        <w:t>he same removal relationship between the three media and the control</w:t>
      </w:r>
      <w:r w:rsidR="4E5AF4C0" w:rsidRPr="00770477">
        <w:rPr>
          <w:rFonts w:cs="Times New Roman"/>
        </w:rPr>
        <w:t xml:space="preserve"> (</w:t>
      </w:r>
      <w:r w:rsidR="00CD2F79" w:rsidRPr="00770477">
        <w:rPr>
          <w:rFonts w:cs="Times New Roman"/>
        </w:rPr>
        <w:fldChar w:fldCharType="begin"/>
      </w:r>
      <w:r w:rsidR="00CD2F79" w:rsidRPr="00770477">
        <w:rPr>
          <w:rFonts w:cs="Times New Roman"/>
        </w:rPr>
        <w:instrText xml:space="preserve"> REF _Ref117866187 \h </w:instrText>
      </w:r>
      <w:r w:rsidR="00770477">
        <w:rPr>
          <w:rFonts w:cs="Times New Roman"/>
        </w:rPr>
        <w:instrText xml:space="preserve"> \* MERGEFORMAT </w:instrText>
      </w:r>
      <w:r w:rsidR="00CD2F79" w:rsidRPr="00770477">
        <w:rPr>
          <w:rFonts w:cs="Times New Roman"/>
        </w:rPr>
      </w:r>
      <w:r w:rsidR="00CD2F79"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18</w:t>
      </w:r>
      <w:r w:rsidR="00CD2F79" w:rsidRPr="00770477">
        <w:rPr>
          <w:rFonts w:cs="Times New Roman"/>
        </w:rPr>
        <w:fldChar w:fldCharType="end"/>
      </w:r>
      <w:r w:rsidR="4E5AF4C0" w:rsidRPr="00770477">
        <w:rPr>
          <w:rFonts w:cs="Times New Roman"/>
        </w:rPr>
        <w:t xml:space="preserve">, </w:t>
      </w:r>
      <w:r w:rsidR="00CD2F79" w:rsidRPr="00770477">
        <w:rPr>
          <w:rFonts w:cs="Times New Roman"/>
        </w:rPr>
        <w:fldChar w:fldCharType="begin"/>
      </w:r>
      <w:r w:rsidR="00CD2F79" w:rsidRPr="00770477">
        <w:rPr>
          <w:rFonts w:cs="Times New Roman"/>
        </w:rPr>
        <w:instrText xml:space="preserve"> REF _Ref117866210 \h </w:instrText>
      </w:r>
      <w:r w:rsidR="00770477">
        <w:rPr>
          <w:rFonts w:cs="Times New Roman"/>
        </w:rPr>
        <w:instrText xml:space="preserve"> \* MERGEFORMAT </w:instrText>
      </w:r>
      <w:r w:rsidR="00CD2F79" w:rsidRPr="00770477">
        <w:rPr>
          <w:rFonts w:cs="Times New Roman"/>
        </w:rPr>
      </w:r>
      <w:r w:rsidR="00CD2F79"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19</w:t>
      </w:r>
      <w:r w:rsidR="00CD2F79" w:rsidRPr="00770477">
        <w:rPr>
          <w:rFonts w:cs="Times New Roman"/>
        </w:rPr>
        <w:fldChar w:fldCharType="end"/>
      </w:r>
      <w:r w:rsidR="4E5AF4C0" w:rsidRPr="00770477">
        <w:rPr>
          <w:rFonts w:cs="Times New Roman"/>
        </w:rPr>
        <w:t xml:space="preserve">, and </w:t>
      </w:r>
      <w:r w:rsidR="00CD2F79" w:rsidRPr="00770477">
        <w:rPr>
          <w:rFonts w:cs="Times New Roman"/>
        </w:rPr>
        <w:fldChar w:fldCharType="begin"/>
      </w:r>
      <w:r w:rsidR="00CD2F79" w:rsidRPr="00770477">
        <w:rPr>
          <w:rFonts w:cs="Times New Roman"/>
        </w:rPr>
        <w:instrText xml:space="preserve"> REF _Ref117866213 \h </w:instrText>
      </w:r>
      <w:r w:rsidR="00770477">
        <w:rPr>
          <w:rFonts w:cs="Times New Roman"/>
        </w:rPr>
        <w:instrText xml:space="preserve"> \* MERGEFORMAT </w:instrText>
      </w:r>
      <w:r w:rsidR="00CD2F79" w:rsidRPr="00770477">
        <w:rPr>
          <w:rFonts w:cs="Times New Roman"/>
        </w:rPr>
      </w:r>
      <w:r w:rsidR="00CD2F79"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20</w:t>
      </w:r>
      <w:r w:rsidR="00CD2F79" w:rsidRPr="00770477">
        <w:rPr>
          <w:rFonts w:cs="Times New Roman"/>
        </w:rPr>
        <w:fldChar w:fldCharType="end"/>
      </w:r>
      <w:r w:rsidR="4E5AF4C0" w:rsidRPr="00770477">
        <w:rPr>
          <w:rFonts w:cs="Times New Roman"/>
        </w:rPr>
        <w:t>)</w:t>
      </w:r>
      <w:r w:rsidR="1DDB12CA" w:rsidRPr="00770477">
        <w:rPr>
          <w:rFonts w:cs="Times New Roman"/>
        </w:rPr>
        <w:t xml:space="preserve">. </w:t>
      </w:r>
      <w:r w:rsidR="4C531B73" w:rsidRPr="00770477">
        <w:rPr>
          <w:rFonts w:cs="Times New Roman"/>
        </w:rPr>
        <w:t>The control column showed little to no removal</w:t>
      </w:r>
      <w:r w:rsidR="008156A3" w:rsidRPr="00770477">
        <w:rPr>
          <w:rFonts w:cs="Times New Roman"/>
        </w:rPr>
        <w:t xml:space="preserve"> (IE ratio </w:t>
      </w:r>
      <w:r w:rsidR="0022777C" w:rsidRPr="00770477">
        <w:rPr>
          <w:rFonts w:cs="Times New Roman"/>
        </w:rPr>
        <w:t>0.85-1.00)</w:t>
      </w:r>
      <w:r w:rsidR="4C531B73" w:rsidRPr="00770477">
        <w:rPr>
          <w:rFonts w:cs="Times New Roman"/>
        </w:rPr>
        <w:t xml:space="preserve"> of neonicotinoids through the duration of the experiment</w:t>
      </w:r>
      <w:r w:rsidR="008156A3" w:rsidRPr="00770477">
        <w:rPr>
          <w:rFonts w:cs="Times New Roman"/>
        </w:rPr>
        <w:t>s</w:t>
      </w:r>
      <w:r w:rsidR="4C531B73" w:rsidRPr="00770477">
        <w:rPr>
          <w:rFonts w:cs="Times New Roman"/>
        </w:rPr>
        <w:t xml:space="preserve">. For each </w:t>
      </w:r>
      <w:r w:rsidR="3884F414" w:rsidRPr="00770477">
        <w:rPr>
          <w:rFonts w:cs="Times New Roman"/>
        </w:rPr>
        <w:t xml:space="preserve">neonicotinoid, no change in removal was shown from start to finish with </w:t>
      </w:r>
      <w:r w:rsidR="00120510" w:rsidRPr="00770477">
        <w:rPr>
          <w:rFonts w:cs="Times New Roman"/>
        </w:rPr>
        <w:t>approximately</w:t>
      </w:r>
      <w:r w:rsidR="299BA545" w:rsidRPr="00770477">
        <w:rPr>
          <w:rFonts w:cs="Times New Roman"/>
        </w:rPr>
        <w:t xml:space="preserve"> 15% of acetamiprid, 0% dinotefuran, and 5% imidacloprid removed by the control column. </w:t>
      </w:r>
      <w:r w:rsidR="5615AC48" w:rsidRPr="00770477">
        <w:rPr>
          <w:rFonts w:cs="Times New Roman"/>
        </w:rPr>
        <w:t xml:space="preserve">Across all three neonicotinoids, there was an initial departure from the control for </w:t>
      </w:r>
      <w:r w:rsidR="00E748F5">
        <w:rPr>
          <w:rFonts w:cs="Times New Roman"/>
        </w:rPr>
        <w:t>aggregated fly ash</w:t>
      </w:r>
      <w:r w:rsidR="5615AC48" w:rsidRPr="00770477">
        <w:rPr>
          <w:rFonts w:cs="Times New Roman"/>
        </w:rPr>
        <w:t xml:space="preserve"> and steel slag</w:t>
      </w:r>
      <w:r w:rsidR="13333E2D" w:rsidRPr="00770477">
        <w:rPr>
          <w:rFonts w:cs="Times New Roman"/>
        </w:rPr>
        <w:t xml:space="preserve"> followed by a convergence to the same removal as the control column. </w:t>
      </w:r>
      <w:r w:rsidR="00D044A9" w:rsidRPr="00770477">
        <w:rPr>
          <w:rFonts w:cs="Times New Roman"/>
        </w:rPr>
        <w:t>Although, the control, biochar, and steel slag</w:t>
      </w:r>
      <w:r w:rsidR="00A85D9E" w:rsidRPr="00770477">
        <w:rPr>
          <w:rFonts w:cs="Times New Roman"/>
        </w:rPr>
        <w:t xml:space="preserve"> models</w:t>
      </w:r>
      <w:r w:rsidR="00D044A9" w:rsidRPr="00770477">
        <w:rPr>
          <w:rFonts w:cs="Times New Roman"/>
        </w:rPr>
        <w:t xml:space="preserve"> </w:t>
      </w:r>
      <w:r w:rsidR="00A85D9E" w:rsidRPr="00770477">
        <w:rPr>
          <w:rFonts w:cs="Times New Roman"/>
        </w:rPr>
        <w:t>are all not statistically unique</w:t>
      </w:r>
      <w:r w:rsidR="001F5298" w:rsidRPr="00770477">
        <w:rPr>
          <w:rFonts w:cs="Times New Roman"/>
        </w:rPr>
        <w:t xml:space="preserve"> and model parameter pairwise comparisons were not successfully run due to </w:t>
      </w:r>
      <w:r w:rsidR="00163737" w:rsidRPr="00770477">
        <w:rPr>
          <w:rFonts w:cs="Times New Roman"/>
        </w:rPr>
        <w:t>a</w:t>
      </w:r>
      <w:r w:rsidR="00ED3567" w:rsidRPr="00770477">
        <w:rPr>
          <w:rFonts w:cs="Times New Roman"/>
        </w:rPr>
        <w:t xml:space="preserve"> mathematical error in the statistical calculations.</w:t>
      </w:r>
      <w:r w:rsidR="00A85D9E" w:rsidRPr="00770477">
        <w:rPr>
          <w:rFonts w:cs="Times New Roman"/>
        </w:rPr>
        <w:t xml:space="preserve"> </w:t>
      </w:r>
      <w:r w:rsidR="789E4A87" w:rsidRPr="00770477">
        <w:rPr>
          <w:rFonts w:cs="Times New Roman"/>
        </w:rPr>
        <w:t xml:space="preserve">Initial removal for acetamiprid was 50% and 40% for </w:t>
      </w:r>
      <w:r w:rsidR="00E748F5">
        <w:rPr>
          <w:rFonts w:cs="Times New Roman"/>
        </w:rPr>
        <w:t>aggregated fly ash</w:t>
      </w:r>
      <w:r w:rsidR="789E4A87" w:rsidRPr="00770477">
        <w:rPr>
          <w:rFonts w:cs="Times New Roman"/>
        </w:rPr>
        <w:t xml:space="preserve"> and steel slag</w:t>
      </w:r>
      <w:r w:rsidR="007D314D" w:rsidRPr="00770477">
        <w:rPr>
          <w:rFonts w:cs="Times New Roman"/>
        </w:rPr>
        <w:t xml:space="preserve"> respectively with</w:t>
      </w:r>
      <w:r w:rsidR="789E4A87" w:rsidRPr="00770477">
        <w:rPr>
          <w:rFonts w:cs="Times New Roman"/>
        </w:rPr>
        <w:t xml:space="preserve"> these </w:t>
      </w:r>
      <w:r w:rsidR="007D314D" w:rsidRPr="00770477">
        <w:rPr>
          <w:rFonts w:cs="Times New Roman"/>
        </w:rPr>
        <w:t>models</w:t>
      </w:r>
      <w:r w:rsidR="789E4A87" w:rsidRPr="00770477">
        <w:rPr>
          <w:rFonts w:cs="Times New Roman"/>
        </w:rPr>
        <w:t xml:space="preserve"> converged with the control </w:t>
      </w:r>
      <w:r w:rsidR="1F421407" w:rsidRPr="00770477">
        <w:rPr>
          <w:rFonts w:cs="Times New Roman"/>
        </w:rPr>
        <w:t xml:space="preserve">near 15 L passed. For dinotefuran very little of a departure was observed with both </w:t>
      </w:r>
      <w:r w:rsidR="00E748F5">
        <w:rPr>
          <w:rFonts w:cs="Times New Roman"/>
        </w:rPr>
        <w:t>aggregated fly ash</w:t>
      </w:r>
      <w:r w:rsidR="1F421407" w:rsidRPr="00770477">
        <w:rPr>
          <w:rFonts w:cs="Times New Roman"/>
        </w:rPr>
        <w:t xml:space="preserve"> and steel slag accounting for &lt;10% removal initially and converging to 0% removal </w:t>
      </w:r>
      <w:r w:rsidR="4BF75382" w:rsidRPr="00770477">
        <w:rPr>
          <w:rFonts w:cs="Times New Roman"/>
        </w:rPr>
        <w:t xml:space="preserve">around 13 L passed. Lastly, imidacloprid removal was initially approximately 20% for both </w:t>
      </w:r>
      <w:r w:rsidR="00D07F24">
        <w:rPr>
          <w:rFonts w:cs="Times New Roman"/>
        </w:rPr>
        <w:t>aggregated fly ash</w:t>
      </w:r>
      <w:r w:rsidR="4BF75382" w:rsidRPr="00770477">
        <w:rPr>
          <w:rFonts w:cs="Times New Roman"/>
        </w:rPr>
        <w:t xml:space="preserve"> and steel slag</w:t>
      </w:r>
      <w:r w:rsidR="14BCD916" w:rsidRPr="00770477">
        <w:rPr>
          <w:rFonts w:cs="Times New Roman"/>
        </w:rPr>
        <w:t xml:space="preserve"> with curves converging with the control column by the end of the experiment. </w:t>
      </w:r>
    </w:p>
    <w:p w14:paraId="61635105" w14:textId="5CFA38E8" w:rsidR="001457D0" w:rsidRPr="00770477" w:rsidRDefault="00AB1D58" w:rsidP="00C44370">
      <w:pPr>
        <w:ind w:firstLine="720"/>
        <w:rPr>
          <w:rFonts w:cs="Times New Roman"/>
        </w:rPr>
      </w:pPr>
      <w:r w:rsidRPr="00770477">
        <w:rPr>
          <w:rFonts w:cs="Times New Roman"/>
        </w:rPr>
        <w:t xml:space="preserve">Notably, however, </w:t>
      </w:r>
      <w:r w:rsidR="00030F49" w:rsidRPr="00770477">
        <w:rPr>
          <w:rFonts w:cs="Times New Roman"/>
        </w:rPr>
        <w:t xml:space="preserve">biochar </w:t>
      </w:r>
      <w:r w:rsidR="00E949DA" w:rsidRPr="00770477">
        <w:rPr>
          <w:rFonts w:cs="Times New Roman"/>
        </w:rPr>
        <w:t>yielded significant results</w:t>
      </w:r>
      <w:r w:rsidR="00030F49" w:rsidRPr="00770477">
        <w:rPr>
          <w:rFonts w:cs="Times New Roman"/>
        </w:rPr>
        <w:t xml:space="preserve"> across all three neonicotinoids</w:t>
      </w:r>
      <w:r w:rsidR="00E949DA" w:rsidRPr="00770477">
        <w:rPr>
          <w:rFonts w:cs="Times New Roman"/>
        </w:rPr>
        <w:t xml:space="preserve"> p</w:t>
      </w:r>
      <w:r w:rsidR="006A725B" w:rsidRPr="00770477">
        <w:rPr>
          <w:rFonts w:cs="Times New Roman"/>
        </w:rPr>
        <w:t xml:space="preserve"> &lt;&lt; 0.01 for acetamiprid and imidacloprid and p = 0.05 for dinotefuran)</w:t>
      </w:r>
      <w:r w:rsidR="00030F49" w:rsidRPr="00770477">
        <w:rPr>
          <w:rFonts w:cs="Times New Roman"/>
        </w:rPr>
        <w:t xml:space="preserve">. For acetamiprid and imidacloprid, </w:t>
      </w:r>
      <w:r w:rsidR="0026781F" w:rsidRPr="00770477">
        <w:rPr>
          <w:rFonts w:cs="Times New Roman"/>
        </w:rPr>
        <w:t xml:space="preserve">biochar maintained a removal between 90% and </w:t>
      </w:r>
      <w:r w:rsidR="00231910" w:rsidRPr="00770477">
        <w:rPr>
          <w:rFonts w:cs="Times New Roman"/>
        </w:rPr>
        <w:t>100</w:t>
      </w:r>
      <w:r w:rsidR="0026781F" w:rsidRPr="00770477">
        <w:rPr>
          <w:rFonts w:cs="Times New Roman"/>
        </w:rPr>
        <w:t>% for the entirety of the experiment</w:t>
      </w:r>
      <w:r w:rsidR="0092157A" w:rsidRPr="00770477">
        <w:rPr>
          <w:rFonts w:cs="Times New Roman"/>
        </w:rPr>
        <w:t xml:space="preserve"> with little to no fluctuation in results. </w:t>
      </w:r>
      <w:r w:rsidR="008A7444" w:rsidRPr="00770477">
        <w:rPr>
          <w:rFonts w:cs="Times New Roman"/>
        </w:rPr>
        <w:t xml:space="preserve">Because no </w:t>
      </w:r>
      <w:r w:rsidR="00136B64" w:rsidRPr="00770477">
        <w:rPr>
          <w:rFonts w:cs="Times New Roman"/>
        </w:rPr>
        <w:t xml:space="preserve">upward or downward trend </w:t>
      </w:r>
      <w:r w:rsidR="00A5425D" w:rsidRPr="00770477">
        <w:rPr>
          <w:rFonts w:cs="Times New Roman"/>
        </w:rPr>
        <w:t xml:space="preserve">was identified for these two media, </w:t>
      </w:r>
      <w:r w:rsidR="002A399A" w:rsidRPr="00770477">
        <w:rPr>
          <w:rFonts w:cs="Times New Roman"/>
        </w:rPr>
        <w:t xml:space="preserve">no upper IE ratio asymptote </w:t>
      </w:r>
      <w:r w:rsidR="00925283" w:rsidRPr="00770477">
        <w:rPr>
          <w:rFonts w:cs="Times New Roman"/>
        </w:rPr>
        <w:t>was able to be calculated</w:t>
      </w:r>
      <w:r w:rsidR="002A399A" w:rsidRPr="00770477">
        <w:rPr>
          <w:rFonts w:cs="Times New Roman"/>
        </w:rPr>
        <w:t xml:space="preserve">. For dinotefuran, biochar had removal rates </w:t>
      </w:r>
      <w:proofErr w:type="gramStart"/>
      <w:r w:rsidR="002A399A" w:rsidRPr="00770477">
        <w:rPr>
          <w:rFonts w:cs="Times New Roman"/>
        </w:rPr>
        <w:t>similar to</w:t>
      </w:r>
      <w:proofErr w:type="gramEnd"/>
      <w:r w:rsidR="002A399A" w:rsidRPr="00770477">
        <w:rPr>
          <w:rFonts w:cs="Times New Roman"/>
        </w:rPr>
        <w:t xml:space="preserve"> </w:t>
      </w:r>
      <w:r w:rsidR="00445CE7" w:rsidRPr="00770477">
        <w:rPr>
          <w:rFonts w:cs="Times New Roman"/>
        </w:rPr>
        <w:t xml:space="preserve">the other two neonicotinoids, however, around </w:t>
      </w:r>
      <w:r w:rsidR="002F4FDA" w:rsidRPr="00770477">
        <w:rPr>
          <w:rFonts w:cs="Times New Roman"/>
        </w:rPr>
        <w:t>7 L passed, there was a noticeable decrease in removal</w:t>
      </w:r>
      <w:r w:rsidR="00DB6CE8" w:rsidRPr="00770477">
        <w:rPr>
          <w:rFonts w:cs="Times New Roman"/>
        </w:rPr>
        <w:t xml:space="preserve">, albeit still removing between 70% and 80% </w:t>
      </w:r>
      <w:r w:rsidR="00DB6CE8" w:rsidRPr="00770477">
        <w:rPr>
          <w:rFonts w:cs="Times New Roman"/>
        </w:rPr>
        <w:lastRenderedPageBreak/>
        <w:t xml:space="preserve">of dinotefuran from solution. </w:t>
      </w:r>
      <w:r w:rsidR="00E80528" w:rsidRPr="00770477">
        <w:rPr>
          <w:rFonts w:cs="Times New Roman"/>
        </w:rPr>
        <w:t>The Gompertz curve fit the data with a near-linear fit</w:t>
      </w:r>
      <w:r w:rsidR="00603A4D" w:rsidRPr="00770477">
        <w:rPr>
          <w:rFonts w:cs="Times New Roman"/>
        </w:rPr>
        <w:t xml:space="preserve"> and calculated an </w:t>
      </w:r>
      <w:r w:rsidR="00ED2D40" w:rsidRPr="00770477">
        <w:rPr>
          <w:rFonts w:cs="Times New Roman"/>
        </w:rPr>
        <w:t>eventual upper IE ratio asymptote</w:t>
      </w:r>
      <w:r w:rsidR="007E39ED" w:rsidRPr="00770477">
        <w:rPr>
          <w:rFonts w:cs="Times New Roman"/>
        </w:rPr>
        <w:t xml:space="preserve"> </w:t>
      </w:r>
      <w:r w:rsidR="00B13245" w:rsidRPr="00770477">
        <w:rPr>
          <w:rFonts w:cs="Times New Roman"/>
        </w:rPr>
        <w:t>of</w:t>
      </w:r>
      <w:r w:rsidR="00ED2D40" w:rsidRPr="00770477">
        <w:rPr>
          <w:rFonts w:cs="Times New Roman"/>
        </w:rPr>
        <w:t xml:space="preserve"> 0.37 (63% removal). </w:t>
      </w:r>
      <w:r w:rsidR="00762E20" w:rsidRPr="00770477">
        <w:rPr>
          <w:rFonts w:cs="Times New Roman"/>
        </w:rPr>
        <w:t>If the upper IE ratio asymptote is fixed to 1.00</w:t>
      </w:r>
      <w:r w:rsidR="001D573C" w:rsidRPr="00770477">
        <w:rPr>
          <w:rFonts w:cs="Times New Roman"/>
        </w:rPr>
        <w:t xml:space="preserve">, then exhaustion would be estimated to be after 134 L passed. </w:t>
      </w:r>
    </w:p>
    <w:p w14:paraId="5EE95788" w14:textId="77777777" w:rsidR="00F30FDB" w:rsidRPr="00770477" w:rsidRDefault="00F30FDB" w:rsidP="00F30FDB">
      <w:pPr>
        <w:keepNext/>
        <w:spacing w:line="240" w:lineRule="auto"/>
        <w:rPr>
          <w:rFonts w:cs="Times New Roman"/>
        </w:rPr>
      </w:pPr>
      <w:r w:rsidRPr="00770477">
        <w:rPr>
          <w:rFonts w:cs="Times New Roman"/>
          <w:noProof/>
        </w:rPr>
        <w:drawing>
          <wp:inline distT="0" distB="0" distL="0" distR="0" wp14:anchorId="48CCC6B6" wp14:editId="0190B903">
            <wp:extent cx="5943600" cy="54864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inline>
        </w:drawing>
      </w:r>
    </w:p>
    <w:p w14:paraId="55A7152D" w14:textId="46005E9F" w:rsidR="00F30FDB" w:rsidRPr="00770477" w:rsidRDefault="00F30FDB" w:rsidP="00AE1144">
      <w:pPr>
        <w:pStyle w:val="Caption"/>
        <w:spacing w:line="240" w:lineRule="auto"/>
        <w:rPr>
          <w:rFonts w:cs="Times New Roman"/>
        </w:rPr>
      </w:pPr>
      <w:bookmarkStart w:id="133" w:name="_Ref117866187"/>
      <w:bookmarkStart w:id="134" w:name="_Toc121489513"/>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18</w:t>
      </w:r>
      <w:r w:rsidRPr="00770477">
        <w:rPr>
          <w:rFonts w:cs="Times New Roman"/>
          <w:noProof/>
        </w:rPr>
        <w:fldChar w:fldCharType="end"/>
      </w:r>
      <w:bookmarkEnd w:id="133"/>
      <w:r w:rsidRPr="00770477">
        <w:rPr>
          <w:rFonts w:cs="Times New Roman"/>
        </w:rPr>
        <w:t xml:space="preserve"> Acetamiprid removal in horizontal column experiments</w:t>
      </w:r>
      <w:r w:rsidR="00AF4A8D" w:rsidRPr="00AF4A8D">
        <w:rPr>
          <w:rFonts w:cs="Times New Roman"/>
        </w:rPr>
        <w:t xml:space="preserve"> </w:t>
      </w:r>
      <w:r w:rsidR="00AF4A8D">
        <w:rPr>
          <w:rFonts w:cs="Times New Roman"/>
        </w:rPr>
        <w:t>as demonstrated by the influent-effluent ratio as defined by effluent concentration (</w:t>
      </w:r>
      <w:proofErr w:type="spellStart"/>
      <w:r w:rsidR="00AF4A8D">
        <w:rPr>
          <w:rFonts w:cs="Times New Roman"/>
        </w:rPr>
        <w:t>C</w:t>
      </w:r>
      <w:r w:rsidR="00AF4A8D">
        <w:rPr>
          <w:rFonts w:cs="Times New Roman"/>
          <w:vertAlign w:val="subscript"/>
        </w:rPr>
        <w:t>eff</w:t>
      </w:r>
      <w:proofErr w:type="spellEnd"/>
      <w:r w:rsidR="00AF4A8D">
        <w:rPr>
          <w:rFonts w:cs="Times New Roman"/>
        </w:rPr>
        <w:t>) divided by influent concentration (</w:t>
      </w:r>
      <w:proofErr w:type="spellStart"/>
      <w:r w:rsidR="00AF4A8D">
        <w:rPr>
          <w:rFonts w:cs="Times New Roman"/>
        </w:rPr>
        <w:t>C</w:t>
      </w:r>
      <w:r w:rsidR="00AF4A8D">
        <w:rPr>
          <w:rFonts w:cs="Times New Roman"/>
          <w:vertAlign w:val="subscript"/>
        </w:rPr>
        <w:t>in</w:t>
      </w:r>
      <w:proofErr w:type="spellEnd"/>
      <w:r w:rsidR="00AF4A8D">
        <w:rPr>
          <w:rFonts w:cs="Times New Roman"/>
        </w:rPr>
        <w:t>) and plotted against volume passed.</w:t>
      </w:r>
      <w:bookmarkEnd w:id="134"/>
    </w:p>
    <w:p w14:paraId="15907A3A" w14:textId="77777777" w:rsidR="00F30FDB" w:rsidRPr="00770477" w:rsidRDefault="009C129A">
      <w:pPr>
        <w:spacing w:line="240" w:lineRule="auto"/>
        <w:rPr>
          <w:rFonts w:cs="Times New Roman"/>
        </w:rPr>
      </w:pPr>
      <w:r w:rsidRPr="00770477">
        <w:rPr>
          <w:rFonts w:cs="Times New Roman"/>
        </w:rPr>
        <w:br w:type="page"/>
      </w:r>
    </w:p>
    <w:p w14:paraId="71572272" w14:textId="77777777" w:rsidR="00C90D98" w:rsidRPr="00770477" w:rsidRDefault="00C90D98" w:rsidP="00C90D98">
      <w:pPr>
        <w:keepNext/>
        <w:spacing w:line="240" w:lineRule="auto"/>
        <w:rPr>
          <w:rFonts w:cs="Times New Roman"/>
        </w:rPr>
      </w:pPr>
      <w:r w:rsidRPr="00770477">
        <w:rPr>
          <w:rFonts w:cs="Times New Roman"/>
          <w:noProof/>
        </w:rPr>
        <w:lastRenderedPageBreak/>
        <w:drawing>
          <wp:inline distT="0" distB="0" distL="0" distR="0" wp14:anchorId="0F312807" wp14:editId="62B0300F">
            <wp:extent cx="5943600" cy="54864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inline>
        </w:drawing>
      </w:r>
    </w:p>
    <w:p w14:paraId="40FB3F98" w14:textId="47AC705E" w:rsidR="00F30FDB" w:rsidRPr="00770477" w:rsidRDefault="00C90D98" w:rsidP="00AE1144">
      <w:pPr>
        <w:pStyle w:val="Caption"/>
        <w:spacing w:line="240" w:lineRule="auto"/>
        <w:rPr>
          <w:rFonts w:cs="Times New Roman"/>
        </w:rPr>
      </w:pPr>
      <w:bookmarkStart w:id="135" w:name="_Ref117866210"/>
      <w:bookmarkStart w:id="136" w:name="_Toc121489514"/>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19</w:t>
      </w:r>
      <w:r w:rsidRPr="00770477">
        <w:rPr>
          <w:rFonts w:cs="Times New Roman"/>
          <w:noProof/>
        </w:rPr>
        <w:fldChar w:fldCharType="end"/>
      </w:r>
      <w:bookmarkEnd w:id="135"/>
      <w:r w:rsidRPr="00770477">
        <w:rPr>
          <w:rFonts w:cs="Times New Roman"/>
        </w:rPr>
        <w:t xml:space="preserve"> Dinotefuran removal in horizontal column experiments</w:t>
      </w:r>
      <w:r w:rsidR="00AF4A8D" w:rsidRPr="00AF4A8D">
        <w:rPr>
          <w:rFonts w:cs="Times New Roman"/>
        </w:rPr>
        <w:t xml:space="preserve"> </w:t>
      </w:r>
      <w:r w:rsidR="00AF4A8D">
        <w:rPr>
          <w:rFonts w:cs="Times New Roman"/>
        </w:rPr>
        <w:t>as demonstrated by the influent-effluent ratio as defined by effluent concentration (</w:t>
      </w:r>
      <w:proofErr w:type="spellStart"/>
      <w:r w:rsidR="00AF4A8D">
        <w:rPr>
          <w:rFonts w:cs="Times New Roman"/>
        </w:rPr>
        <w:t>C</w:t>
      </w:r>
      <w:r w:rsidR="00AF4A8D">
        <w:rPr>
          <w:rFonts w:cs="Times New Roman"/>
          <w:vertAlign w:val="subscript"/>
        </w:rPr>
        <w:t>eff</w:t>
      </w:r>
      <w:proofErr w:type="spellEnd"/>
      <w:r w:rsidR="00AF4A8D">
        <w:rPr>
          <w:rFonts w:cs="Times New Roman"/>
        </w:rPr>
        <w:t>) divided by influent concentration (</w:t>
      </w:r>
      <w:proofErr w:type="spellStart"/>
      <w:r w:rsidR="00AF4A8D">
        <w:rPr>
          <w:rFonts w:cs="Times New Roman"/>
        </w:rPr>
        <w:t>C</w:t>
      </w:r>
      <w:r w:rsidR="00AF4A8D">
        <w:rPr>
          <w:rFonts w:cs="Times New Roman"/>
          <w:vertAlign w:val="subscript"/>
        </w:rPr>
        <w:t>in</w:t>
      </w:r>
      <w:proofErr w:type="spellEnd"/>
      <w:r w:rsidR="00AF4A8D">
        <w:rPr>
          <w:rFonts w:cs="Times New Roman"/>
        </w:rPr>
        <w:t>) and plotted against volume passed.</w:t>
      </w:r>
      <w:bookmarkEnd w:id="136"/>
    </w:p>
    <w:p w14:paraId="14DC5C67" w14:textId="77777777" w:rsidR="00C90D98" w:rsidRPr="00770477" w:rsidRDefault="00F30FDB">
      <w:pPr>
        <w:spacing w:line="240" w:lineRule="auto"/>
        <w:rPr>
          <w:rFonts w:cs="Times New Roman"/>
        </w:rPr>
      </w:pPr>
      <w:r w:rsidRPr="00770477">
        <w:rPr>
          <w:rFonts w:cs="Times New Roman"/>
        </w:rPr>
        <w:br w:type="page"/>
      </w:r>
    </w:p>
    <w:p w14:paraId="526E8545" w14:textId="77777777" w:rsidR="00C90D98" w:rsidRPr="00770477" w:rsidRDefault="00C90D98" w:rsidP="00C90D98">
      <w:pPr>
        <w:keepNext/>
        <w:spacing w:line="240" w:lineRule="auto"/>
        <w:rPr>
          <w:rFonts w:cs="Times New Roman"/>
        </w:rPr>
      </w:pPr>
      <w:r w:rsidRPr="00770477">
        <w:rPr>
          <w:rFonts w:cs="Times New Roman"/>
          <w:noProof/>
        </w:rPr>
        <w:lastRenderedPageBreak/>
        <w:drawing>
          <wp:inline distT="0" distB="0" distL="0" distR="0" wp14:anchorId="58070D4A" wp14:editId="22F730A3">
            <wp:extent cx="5943600" cy="54864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inline>
        </w:drawing>
      </w:r>
    </w:p>
    <w:p w14:paraId="58F31B60" w14:textId="0B1FD3E0" w:rsidR="00C90D98" w:rsidRPr="00770477" w:rsidRDefault="00C90D98" w:rsidP="00AE1144">
      <w:pPr>
        <w:pStyle w:val="Caption"/>
        <w:spacing w:line="240" w:lineRule="auto"/>
        <w:rPr>
          <w:rFonts w:cs="Times New Roman"/>
        </w:rPr>
      </w:pPr>
      <w:bookmarkStart w:id="137" w:name="_Ref117866213"/>
      <w:bookmarkStart w:id="138" w:name="_Toc121489515"/>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20</w:t>
      </w:r>
      <w:r w:rsidRPr="00770477">
        <w:rPr>
          <w:rFonts w:cs="Times New Roman"/>
          <w:noProof/>
        </w:rPr>
        <w:fldChar w:fldCharType="end"/>
      </w:r>
      <w:bookmarkEnd w:id="137"/>
      <w:r w:rsidRPr="00770477">
        <w:rPr>
          <w:rFonts w:cs="Times New Roman"/>
        </w:rPr>
        <w:t xml:space="preserve"> Imidacloprid removal in horizontal column experiments</w:t>
      </w:r>
      <w:r w:rsidR="00AF4A8D" w:rsidRPr="00AF4A8D">
        <w:rPr>
          <w:rFonts w:cs="Times New Roman"/>
        </w:rPr>
        <w:t xml:space="preserve"> </w:t>
      </w:r>
      <w:r w:rsidR="00AF4A8D">
        <w:rPr>
          <w:rFonts w:cs="Times New Roman"/>
        </w:rPr>
        <w:t>as demonstrated by the influent-effluent ratio as defined by effluent concentration (</w:t>
      </w:r>
      <w:proofErr w:type="spellStart"/>
      <w:r w:rsidR="00AF4A8D">
        <w:rPr>
          <w:rFonts w:cs="Times New Roman"/>
        </w:rPr>
        <w:t>C</w:t>
      </w:r>
      <w:r w:rsidR="00AF4A8D">
        <w:rPr>
          <w:rFonts w:cs="Times New Roman"/>
          <w:vertAlign w:val="subscript"/>
        </w:rPr>
        <w:t>eff</w:t>
      </w:r>
      <w:proofErr w:type="spellEnd"/>
      <w:r w:rsidR="00AF4A8D">
        <w:rPr>
          <w:rFonts w:cs="Times New Roman"/>
        </w:rPr>
        <w:t>) divided by influent concentration (</w:t>
      </w:r>
      <w:proofErr w:type="spellStart"/>
      <w:r w:rsidR="00AF4A8D">
        <w:rPr>
          <w:rFonts w:cs="Times New Roman"/>
        </w:rPr>
        <w:t>C</w:t>
      </w:r>
      <w:r w:rsidR="00AF4A8D">
        <w:rPr>
          <w:rFonts w:cs="Times New Roman"/>
          <w:vertAlign w:val="subscript"/>
        </w:rPr>
        <w:t>in</w:t>
      </w:r>
      <w:proofErr w:type="spellEnd"/>
      <w:r w:rsidR="00AF4A8D">
        <w:rPr>
          <w:rFonts w:cs="Times New Roman"/>
        </w:rPr>
        <w:t>) and plotted against volume passed.</w:t>
      </w:r>
      <w:bookmarkEnd w:id="138"/>
    </w:p>
    <w:p w14:paraId="0E0D56FF" w14:textId="3627C159" w:rsidR="00C44370" w:rsidRPr="00770477" w:rsidRDefault="00C90D98" w:rsidP="009C129A">
      <w:pPr>
        <w:spacing w:line="240" w:lineRule="auto"/>
        <w:rPr>
          <w:rFonts w:cs="Times New Roman"/>
        </w:rPr>
      </w:pPr>
      <w:r w:rsidRPr="00770477">
        <w:rPr>
          <w:rFonts w:cs="Times New Roman"/>
        </w:rPr>
        <w:br w:type="page"/>
      </w:r>
    </w:p>
    <w:p w14:paraId="219FF7CE" w14:textId="6DEA3F44" w:rsidR="00E873DC" w:rsidRPr="00770477" w:rsidRDefault="00E873DC" w:rsidP="00E873DC">
      <w:pPr>
        <w:pStyle w:val="Heading3"/>
        <w:rPr>
          <w:rFonts w:cs="Times New Roman"/>
        </w:rPr>
      </w:pPr>
      <w:bookmarkStart w:id="139" w:name="_Toc121496021"/>
      <w:r w:rsidRPr="00770477">
        <w:rPr>
          <w:rFonts w:cs="Times New Roman"/>
        </w:rPr>
        <w:lastRenderedPageBreak/>
        <w:t>Phosphorus</w:t>
      </w:r>
      <w:r w:rsidR="00806AA2" w:rsidRPr="00770477">
        <w:rPr>
          <w:rFonts w:cs="Times New Roman"/>
        </w:rPr>
        <w:t xml:space="preserve"> (P)</w:t>
      </w:r>
      <w:bookmarkEnd w:id="139"/>
    </w:p>
    <w:p w14:paraId="1684B517" w14:textId="7F3EAA7F" w:rsidR="009C129A" w:rsidRPr="00770477" w:rsidRDefault="2C0B3E57" w:rsidP="00C44370">
      <w:pPr>
        <w:ind w:firstLine="720"/>
        <w:rPr>
          <w:rFonts w:cs="Times New Roman"/>
        </w:rPr>
      </w:pPr>
      <w:r w:rsidRPr="00770477">
        <w:rPr>
          <w:rFonts w:cs="Times New Roman"/>
        </w:rPr>
        <w:t>Phosphorus removal in the horizontal column experiment</w:t>
      </w:r>
      <w:r w:rsidR="558B7DF8" w:rsidRPr="00770477">
        <w:rPr>
          <w:rFonts w:cs="Times New Roman"/>
        </w:rPr>
        <w:t xml:space="preserve"> </w:t>
      </w:r>
      <w:r w:rsidR="31E09ABB" w:rsidRPr="00770477">
        <w:rPr>
          <w:rFonts w:cs="Times New Roman"/>
        </w:rPr>
        <w:t>showed varied results</w:t>
      </w:r>
      <w:r w:rsidR="4E5AF4C0" w:rsidRPr="00770477">
        <w:rPr>
          <w:rFonts w:cs="Times New Roman"/>
        </w:rPr>
        <w:t xml:space="preserve"> (</w:t>
      </w:r>
      <w:r w:rsidR="00CD2F79" w:rsidRPr="00770477">
        <w:rPr>
          <w:rFonts w:cs="Times New Roman"/>
        </w:rPr>
        <w:fldChar w:fldCharType="begin"/>
      </w:r>
      <w:r w:rsidR="00CD2F79" w:rsidRPr="00770477">
        <w:rPr>
          <w:rFonts w:cs="Times New Roman"/>
        </w:rPr>
        <w:instrText xml:space="preserve"> REF _Ref117866242 \h </w:instrText>
      </w:r>
      <w:r w:rsidR="00770477">
        <w:rPr>
          <w:rFonts w:cs="Times New Roman"/>
        </w:rPr>
        <w:instrText xml:space="preserve"> \* MERGEFORMAT </w:instrText>
      </w:r>
      <w:r w:rsidR="00CD2F79" w:rsidRPr="00770477">
        <w:rPr>
          <w:rFonts w:cs="Times New Roman"/>
        </w:rPr>
      </w:r>
      <w:r w:rsidR="00CD2F79"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21</w:t>
      </w:r>
      <w:r w:rsidR="00CD2F79" w:rsidRPr="00770477">
        <w:rPr>
          <w:rFonts w:cs="Times New Roman"/>
        </w:rPr>
        <w:fldChar w:fldCharType="end"/>
      </w:r>
      <w:r w:rsidR="4E5AF4C0" w:rsidRPr="00770477">
        <w:rPr>
          <w:rFonts w:cs="Times New Roman"/>
        </w:rPr>
        <w:t>)</w:t>
      </w:r>
      <w:r w:rsidR="31E09ABB" w:rsidRPr="00770477">
        <w:rPr>
          <w:rFonts w:cs="Times New Roman"/>
        </w:rPr>
        <w:t xml:space="preserve">. First, the control column initially had P removal just below 100%, however </w:t>
      </w:r>
      <w:r w:rsidR="6B9E1222" w:rsidRPr="00770477">
        <w:rPr>
          <w:rFonts w:cs="Times New Roman"/>
        </w:rPr>
        <w:t xml:space="preserve">removal efficiency decayed </w:t>
      </w:r>
      <w:r w:rsidR="00155951" w:rsidRPr="00770477">
        <w:rPr>
          <w:rFonts w:cs="Times New Roman"/>
        </w:rPr>
        <w:t>immediately a</w:t>
      </w:r>
      <w:r w:rsidR="6B9E1222" w:rsidRPr="00770477">
        <w:rPr>
          <w:rFonts w:cs="Times New Roman"/>
        </w:rPr>
        <w:t xml:space="preserve">nd </w:t>
      </w:r>
      <w:r w:rsidR="22FF3CFB" w:rsidRPr="00770477">
        <w:rPr>
          <w:rFonts w:cs="Times New Roman"/>
        </w:rPr>
        <w:t xml:space="preserve">an upper IE ratio asymptote </w:t>
      </w:r>
      <w:r w:rsidR="008A6C91" w:rsidRPr="00770477">
        <w:rPr>
          <w:rFonts w:cs="Times New Roman"/>
        </w:rPr>
        <w:t>just below</w:t>
      </w:r>
      <w:r w:rsidR="22FF3CFB" w:rsidRPr="00770477">
        <w:rPr>
          <w:rFonts w:cs="Times New Roman"/>
        </w:rPr>
        <w:t xml:space="preserve"> 0.95 was reached by the end of the experiment. </w:t>
      </w:r>
      <w:r w:rsidR="14411594" w:rsidRPr="00770477">
        <w:rPr>
          <w:rFonts w:cs="Times New Roman"/>
        </w:rPr>
        <w:t xml:space="preserve">When the control column’s upper IE ratio asymptote is fixed to 1.00, the exhaustion is estimated to be at 16 L. </w:t>
      </w:r>
      <w:r w:rsidR="00D07F24">
        <w:rPr>
          <w:rFonts w:cs="Times New Roman"/>
        </w:rPr>
        <w:t>Aggregated f</w:t>
      </w:r>
      <w:r w:rsidR="22FF3CFB" w:rsidRPr="00770477">
        <w:rPr>
          <w:rFonts w:cs="Times New Roman"/>
        </w:rPr>
        <w:t>ly ash</w:t>
      </w:r>
      <w:r w:rsidR="00B3281C" w:rsidRPr="00770477">
        <w:rPr>
          <w:rFonts w:cs="Times New Roman"/>
        </w:rPr>
        <w:t xml:space="preserve"> yielded a unique result (p = 0.1)</w:t>
      </w:r>
      <w:r w:rsidR="0057097F" w:rsidRPr="00770477">
        <w:rPr>
          <w:rFonts w:cs="Times New Roman"/>
        </w:rPr>
        <w:t xml:space="preserve"> with</w:t>
      </w:r>
      <w:r w:rsidR="22FF3CFB" w:rsidRPr="00770477">
        <w:rPr>
          <w:rFonts w:cs="Times New Roman"/>
        </w:rPr>
        <w:t xml:space="preserve"> a</w:t>
      </w:r>
      <w:r w:rsidR="00081610" w:rsidRPr="00770477">
        <w:rPr>
          <w:rFonts w:cs="Times New Roman"/>
        </w:rPr>
        <w:t xml:space="preserve">n </w:t>
      </w:r>
      <w:r w:rsidR="22FF3CFB" w:rsidRPr="00770477">
        <w:rPr>
          <w:rFonts w:cs="Times New Roman"/>
        </w:rPr>
        <w:t>initial removal of P from solution</w:t>
      </w:r>
      <w:r w:rsidR="1E2D0959" w:rsidRPr="00770477">
        <w:rPr>
          <w:rFonts w:cs="Times New Roman"/>
        </w:rPr>
        <w:t xml:space="preserve"> </w:t>
      </w:r>
      <w:r w:rsidR="00147451" w:rsidRPr="00770477">
        <w:rPr>
          <w:rFonts w:cs="Times New Roman"/>
        </w:rPr>
        <w:t>of 90%</w:t>
      </w:r>
      <w:r w:rsidR="0057097F" w:rsidRPr="00770477">
        <w:rPr>
          <w:rFonts w:cs="Times New Roman"/>
        </w:rPr>
        <w:t>. H</w:t>
      </w:r>
      <w:r w:rsidR="47FC5656" w:rsidRPr="00770477">
        <w:rPr>
          <w:rFonts w:cs="Times New Roman"/>
        </w:rPr>
        <w:t>owever</w:t>
      </w:r>
      <w:r w:rsidR="0057097F" w:rsidRPr="00770477">
        <w:rPr>
          <w:rFonts w:cs="Times New Roman"/>
        </w:rPr>
        <w:t>,</w:t>
      </w:r>
      <w:r w:rsidR="47FC5656" w:rsidRPr="00770477">
        <w:rPr>
          <w:rFonts w:cs="Times New Roman"/>
        </w:rPr>
        <w:t xml:space="preserve"> as removal rates declined </w:t>
      </w:r>
      <w:r w:rsidR="4888236C" w:rsidRPr="00770477">
        <w:rPr>
          <w:rFonts w:cs="Times New Roman"/>
        </w:rPr>
        <w:t xml:space="preserve">with solution passing, it declined in a near-linear </w:t>
      </w:r>
      <w:r w:rsidR="01614ECF" w:rsidRPr="00770477">
        <w:rPr>
          <w:rFonts w:cs="Times New Roman"/>
        </w:rPr>
        <w:t>trend with an upper IE ratio asymptote calculated to be 1.10</w:t>
      </w:r>
      <w:r w:rsidR="176C9E7C" w:rsidRPr="00770477">
        <w:rPr>
          <w:rFonts w:cs="Times New Roman"/>
        </w:rPr>
        <w:t xml:space="preserve"> and exhaustion being reached at 37 L passed. Steel slag </w:t>
      </w:r>
      <w:r w:rsidR="0057097F" w:rsidRPr="00770477">
        <w:rPr>
          <w:rFonts w:cs="Times New Roman"/>
        </w:rPr>
        <w:t xml:space="preserve">was </w:t>
      </w:r>
      <w:r w:rsidR="176C9E7C" w:rsidRPr="00770477">
        <w:rPr>
          <w:rFonts w:cs="Times New Roman"/>
        </w:rPr>
        <w:t>also</w:t>
      </w:r>
      <w:r w:rsidR="0057097F" w:rsidRPr="00770477">
        <w:rPr>
          <w:rFonts w:cs="Times New Roman"/>
        </w:rPr>
        <w:t xml:space="preserve"> unique (p = 0.001)</w:t>
      </w:r>
      <w:r w:rsidR="0096313E" w:rsidRPr="00770477">
        <w:rPr>
          <w:rFonts w:cs="Times New Roman"/>
        </w:rPr>
        <w:t xml:space="preserve"> with</w:t>
      </w:r>
      <w:r w:rsidR="176C9E7C" w:rsidRPr="00770477">
        <w:rPr>
          <w:rFonts w:cs="Times New Roman"/>
        </w:rPr>
        <w:t xml:space="preserve"> a</w:t>
      </w:r>
      <w:r w:rsidR="00147451" w:rsidRPr="00770477">
        <w:rPr>
          <w:rFonts w:cs="Times New Roman"/>
        </w:rPr>
        <w:t xml:space="preserve">n </w:t>
      </w:r>
      <w:r w:rsidR="042A236F" w:rsidRPr="00770477">
        <w:rPr>
          <w:rFonts w:cs="Times New Roman"/>
        </w:rPr>
        <w:t xml:space="preserve">initial </w:t>
      </w:r>
      <w:proofErr w:type="gramStart"/>
      <w:r w:rsidR="042A236F" w:rsidRPr="00770477">
        <w:rPr>
          <w:rFonts w:cs="Times New Roman"/>
        </w:rPr>
        <w:t xml:space="preserve">removal </w:t>
      </w:r>
      <w:r w:rsidR="00147451" w:rsidRPr="00770477">
        <w:rPr>
          <w:rFonts w:cs="Times New Roman"/>
        </w:rPr>
        <w:t xml:space="preserve"> of</w:t>
      </w:r>
      <w:proofErr w:type="gramEnd"/>
      <w:r w:rsidR="00147451" w:rsidRPr="00770477">
        <w:rPr>
          <w:rFonts w:cs="Times New Roman"/>
        </w:rPr>
        <w:t xml:space="preserve"> </w:t>
      </w:r>
      <w:r w:rsidR="042A236F" w:rsidRPr="00770477">
        <w:rPr>
          <w:rFonts w:cs="Times New Roman"/>
        </w:rPr>
        <w:t xml:space="preserve">approximately 85%, however, </w:t>
      </w:r>
      <w:r w:rsidR="13421B78" w:rsidRPr="00770477">
        <w:rPr>
          <w:rFonts w:cs="Times New Roman"/>
        </w:rPr>
        <w:t>removal efficiency appeared to slightly improve over time</w:t>
      </w:r>
      <w:r w:rsidR="5617A33E" w:rsidRPr="00770477">
        <w:rPr>
          <w:rFonts w:cs="Times New Roman"/>
        </w:rPr>
        <w:t xml:space="preserve"> with a final removal rate at approximately 90% to 95%. Because the curve for steel slag </w:t>
      </w:r>
      <w:r w:rsidR="0C50B82B" w:rsidRPr="00770477">
        <w:rPr>
          <w:rFonts w:cs="Times New Roman"/>
        </w:rPr>
        <w:t xml:space="preserve">ended with a negative slope, no upper IE ratio asymptote fixing for media exhaustion determination was calculated. </w:t>
      </w:r>
      <w:r w:rsidR="551F2C71" w:rsidRPr="00770477">
        <w:rPr>
          <w:rFonts w:cs="Times New Roman"/>
        </w:rPr>
        <w:t xml:space="preserve">Lastly, biochar </w:t>
      </w:r>
      <w:r w:rsidR="18A84A2E" w:rsidRPr="00770477">
        <w:rPr>
          <w:rFonts w:cs="Times New Roman"/>
        </w:rPr>
        <w:t>initially had a removal of about 40% (</w:t>
      </w:r>
      <w:r w:rsidR="1930F30C" w:rsidRPr="00770477">
        <w:rPr>
          <w:rFonts w:cs="Times New Roman"/>
        </w:rPr>
        <w:t>lower removal</w:t>
      </w:r>
      <w:r w:rsidR="18A84A2E" w:rsidRPr="00770477">
        <w:rPr>
          <w:rFonts w:cs="Times New Roman"/>
        </w:rPr>
        <w:t xml:space="preserve"> than the control)</w:t>
      </w:r>
      <w:r w:rsidR="1930F30C" w:rsidRPr="00770477">
        <w:rPr>
          <w:rFonts w:cs="Times New Roman"/>
        </w:rPr>
        <w:t xml:space="preserve">, but in subsequent sampling points the data </w:t>
      </w:r>
      <w:r w:rsidR="43BE723A" w:rsidRPr="00770477">
        <w:rPr>
          <w:rFonts w:cs="Times New Roman"/>
        </w:rPr>
        <w:t>indicated</w:t>
      </w:r>
      <w:r w:rsidR="1930F30C" w:rsidRPr="00770477">
        <w:rPr>
          <w:rFonts w:cs="Times New Roman"/>
        </w:rPr>
        <w:t xml:space="preserve"> between </w:t>
      </w:r>
      <w:r w:rsidR="43D57E69" w:rsidRPr="00770477">
        <w:rPr>
          <w:rFonts w:cs="Times New Roman"/>
        </w:rPr>
        <w:t xml:space="preserve">70% and 75% removal. </w:t>
      </w:r>
      <w:r w:rsidR="56146590" w:rsidRPr="00770477">
        <w:rPr>
          <w:rFonts w:cs="Times New Roman"/>
        </w:rPr>
        <w:t xml:space="preserve">P removal </w:t>
      </w:r>
      <w:r w:rsidR="2145E4B6" w:rsidRPr="00770477">
        <w:rPr>
          <w:rFonts w:cs="Times New Roman"/>
        </w:rPr>
        <w:t xml:space="preserve">followed a similar pattern to </w:t>
      </w:r>
      <w:r w:rsidR="00D07F24">
        <w:rPr>
          <w:rFonts w:cs="Times New Roman"/>
        </w:rPr>
        <w:t>aggregated fly ash</w:t>
      </w:r>
      <w:r w:rsidR="2145E4B6" w:rsidRPr="00770477">
        <w:rPr>
          <w:rFonts w:cs="Times New Roman"/>
        </w:rPr>
        <w:t xml:space="preserve"> with a near-linear relationship fitted to the data. Biochar ended </w:t>
      </w:r>
      <w:r w:rsidR="70444AD2" w:rsidRPr="00770477">
        <w:rPr>
          <w:rFonts w:cs="Times New Roman"/>
        </w:rPr>
        <w:t xml:space="preserve">the experiment with a removal of approximately 10%, </w:t>
      </w:r>
      <w:proofErr w:type="gramStart"/>
      <w:r w:rsidR="70444AD2" w:rsidRPr="00770477">
        <w:rPr>
          <w:rFonts w:cs="Times New Roman"/>
        </w:rPr>
        <w:t>similar to</w:t>
      </w:r>
      <w:proofErr w:type="gramEnd"/>
      <w:r w:rsidR="70444AD2" w:rsidRPr="00770477">
        <w:rPr>
          <w:rFonts w:cs="Times New Roman"/>
        </w:rPr>
        <w:t xml:space="preserve"> that of the control and </w:t>
      </w:r>
      <w:r w:rsidR="00D07F24">
        <w:rPr>
          <w:rFonts w:cs="Times New Roman"/>
        </w:rPr>
        <w:t>aggregated fly ash</w:t>
      </w:r>
      <w:r w:rsidR="70444AD2" w:rsidRPr="00770477">
        <w:rPr>
          <w:rFonts w:cs="Times New Roman"/>
        </w:rPr>
        <w:t xml:space="preserve">. </w:t>
      </w:r>
      <w:r w:rsidR="2697C773" w:rsidRPr="00770477">
        <w:rPr>
          <w:rFonts w:cs="Times New Roman"/>
        </w:rPr>
        <w:t xml:space="preserve">Exhaustion for the </w:t>
      </w:r>
      <w:r w:rsidR="2FE995F8" w:rsidRPr="00770477">
        <w:rPr>
          <w:rFonts w:cs="Times New Roman"/>
        </w:rPr>
        <w:t xml:space="preserve">biochar was calculated to be at 32 L passed. </w:t>
      </w:r>
    </w:p>
    <w:p w14:paraId="5A86856F" w14:textId="2D963F42" w:rsidR="00C44370" w:rsidRPr="00770477" w:rsidRDefault="009C129A" w:rsidP="009C129A">
      <w:pPr>
        <w:spacing w:line="240" w:lineRule="auto"/>
        <w:rPr>
          <w:rFonts w:cs="Times New Roman"/>
        </w:rPr>
      </w:pPr>
      <w:r w:rsidRPr="00770477">
        <w:rPr>
          <w:rFonts w:cs="Times New Roman"/>
        </w:rPr>
        <w:br w:type="page"/>
      </w:r>
    </w:p>
    <w:p w14:paraId="3C747320" w14:textId="77777777" w:rsidR="00163A21" w:rsidRPr="00770477" w:rsidRDefault="00163A21" w:rsidP="00163A21">
      <w:pPr>
        <w:keepNext/>
        <w:spacing w:line="240" w:lineRule="auto"/>
        <w:rPr>
          <w:rFonts w:cs="Times New Roman"/>
        </w:rPr>
      </w:pPr>
      <w:r w:rsidRPr="00770477">
        <w:rPr>
          <w:rFonts w:cs="Times New Roman"/>
          <w:noProof/>
        </w:rPr>
        <w:lastRenderedPageBreak/>
        <w:drawing>
          <wp:inline distT="0" distB="0" distL="0" distR="0" wp14:anchorId="232BD106" wp14:editId="12392BE0">
            <wp:extent cx="5943600" cy="54864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inline>
        </w:drawing>
      </w:r>
    </w:p>
    <w:p w14:paraId="356A3726" w14:textId="06A2D49A" w:rsidR="00C90D98" w:rsidRPr="00770477" w:rsidRDefault="00163A21" w:rsidP="00AE1144">
      <w:pPr>
        <w:pStyle w:val="Caption"/>
        <w:spacing w:line="240" w:lineRule="auto"/>
        <w:rPr>
          <w:rFonts w:cs="Times New Roman"/>
        </w:rPr>
      </w:pPr>
      <w:bookmarkStart w:id="140" w:name="_Ref117866242"/>
      <w:bookmarkStart w:id="141" w:name="_Toc121489516"/>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21</w:t>
      </w:r>
      <w:r w:rsidRPr="00770477">
        <w:rPr>
          <w:rFonts w:cs="Times New Roman"/>
          <w:noProof/>
        </w:rPr>
        <w:fldChar w:fldCharType="end"/>
      </w:r>
      <w:bookmarkEnd w:id="140"/>
      <w:r w:rsidRPr="00770477">
        <w:rPr>
          <w:rFonts w:cs="Times New Roman"/>
        </w:rPr>
        <w:t xml:space="preserve"> Phosphorus removal in horizontal column experiments</w:t>
      </w:r>
      <w:r w:rsidR="00AF4A8D" w:rsidRPr="00AF4A8D">
        <w:rPr>
          <w:rFonts w:cs="Times New Roman"/>
        </w:rPr>
        <w:t xml:space="preserve"> </w:t>
      </w:r>
      <w:r w:rsidR="00AF4A8D">
        <w:rPr>
          <w:rFonts w:cs="Times New Roman"/>
        </w:rPr>
        <w:t>as demonstrated by the influent-effluent ratio as defined by effluent concentration (</w:t>
      </w:r>
      <w:proofErr w:type="spellStart"/>
      <w:r w:rsidR="00AF4A8D">
        <w:rPr>
          <w:rFonts w:cs="Times New Roman"/>
        </w:rPr>
        <w:t>C</w:t>
      </w:r>
      <w:r w:rsidR="00AF4A8D">
        <w:rPr>
          <w:rFonts w:cs="Times New Roman"/>
          <w:vertAlign w:val="subscript"/>
        </w:rPr>
        <w:t>eff</w:t>
      </w:r>
      <w:proofErr w:type="spellEnd"/>
      <w:r w:rsidR="00AF4A8D">
        <w:rPr>
          <w:rFonts w:cs="Times New Roman"/>
        </w:rPr>
        <w:t>) divided by influent concentration (</w:t>
      </w:r>
      <w:proofErr w:type="spellStart"/>
      <w:r w:rsidR="00AF4A8D">
        <w:rPr>
          <w:rFonts w:cs="Times New Roman"/>
        </w:rPr>
        <w:t>C</w:t>
      </w:r>
      <w:r w:rsidR="00AF4A8D">
        <w:rPr>
          <w:rFonts w:cs="Times New Roman"/>
          <w:vertAlign w:val="subscript"/>
        </w:rPr>
        <w:t>in</w:t>
      </w:r>
      <w:proofErr w:type="spellEnd"/>
      <w:r w:rsidR="00AF4A8D">
        <w:rPr>
          <w:rFonts w:cs="Times New Roman"/>
        </w:rPr>
        <w:t>) and plotted against volume passed.</w:t>
      </w:r>
      <w:bookmarkEnd w:id="141"/>
    </w:p>
    <w:p w14:paraId="7D9E3333" w14:textId="77777777" w:rsidR="009C7AC2" w:rsidRPr="00770477" w:rsidRDefault="00C44370">
      <w:pPr>
        <w:spacing w:line="240" w:lineRule="auto"/>
        <w:rPr>
          <w:rFonts w:cs="Times New Roman"/>
        </w:rPr>
      </w:pPr>
      <w:r w:rsidRPr="00770477">
        <w:rPr>
          <w:rFonts w:cs="Times New Roman"/>
        </w:rPr>
        <w:br w:type="page"/>
      </w:r>
    </w:p>
    <w:p w14:paraId="6AD81A37" w14:textId="43173824" w:rsidR="009C7AC2" w:rsidRPr="00770477" w:rsidRDefault="005876BA" w:rsidP="009C7AC2">
      <w:pPr>
        <w:pStyle w:val="Heading3"/>
        <w:rPr>
          <w:rFonts w:cs="Times New Roman"/>
        </w:rPr>
      </w:pPr>
      <w:bookmarkStart w:id="142" w:name="_Toc121496022"/>
      <w:r w:rsidRPr="00770477">
        <w:rPr>
          <w:rFonts w:cs="Times New Roman"/>
        </w:rPr>
        <w:lastRenderedPageBreak/>
        <w:t>Mass Removal Rate</w:t>
      </w:r>
      <w:bookmarkEnd w:id="142"/>
    </w:p>
    <w:p w14:paraId="3FEAE34B" w14:textId="2291E2A0" w:rsidR="005876BA" w:rsidRPr="00770477" w:rsidRDefault="0066749C" w:rsidP="00553E29">
      <w:pPr>
        <w:ind w:firstLine="432"/>
        <w:rPr>
          <w:rFonts w:cs="Times New Roman"/>
        </w:rPr>
      </w:pPr>
      <w:r w:rsidRPr="00770477">
        <w:rPr>
          <w:rFonts w:cs="Times New Roman"/>
        </w:rPr>
        <w:t xml:space="preserve">Plots comparing the mass removal rate as a function of cumulative contaminant passed into the column were </w:t>
      </w:r>
      <w:r w:rsidR="00553E29" w:rsidRPr="00770477">
        <w:rPr>
          <w:rFonts w:cs="Times New Roman"/>
        </w:rPr>
        <w:t xml:space="preserve">produced to compare results from horizontal and vertical column experiments. </w:t>
      </w:r>
      <w:r w:rsidR="00857831" w:rsidRPr="00770477">
        <w:rPr>
          <w:rFonts w:cs="Times New Roman"/>
        </w:rPr>
        <w:t xml:space="preserve">Important to note is that results from this analysis </w:t>
      </w:r>
      <w:r w:rsidR="000124EC" w:rsidRPr="00770477">
        <w:rPr>
          <w:rFonts w:cs="Times New Roman"/>
        </w:rPr>
        <w:t xml:space="preserve">do consider an element of </w:t>
      </w:r>
      <w:r w:rsidR="00E023F2" w:rsidRPr="00770477">
        <w:rPr>
          <w:rFonts w:cs="Times New Roman"/>
        </w:rPr>
        <w:t>time</w:t>
      </w:r>
      <w:r w:rsidR="00841D11" w:rsidRPr="00770477">
        <w:rPr>
          <w:rFonts w:cs="Times New Roman"/>
        </w:rPr>
        <w:t>. M</w:t>
      </w:r>
      <w:r w:rsidR="000124EC" w:rsidRPr="00770477">
        <w:rPr>
          <w:rFonts w:cs="Times New Roman"/>
        </w:rPr>
        <w:t>eaning</w:t>
      </w:r>
      <w:r w:rsidR="00E023F2" w:rsidRPr="00770477">
        <w:rPr>
          <w:rFonts w:cs="Times New Roman"/>
        </w:rPr>
        <w:t xml:space="preserve">, </w:t>
      </w:r>
      <w:r w:rsidR="000124EC" w:rsidRPr="00770477">
        <w:rPr>
          <w:rFonts w:cs="Times New Roman"/>
        </w:rPr>
        <w:t>individual points on each plot do not represent a removal rate at a given</w:t>
      </w:r>
      <w:r w:rsidR="00E023F2" w:rsidRPr="00770477">
        <w:rPr>
          <w:rFonts w:cs="Times New Roman"/>
        </w:rPr>
        <w:t xml:space="preserve"> solution</w:t>
      </w:r>
      <w:r w:rsidR="000124EC" w:rsidRPr="00770477">
        <w:rPr>
          <w:rFonts w:cs="Times New Roman"/>
        </w:rPr>
        <w:t xml:space="preserve"> concentration for an independent </w:t>
      </w:r>
      <w:r w:rsidR="00841D11" w:rsidRPr="00770477">
        <w:rPr>
          <w:rFonts w:cs="Times New Roman"/>
        </w:rPr>
        <w:t xml:space="preserve">study, but rather it is representative of the </w:t>
      </w:r>
      <w:r w:rsidR="004D08FD" w:rsidRPr="00770477">
        <w:rPr>
          <w:rFonts w:cs="Times New Roman"/>
        </w:rPr>
        <w:t xml:space="preserve">removal rate once a given amount of contaminant has been passed into the column. Furthermore, this analysis was only able to </w:t>
      </w:r>
      <w:r w:rsidR="00B25DA5" w:rsidRPr="00770477">
        <w:rPr>
          <w:rFonts w:cs="Times New Roman"/>
        </w:rPr>
        <w:t>be conducted</w:t>
      </w:r>
      <w:r w:rsidR="00533644" w:rsidRPr="00770477">
        <w:rPr>
          <w:rFonts w:cs="Times New Roman"/>
        </w:rPr>
        <w:t xml:space="preserve"> for contaminants</w:t>
      </w:r>
      <w:r w:rsidR="00B25DA5" w:rsidRPr="00770477">
        <w:rPr>
          <w:rFonts w:cs="Times New Roman"/>
        </w:rPr>
        <w:t xml:space="preserve"> where </w:t>
      </w:r>
      <w:r w:rsidR="00533644" w:rsidRPr="00770477">
        <w:rPr>
          <w:rFonts w:cs="Times New Roman"/>
        </w:rPr>
        <w:t xml:space="preserve">both horizontal and vertical columns </w:t>
      </w:r>
      <w:r w:rsidR="00B47783" w:rsidRPr="00770477">
        <w:rPr>
          <w:rFonts w:cs="Times New Roman"/>
        </w:rPr>
        <w:t xml:space="preserve">fell into category 4 (from </w:t>
      </w:r>
      <w:r w:rsidR="00B47783" w:rsidRPr="00770477">
        <w:rPr>
          <w:rFonts w:cs="Times New Roman"/>
        </w:rPr>
        <w:fldChar w:fldCharType="begin"/>
      </w:r>
      <w:r w:rsidR="00B47783" w:rsidRPr="00770477">
        <w:rPr>
          <w:rFonts w:cs="Times New Roman"/>
        </w:rPr>
        <w:instrText xml:space="preserve"> REF _Ref120791122 \h </w:instrText>
      </w:r>
      <w:r w:rsidR="00770477">
        <w:rPr>
          <w:rFonts w:cs="Times New Roman"/>
        </w:rPr>
        <w:instrText xml:space="preserve"> \* MERGEFORMAT </w:instrText>
      </w:r>
      <w:r w:rsidR="00B47783" w:rsidRPr="00770477">
        <w:rPr>
          <w:rFonts w:cs="Times New Roman"/>
        </w:rPr>
      </w:r>
      <w:r w:rsidR="00B47783" w:rsidRPr="00770477">
        <w:rPr>
          <w:rFonts w:cs="Times New Roman"/>
        </w:rPr>
        <w:fldChar w:fldCharType="separate"/>
      </w:r>
      <w:r w:rsidR="00061096" w:rsidRPr="00770477">
        <w:rPr>
          <w:rFonts w:cs="Times New Roman"/>
        </w:rPr>
        <w:t xml:space="preserve">Table </w:t>
      </w:r>
      <w:r w:rsidR="00061096">
        <w:rPr>
          <w:rFonts w:cs="Times New Roman"/>
          <w:noProof/>
        </w:rPr>
        <w:t>3</w:t>
      </w:r>
      <w:r w:rsidR="00061096">
        <w:rPr>
          <w:rFonts w:cs="Times New Roman"/>
          <w:noProof/>
        </w:rPr>
        <w:noBreakHyphen/>
        <w:t>1</w:t>
      </w:r>
      <w:r w:rsidR="00B47783" w:rsidRPr="00770477">
        <w:rPr>
          <w:rFonts w:cs="Times New Roman"/>
        </w:rPr>
        <w:fldChar w:fldCharType="end"/>
      </w:r>
      <w:r w:rsidR="00B47783" w:rsidRPr="00770477">
        <w:rPr>
          <w:rFonts w:cs="Times New Roman"/>
        </w:rPr>
        <w:t>)</w:t>
      </w:r>
      <w:r w:rsidR="007F599C" w:rsidRPr="00770477">
        <w:rPr>
          <w:rFonts w:cs="Times New Roman"/>
        </w:rPr>
        <w:t xml:space="preserve">. Additionally, the analysis contaminant needed to have a similar spike concentration between the two orientations </w:t>
      </w:r>
      <w:r w:rsidR="008129C0" w:rsidRPr="00770477">
        <w:rPr>
          <w:rFonts w:cs="Times New Roman"/>
        </w:rPr>
        <w:t xml:space="preserve">due to results being </w:t>
      </w:r>
      <w:r w:rsidR="00FE35AB" w:rsidRPr="00770477">
        <w:rPr>
          <w:rFonts w:cs="Times New Roman"/>
        </w:rPr>
        <w:t>dependent</w:t>
      </w:r>
      <w:r w:rsidR="008129C0" w:rsidRPr="00770477">
        <w:rPr>
          <w:rFonts w:cs="Times New Roman"/>
        </w:rPr>
        <w:t xml:space="preserve"> on solution concentrations and not concentration ratios. </w:t>
      </w:r>
    </w:p>
    <w:p w14:paraId="01F49A0F" w14:textId="57F511D3" w:rsidR="004C12CD" w:rsidRPr="00770477" w:rsidRDefault="004C12CD" w:rsidP="00553E29">
      <w:pPr>
        <w:ind w:firstLine="432"/>
        <w:rPr>
          <w:rFonts w:cs="Times New Roman"/>
        </w:rPr>
      </w:pPr>
      <w:r w:rsidRPr="00770477">
        <w:rPr>
          <w:rFonts w:cs="Times New Roman"/>
        </w:rPr>
        <w:t xml:space="preserve">Results demonstrated that less overall solution, and therefore less contaminant mass was passed through </w:t>
      </w:r>
      <w:r w:rsidR="00FE35AB" w:rsidRPr="00770477">
        <w:rPr>
          <w:rFonts w:cs="Times New Roman"/>
        </w:rPr>
        <w:t xml:space="preserve">the sample setup in horizontal column experiments when compared to vertical experiments. </w:t>
      </w:r>
      <w:r w:rsidRPr="00770477">
        <w:rPr>
          <w:rFonts w:cs="Times New Roman"/>
        </w:rPr>
        <w:t xml:space="preserve"> </w:t>
      </w:r>
      <w:r w:rsidR="0021159D" w:rsidRPr="00770477">
        <w:rPr>
          <w:rFonts w:cs="Times New Roman"/>
        </w:rPr>
        <w:t xml:space="preserve">Enough cumulative contaminant was passed through to ensure results were </w:t>
      </w:r>
      <w:r w:rsidR="00EF7FA7" w:rsidRPr="00770477">
        <w:rPr>
          <w:rFonts w:cs="Times New Roman"/>
        </w:rPr>
        <w:t>comparable</w:t>
      </w:r>
      <w:r w:rsidR="00C9328C" w:rsidRPr="00770477">
        <w:rPr>
          <w:rFonts w:cs="Times New Roman"/>
        </w:rPr>
        <w:t xml:space="preserve">, however, horizontal experiments did not </w:t>
      </w:r>
      <w:r w:rsidR="00EF7FA7" w:rsidRPr="00770477">
        <w:rPr>
          <w:rFonts w:cs="Times New Roman"/>
        </w:rPr>
        <w:t>measure long-term removal rates as compared to vertical experiments.</w:t>
      </w:r>
    </w:p>
    <w:p w14:paraId="7B3B0B5D" w14:textId="6FB9A75D" w:rsidR="00C253B9" w:rsidRPr="00770477" w:rsidRDefault="00C253B9">
      <w:pPr>
        <w:spacing w:line="240" w:lineRule="auto"/>
        <w:rPr>
          <w:rFonts w:cs="Times New Roman"/>
        </w:rPr>
      </w:pPr>
    </w:p>
    <w:p w14:paraId="40C9AC9D" w14:textId="5F985415" w:rsidR="001E416A" w:rsidRPr="00770477" w:rsidRDefault="009C34A4" w:rsidP="00721F47">
      <w:pPr>
        <w:pStyle w:val="Heading4"/>
        <w:rPr>
          <w:rFonts w:ascii="Times New Roman" w:hAnsi="Times New Roman" w:cs="Times New Roman"/>
        </w:rPr>
      </w:pPr>
      <w:bookmarkStart w:id="143" w:name="_Toc121496023"/>
      <w:r w:rsidRPr="00770477">
        <w:rPr>
          <w:rFonts w:ascii="Times New Roman" w:hAnsi="Times New Roman" w:cs="Times New Roman"/>
        </w:rPr>
        <w:t>Arsenic</w:t>
      </w:r>
      <w:bookmarkEnd w:id="143"/>
    </w:p>
    <w:p w14:paraId="57527FF9" w14:textId="26894553" w:rsidR="002B64CA" w:rsidRPr="00770477" w:rsidRDefault="00F400C0" w:rsidP="00E02D97">
      <w:pPr>
        <w:ind w:firstLine="720"/>
        <w:rPr>
          <w:rFonts w:cs="Times New Roman"/>
        </w:rPr>
      </w:pPr>
      <w:r w:rsidRPr="00770477">
        <w:rPr>
          <w:rFonts w:cs="Times New Roman"/>
        </w:rPr>
        <w:t xml:space="preserve">Mass removal rate (MRR) analysis </w:t>
      </w:r>
      <w:r w:rsidR="002E5549" w:rsidRPr="00770477">
        <w:rPr>
          <w:rFonts w:cs="Times New Roman"/>
        </w:rPr>
        <w:t>on small steel slag</w:t>
      </w:r>
      <w:r w:rsidR="00CD5FD3" w:rsidRPr="00770477">
        <w:rPr>
          <w:rFonts w:cs="Times New Roman"/>
        </w:rPr>
        <w:t xml:space="preserve"> (</w:t>
      </w:r>
      <w:r w:rsidR="00CD5FD3" w:rsidRPr="00770477">
        <w:rPr>
          <w:rFonts w:cs="Times New Roman"/>
        </w:rPr>
        <w:fldChar w:fldCharType="begin"/>
      </w:r>
      <w:r w:rsidR="00CD5FD3" w:rsidRPr="00770477">
        <w:rPr>
          <w:rFonts w:cs="Times New Roman"/>
        </w:rPr>
        <w:instrText xml:space="preserve"> REF _Ref120875790 \h </w:instrText>
      </w:r>
      <w:r w:rsidR="00770477">
        <w:rPr>
          <w:rFonts w:cs="Times New Roman"/>
        </w:rPr>
        <w:instrText xml:space="preserve"> \* MERGEFORMAT </w:instrText>
      </w:r>
      <w:r w:rsidR="00CD5FD3" w:rsidRPr="00770477">
        <w:rPr>
          <w:rFonts w:cs="Times New Roman"/>
        </w:rPr>
      </w:r>
      <w:r w:rsidR="00CD5FD3"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22</w:t>
      </w:r>
      <w:r w:rsidR="00CD5FD3" w:rsidRPr="00770477">
        <w:rPr>
          <w:rFonts w:cs="Times New Roman"/>
        </w:rPr>
        <w:fldChar w:fldCharType="end"/>
      </w:r>
      <w:r w:rsidR="00CD5FD3" w:rsidRPr="00770477">
        <w:rPr>
          <w:rFonts w:cs="Times New Roman"/>
        </w:rPr>
        <w:t>)</w:t>
      </w:r>
      <w:r w:rsidR="002E5549" w:rsidRPr="00770477">
        <w:rPr>
          <w:rFonts w:cs="Times New Roman"/>
        </w:rPr>
        <w:t xml:space="preserve"> </w:t>
      </w:r>
      <w:r w:rsidR="00CD5FD3" w:rsidRPr="00770477">
        <w:rPr>
          <w:rFonts w:cs="Times New Roman"/>
        </w:rPr>
        <w:t xml:space="preserve">yielded </w:t>
      </w:r>
      <w:r w:rsidR="002E5549" w:rsidRPr="00770477">
        <w:rPr>
          <w:rFonts w:cs="Times New Roman"/>
        </w:rPr>
        <w:t xml:space="preserve">horizontal and vertical results </w:t>
      </w:r>
      <w:r w:rsidR="002F2A26" w:rsidRPr="00770477">
        <w:rPr>
          <w:rFonts w:cs="Times New Roman"/>
        </w:rPr>
        <w:t xml:space="preserve">clustered together </w:t>
      </w:r>
      <w:r w:rsidR="00C12A4A" w:rsidRPr="00770477">
        <w:rPr>
          <w:rFonts w:cs="Times New Roman"/>
        </w:rPr>
        <w:t>with a negative relationship between MRR</w:t>
      </w:r>
      <w:r w:rsidR="004B415F" w:rsidRPr="00770477">
        <w:rPr>
          <w:rFonts w:cs="Times New Roman"/>
        </w:rPr>
        <w:t xml:space="preserve"> MV</w:t>
      </w:r>
      <w:r w:rsidR="004B415F" w:rsidRPr="00770477">
        <w:rPr>
          <w:rFonts w:cs="Times New Roman"/>
          <w:vertAlign w:val="superscript"/>
        </w:rPr>
        <w:t>-1</w:t>
      </w:r>
      <w:r w:rsidR="004B415F" w:rsidRPr="00770477">
        <w:rPr>
          <w:rFonts w:cs="Times New Roman"/>
        </w:rPr>
        <w:t xml:space="preserve"> (mass volume) and the cumulative </w:t>
      </w:r>
      <w:proofErr w:type="gramStart"/>
      <w:r w:rsidR="004B415F" w:rsidRPr="00770477">
        <w:rPr>
          <w:rFonts w:cs="Times New Roman"/>
        </w:rPr>
        <w:t>As</w:t>
      </w:r>
      <w:proofErr w:type="gramEnd"/>
      <w:r w:rsidR="004B415F" w:rsidRPr="00770477">
        <w:rPr>
          <w:rFonts w:cs="Times New Roman"/>
        </w:rPr>
        <w:t xml:space="preserve"> mass input. </w:t>
      </w:r>
      <w:r w:rsidR="00CA55BF" w:rsidRPr="00770477">
        <w:rPr>
          <w:rFonts w:cs="Times New Roman"/>
        </w:rPr>
        <w:t>As was demonstrated, the control column (bioretention simulation sand)</w:t>
      </w:r>
      <w:r w:rsidR="00B724CD" w:rsidRPr="00770477">
        <w:rPr>
          <w:rFonts w:cs="Times New Roman"/>
        </w:rPr>
        <w:t xml:space="preserve"> yielded modest </w:t>
      </w:r>
      <w:proofErr w:type="gramStart"/>
      <w:r w:rsidR="00A47FE1">
        <w:rPr>
          <w:rFonts w:cs="Times New Roman"/>
        </w:rPr>
        <w:t>As</w:t>
      </w:r>
      <w:proofErr w:type="gramEnd"/>
      <w:r w:rsidR="00A47FE1" w:rsidRPr="009E5089">
        <w:rPr>
          <w:rFonts w:cs="Times New Roman"/>
          <w:vertAlign w:val="superscript"/>
        </w:rPr>
        <w:t>+5</w:t>
      </w:r>
      <w:r w:rsidR="00B724CD" w:rsidRPr="00770477">
        <w:rPr>
          <w:rFonts w:cs="Times New Roman"/>
        </w:rPr>
        <w:t xml:space="preserve"> removal and therefore is not considered a reasonable source of </w:t>
      </w:r>
      <w:r w:rsidR="00A47FE1">
        <w:rPr>
          <w:rFonts w:cs="Times New Roman"/>
        </w:rPr>
        <w:t>As</w:t>
      </w:r>
      <w:r w:rsidR="00A47FE1" w:rsidRPr="009E5089">
        <w:rPr>
          <w:rFonts w:cs="Times New Roman"/>
          <w:vertAlign w:val="superscript"/>
        </w:rPr>
        <w:t>+5</w:t>
      </w:r>
      <w:r w:rsidR="00B724CD" w:rsidRPr="00770477">
        <w:rPr>
          <w:rFonts w:cs="Times New Roman"/>
        </w:rPr>
        <w:t xml:space="preserve"> removal</w:t>
      </w:r>
      <w:r w:rsidR="00B73521" w:rsidRPr="00770477">
        <w:rPr>
          <w:rFonts w:cs="Times New Roman"/>
        </w:rPr>
        <w:t xml:space="preserve">. </w:t>
      </w:r>
      <w:r w:rsidR="00B73521" w:rsidRPr="00770477">
        <w:rPr>
          <w:rFonts w:cs="Times New Roman"/>
        </w:rPr>
        <w:br w:type="page"/>
      </w:r>
    </w:p>
    <w:p w14:paraId="173D738A" w14:textId="77777777" w:rsidR="00B73521" w:rsidRPr="00770477" w:rsidRDefault="00A71E9B" w:rsidP="00343368">
      <w:pPr>
        <w:keepNext/>
        <w:rPr>
          <w:rFonts w:cs="Times New Roman"/>
        </w:rPr>
      </w:pPr>
      <w:r w:rsidRPr="00770477">
        <w:rPr>
          <w:rFonts w:cs="Times New Roman"/>
          <w:noProof/>
        </w:rPr>
        <w:lastRenderedPageBreak/>
        <w:drawing>
          <wp:anchor distT="0" distB="0" distL="114300" distR="114300" simplePos="0" relativeHeight="251668487" behindDoc="0" locked="0" layoutInCell="1" allowOverlap="1" wp14:anchorId="414533E9" wp14:editId="103052C6">
            <wp:simplePos x="0" y="0"/>
            <wp:positionH relativeFrom="margin">
              <wp:align>center</wp:align>
            </wp:positionH>
            <wp:positionV relativeFrom="margin">
              <wp:align>top</wp:align>
            </wp:positionV>
            <wp:extent cx="5840544" cy="4114800"/>
            <wp:effectExtent l="0" t="0" r="1905"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40544" cy="4114800"/>
                    </a:xfrm>
                    <a:prstGeom prst="rect">
                      <a:avLst/>
                    </a:prstGeom>
                    <a:noFill/>
                  </pic:spPr>
                </pic:pic>
              </a:graphicData>
            </a:graphic>
            <wp14:sizeRelH relativeFrom="margin">
              <wp14:pctWidth>0</wp14:pctWidth>
            </wp14:sizeRelH>
            <wp14:sizeRelV relativeFrom="margin">
              <wp14:pctHeight>0</wp14:pctHeight>
            </wp14:sizeRelV>
          </wp:anchor>
        </w:drawing>
      </w:r>
    </w:p>
    <w:p w14:paraId="7FF08990" w14:textId="2552C6F0" w:rsidR="00B73521" w:rsidRPr="00770477" w:rsidRDefault="00B73521" w:rsidP="00AE1144">
      <w:pPr>
        <w:pStyle w:val="Caption"/>
        <w:spacing w:line="240" w:lineRule="auto"/>
        <w:rPr>
          <w:rFonts w:cs="Times New Roman"/>
        </w:rPr>
      </w:pPr>
      <w:bookmarkStart w:id="144" w:name="_Ref120875790"/>
      <w:bookmarkStart w:id="145" w:name="_Toc121489517"/>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22</w:t>
      </w:r>
      <w:r w:rsidRPr="00770477">
        <w:rPr>
          <w:rFonts w:cs="Times New Roman"/>
          <w:noProof/>
        </w:rPr>
        <w:fldChar w:fldCharType="end"/>
      </w:r>
      <w:bookmarkEnd w:id="144"/>
      <w:r w:rsidRPr="00770477">
        <w:rPr>
          <w:rFonts w:cs="Times New Roman"/>
        </w:rPr>
        <w:t xml:space="preserve"> </w:t>
      </w:r>
      <w:r w:rsidR="00AF4A8D">
        <w:rPr>
          <w:rFonts w:cs="Times New Roman"/>
        </w:rPr>
        <w:t xml:space="preserve">Comparison </w:t>
      </w:r>
      <w:r w:rsidR="00EE72FE">
        <w:rPr>
          <w:rFonts w:cs="Times New Roman"/>
        </w:rPr>
        <w:t xml:space="preserve">of column orientation on </w:t>
      </w:r>
      <w:r w:rsidR="00AF4A8D">
        <w:rPr>
          <w:rFonts w:cs="Times New Roman"/>
        </w:rPr>
        <w:t>the mass removal rate (MRR)</w:t>
      </w:r>
      <w:r w:rsidR="00F151DD">
        <w:rPr>
          <w:rFonts w:cs="Times New Roman"/>
        </w:rPr>
        <w:t xml:space="preserve"> of </w:t>
      </w:r>
      <w:proofErr w:type="gramStart"/>
      <w:r w:rsidR="00F151DD">
        <w:rPr>
          <w:rFonts w:cs="Times New Roman"/>
        </w:rPr>
        <w:t>As</w:t>
      </w:r>
      <w:proofErr w:type="gramEnd"/>
      <w:r w:rsidR="00F151DD">
        <w:rPr>
          <w:rFonts w:cs="Times New Roman"/>
          <w:vertAlign w:val="superscript"/>
        </w:rPr>
        <w:t>+5</w:t>
      </w:r>
      <w:r w:rsidR="00F151DD">
        <w:rPr>
          <w:rFonts w:cs="Times New Roman"/>
        </w:rPr>
        <w:t xml:space="preserve"> per</w:t>
      </w:r>
      <w:r w:rsidR="00AF4A8D">
        <w:rPr>
          <w:rFonts w:cs="Times New Roman"/>
        </w:rPr>
        <w:t xml:space="preserve"> </w:t>
      </w:r>
      <w:r w:rsidR="001A38C8">
        <w:rPr>
          <w:rFonts w:cs="Times New Roman"/>
        </w:rPr>
        <w:t>media volume (MV)</w:t>
      </w:r>
      <w:r w:rsidR="00F151DD">
        <w:rPr>
          <w:rFonts w:cs="Times New Roman"/>
        </w:rPr>
        <w:t xml:space="preserve"> of small steel slag</w:t>
      </w:r>
      <w:r w:rsidR="004B75A9">
        <w:rPr>
          <w:rFonts w:cs="Times New Roman"/>
        </w:rPr>
        <w:t xml:space="preserve"> against cumulative </w:t>
      </w:r>
      <w:r w:rsidR="0093290B">
        <w:rPr>
          <w:rFonts w:cs="Times New Roman"/>
        </w:rPr>
        <w:t>As</w:t>
      </w:r>
      <w:r w:rsidR="0093290B">
        <w:rPr>
          <w:rFonts w:cs="Times New Roman"/>
          <w:vertAlign w:val="superscript"/>
        </w:rPr>
        <w:t>+5</w:t>
      </w:r>
      <w:r w:rsidR="004B75A9">
        <w:rPr>
          <w:rFonts w:cs="Times New Roman"/>
        </w:rPr>
        <w:t xml:space="preserve"> input.</w:t>
      </w:r>
      <w:bookmarkEnd w:id="145"/>
      <w:r w:rsidR="004B75A9">
        <w:rPr>
          <w:rFonts w:cs="Times New Roman"/>
        </w:rPr>
        <w:t xml:space="preserve"> </w:t>
      </w:r>
    </w:p>
    <w:p w14:paraId="0C5B5F27" w14:textId="6D7F40F3" w:rsidR="005631A5" w:rsidRPr="00770477" w:rsidRDefault="00B73521" w:rsidP="00B73521">
      <w:pPr>
        <w:spacing w:line="240" w:lineRule="auto"/>
        <w:rPr>
          <w:rFonts w:cs="Times New Roman"/>
        </w:rPr>
      </w:pPr>
      <w:r w:rsidRPr="00770477">
        <w:rPr>
          <w:rFonts w:cs="Times New Roman"/>
        </w:rPr>
        <w:br w:type="page"/>
      </w:r>
    </w:p>
    <w:p w14:paraId="6C3DC52A" w14:textId="693E837A" w:rsidR="00E63F3E" w:rsidRPr="00770477" w:rsidRDefault="00FC515E" w:rsidP="00CD5FD3">
      <w:pPr>
        <w:ind w:firstLine="720"/>
        <w:rPr>
          <w:rFonts w:cs="Times New Roman"/>
        </w:rPr>
      </w:pPr>
      <w:r w:rsidRPr="00770477">
        <w:rPr>
          <w:rFonts w:cs="Times New Roman"/>
        </w:rPr>
        <w:lastRenderedPageBreak/>
        <w:t xml:space="preserve">Small </w:t>
      </w:r>
      <w:r w:rsidR="00035E26">
        <w:rPr>
          <w:rFonts w:cs="Times New Roman"/>
        </w:rPr>
        <w:t>aggregated fly ash</w:t>
      </w:r>
      <w:r w:rsidRPr="00770477">
        <w:rPr>
          <w:rFonts w:cs="Times New Roman"/>
        </w:rPr>
        <w:t xml:space="preserve"> yielded results</w:t>
      </w:r>
      <w:r w:rsidR="00D551E2" w:rsidRPr="00770477">
        <w:rPr>
          <w:rFonts w:cs="Times New Roman"/>
        </w:rPr>
        <w:t xml:space="preserve"> (</w:t>
      </w:r>
      <w:r w:rsidR="00D551E2" w:rsidRPr="00770477">
        <w:rPr>
          <w:rFonts w:cs="Times New Roman"/>
        </w:rPr>
        <w:fldChar w:fldCharType="begin"/>
      </w:r>
      <w:r w:rsidR="00D551E2" w:rsidRPr="00770477">
        <w:rPr>
          <w:rFonts w:cs="Times New Roman"/>
        </w:rPr>
        <w:instrText xml:space="preserve"> REF _Ref120875728 \h </w:instrText>
      </w:r>
      <w:r w:rsidR="00770477">
        <w:rPr>
          <w:rFonts w:cs="Times New Roman"/>
        </w:rPr>
        <w:instrText xml:space="preserve"> \* MERGEFORMAT </w:instrText>
      </w:r>
      <w:r w:rsidR="00D551E2" w:rsidRPr="00770477">
        <w:rPr>
          <w:rFonts w:cs="Times New Roman"/>
        </w:rPr>
      </w:r>
      <w:r w:rsidR="00D551E2"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23</w:t>
      </w:r>
      <w:r w:rsidR="00D551E2" w:rsidRPr="00770477">
        <w:rPr>
          <w:rFonts w:cs="Times New Roman"/>
        </w:rPr>
        <w:fldChar w:fldCharType="end"/>
      </w:r>
      <w:r w:rsidR="00D551E2" w:rsidRPr="00770477">
        <w:rPr>
          <w:rFonts w:cs="Times New Roman"/>
        </w:rPr>
        <w:t xml:space="preserve">) </w:t>
      </w:r>
      <w:r w:rsidRPr="00770477">
        <w:rPr>
          <w:rFonts w:cs="Times New Roman"/>
        </w:rPr>
        <w:t>which demonstrated that in vertical column experiments, the MRR MV</w:t>
      </w:r>
      <w:r w:rsidR="00315E60" w:rsidRPr="00770477">
        <w:rPr>
          <w:rFonts w:cs="Times New Roman"/>
          <w:vertAlign w:val="superscript"/>
        </w:rPr>
        <w:t>-1</w:t>
      </w:r>
      <w:r w:rsidR="00315E60" w:rsidRPr="00770477">
        <w:rPr>
          <w:rFonts w:cs="Times New Roman"/>
        </w:rPr>
        <w:t xml:space="preserve"> was hi</w:t>
      </w:r>
      <w:r w:rsidR="0038597C" w:rsidRPr="00770477">
        <w:rPr>
          <w:rFonts w:cs="Times New Roman"/>
        </w:rPr>
        <w:t xml:space="preserve">gh </w:t>
      </w:r>
      <w:r w:rsidR="00071490" w:rsidRPr="00770477">
        <w:rPr>
          <w:rFonts w:cs="Times New Roman"/>
        </w:rPr>
        <w:t>(</w:t>
      </w:r>
      <w:r w:rsidR="00DC0114" w:rsidRPr="00770477">
        <w:rPr>
          <w:rFonts w:cs="Times New Roman"/>
        </w:rPr>
        <w:t>~</w:t>
      </w:r>
      <w:r w:rsidR="00071490" w:rsidRPr="00770477">
        <w:rPr>
          <w:rFonts w:cs="Times New Roman"/>
        </w:rPr>
        <w:t>0.015 µg hr</w:t>
      </w:r>
      <w:r w:rsidR="00071490" w:rsidRPr="00770477">
        <w:rPr>
          <w:rFonts w:cs="Times New Roman"/>
          <w:vertAlign w:val="superscript"/>
        </w:rPr>
        <w:t>-1</w:t>
      </w:r>
      <w:r w:rsidR="00071490" w:rsidRPr="00770477">
        <w:rPr>
          <w:rFonts w:cs="Times New Roman"/>
        </w:rPr>
        <w:t xml:space="preserve"> cm</w:t>
      </w:r>
      <w:r w:rsidR="00071490" w:rsidRPr="00770477">
        <w:rPr>
          <w:rFonts w:cs="Times New Roman"/>
          <w:vertAlign w:val="superscript"/>
        </w:rPr>
        <w:t>-3</w:t>
      </w:r>
      <w:r w:rsidR="00071490" w:rsidRPr="00770477">
        <w:rPr>
          <w:rFonts w:cs="Times New Roman"/>
        </w:rPr>
        <w:t>)</w:t>
      </w:r>
      <w:r w:rsidR="00DC0114" w:rsidRPr="00770477">
        <w:rPr>
          <w:rFonts w:cs="Times New Roman"/>
        </w:rPr>
        <w:t xml:space="preserve"> when little mass had been input, however in horizontal column experiments, the same mass input yielded </w:t>
      </w:r>
      <w:r w:rsidR="00A95E73" w:rsidRPr="00770477">
        <w:rPr>
          <w:rFonts w:cs="Times New Roman"/>
        </w:rPr>
        <w:t xml:space="preserve">much lower removal rates </w:t>
      </w:r>
    </w:p>
    <w:p w14:paraId="0CA2DC6E" w14:textId="7338F33B" w:rsidR="00FF426E" w:rsidRPr="00770477" w:rsidRDefault="00A95E73" w:rsidP="00A95E73">
      <w:pPr>
        <w:rPr>
          <w:rFonts w:cs="Times New Roman"/>
        </w:rPr>
      </w:pPr>
      <w:r w:rsidRPr="00770477">
        <w:rPr>
          <w:rFonts w:cs="Times New Roman"/>
        </w:rPr>
        <w:t>(~0.005 µg hr</w:t>
      </w:r>
      <w:r w:rsidRPr="00770477">
        <w:rPr>
          <w:rFonts w:cs="Times New Roman"/>
          <w:vertAlign w:val="superscript"/>
        </w:rPr>
        <w:t>-1</w:t>
      </w:r>
      <w:r w:rsidRPr="00770477">
        <w:rPr>
          <w:rFonts w:cs="Times New Roman"/>
        </w:rPr>
        <w:t xml:space="preserve"> cm</w:t>
      </w:r>
      <w:r w:rsidRPr="00770477">
        <w:rPr>
          <w:rFonts w:cs="Times New Roman"/>
          <w:vertAlign w:val="superscript"/>
        </w:rPr>
        <w:t>-3</w:t>
      </w:r>
      <w:r w:rsidRPr="00770477">
        <w:rPr>
          <w:rFonts w:cs="Times New Roman"/>
        </w:rPr>
        <w:t>)</w:t>
      </w:r>
      <w:r w:rsidR="00E63F3E" w:rsidRPr="00770477">
        <w:rPr>
          <w:rFonts w:cs="Times New Roman"/>
        </w:rPr>
        <w:t>. Despite this departure in magnitude, visually, the trend remained the same between the two experiments</w:t>
      </w:r>
      <w:r w:rsidR="00B66E71" w:rsidRPr="00770477">
        <w:rPr>
          <w:rFonts w:cs="Times New Roman"/>
        </w:rPr>
        <w:t xml:space="preserve"> with a high initial removal that tapered off over time</w:t>
      </w:r>
      <w:r w:rsidR="00D551E2" w:rsidRPr="00770477">
        <w:rPr>
          <w:rFonts w:cs="Times New Roman"/>
        </w:rPr>
        <w:t xml:space="preserve">. </w:t>
      </w:r>
      <w:r w:rsidR="00FF426E" w:rsidRPr="00770477">
        <w:rPr>
          <w:rFonts w:cs="Times New Roman"/>
        </w:rPr>
        <w:t>H</w:t>
      </w:r>
      <w:r w:rsidR="00426299" w:rsidRPr="00770477">
        <w:rPr>
          <w:rFonts w:cs="Times New Roman"/>
        </w:rPr>
        <w:t>orizontal control column data</w:t>
      </w:r>
      <w:r w:rsidR="00FB46B9" w:rsidRPr="00770477">
        <w:rPr>
          <w:rFonts w:cs="Times New Roman"/>
        </w:rPr>
        <w:t xml:space="preserve"> demonstrated the bioretention simulation sand </w:t>
      </w:r>
      <w:r w:rsidR="00FD7F45" w:rsidRPr="00770477">
        <w:rPr>
          <w:rFonts w:cs="Times New Roman"/>
        </w:rPr>
        <w:t xml:space="preserve">as an infeasible source of </w:t>
      </w:r>
      <w:proofErr w:type="gramStart"/>
      <w:r w:rsidR="00A47FE1">
        <w:rPr>
          <w:rFonts w:cs="Times New Roman"/>
        </w:rPr>
        <w:t>As</w:t>
      </w:r>
      <w:proofErr w:type="gramEnd"/>
      <w:r w:rsidR="00A47FE1" w:rsidRPr="009E5089">
        <w:rPr>
          <w:rFonts w:cs="Times New Roman"/>
          <w:vertAlign w:val="superscript"/>
        </w:rPr>
        <w:t>+5</w:t>
      </w:r>
      <w:r w:rsidR="00FD7F45" w:rsidRPr="00770477">
        <w:rPr>
          <w:rFonts w:cs="Times New Roman"/>
        </w:rPr>
        <w:t xml:space="preserve"> removal</w:t>
      </w:r>
      <w:r w:rsidR="00FF426E" w:rsidRPr="00770477">
        <w:rPr>
          <w:rFonts w:cs="Times New Roman"/>
        </w:rPr>
        <w:t xml:space="preserve">. </w:t>
      </w:r>
    </w:p>
    <w:p w14:paraId="36BAE759" w14:textId="7734CC69" w:rsidR="00E02D97" w:rsidRPr="00770477" w:rsidRDefault="00FF426E" w:rsidP="00FF426E">
      <w:pPr>
        <w:spacing w:line="240" w:lineRule="auto"/>
        <w:rPr>
          <w:rFonts w:cs="Times New Roman"/>
        </w:rPr>
      </w:pPr>
      <w:r w:rsidRPr="00770477">
        <w:rPr>
          <w:rFonts w:cs="Times New Roman"/>
        </w:rPr>
        <w:br w:type="page"/>
      </w:r>
    </w:p>
    <w:p w14:paraId="697491A6" w14:textId="77777777" w:rsidR="00B73521" w:rsidRPr="00770477" w:rsidRDefault="00A71E9B" w:rsidP="00B73521">
      <w:pPr>
        <w:keepNext/>
        <w:rPr>
          <w:rFonts w:cs="Times New Roman"/>
        </w:rPr>
      </w:pPr>
      <w:r w:rsidRPr="00770477">
        <w:rPr>
          <w:rFonts w:cs="Times New Roman"/>
          <w:noProof/>
        </w:rPr>
        <w:lastRenderedPageBreak/>
        <w:drawing>
          <wp:anchor distT="0" distB="0" distL="114300" distR="114300" simplePos="0" relativeHeight="251669511" behindDoc="0" locked="0" layoutInCell="1" allowOverlap="1" wp14:anchorId="3413D74D" wp14:editId="4919F509">
            <wp:simplePos x="0" y="0"/>
            <wp:positionH relativeFrom="margin">
              <wp:align>center</wp:align>
            </wp:positionH>
            <wp:positionV relativeFrom="margin">
              <wp:align>top</wp:align>
            </wp:positionV>
            <wp:extent cx="5856418" cy="4114800"/>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56418" cy="4114800"/>
                    </a:xfrm>
                    <a:prstGeom prst="rect">
                      <a:avLst/>
                    </a:prstGeom>
                    <a:noFill/>
                  </pic:spPr>
                </pic:pic>
              </a:graphicData>
            </a:graphic>
          </wp:anchor>
        </w:drawing>
      </w:r>
    </w:p>
    <w:p w14:paraId="5851E78E" w14:textId="0F54D7CE" w:rsidR="00B73521" w:rsidRPr="00770477" w:rsidRDefault="00B73521" w:rsidP="00AE1144">
      <w:pPr>
        <w:pStyle w:val="Caption"/>
        <w:spacing w:line="240" w:lineRule="auto"/>
        <w:rPr>
          <w:rFonts w:cs="Times New Roman"/>
        </w:rPr>
      </w:pPr>
      <w:bookmarkStart w:id="146" w:name="_Ref120875728"/>
      <w:bookmarkStart w:id="147" w:name="_Ref120875717"/>
      <w:bookmarkStart w:id="148" w:name="_Toc121489518"/>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23</w:t>
      </w:r>
      <w:r w:rsidRPr="00770477">
        <w:rPr>
          <w:rFonts w:cs="Times New Roman"/>
          <w:noProof/>
        </w:rPr>
        <w:fldChar w:fldCharType="end"/>
      </w:r>
      <w:bookmarkEnd w:id="146"/>
      <w:r w:rsidRPr="00770477">
        <w:rPr>
          <w:rFonts w:cs="Times New Roman"/>
        </w:rPr>
        <w:t xml:space="preserve"> </w:t>
      </w:r>
      <w:bookmarkEnd w:id="147"/>
      <w:r w:rsidR="00F151DD">
        <w:rPr>
          <w:rFonts w:cs="Times New Roman"/>
        </w:rPr>
        <w:t xml:space="preserve">Comparison </w:t>
      </w:r>
      <w:r w:rsidR="00EE72FE">
        <w:rPr>
          <w:rFonts w:cs="Times New Roman"/>
        </w:rPr>
        <w:t xml:space="preserve">of column orientation on </w:t>
      </w:r>
      <w:r w:rsidR="00F151DD">
        <w:rPr>
          <w:rFonts w:cs="Times New Roman"/>
        </w:rPr>
        <w:t xml:space="preserve">the mass removal rate (MRR) of </w:t>
      </w:r>
      <w:proofErr w:type="gramStart"/>
      <w:r w:rsidR="00F151DD">
        <w:rPr>
          <w:rFonts w:cs="Times New Roman"/>
        </w:rPr>
        <w:t>As</w:t>
      </w:r>
      <w:proofErr w:type="gramEnd"/>
      <w:r w:rsidR="00F151DD">
        <w:rPr>
          <w:rFonts w:cs="Times New Roman"/>
          <w:vertAlign w:val="superscript"/>
        </w:rPr>
        <w:t>+5</w:t>
      </w:r>
      <w:r w:rsidR="00F151DD">
        <w:rPr>
          <w:rFonts w:cs="Times New Roman"/>
        </w:rPr>
        <w:t xml:space="preserve"> per media volume (MV) of small aggregated fly ash against cumulative </w:t>
      </w:r>
      <w:r w:rsidR="0093290B">
        <w:rPr>
          <w:rFonts w:cs="Times New Roman"/>
        </w:rPr>
        <w:t>As</w:t>
      </w:r>
      <w:r w:rsidR="0093290B">
        <w:rPr>
          <w:rFonts w:cs="Times New Roman"/>
          <w:vertAlign w:val="superscript"/>
        </w:rPr>
        <w:t xml:space="preserve">+5 </w:t>
      </w:r>
      <w:r w:rsidR="00F151DD">
        <w:rPr>
          <w:rFonts w:cs="Times New Roman"/>
        </w:rPr>
        <w:t>input.</w:t>
      </w:r>
      <w:bookmarkEnd w:id="148"/>
    </w:p>
    <w:p w14:paraId="313A2792" w14:textId="5D97CBAC" w:rsidR="00A71E9B" w:rsidRPr="00770477" w:rsidRDefault="00B73521" w:rsidP="00B73521">
      <w:pPr>
        <w:spacing w:line="240" w:lineRule="auto"/>
        <w:rPr>
          <w:rFonts w:cs="Times New Roman"/>
        </w:rPr>
      </w:pPr>
      <w:r w:rsidRPr="00770477">
        <w:rPr>
          <w:rFonts w:cs="Times New Roman"/>
        </w:rPr>
        <w:br w:type="page"/>
      </w:r>
    </w:p>
    <w:p w14:paraId="7CDC3E99" w14:textId="6D0E9D34" w:rsidR="00600CE7" w:rsidRPr="00770477" w:rsidRDefault="00535332" w:rsidP="009D4043">
      <w:pPr>
        <w:rPr>
          <w:rFonts w:cs="Times New Roman"/>
        </w:rPr>
      </w:pPr>
      <w:r w:rsidRPr="00770477">
        <w:rPr>
          <w:rFonts w:cs="Times New Roman"/>
        </w:rPr>
        <w:lastRenderedPageBreak/>
        <w:t>Small biochar results yield</w:t>
      </w:r>
      <w:r w:rsidR="00A4105B" w:rsidRPr="00770477">
        <w:rPr>
          <w:rFonts w:cs="Times New Roman"/>
        </w:rPr>
        <w:t>ed</w:t>
      </w:r>
      <w:r w:rsidRPr="00770477">
        <w:rPr>
          <w:rFonts w:cs="Times New Roman"/>
        </w:rPr>
        <w:t xml:space="preserve"> </w:t>
      </w:r>
      <w:r w:rsidR="00A4105B" w:rsidRPr="00770477">
        <w:rPr>
          <w:rFonts w:cs="Times New Roman"/>
        </w:rPr>
        <w:t>an MRR MV</w:t>
      </w:r>
      <w:r w:rsidR="00A4105B" w:rsidRPr="00770477">
        <w:rPr>
          <w:rFonts w:cs="Times New Roman"/>
          <w:vertAlign w:val="superscript"/>
        </w:rPr>
        <w:t>-1</w:t>
      </w:r>
      <w:r w:rsidR="00D65E8A" w:rsidRPr="00770477">
        <w:rPr>
          <w:rFonts w:cs="Times New Roman"/>
        </w:rPr>
        <w:t xml:space="preserve"> of ~0.01 µg hr</w:t>
      </w:r>
      <w:r w:rsidR="00D65E8A" w:rsidRPr="00770477">
        <w:rPr>
          <w:rFonts w:cs="Times New Roman"/>
          <w:vertAlign w:val="superscript"/>
        </w:rPr>
        <w:t>-1</w:t>
      </w:r>
      <w:r w:rsidR="00D65E8A" w:rsidRPr="00770477">
        <w:rPr>
          <w:rFonts w:cs="Times New Roman"/>
        </w:rPr>
        <w:t xml:space="preserve"> cm</w:t>
      </w:r>
      <w:r w:rsidR="00D65E8A" w:rsidRPr="00770477">
        <w:rPr>
          <w:rFonts w:cs="Times New Roman"/>
          <w:vertAlign w:val="superscript"/>
        </w:rPr>
        <w:t>-3</w:t>
      </w:r>
      <w:r w:rsidR="00D65E8A" w:rsidRPr="00770477">
        <w:rPr>
          <w:rFonts w:cs="Times New Roman"/>
        </w:rPr>
        <w:t xml:space="preserve"> which was not</w:t>
      </w:r>
      <w:r w:rsidR="00A4105B" w:rsidRPr="00770477">
        <w:rPr>
          <w:rFonts w:cs="Times New Roman"/>
        </w:rPr>
        <w:t xml:space="preserve"> </w:t>
      </w:r>
      <w:r w:rsidRPr="00770477">
        <w:rPr>
          <w:rFonts w:cs="Times New Roman"/>
        </w:rPr>
        <w:t xml:space="preserve">as high </w:t>
      </w:r>
      <w:r w:rsidR="00D65E8A" w:rsidRPr="00770477">
        <w:rPr>
          <w:rFonts w:cs="Times New Roman"/>
        </w:rPr>
        <w:t>as compared to</w:t>
      </w:r>
      <w:r w:rsidRPr="00770477">
        <w:rPr>
          <w:rFonts w:cs="Times New Roman"/>
        </w:rPr>
        <w:t xml:space="preserve"> the other media (</w:t>
      </w:r>
      <w:r w:rsidR="00540152" w:rsidRPr="00770477">
        <w:rPr>
          <w:rFonts w:cs="Times New Roman"/>
        </w:rPr>
        <w:t>0.015 – 0.02 µg hr</w:t>
      </w:r>
      <w:r w:rsidR="00540152" w:rsidRPr="00770477">
        <w:rPr>
          <w:rFonts w:cs="Times New Roman"/>
          <w:vertAlign w:val="superscript"/>
        </w:rPr>
        <w:t>-1</w:t>
      </w:r>
      <w:r w:rsidR="00540152" w:rsidRPr="00770477">
        <w:rPr>
          <w:rFonts w:cs="Times New Roman"/>
        </w:rPr>
        <w:t xml:space="preserve"> cm</w:t>
      </w:r>
      <w:r w:rsidR="00540152" w:rsidRPr="00770477">
        <w:rPr>
          <w:rFonts w:cs="Times New Roman"/>
          <w:vertAlign w:val="superscript"/>
        </w:rPr>
        <w:t>-3</w:t>
      </w:r>
      <w:r w:rsidR="00540152" w:rsidRPr="00770477">
        <w:rPr>
          <w:rFonts w:cs="Times New Roman"/>
        </w:rPr>
        <w:t>).</w:t>
      </w:r>
      <w:r w:rsidR="00861B32" w:rsidRPr="00770477">
        <w:rPr>
          <w:rFonts w:cs="Times New Roman"/>
        </w:rPr>
        <w:t xml:space="preserve"> </w:t>
      </w:r>
      <w:r w:rsidR="00B63AAF" w:rsidRPr="00770477">
        <w:rPr>
          <w:rFonts w:cs="Times New Roman"/>
        </w:rPr>
        <w:t xml:space="preserve">Similar to </w:t>
      </w:r>
      <w:proofErr w:type="gramStart"/>
      <w:r w:rsidR="00B63AAF" w:rsidRPr="00770477">
        <w:rPr>
          <w:rFonts w:cs="Times New Roman"/>
        </w:rPr>
        <w:t xml:space="preserve">small </w:t>
      </w:r>
      <w:r w:rsidR="00035E26">
        <w:rPr>
          <w:rFonts w:cs="Times New Roman"/>
        </w:rPr>
        <w:t>aggregated</w:t>
      </w:r>
      <w:proofErr w:type="gramEnd"/>
      <w:r w:rsidR="00035E26">
        <w:rPr>
          <w:rFonts w:cs="Times New Roman"/>
        </w:rPr>
        <w:t xml:space="preserve"> fly ash</w:t>
      </w:r>
      <w:r w:rsidR="00B63AAF" w:rsidRPr="00770477">
        <w:rPr>
          <w:rFonts w:cs="Times New Roman"/>
        </w:rPr>
        <w:t>, the small biochar resulted in a separation between the vertical and horizontal column runs</w:t>
      </w:r>
      <w:r w:rsidR="0073444D" w:rsidRPr="00770477">
        <w:rPr>
          <w:rFonts w:cs="Times New Roman"/>
        </w:rPr>
        <w:t xml:space="preserve"> in terms of magnitude, </w:t>
      </w:r>
      <w:r w:rsidR="009A5FC2" w:rsidRPr="00770477">
        <w:rPr>
          <w:rFonts w:cs="Times New Roman"/>
        </w:rPr>
        <w:t xml:space="preserve">although visually, the same trend is observed. </w:t>
      </w:r>
      <w:r w:rsidR="004D516A" w:rsidRPr="00770477">
        <w:rPr>
          <w:rFonts w:cs="Times New Roman"/>
        </w:rPr>
        <w:t xml:space="preserve">In the vertical column, small biochar initially is removing </w:t>
      </w:r>
      <w:proofErr w:type="gramStart"/>
      <w:r w:rsidR="00116540">
        <w:rPr>
          <w:rFonts w:cs="Times New Roman"/>
        </w:rPr>
        <w:t>As</w:t>
      </w:r>
      <w:proofErr w:type="gramEnd"/>
      <w:r w:rsidR="00116540" w:rsidRPr="009E5089">
        <w:rPr>
          <w:rFonts w:cs="Times New Roman"/>
          <w:vertAlign w:val="superscript"/>
        </w:rPr>
        <w:t>+5</w:t>
      </w:r>
      <w:r w:rsidR="004D516A" w:rsidRPr="00770477">
        <w:rPr>
          <w:rFonts w:cs="Times New Roman"/>
        </w:rPr>
        <w:t xml:space="preserve"> at a rate of ~0.01 µg hr</w:t>
      </w:r>
      <w:r w:rsidR="004D516A" w:rsidRPr="00770477">
        <w:rPr>
          <w:rFonts w:cs="Times New Roman"/>
          <w:vertAlign w:val="superscript"/>
        </w:rPr>
        <w:t>-1</w:t>
      </w:r>
      <w:r w:rsidR="004D516A" w:rsidRPr="00770477">
        <w:rPr>
          <w:rFonts w:cs="Times New Roman"/>
        </w:rPr>
        <w:t xml:space="preserve"> cm</w:t>
      </w:r>
      <w:r w:rsidR="004D516A" w:rsidRPr="00770477">
        <w:rPr>
          <w:rFonts w:cs="Times New Roman"/>
          <w:vertAlign w:val="superscript"/>
        </w:rPr>
        <w:t>-3</w:t>
      </w:r>
      <w:r w:rsidR="006239C6" w:rsidRPr="00770477">
        <w:rPr>
          <w:rFonts w:cs="Times New Roman"/>
        </w:rPr>
        <w:t xml:space="preserve"> followed by a reduction in removal to just above 0.005 µg hr</w:t>
      </w:r>
      <w:r w:rsidR="006239C6" w:rsidRPr="00770477">
        <w:rPr>
          <w:rFonts w:cs="Times New Roman"/>
          <w:vertAlign w:val="superscript"/>
        </w:rPr>
        <w:t>-1</w:t>
      </w:r>
      <w:r w:rsidR="006239C6" w:rsidRPr="00770477">
        <w:rPr>
          <w:rFonts w:cs="Times New Roman"/>
        </w:rPr>
        <w:t xml:space="preserve"> cm</w:t>
      </w:r>
      <w:r w:rsidR="006239C6" w:rsidRPr="00770477">
        <w:rPr>
          <w:rFonts w:cs="Times New Roman"/>
          <w:vertAlign w:val="superscript"/>
        </w:rPr>
        <w:t>-3</w:t>
      </w:r>
      <w:r w:rsidR="00702412" w:rsidRPr="00770477">
        <w:rPr>
          <w:rFonts w:cs="Times New Roman"/>
        </w:rPr>
        <w:t xml:space="preserve"> for the next two sample points. Removal appears to increase once again </w:t>
      </w:r>
      <w:r w:rsidR="00344656" w:rsidRPr="00770477">
        <w:rPr>
          <w:rFonts w:cs="Times New Roman"/>
        </w:rPr>
        <w:t xml:space="preserve">around 300 µg, but a breakthrough is </w:t>
      </w:r>
      <w:r w:rsidR="0093182E" w:rsidRPr="00770477">
        <w:rPr>
          <w:rFonts w:cs="Times New Roman"/>
        </w:rPr>
        <w:t xml:space="preserve">quickly achieved soon after. By 800 µg, the vertical column is predicting leaching of </w:t>
      </w:r>
      <w:proofErr w:type="gramStart"/>
      <w:r w:rsidR="000974A2">
        <w:rPr>
          <w:rFonts w:cs="Times New Roman"/>
        </w:rPr>
        <w:t>As</w:t>
      </w:r>
      <w:proofErr w:type="gramEnd"/>
      <w:r w:rsidR="000974A2" w:rsidRPr="009E5089">
        <w:rPr>
          <w:rFonts w:cs="Times New Roman"/>
          <w:vertAlign w:val="superscript"/>
        </w:rPr>
        <w:t>+5</w:t>
      </w:r>
      <w:r w:rsidR="00C1618F" w:rsidRPr="00770477">
        <w:rPr>
          <w:rFonts w:cs="Times New Roman"/>
        </w:rPr>
        <w:t>, however by approximately 1300 µg the system appears to reach equilibrium with a removal rate at or near 0.00 µg hr</w:t>
      </w:r>
      <w:r w:rsidR="00C1618F" w:rsidRPr="00770477">
        <w:rPr>
          <w:rFonts w:cs="Times New Roman"/>
          <w:vertAlign w:val="superscript"/>
        </w:rPr>
        <w:t>-1</w:t>
      </w:r>
      <w:r w:rsidR="00C1618F" w:rsidRPr="00770477">
        <w:rPr>
          <w:rFonts w:cs="Times New Roman"/>
        </w:rPr>
        <w:t xml:space="preserve"> cm</w:t>
      </w:r>
      <w:r w:rsidR="00C1618F" w:rsidRPr="00770477">
        <w:rPr>
          <w:rFonts w:cs="Times New Roman"/>
          <w:vertAlign w:val="superscript"/>
        </w:rPr>
        <w:t>-3</w:t>
      </w:r>
      <w:r w:rsidR="00C1618F" w:rsidRPr="00770477">
        <w:rPr>
          <w:rFonts w:cs="Times New Roman"/>
        </w:rPr>
        <w:t xml:space="preserve">. </w:t>
      </w:r>
      <w:r w:rsidR="00934340" w:rsidRPr="00770477">
        <w:rPr>
          <w:rFonts w:cs="Times New Roman"/>
        </w:rPr>
        <w:t xml:space="preserve">As mentioned, the horizontal column experiment yielded similar results only at smaller magnitudes. The same </w:t>
      </w:r>
      <w:r w:rsidR="002E7AB8" w:rsidRPr="00770477">
        <w:rPr>
          <w:rFonts w:cs="Times New Roman"/>
        </w:rPr>
        <w:t>process of reducing removal rate, followed by a slight increase in removal rate</w:t>
      </w:r>
      <w:r w:rsidR="00952855" w:rsidRPr="00770477">
        <w:rPr>
          <w:rFonts w:cs="Times New Roman"/>
        </w:rPr>
        <w:t xml:space="preserve"> then leaching is observed for the horizontal column, although </w:t>
      </w:r>
      <w:r w:rsidR="009D4043" w:rsidRPr="00770477">
        <w:rPr>
          <w:rFonts w:cs="Times New Roman"/>
        </w:rPr>
        <w:t>results stay between just below 0.00 µg hr</w:t>
      </w:r>
      <w:r w:rsidR="009D4043" w:rsidRPr="00770477">
        <w:rPr>
          <w:rFonts w:cs="Times New Roman"/>
          <w:vertAlign w:val="superscript"/>
        </w:rPr>
        <w:t>-1</w:t>
      </w:r>
      <w:r w:rsidR="009D4043" w:rsidRPr="00770477">
        <w:rPr>
          <w:rFonts w:cs="Times New Roman"/>
        </w:rPr>
        <w:t xml:space="preserve"> cm</w:t>
      </w:r>
      <w:r w:rsidR="009D4043" w:rsidRPr="00770477">
        <w:rPr>
          <w:rFonts w:cs="Times New Roman"/>
          <w:vertAlign w:val="superscript"/>
        </w:rPr>
        <w:t>-3</w:t>
      </w:r>
      <w:r w:rsidR="009D4043" w:rsidRPr="00770477">
        <w:rPr>
          <w:rFonts w:cs="Times New Roman"/>
        </w:rPr>
        <w:t xml:space="preserve"> and 0.0025 µg hr</w:t>
      </w:r>
      <w:r w:rsidR="009D4043" w:rsidRPr="00770477">
        <w:rPr>
          <w:rFonts w:cs="Times New Roman"/>
          <w:vertAlign w:val="superscript"/>
        </w:rPr>
        <w:t>-1</w:t>
      </w:r>
      <w:r w:rsidR="009D4043" w:rsidRPr="00770477">
        <w:rPr>
          <w:rFonts w:cs="Times New Roman"/>
        </w:rPr>
        <w:t xml:space="preserve"> cm</w:t>
      </w:r>
      <w:r w:rsidR="009D4043" w:rsidRPr="00770477">
        <w:rPr>
          <w:rFonts w:cs="Times New Roman"/>
          <w:vertAlign w:val="superscript"/>
        </w:rPr>
        <w:t>-3</w:t>
      </w:r>
      <w:r w:rsidR="009D4043" w:rsidRPr="00770477">
        <w:rPr>
          <w:rFonts w:cs="Times New Roman"/>
        </w:rPr>
        <w:t xml:space="preserve">. </w:t>
      </w:r>
      <w:r w:rsidR="00F17DC4" w:rsidRPr="00770477">
        <w:rPr>
          <w:rFonts w:cs="Times New Roman"/>
        </w:rPr>
        <w:t xml:space="preserve">This range is also applicable to the horizontal control column which is also </w:t>
      </w:r>
      <w:r w:rsidR="00A47352" w:rsidRPr="00770477">
        <w:rPr>
          <w:rFonts w:cs="Times New Roman"/>
        </w:rPr>
        <w:t>shown and</w:t>
      </w:r>
      <w:r w:rsidR="00F17DC4" w:rsidRPr="00770477">
        <w:rPr>
          <w:rFonts w:cs="Times New Roman"/>
        </w:rPr>
        <w:t xml:space="preserve"> constitutes no source of </w:t>
      </w:r>
      <w:proofErr w:type="gramStart"/>
      <w:r w:rsidR="000974A2">
        <w:rPr>
          <w:rFonts w:cs="Times New Roman"/>
        </w:rPr>
        <w:t>As</w:t>
      </w:r>
      <w:proofErr w:type="gramEnd"/>
      <w:r w:rsidR="000974A2" w:rsidRPr="009E5089">
        <w:rPr>
          <w:rFonts w:cs="Times New Roman"/>
          <w:vertAlign w:val="superscript"/>
        </w:rPr>
        <w:t>+5</w:t>
      </w:r>
      <w:r w:rsidR="00F17DC4" w:rsidRPr="00770477">
        <w:rPr>
          <w:rFonts w:cs="Times New Roman"/>
        </w:rPr>
        <w:t xml:space="preserve"> removal to the system. </w:t>
      </w:r>
    </w:p>
    <w:p w14:paraId="5B4A7231" w14:textId="2E25C14A" w:rsidR="00FF426E" w:rsidRPr="00770477" w:rsidRDefault="00600CE7" w:rsidP="00600CE7">
      <w:pPr>
        <w:spacing w:line="240" w:lineRule="auto"/>
        <w:rPr>
          <w:rFonts w:cs="Times New Roman"/>
        </w:rPr>
      </w:pPr>
      <w:r w:rsidRPr="00770477">
        <w:rPr>
          <w:rFonts w:cs="Times New Roman"/>
        </w:rPr>
        <w:br w:type="page"/>
      </w:r>
    </w:p>
    <w:p w14:paraId="71CCC38E" w14:textId="77777777" w:rsidR="00B73521" w:rsidRPr="00770477" w:rsidRDefault="00BD37A9" w:rsidP="00B73521">
      <w:pPr>
        <w:keepNext/>
        <w:rPr>
          <w:rFonts w:cs="Times New Roman"/>
        </w:rPr>
      </w:pPr>
      <w:r w:rsidRPr="00770477">
        <w:rPr>
          <w:rFonts w:cs="Times New Roman"/>
          <w:noProof/>
        </w:rPr>
        <w:lastRenderedPageBreak/>
        <w:drawing>
          <wp:anchor distT="0" distB="0" distL="114300" distR="114300" simplePos="0" relativeHeight="251670535" behindDoc="0" locked="0" layoutInCell="1" allowOverlap="1" wp14:anchorId="6109097C" wp14:editId="2083CE29">
            <wp:simplePos x="0" y="0"/>
            <wp:positionH relativeFrom="margin">
              <wp:align>center</wp:align>
            </wp:positionH>
            <wp:positionV relativeFrom="margin">
              <wp:align>top</wp:align>
            </wp:positionV>
            <wp:extent cx="5840544" cy="4114800"/>
            <wp:effectExtent l="0" t="0" r="1905"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40544" cy="4114800"/>
                    </a:xfrm>
                    <a:prstGeom prst="rect">
                      <a:avLst/>
                    </a:prstGeom>
                    <a:noFill/>
                  </pic:spPr>
                </pic:pic>
              </a:graphicData>
            </a:graphic>
          </wp:anchor>
        </w:drawing>
      </w:r>
    </w:p>
    <w:p w14:paraId="3767537C" w14:textId="10610CF0" w:rsidR="00B73521" w:rsidRPr="00770477" w:rsidRDefault="00B73521" w:rsidP="00AE1144">
      <w:pPr>
        <w:pStyle w:val="Caption"/>
        <w:spacing w:line="240" w:lineRule="auto"/>
        <w:rPr>
          <w:rFonts w:cs="Times New Roman"/>
        </w:rPr>
      </w:pPr>
      <w:bookmarkStart w:id="149" w:name="_Toc121489519"/>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24</w:t>
      </w:r>
      <w:r w:rsidRPr="00770477">
        <w:rPr>
          <w:rFonts w:cs="Times New Roman"/>
          <w:noProof/>
        </w:rPr>
        <w:fldChar w:fldCharType="end"/>
      </w:r>
      <w:r w:rsidRPr="00770477">
        <w:rPr>
          <w:rFonts w:cs="Times New Roman"/>
        </w:rPr>
        <w:t xml:space="preserve"> </w:t>
      </w:r>
      <w:r w:rsidR="00204361">
        <w:rPr>
          <w:rFonts w:cs="Times New Roman"/>
        </w:rPr>
        <w:t xml:space="preserve">Comparison </w:t>
      </w:r>
      <w:r w:rsidR="00EE72FE">
        <w:rPr>
          <w:rFonts w:cs="Times New Roman"/>
        </w:rPr>
        <w:t>of</w:t>
      </w:r>
      <w:r w:rsidR="00204361">
        <w:rPr>
          <w:rFonts w:cs="Times New Roman"/>
        </w:rPr>
        <w:t xml:space="preserve"> column orientation</w:t>
      </w:r>
      <w:r w:rsidR="00EE72FE">
        <w:rPr>
          <w:rFonts w:cs="Times New Roman"/>
        </w:rPr>
        <w:t xml:space="preserve"> on</w:t>
      </w:r>
      <w:r w:rsidR="00204361">
        <w:rPr>
          <w:rFonts w:cs="Times New Roman"/>
        </w:rPr>
        <w:t xml:space="preserve"> the mass removal rate (MRR) of </w:t>
      </w:r>
      <w:proofErr w:type="gramStart"/>
      <w:r w:rsidR="00204361">
        <w:rPr>
          <w:rFonts w:cs="Times New Roman"/>
        </w:rPr>
        <w:t>As</w:t>
      </w:r>
      <w:proofErr w:type="gramEnd"/>
      <w:r w:rsidR="00204361">
        <w:rPr>
          <w:rFonts w:cs="Times New Roman"/>
          <w:vertAlign w:val="superscript"/>
        </w:rPr>
        <w:t>+5</w:t>
      </w:r>
      <w:r w:rsidR="00204361">
        <w:rPr>
          <w:rFonts w:cs="Times New Roman"/>
        </w:rPr>
        <w:t xml:space="preserve"> per media volume (MV) of small biochar against cumulative </w:t>
      </w:r>
      <w:r w:rsidR="0093290B">
        <w:rPr>
          <w:rFonts w:cs="Times New Roman"/>
        </w:rPr>
        <w:t>As</w:t>
      </w:r>
      <w:r w:rsidR="0093290B">
        <w:rPr>
          <w:rFonts w:cs="Times New Roman"/>
          <w:vertAlign w:val="superscript"/>
        </w:rPr>
        <w:t xml:space="preserve">+5 </w:t>
      </w:r>
      <w:r w:rsidR="00204361">
        <w:rPr>
          <w:rFonts w:cs="Times New Roman"/>
        </w:rPr>
        <w:t>input.</w:t>
      </w:r>
      <w:bookmarkEnd w:id="149"/>
    </w:p>
    <w:p w14:paraId="1BBA8CEA" w14:textId="5FE6F6A0" w:rsidR="00A71E9B" w:rsidRPr="00770477" w:rsidRDefault="00B73521" w:rsidP="00B73521">
      <w:pPr>
        <w:spacing w:line="240" w:lineRule="auto"/>
        <w:rPr>
          <w:rFonts w:cs="Times New Roman"/>
          <w:i/>
          <w:iCs/>
          <w:color w:val="44546A" w:themeColor="text2"/>
          <w:sz w:val="18"/>
          <w:szCs w:val="18"/>
        </w:rPr>
      </w:pPr>
      <w:r w:rsidRPr="00770477">
        <w:rPr>
          <w:rFonts w:cs="Times New Roman"/>
        </w:rPr>
        <w:br w:type="page"/>
      </w:r>
    </w:p>
    <w:p w14:paraId="20B7C912" w14:textId="77777777" w:rsidR="00600CE7" w:rsidRPr="00770477" w:rsidRDefault="00AB3F94" w:rsidP="00600CE7">
      <w:pPr>
        <w:pStyle w:val="Heading4"/>
        <w:rPr>
          <w:rFonts w:ascii="Times New Roman" w:hAnsi="Times New Roman" w:cs="Times New Roman"/>
        </w:rPr>
      </w:pPr>
      <w:bookmarkStart w:id="150" w:name="_Toc121496024"/>
      <w:r w:rsidRPr="00770477">
        <w:rPr>
          <w:rFonts w:ascii="Times New Roman" w:hAnsi="Times New Roman" w:cs="Times New Roman"/>
        </w:rPr>
        <w:lastRenderedPageBreak/>
        <w:t>Phosphorus</w:t>
      </w:r>
      <w:bookmarkEnd w:id="150"/>
    </w:p>
    <w:p w14:paraId="49DDB179" w14:textId="3BD21915" w:rsidR="00600CE7" w:rsidRPr="00770477" w:rsidRDefault="00393080" w:rsidP="006122A5">
      <w:pPr>
        <w:rPr>
          <w:rFonts w:cs="Times New Roman"/>
        </w:rPr>
      </w:pPr>
      <w:r w:rsidRPr="00770477">
        <w:rPr>
          <w:rFonts w:cs="Times New Roman"/>
        </w:rPr>
        <w:t xml:space="preserve">Small steel slag results in the vertical column experiment yielded a similar </w:t>
      </w:r>
      <w:r w:rsidR="00270DBF" w:rsidRPr="00770477">
        <w:rPr>
          <w:rFonts w:cs="Times New Roman"/>
        </w:rPr>
        <w:t xml:space="preserve">analysis as was shown in the </w:t>
      </w:r>
      <w:proofErr w:type="gramStart"/>
      <w:r w:rsidR="000974A2">
        <w:rPr>
          <w:rFonts w:cs="Times New Roman"/>
        </w:rPr>
        <w:t>As</w:t>
      </w:r>
      <w:proofErr w:type="gramEnd"/>
      <w:r w:rsidR="000974A2" w:rsidRPr="009E5089">
        <w:rPr>
          <w:rFonts w:cs="Times New Roman"/>
          <w:vertAlign w:val="superscript"/>
        </w:rPr>
        <w:t>+5</w:t>
      </w:r>
      <w:r w:rsidR="00270DBF" w:rsidRPr="00770477">
        <w:rPr>
          <w:rFonts w:cs="Times New Roman"/>
        </w:rPr>
        <w:t xml:space="preserve"> removal analysis. In early portions of the experiment when not much P had been passed into the column, small steel slag removed P at the highest rate (just below </w:t>
      </w:r>
      <w:r w:rsidR="006122A5" w:rsidRPr="00770477">
        <w:rPr>
          <w:rFonts w:cs="Times New Roman"/>
        </w:rPr>
        <w:t>0.5 µg hr</w:t>
      </w:r>
      <w:r w:rsidR="006122A5" w:rsidRPr="00770477">
        <w:rPr>
          <w:rFonts w:cs="Times New Roman"/>
          <w:vertAlign w:val="superscript"/>
        </w:rPr>
        <w:t>-1</w:t>
      </w:r>
      <w:r w:rsidR="006122A5" w:rsidRPr="00770477">
        <w:rPr>
          <w:rFonts w:cs="Times New Roman"/>
        </w:rPr>
        <w:t xml:space="preserve"> cm</w:t>
      </w:r>
      <w:r w:rsidR="006122A5" w:rsidRPr="00770477">
        <w:rPr>
          <w:rFonts w:cs="Times New Roman"/>
          <w:vertAlign w:val="superscript"/>
        </w:rPr>
        <w:t>-3</w:t>
      </w:r>
      <w:r w:rsidR="006122A5" w:rsidRPr="00770477">
        <w:rPr>
          <w:rFonts w:cs="Times New Roman"/>
        </w:rPr>
        <w:t xml:space="preserve">). The removal rate then </w:t>
      </w:r>
      <w:r w:rsidR="00C3729C" w:rsidRPr="00770477">
        <w:rPr>
          <w:rFonts w:cs="Times New Roman"/>
        </w:rPr>
        <w:t xml:space="preserve">steadily declined as more P was passed into the system. Interestingly however, the final point in the vertical column experiment yielded a removal rate that was </w:t>
      </w:r>
      <w:r w:rsidR="008F4892" w:rsidRPr="00770477">
        <w:rPr>
          <w:rFonts w:cs="Times New Roman"/>
        </w:rPr>
        <w:t xml:space="preserve">higher than the removal rate previously measured. Without further data provided, </w:t>
      </w:r>
      <w:r w:rsidR="0038754B" w:rsidRPr="00770477">
        <w:rPr>
          <w:rFonts w:cs="Times New Roman"/>
        </w:rPr>
        <w:t xml:space="preserve">determining this point as an outlier, natural variation in the data, or representing a potential trend is unknown. </w:t>
      </w:r>
      <w:r w:rsidR="00D70A0B" w:rsidRPr="00770477">
        <w:rPr>
          <w:rFonts w:cs="Times New Roman"/>
        </w:rPr>
        <w:t>The horizontal column experiment yielded a MRR MV</w:t>
      </w:r>
      <w:r w:rsidR="00D70A0B" w:rsidRPr="00770477">
        <w:rPr>
          <w:rFonts w:cs="Times New Roman"/>
          <w:vertAlign w:val="superscript"/>
        </w:rPr>
        <w:t>-1</w:t>
      </w:r>
      <w:r w:rsidR="00D70A0B" w:rsidRPr="00770477">
        <w:rPr>
          <w:rFonts w:cs="Times New Roman"/>
        </w:rPr>
        <w:t xml:space="preserve"> </w:t>
      </w:r>
      <w:r w:rsidR="005343A2" w:rsidRPr="00770477">
        <w:rPr>
          <w:rFonts w:cs="Times New Roman"/>
        </w:rPr>
        <w:t xml:space="preserve">trend that demonstrated an increase in removal with an increase in P passed into the system. </w:t>
      </w:r>
      <w:r w:rsidR="0081707A" w:rsidRPr="00770477">
        <w:rPr>
          <w:rFonts w:cs="Times New Roman"/>
        </w:rPr>
        <w:t xml:space="preserve">The horizontal control column shows a trend with </w:t>
      </w:r>
      <w:r w:rsidR="00FA28D7" w:rsidRPr="00770477">
        <w:rPr>
          <w:rFonts w:cs="Times New Roman"/>
        </w:rPr>
        <w:t>a moderate initial removal (0.18 µg hr</w:t>
      </w:r>
      <w:r w:rsidR="00FA28D7" w:rsidRPr="00770477">
        <w:rPr>
          <w:rFonts w:cs="Times New Roman"/>
          <w:vertAlign w:val="superscript"/>
        </w:rPr>
        <w:t>-1</w:t>
      </w:r>
      <w:r w:rsidR="00FA28D7" w:rsidRPr="00770477">
        <w:rPr>
          <w:rFonts w:cs="Times New Roman"/>
        </w:rPr>
        <w:t xml:space="preserve"> cm</w:t>
      </w:r>
      <w:r w:rsidR="00FA28D7" w:rsidRPr="00770477">
        <w:rPr>
          <w:rFonts w:cs="Times New Roman"/>
          <w:vertAlign w:val="superscript"/>
        </w:rPr>
        <w:t>-3</w:t>
      </w:r>
      <w:r w:rsidR="00FA28D7" w:rsidRPr="00770477">
        <w:rPr>
          <w:rFonts w:cs="Times New Roman"/>
        </w:rPr>
        <w:t xml:space="preserve">) </w:t>
      </w:r>
      <w:r w:rsidR="008B6FD2" w:rsidRPr="00770477">
        <w:rPr>
          <w:rFonts w:cs="Times New Roman"/>
        </w:rPr>
        <w:t>and the removal rate quickly dropping off to 0 µg hr</w:t>
      </w:r>
      <w:r w:rsidR="008B6FD2" w:rsidRPr="00770477">
        <w:rPr>
          <w:rFonts w:cs="Times New Roman"/>
          <w:vertAlign w:val="superscript"/>
        </w:rPr>
        <w:t>-1</w:t>
      </w:r>
      <w:r w:rsidR="008B6FD2" w:rsidRPr="00770477">
        <w:rPr>
          <w:rFonts w:cs="Times New Roman"/>
        </w:rPr>
        <w:t xml:space="preserve"> cm</w:t>
      </w:r>
      <w:r w:rsidR="008B6FD2" w:rsidRPr="00770477">
        <w:rPr>
          <w:rFonts w:cs="Times New Roman"/>
          <w:vertAlign w:val="superscript"/>
        </w:rPr>
        <w:t>-3</w:t>
      </w:r>
      <w:r w:rsidR="008B6FD2" w:rsidRPr="00770477">
        <w:rPr>
          <w:rFonts w:cs="Times New Roman"/>
        </w:rPr>
        <w:t xml:space="preserve"> by the time 3 µg P has been passed through the system. </w:t>
      </w:r>
      <w:r w:rsidR="008931B2" w:rsidRPr="00770477">
        <w:rPr>
          <w:rFonts w:cs="Times New Roman"/>
        </w:rPr>
        <w:t xml:space="preserve">In comparison, as the horizontal control column declines in </w:t>
      </w:r>
      <w:r w:rsidR="00A927C2" w:rsidRPr="00770477">
        <w:rPr>
          <w:rFonts w:cs="Times New Roman"/>
        </w:rPr>
        <w:t>removal rate, the horizontal column increases.</w:t>
      </w:r>
    </w:p>
    <w:p w14:paraId="1E54FE4D" w14:textId="6802AE18" w:rsidR="00B73521" w:rsidRPr="00770477" w:rsidRDefault="00B73521" w:rsidP="00600CE7">
      <w:pPr>
        <w:pStyle w:val="Heading4"/>
        <w:numPr>
          <w:ilvl w:val="0"/>
          <w:numId w:val="0"/>
        </w:numPr>
        <w:rPr>
          <w:rFonts w:ascii="Times New Roman" w:hAnsi="Times New Roman" w:cs="Times New Roman"/>
        </w:rPr>
      </w:pPr>
      <w:r w:rsidRPr="00770477">
        <w:rPr>
          <w:rFonts w:ascii="Times New Roman" w:hAnsi="Times New Roman" w:cs="Times New Roman"/>
        </w:rPr>
        <w:br w:type="page"/>
      </w:r>
    </w:p>
    <w:p w14:paraId="79B04915" w14:textId="77777777" w:rsidR="00B73521" w:rsidRPr="00770477" w:rsidRDefault="00BD37A9" w:rsidP="00B73521">
      <w:pPr>
        <w:keepNext/>
        <w:rPr>
          <w:rFonts w:cs="Times New Roman"/>
        </w:rPr>
      </w:pPr>
      <w:r w:rsidRPr="00770477">
        <w:rPr>
          <w:rFonts w:cs="Times New Roman"/>
          <w:noProof/>
        </w:rPr>
        <w:lastRenderedPageBreak/>
        <w:drawing>
          <wp:anchor distT="0" distB="0" distL="114300" distR="114300" simplePos="0" relativeHeight="251671559" behindDoc="0" locked="0" layoutInCell="1" allowOverlap="1" wp14:anchorId="3D0C57CA" wp14:editId="6C5DEC30">
            <wp:simplePos x="0" y="0"/>
            <wp:positionH relativeFrom="margin">
              <wp:align>center</wp:align>
            </wp:positionH>
            <wp:positionV relativeFrom="margin">
              <wp:align>top</wp:align>
            </wp:positionV>
            <wp:extent cx="5840544" cy="4114800"/>
            <wp:effectExtent l="0" t="0" r="1905"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40544" cy="4114800"/>
                    </a:xfrm>
                    <a:prstGeom prst="rect">
                      <a:avLst/>
                    </a:prstGeom>
                    <a:noFill/>
                  </pic:spPr>
                </pic:pic>
              </a:graphicData>
            </a:graphic>
          </wp:anchor>
        </w:drawing>
      </w:r>
    </w:p>
    <w:p w14:paraId="6E3203D1" w14:textId="547F016D" w:rsidR="00B73521" w:rsidRPr="00770477" w:rsidRDefault="00B73521" w:rsidP="00AE1144">
      <w:pPr>
        <w:pStyle w:val="Caption"/>
        <w:spacing w:line="240" w:lineRule="auto"/>
        <w:rPr>
          <w:rFonts w:cs="Times New Roman"/>
        </w:rPr>
      </w:pPr>
      <w:bookmarkStart w:id="151" w:name="_Toc121489520"/>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25</w:t>
      </w:r>
      <w:r w:rsidRPr="00770477">
        <w:rPr>
          <w:rFonts w:cs="Times New Roman"/>
          <w:noProof/>
        </w:rPr>
        <w:fldChar w:fldCharType="end"/>
      </w:r>
      <w:r w:rsidRPr="00770477">
        <w:rPr>
          <w:rFonts w:cs="Times New Roman"/>
        </w:rPr>
        <w:t xml:space="preserve"> </w:t>
      </w:r>
      <w:r w:rsidR="00EE72FE">
        <w:rPr>
          <w:rFonts w:cs="Times New Roman"/>
        </w:rPr>
        <w:t>Comparison of column orientation on the mass removal rate (MRR) of</w:t>
      </w:r>
      <w:r w:rsidR="00EE72FE">
        <w:rPr>
          <w:rFonts w:cs="Times New Roman"/>
          <w:vertAlign w:val="superscript"/>
        </w:rPr>
        <w:t xml:space="preserve"> </w:t>
      </w:r>
      <w:r w:rsidR="00EE72FE">
        <w:rPr>
          <w:rFonts w:cs="Times New Roman"/>
        </w:rPr>
        <w:t xml:space="preserve">P per media volume (MV) of small </w:t>
      </w:r>
      <w:r w:rsidR="0093290B">
        <w:rPr>
          <w:rFonts w:cs="Times New Roman"/>
        </w:rPr>
        <w:t>steel slag</w:t>
      </w:r>
      <w:r w:rsidR="00EE72FE">
        <w:rPr>
          <w:rFonts w:cs="Times New Roman"/>
        </w:rPr>
        <w:t xml:space="preserve"> against cumulative P input.</w:t>
      </w:r>
      <w:bookmarkEnd w:id="151"/>
    </w:p>
    <w:p w14:paraId="31071AAC" w14:textId="77777777" w:rsidR="00B73521" w:rsidRPr="00770477" w:rsidRDefault="00B73521">
      <w:pPr>
        <w:spacing w:line="240" w:lineRule="auto"/>
        <w:rPr>
          <w:rFonts w:cs="Times New Roman"/>
          <w:i/>
          <w:iCs/>
          <w:color w:val="44546A" w:themeColor="text2"/>
          <w:sz w:val="18"/>
          <w:szCs w:val="18"/>
        </w:rPr>
      </w:pPr>
      <w:r w:rsidRPr="00770477">
        <w:rPr>
          <w:rFonts w:cs="Times New Roman"/>
        </w:rPr>
        <w:br w:type="page"/>
      </w:r>
    </w:p>
    <w:p w14:paraId="4C790618" w14:textId="59780599" w:rsidR="00BD37A9" w:rsidRPr="00770477" w:rsidRDefault="00340BF7" w:rsidP="00340BF7">
      <w:pPr>
        <w:rPr>
          <w:rFonts w:cs="Times New Roman"/>
        </w:rPr>
      </w:pPr>
      <w:proofErr w:type="gramStart"/>
      <w:r w:rsidRPr="00770477">
        <w:rPr>
          <w:rFonts w:cs="Times New Roman"/>
        </w:rPr>
        <w:lastRenderedPageBreak/>
        <w:t xml:space="preserve">Small </w:t>
      </w:r>
      <w:r w:rsidR="00035E26">
        <w:rPr>
          <w:rFonts w:cs="Times New Roman"/>
        </w:rPr>
        <w:t>aggregated</w:t>
      </w:r>
      <w:proofErr w:type="gramEnd"/>
      <w:r w:rsidR="00035E26">
        <w:rPr>
          <w:rFonts w:cs="Times New Roman"/>
        </w:rPr>
        <w:t xml:space="preserve"> fly ash</w:t>
      </w:r>
      <w:r w:rsidRPr="00770477">
        <w:rPr>
          <w:rFonts w:cs="Times New Roman"/>
        </w:rPr>
        <w:t xml:space="preserve"> yielded</w:t>
      </w:r>
      <w:r w:rsidR="002B330F" w:rsidRPr="00770477">
        <w:rPr>
          <w:rFonts w:cs="Times New Roman"/>
        </w:rPr>
        <w:t xml:space="preserve"> vertical column analysis results demonstrating a maximum removal rate (~</w:t>
      </w:r>
      <w:r w:rsidR="003850B6" w:rsidRPr="00770477">
        <w:rPr>
          <w:rFonts w:cs="Times New Roman"/>
        </w:rPr>
        <w:t>0.38 µg hr</w:t>
      </w:r>
      <w:r w:rsidR="003850B6" w:rsidRPr="00770477">
        <w:rPr>
          <w:rFonts w:cs="Times New Roman"/>
          <w:vertAlign w:val="superscript"/>
        </w:rPr>
        <w:t>-1</w:t>
      </w:r>
      <w:r w:rsidR="003850B6" w:rsidRPr="00770477">
        <w:rPr>
          <w:rFonts w:cs="Times New Roman"/>
        </w:rPr>
        <w:t xml:space="preserve"> cm</w:t>
      </w:r>
      <w:r w:rsidR="003850B6" w:rsidRPr="00770477">
        <w:rPr>
          <w:rFonts w:cs="Times New Roman"/>
          <w:vertAlign w:val="superscript"/>
        </w:rPr>
        <w:t>-3</w:t>
      </w:r>
      <w:r w:rsidR="003850B6" w:rsidRPr="00770477">
        <w:rPr>
          <w:rFonts w:cs="Times New Roman"/>
        </w:rPr>
        <w:t xml:space="preserve">) at the lowest cumulative mass input and </w:t>
      </w:r>
      <w:r w:rsidR="00FF4B9B" w:rsidRPr="00770477">
        <w:rPr>
          <w:rFonts w:cs="Times New Roman"/>
        </w:rPr>
        <w:t xml:space="preserve">the removal rate steadily declining. The media was </w:t>
      </w:r>
      <w:r w:rsidR="00F8441E" w:rsidRPr="00770477">
        <w:rPr>
          <w:rFonts w:cs="Times New Roman"/>
        </w:rPr>
        <w:t xml:space="preserve">unable to remove any more P at around 1000 µg P flushed into the system and the analysis demonstrated </w:t>
      </w:r>
      <w:r w:rsidR="002D7671" w:rsidRPr="00770477">
        <w:rPr>
          <w:rFonts w:cs="Times New Roman"/>
        </w:rPr>
        <w:t xml:space="preserve">the </w:t>
      </w:r>
      <w:proofErr w:type="gramStart"/>
      <w:r w:rsidR="002D7671" w:rsidRPr="00770477">
        <w:rPr>
          <w:rFonts w:cs="Times New Roman"/>
        </w:rPr>
        <w:t xml:space="preserve">small </w:t>
      </w:r>
      <w:r w:rsidR="00035E26">
        <w:rPr>
          <w:rFonts w:cs="Times New Roman"/>
        </w:rPr>
        <w:t>aggregated</w:t>
      </w:r>
      <w:proofErr w:type="gramEnd"/>
      <w:r w:rsidR="00035E26">
        <w:rPr>
          <w:rFonts w:cs="Times New Roman"/>
        </w:rPr>
        <w:t xml:space="preserve"> fly ash</w:t>
      </w:r>
      <w:r w:rsidR="002D7671" w:rsidRPr="00770477">
        <w:rPr>
          <w:rFonts w:cs="Times New Roman"/>
        </w:rPr>
        <w:t xml:space="preserve"> began to leach P back into solution (-0.1 µg hr</w:t>
      </w:r>
      <w:r w:rsidR="002D7671" w:rsidRPr="00770477">
        <w:rPr>
          <w:rFonts w:cs="Times New Roman"/>
          <w:vertAlign w:val="superscript"/>
        </w:rPr>
        <w:t>-1</w:t>
      </w:r>
      <w:r w:rsidR="002D7671" w:rsidRPr="00770477">
        <w:rPr>
          <w:rFonts w:cs="Times New Roman"/>
        </w:rPr>
        <w:t xml:space="preserve"> cm</w:t>
      </w:r>
      <w:r w:rsidR="002D7671" w:rsidRPr="00770477">
        <w:rPr>
          <w:rFonts w:cs="Times New Roman"/>
          <w:vertAlign w:val="superscript"/>
        </w:rPr>
        <w:t>-3</w:t>
      </w:r>
      <w:r w:rsidR="002D7671" w:rsidRPr="00770477">
        <w:rPr>
          <w:rFonts w:cs="Times New Roman"/>
        </w:rPr>
        <w:t xml:space="preserve">). </w:t>
      </w:r>
      <w:r w:rsidR="001F773E" w:rsidRPr="00770477">
        <w:rPr>
          <w:rFonts w:cs="Times New Roman"/>
        </w:rPr>
        <w:t>The</w:t>
      </w:r>
      <w:r w:rsidR="00E76E69" w:rsidRPr="00770477">
        <w:rPr>
          <w:rFonts w:cs="Times New Roman"/>
        </w:rPr>
        <w:t xml:space="preserve"> horizontal</w:t>
      </w:r>
      <w:r w:rsidR="001F773E" w:rsidRPr="00770477">
        <w:rPr>
          <w:rFonts w:cs="Times New Roman"/>
        </w:rPr>
        <w:t xml:space="preserve"> control</w:t>
      </w:r>
      <w:r w:rsidR="00E76E69" w:rsidRPr="00770477">
        <w:rPr>
          <w:rFonts w:cs="Times New Roman"/>
        </w:rPr>
        <w:t xml:space="preserve"> column results </w:t>
      </w:r>
      <w:r w:rsidR="008E6377" w:rsidRPr="00770477">
        <w:rPr>
          <w:rFonts w:cs="Times New Roman"/>
        </w:rPr>
        <w:t>yielded an initial removal in the control column of approximately 0.</w:t>
      </w:r>
      <w:r w:rsidR="001C1B67" w:rsidRPr="00770477">
        <w:rPr>
          <w:rFonts w:cs="Times New Roman"/>
        </w:rPr>
        <w:t>18 µg hr</w:t>
      </w:r>
      <w:r w:rsidR="001C1B67" w:rsidRPr="00770477">
        <w:rPr>
          <w:rFonts w:cs="Times New Roman"/>
          <w:vertAlign w:val="superscript"/>
        </w:rPr>
        <w:t>-1</w:t>
      </w:r>
      <w:r w:rsidR="001C1B67" w:rsidRPr="00770477">
        <w:rPr>
          <w:rFonts w:cs="Times New Roman"/>
        </w:rPr>
        <w:t xml:space="preserve"> cm</w:t>
      </w:r>
      <w:r w:rsidR="001C1B67" w:rsidRPr="00770477">
        <w:rPr>
          <w:rFonts w:cs="Times New Roman"/>
          <w:vertAlign w:val="superscript"/>
        </w:rPr>
        <w:t>-3</w:t>
      </w:r>
      <w:r w:rsidR="001C1B67" w:rsidRPr="00770477">
        <w:rPr>
          <w:rFonts w:cs="Times New Roman"/>
        </w:rPr>
        <w:t xml:space="preserve"> with a steady decline to 0 µg hr</w:t>
      </w:r>
      <w:r w:rsidR="001C1B67" w:rsidRPr="00770477">
        <w:rPr>
          <w:rFonts w:cs="Times New Roman"/>
          <w:vertAlign w:val="superscript"/>
        </w:rPr>
        <w:t>-1</w:t>
      </w:r>
      <w:r w:rsidR="001C1B67" w:rsidRPr="00770477">
        <w:rPr>
          <w:rFonts w:cs="Times New Roman"/>
        </w:rPr>
        <w:t xml:space="preserve"> cm</w:t>
      </w:r>
      <w:r w:rsidR="001C1B67" w:rsidRPr="00770477">
        <w:rPr>
          <w:rFonts w:cs="Times New Roman"/>
          <w:vertAlign w:val="superscript"/>
        </w:rPr>
        <w:t>-3</w:t>
      </w:r>
      <w:r w:rsidR="001C1B67" w:rsidRPr="00770477">
        <w:rPr>
          <w:rFonts w:cs="Times New Roman"/>
        </w:rPr>
        <w:t xml:space="preserve"> by approximately 300 µg P passed through. Conversely, the horizontal column </w:t>
      </w:r>
      <w:r w:rsidR="00A25973" w:rsidRPr="00770477">
        <w:rPr>
          <w:rFonts w:cs="Times New Roman"/>
        </w:rPr>
        <w:t xml:space="preserve">yielded no P removal initially with the removal rate increasing as more P was passed into the system. </w:t>
      </w:r>
      <w:r w:rsidR="00355CB4" w:rsidRPr="00770477">
        <w:rPr>
          <w:rFonts w:cs="Times New Roman"/>
        </w:rPr>
        <w:t>After 100 µg P passed, the horizontal column peaked at a removal rate just below 0.1 µg hr</w:t>
      </w:r>
      <w:r w:rsidR="00355CB4" w:rsidRPr="00770477">
        <w:rPr>
          <w:rFonts w:cs="Times New Roman"/>
          <w:vertAlign w:val="superscript"/>
        </w:rPr>
        <w:t>-1</w:t>
      </w:r>
      <w:r w:rsidR="00355CB4" w:rsidRPr="00770477">
        <w:rPr>
          <w:rFonts w:cs="Times New Roman"/>
        </w:rPr>
        <w:t xml:space="preserve"> cm</w:t>
      </w:r>
      <w:r w:rsidR="00355CB4" w:rsidRPr="00770477">
        <w:rPr>
          <w:rFonts w:cs="Times New Roman"/>
          <w:vertAlign w:val="superscript"/>
        </w:rPr>
        <w:t>-3</w:t>
      </w:r>
      <w:r w:rsidR="00355CB4" w:rsidRPr="00770477">
        <w:rPr>
          <w:rFonts w:cs="Times New Roman"/>
        </w:rPr>
        <w:t xml:space="preserve"> </w:t>
      </w:r>
      <w:r w:rsidR="00DB194D" w:rsidRPr="00770477">
        <w:rPr>
          <w:rFonts w:cs="Times New Roman"/>
        </w:rPr>
        <w:t xml:space="preserve">then began to decline </w:t>
      </w:r>
      <w:r w:rsidR="006403E9" w:rsidRPr="00770477">
        <w:rPr>
          <w:rFonts w:cs="Times New Roman"/>
        </w:rPr>
        <w:t>at a rate</w:t>
      </w:r>
      <w:r w:rsidR="00DB194D" w:rsidRPr="00770477">
        <w:rPr>
          <w:rFonts w:cs="Times New Roman"/>
        </w:rPr>
        <w:t xml:space="preserve"> </w:t>
      </w:r>
      <w:proofErr w:type="gramStart"/>
      <w:r w:rsidR="00DB194D" w:rsidRPr="00770477">
        <w:rPr>
          <w:rFonts w:cs="Times New Roman"/>
        </w:rPr>
        <w:t>similar</w:t>
      </w:r>
      <w:r w:rsidR="006403E9" w:rsidRPr="00770477">
        <w:rPr>
          <w:rFonts w:cs="Times New Roman"/>
        </w:rPr>
        <w:t xml:space="preserve"> to</w:t>
      </w:r>
      <w:proofErr w:type="gramEnd"/>
      <w:r w:rsidR="006403E9" w:rsidRPr="00770477">
        <w:rPr>
          <w:rFonts w:cs="Times New Roman"/>
        </w:rPr>
        <w:t xml:space="preserve"> the</w:t>
      </w:r>
      <w:r w:rsidR="00DB194D" w:rsidRPr="00770477">
        <w:rPr>
          <w:rFonts w:cs="Times New Roman"/>
        </w:rPr>
        <w:t xml:space="preserve"> trend </w:t>
      </w:r>
      <w:r w:rsidR="006403E9" w:rsidRPr="00770477">
        <w:rPr>
          <w:rFonts w:cs="Times New Roman"/>
        </w:rPr>
        <w:t>in the</w:t>
      </w:r>
      <w:r w:rsidR="00DB194D" w:rsidRPr="00770477">
        <w:rPr>
          <w:rFonts w:cs="Times New Roman"/>
        </w:rPr>
        <w:t xml:space="preserve"> vertical column</w:t>
      </w:r>
      <w:r w:rsidR="00EF30FF" w:rsidRPr="00770477">
        <w:rPr>
          <w:rFonts w:cs="Times New Roman"/>
        </w:rPr>
        <w:t>. Exhaustion of the media to remove P in the horizontal experiment was</w:t>
      </w:r>
      <w:r w:rsidR="001A7398" w:rsidRPr="00770477">
        <w:rPr>
          <w:rFonts w:cs="Times New Roman"/>
        </w:rPr>
        <w:t xml:space="preserve"> </w:t>
      </w:r>
      <w:r w:rsidR="00EF30FF" w:rsidRPr="00770477">
        <w:rPr>
          <w:rFonts w:cs="Times New Roman"/>
        </w:rPr>
        <w:t xml:space="preserve">reached </w:t>
      </w:r>
      <w:r w:rsidR="001A7398" w:rsidRPr="00770477">
        <w:rPr>
          <w:rFonts w:cs="Times New Roman"/>
        </w:rPr>
        <w:t xml:space="preserve">right at the termination of the experiment with approximately 400 µg P passed through. </w:t>
      </w:r>
      <w:r w:rsidR="007A1773" w:rsidRPr="00770477">
        <w:rPr>
          <w:rFonts w:cs="Times New Roman"/>
        </w:rPr>
        <w:br w:type="page"/>
      </w:r>
    </w:p>
    <w:p w14:paraId="0D2BAA16" w14:textId="77777777" w:rsidR="00B73521" w:rsidRPr="00770477" w:rsidRDefault="00B77721" w:rsidP="00B73521">
      <w:pPr>
        <w:keepNext/>
        <w:rPr>
          <w:rFonts w:cs="Times New Roman"/>
        </w:rPr>
      </w:pPr>
      <w:r w:rsidRPr="00770477">
        <w:rPr>
          <w:rFonts w:cs="Times New Roman"/>
          <w:noProof/>
        </w:rPr>
        <w:lastRenderedPageBreak/>
        <w:drawing>
          <wp:anchor distT="0" distB="0" distL="114300" distR="114300" simplePos="0" relativeHeight="251672583" behindDoc="0" locked="0" layoutInCell="1" allowOverlap="1" wp14:anchorId="548F18D0" wp14:editId="0CACDCED">
            <wp:simplePos x="0" y="0"/>
            <wp:positionH relativeFrom="margin">
              <wp:align>center</wp:align>
            </wp:positionH>
            <wp:positionV relativeFrom="margin">
              <wp:align>top</wp:align>
            </wp:positionV>
            <wp:extent cx="5834874" cy="4114800"/>
            <wp:effectExtent l="0" t="0" r="0" b="0"/>
            <wp:wrapSquare wrapText="bothSides"/>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34874" cy="4114800"/>
                    </a:xfrm>
                    <a:prstGeom prst="rect">
                      <a:avLst/>
                    </a:prstGeom>
                    <a:noFill/>
                  </pic:spPr>
                </pic:pic>
              </a:graphicData>
            </a:graphic>
          </wp:anchor>
        </w:drawing>
      </w:r>
    </w:p>
    <w:p w14:paraId="0868E282" w14:textId="7905D04A" w:rsidR="00B73521" w:rsidRPr="00770477" w:rsidRDefault="00B73521" w:rsidP="00AE1144">
      <w:pPr>
        <w:pStyle w:val="Caption"/>
        <w:spacing w:line="240" w:lineRule="auto"/>
        <w:rPr>
          <w:rFonts w:cs="Times New Roman"/>
        </w:rPr>
      </w:pPr>
      <w:bookmarkStart w:id="152" w:name="_Toc121489521"/>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26</w:t>
      </w:r>
      <w:r w:rsidRPr="00770477">
        <w:rPr>
          <w:rFonts w:cs="Times New Roman"/>
          <w:noProof/>
        </w:rPr>
        <w:fldChar w:fldCharType="end"/>
      </w:r>
      <w:r w:rsidRPr="00770477">
        <w:rPr>
          <w:rFonts w:cs="Times New Roman"/>
        </w:rPr>
        <w:t xml:space="preserve"> </w:t>
      </w:r>
      <w:r w:rsidR="00EE72FE">
        <w:rPr>
          <w:rFonts w:cs="Times New Roman"/>
        </w:rPr>
        <w:t>Comparison of column orientation on the mass removal rate (MRR) of</w:t>
      </w:r>
      <w:r w:rsidR="00EE72FE">
        <w:rPr>
          <w:rFonts w:cs="Times New Roman"/>
          <w:vertAlign w:val="superscript"/>
        </w:rPr>
        <w:t xml:space="preserve"> </w:t>
      </w:r>
      <w:r w:rsidR="00EE72FE">
        <w:rPr>
          <w:rFonts w:cs="Times New Roman"/>
        </w:rPr>
        <w:t xml:space="preserve">P per media volume (MV) of </w:t>
      </w:r>
      <w:proofErr w:type="gramStart"/>
      <w:r w:rsidR="00EE72FE">
        <w:rPr>
          <w:rFonts w:cs="Times New Roman"/>
        </w:rPr>
        <w:t xml:space="preserve">small </w:t>
      </w:r>
      <w:r w:rsidR="0093290B">
        <w:rPr>
          <w:rFonts w:cs="Times New Roman"/>
        </w:rPr>
        <w:t>aggregated</w:t>
      </w:r>
      <w:proofErr w:type="gramEnd"/>
      <w:r w:rsidR="0093290B">
        <w:rPr>
          <w:rFonts w:cs="Times New Roman"/>
        </w:rPr>
        <w:t xml:space="preserve"> fly ash </w:t>
      </w:r>
      <w:r w:rsidR="00EE72FE">
        <w:rPr>
          <w:rFonts w:cs="Times New Roman"/>
        </w:rPr>
        <w:t>against cumulative P input.</w:t>
      </w:r>
      <w:bookmarkEnd w:id="152"/>
    </w:p>
    <w:p w14:paraId="1269B24E" w14:textId="5A40AF33" w:rsidR="00BD37A9" w:rsidRPr="00770477" w:rsidRDefault="00B73521" w:rsidP="00B73521">
      <w:pPr>
        <w:spacing w:line="240" w:lineRule="auto"/>
        <w:rPr>
          <w:rFonts w:cs="Times New Roman"/>
        </w:rPr>
      </w:pPr>
      <w:r w:rsidRPr="00770477">
        <w:rPr>
          <w:rFonts w:cs="Times New Roman"/>
        </w:rPr>
        <w:br w:type="page"/>
      </w:r>
    </w:p>
    <w:p w14:paraId="3734DE5D" w14:textId="5D84F126" w:rsidR="007A1773" w:rsidRPr="00770477" w:rsidRDefault="007A1773" w:rsidP="007A1773">
      <w:pPr>
        <w:rPr>
          <w:rFonts w:cs="Times New Roman"/>
        </w:rPr>
      </w:pPr>
      <w:r w:rsidRPr="00770477">
        <w:rPr>
          <w:rFonts w:cs="Times New Roman"/>
        </w:rPr>
        <w:lastRenderedPageBreak/>
        <w:t xml:space="preserve">Finally, </w:t>
      </w:r>
      <w:r w:rsidR="00D57278" w:rsidRPr="00770477">
        <w:rPr>
          <w:rFonts w:cs="Times New Roman"/>
        </w:rPr>
        <w:t xml:space="preserve">as was demonstrated with </w:t>
      </w:r>
      <w:r w:rsidR="00CD041D" w:rsidRPr="00770477">
        <w:rPr>
          <w:rFonts w:cs="Times New Roman"/>
        </w:rPr>
        <w:fldChar w:fldCharType="begin"/>
      </w:r>
      <w:r w:rsidR="00CD041D" w:rsidRPr="00770477">
        <w:rPr>
          <w:rFonts w:cs="Times New Roman"/>
        </w:rPr>
        <w:instrText xml:space="preserve"> REF _Ref117866016 \h </w:instrText>
      </w:r>
      <w:r w:rsidR="00770477">
        <w:rPr>
          <w:rFonts w:cs="Times New Roman"/>
        </w:rPr>
        <w:instrText xml:space="preserve"> \* MERGEFORMAT </w:instrText>
      </w:r>
      <w:r w:rsidR="00CD041D" w:rsidRPr="00770477">
        <w:rPr>
          <w:rFonts w:cs="Times New Roman"/>
        </w:rPr>
      </w:r>
      <w:r w:rsidR="00CD041D"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14</w:t>
      </w:r>
      <w:r w:rsidR="00CD041D" w:rsidRPr="00770477">
        <w:rPr>
          <w:rFonts w:cs="Times New Roman"/>
        </w:rPr>
        <w:fldChar w:fldCharType="end"/>
      </w:r>
      <w:r w:rsidR="00CD041D" w:rsidRPr="00770477">
        <w:rPr>
          <w:rFonts w:cs="Times New Roman"/>
        </w:rPr>
        <w:t xml:space="preserve"> and </w:t>
      </w:r>
      <w:r w:rsidR="00CD041D" w:rsidRPr="00770477">
        <w:rPr>
          <w:rFonts w:cs="Times New Roman"/>
        </w:rPr>
        <w:fldChar w:fldCharType="begin"/>
      </w:r>
      <w:r w:rsidR="00CD041D" w:rsidRPr="00770477">
        <w:rPr>
          <w:rFonts w:cs="Times New Roman"/>
        </w:rPr>
        <w:instrText xml:space="preserve"> REF _Ref117866242 \h </w:instrText>
      </w:r>
      <w:r w:rsidR="00770477">
        <w:rPr>
          <w:rFonts w:cs="Times New Roman"/>
        </w:rPr>
        <w:instrText xml:space="preserve"> \* MERGEFORMAT </w:instrText>
      </w:r>
      <w:r w:rsidR="00CD041D" w:rsidRPr="00770477">
        <w:rPr>
          <w:rFonts w:cs="Times New Roman"/>
        </w:rPr>
      </w:r>
      <w:r w:rsidR="00CD041D"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21</w:t>
      </w:r>
      <w:r w:rsidR="00CD041D" w:rsidRPr="00770477">
        <w:rPr>
          <w:rFonts w:cs="Times New Roman"/>
        </w:rPr>
        <w:fldChar w:fldCharType="end"/>
      </w:r>
      <w:r w:rsidR="00CD041D" w:rsidRPr="00770477">
        <w:rPr>
          <w:rFonts w:cs="Times New Roman"/>
        </w:rPr>
        <w:t xml:space="preserve">, biochar </w:t>
      </w:r>
      <w:r w:rsidR="00ED2312" w:rsidRPr="00770477">
        <w:rPr>
          <w:rFonts w:cs="Times New Roman"/>
        </w:rPr>
        <w:t xml:space="preserve">has not demonstrated a strong tendency to remove P from solution. </w:t>
      </w:r>
      <w:r w:rsidR="00C239C1" w:rsidRPr="00770477">
        <w:rPr>
          <w:rFonts w:cs="Times New Roman"/>
        </w:rPr>
        <w:t xml:space="preserve">The vertical column experiment </w:t>
      </w:r>
      <w:r w:rsidR="004C5D84" w:rsidRPr="00770477">
        <w:rPr>
          <w:rFonts w:cs="Times New Roman"/>
        </w:rPr>
        <w:t xml:space="preserve">further corroborated this observation by demonstrating a fluctuation between leaching and </w:t>
      </w:r>
      <w:r w:rsidR="00AE0659" w:rsidRPr="00770477">
        <w:rPr>
          <w:rFonts w:cs="Times New Roman"/>
        </w:rPr>
        <w:t>removal of P from/into solution at rates between -0.03 µg hr</w:t>
      </w:r>
      <w:r w:rsidR="00AE0659" w:rsidRPr="00770477">
        <w:rPr>
          <w:rFonts w:cs="Times New Roman"/>
          <w:vertAlign w:val="superscript"/>
        </w:rPr>
        <w:t>-1</w:t>
      </w:r>
      <w:r w:rsidR="00AE0659" w:rsidRPr="00770477">
        <w:rPr>
          <w:rFonts w:cs="Times New Roman"/>
        </w:rPr>
        <w:t xml:space="preserve"> cm</w:t>
      </w:r>
      <w:r w:rsidR="00AE0659" w:rsidRPr="00770477">
        <w:rPr>
          <w:rFonts w:cs="Times New Roman"/>
          <w:vertAlign w:val="superscript"/>
        </w:rPr>
        <w:t>-3</w:t>
      </w:r>
      <w:r w:rsidR="00AE0659" w:rsidRPr="00770477">
        <w:rPr>
          <w:rFonts w:cs="Times New Roman"/>
        </w:rPr>
        <w:t xml:space="preserve"> and </w:t>
      </w:r>
      <w:r w:rsidR="00C86A8E" w:rsidRPr="00770477">
        <w:rPr>
          <w:rFonts w:cs="Times New Roman"/>
        </w:rPr>
        <w:t>0.5 µg hr</w:t>
      </w:r>
      <w:r w:rsidR="00C86A8E" w:rsidRPr="00770477">
        <w:rPr>
          <w:rFonts w:cs="Times New Roman"/>
          <w:vertAlign w:val="superscript"/>
        </w:rPr>
        <w:t>-1</w:t>
      </w:r>
      <w:r w:rsidR="00C86A8E" w:rsidRPr="00770477">
        <w:rPr>
          <w:rFonts w:cs="Times New Roman"/>
        </w:rPr>
        <w:t xml:space="preserve"> cm</w:t>
      </w:r>
      <w:r w:rsidR="00C86A8E" w:rsidRPr="00770477">
        <w:rPr>
          <w:rFonts w:cs="Times New Roman"/>
          <w:vertAlign w:val="superscript"/>
        </w:rPr>
        <w:t>-3</w:t>
      </w:r>
      <w:r w:rsidR="00C97DB6" w:rsidRPr="00770477">
        <w:rPr>
          <w:rFonts w:cs="Times New Roman"/>
        </w:rPr>
        <w:t xml:space="preserve">, effectively representing </w:t>
      </w:r>
      <w:r w:rsidR="000A2383" w:rsidRPr="00770477">
        <w:rPr>
          <w:rFonts w:cs="Times New Roman"/>
        </w:rPr>
        <w:t xml:space="preserve">no substantial source or sink of P to/from solution. </w:t>
      </w:r>
      <w:r w:rsidR="001318B4" w:rsidRPr="00770477">
        <w:rPr>
          <w:rFonts w:cs="Times New Roman"/>
        </w:rPr>
        <w:t xml:space="preserve">Once again, the horizontal control </w:t>
      </w:r>
      <w:r w:rsidR="00834BBA" w:rsidRPr="00770477">
        <w:rPr>
          <w:rFonts w:cs="Times New Roman"/>
        </w:rPr>
        <w:t>results yielded an initial removal in the control column of approximately 0.18 µg hr</w:t>
      </w:r>
      <w:r w:rsidR="00834BBA" w:rsidRPr="00770477">
        <w:rPr>
          <w:rFonts w:cs="Times New Roman"/>
          <w:vertAlign w:val="superscript"/>
        </w:rPr>
        <w:t>-1</w:t>
      </w:r>
      <w:r w:rsidR="00834BBA" w:rsidRPr="00770477">
        <w:rPr>
          <w:rFonts w:cs="Times New Roman"/>
        </w:rPr>
        <w:t xml:space="preserve"> cm</w:t>
      </w:r>
      <w:r w:rsidR="00834BBA" w:rsidRPr="00770477">
        <w:rPr>
          <w:rFonts w:cs="Times New Roman"/>
          <w:vertAlign w:val="superscript"/>
        </w:rPr>
        <w:t>-3</w:t>
      </w:r>
      <w:r w:rsidR="00834BBA" w:rsidRPr="00770477">
        <w:rPr>
          <w:rFonts w:cs="Times New Roman"/>
        </w:rPr>
        <w:t xml:space="preserve"> with a steady decline to 0 µg hr</w:t>
      </w:r>
      <w:r w:rsidR="00834BBA" w:rsidRPr="00770477">
        <w:rPr>
          <w:rFonts w:cs="Times New Roman"/>
          <w:vertAlign w:val="superscript"/>
        </w:rPr>
        <w:t>-1</w:t>
      </w:r>
      <w:r w:rsidR="00834BBA" w:rsidRPr="00770477">
        <w:rPr>
          <w:rFonts w:cs="Times New Roman"/>
        </w:rPr>
        <w:t xml:space="preserve"> cm</w:t>
      </w:r>
      <w:r w:rsidR="00834BBA" w:rsidRPr="00770477">
        <w:rPr>
          <w:rFonts w:cs="Times New Roman"/>
          <w:vertAlign w:val="superscript"/>
        </w:rPr>
        <w:t>-3</w:t>
      </w:r>
      <w:r w:rsidR="00834BBA" w:rsidRPr="00770477">
        <w:rPr>
          <w:rFonts w:cs="Times New Roman"/>
        </w:rPr>
        <w:t xml:space="preserve"> by approximately 300 µg P passed through. Horizontal column results </w:t>
      </w:r>
      <w:r w:rsidR="00714BE3" w:rsidRPr="00770477">
        <w:rPr>
          <w:rFonts w:cs="Times New Roman"/>
        </w:rPr>
        <w:t>initially demonstrated leaching of P into solution represented by a removal rate of approximately -0.04 µg hr</w:t>
      </w:r>
      <w:r w:rsidR="00714BE3" w:rsidRPr="00770477">
        <w:rPr>
          <w:rFonts w:cs="Times New Roman"/>
          <w:vertAlign w:val="superscript"/>
        </w:rPr>
        <w:t>-1</w:t>
      </w:r>
      <w:r w:rsidR="00714BE3" w:rsidRPr="00770477">
        <w:rPr>
          <w:rFonts w:cs="Times New Roman"/>
        </w:rPr>
        <w:t xml:space="preserve"> cm</w:t>
      </w:r>
      <w:r w:rsidR="00714BE3" w:rsidRPr="00770477">
        <w:rPr>
          <w:rFonts w:cs="Times New Roman"/>
          <w:vertAlign w:val="superscript"/>
        </w:rPr>
        <w:t>-3</w:t>
      </w:r>
      <w:r w:rsidR="00BA706A" w:rsidRPr="00770477">
        <w:rPr>
          <w:rFonts w:cs="Times New Roman"/>
        </w:rPr>
        <w:t>. As the control column’s removal rate declined, the horizontal column</w:t>
      </w:r>
      <w:r w:rsidR="007C04C2" w:rsidRPr="00770477">
        <w:rPr>
          <w:rFonts w:cs="Times New Roman"/>
        </w:rPr>
        <w:t>’s removal rate spiked to just under 0.1 µg hr</w:t>
      </w:r>
      <w:r w:rsidR="007C04C2" w:rsidRPr="00770477">
        <w:rPr>
          <w:rFonts w:cs="Times New Roman"/>
          <w:vertAlign w:val="superscript"/>
        </w:rPr>
        <w:t>-1</w:t>
      </w:r>
      <w:r w:rsidR="007C04C2" w:rsidRPr="00770477">
        <w:rPr>
          <w:rFonts w:cs="Times New Roman"/>
        </w:rPr>
        <w:t xml:space="preserve"> cm</w:t>
      </w:r>
      <w:r w:rsidR="007C04C2" w:rsidRPr="00770477">
        <w:rPr>
          <w:rFonts w:cs="Times New Roman"/>
          <w:vertAlign w:val="superscript"/>
        </w:rPr>
        <w:t>-3</w:t>
      </w:r>
      <w:r w:rsidR="007C04C2" w:rsidRPr="00770477">
        <w:rPr>
          <w:rFonts w:cs="Times New Roman"/>
        </w:rPr>
        <w:t xml:space="preserve"> with a rapid decline resulting in media exhaustion by the final point of the experiment (approximately </w:t>
      </w:r>
      <w:r w:rsidR="004D1D85" w:rsidRPr="00770477">
        <w:rPr>
          <w:rFonts w:cs="Times New Roman"/>
        </w:rPr>
        <w:t xml:space="preserve">400 µg P passed through). </w:t>
      </w:r>
      <w:r w:rsidR="004D1D85" w:rsidRPr="00770477">
        <w:rPr>
          <w:rFonts w:cs="Times New Roman"/>
        </w:rPr>
        <w:br w:type="page"/>
      </w:r>
    </w:p>
    <w:p w14:paraId="31E89DA4" w14:textId="77777777" w:rsidR="00B73521" w:rsidRPr="00770477" w:rsidRDefault="00B77721" w:rsidP="00B73521">
      <w:pPr>
        <w:keepNext/>
        <w:rPr>
          <w:rFonts w:cs="Times New Roman"/>
        </w:rPr>
      </w:pPr>
      <w:r w:rsidRPr="00770477">
        <w:rPr>
          <w:rFonts w:cs="Times New Roman"/>
          <w:noProof/>
        </w:rPr>
        <w:lastRenderedPageBreak/>
        <w:drawing>
          <wp:anchor distT="0" distB="0" distL="114300" distR="114300" simplePos="0" relativeHeight="251673607" behindDoc="0" locked="0" layoutInCell="1" allowOverlap="1" wp14:anchorId="11CE3A1F" wp14:editId="77905236">
            <wp:simplePos x="0" y="0"/>
            <wp:positionH relativeFrom="margin">
              <wp:align>center</wp:align>
            </wp:positionH>
            <wp:positionV relativeFrom="margin">
              <wp:align>top</wp:align>
            </wp:positionV>
            <wp:extent cx="5840544" cy="4114800"/>
            <wp:effectExtent l="0" t="0" r="1905" b="0"/>
            <wp:wrapSquare wrapText="bothSides"/>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40544" cy="4114800"/>
                    </a:xfrm>
                    <a:prstGeom prst="rect">
                      <a:avLst/>
                    </a:prstGeom>
                    <a:noFill/>
                  </pic:spPr>
                </pic:pic>
              </a:graphicData>
            </a:graphic>
          </wp:anchor>
        </w:drawing>
      </w:r>
    </w:p>
    <w:p w14:paraId="28B78EC3" w14:textId="6844E4FF" w:rsidR="00B73521" w:rsidRPr="00770477" w:rsidRDefault="00B73521" w:rsidP="00AE1144">
      <w:pPr>
        <w:pStyle w:val="Caption"/>
        <w:spacing w:line="240" w:lineRule="auto"/>
        <w:rPr>
          <w:rFonts w:cs="Times New Roman"/>
        </w:rPr>
      </w:pPr>
      <w:bookmarkStart w:id="153" w:name="_Toc121489522"/>
      <w:r w:rsidRPr="00770477">
        <w:rPr>
          <w:rFonts w:cs="Times New Roman"/>
        </w:rPr>
        <w:t xml:space="preserve">Figure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3</w:t>
      </w:r>
      <w:r w:rsidRPr="00770477">
        <w:rPr>
          <w:rFonts w:cs="Times New Roman"/>
          <w:noProof/>
        </w:rPr>
        <w:fldChar w:fldCharType="end"/>
      </w:r>
      <w:r w:rsidR="007B0879" w:rsidRPr="00770477">
        <w:rPr>
          <w:rFonts w:cs="Times New Roman"/>
        </w:rPr>
        <w:noBreakHyphen/>
      </w:r>
      <w:r w:rsidRPr="00770477">
        <w:rPr>
          <w:rFonts w:cs="Times New Roman"/>
        </w:rPr>
        <w:fldChar w:fldCharType="begin"/>
      </w:r>
      <w:r w:rsidRPr="00770477">
        <w:rPr>
          <w:rFonts w:cs="Times New Roman"/>
        </w:rPr>
        <w:instrText xml:space="preserve"> SEQ Figure \* ARABIC \s 1 </w:instrText>
      </w:r>
      <w:r w:rsidRPr="00770477">
        <w:rPr>
          <w:rFonts w:cs="Times New Roman"/>
        </w:rPr>
        <w:fldChar w:fldCharType="separate"/>
      </w:r>
      <w:r w:rsidR="00061096">
        <w:rPr>
          <w:rFonts w:cs="Times New Roman"/>
          <w:noProof/>
        </w:rPr>
        <w:t>27</w:t>
      </w:r>
      <w:r w:rsidRPr="00770477">
        <w:rPr>
          <w:rFonts w:cs="Times New Roman"/>
          <w:noProof/>
        </w:rPr>
        <w:fldChar w:fldCharType="end"/>
      </w:r>
      <w:r w:rsidRPr="00770477">
        <w:rPr>
          <w:rFonts w:cs="Times New Roman"/>
        </w:rPr>
        <w:t xml:space="preserve"> </w:t>
      </w:r>
      <w:r w:rsidR="00EE72FE">
        <w:rPr>
          <w:rFonts w:cs="Times New Roman"/>
        </w:rPr>
        <w:t>Comparison of column orientation on the mass removal rate (MRR) of</w:t>
      </w:r>
      <w:r w:rsidR="00EE72FE">
        <w:rPr>
          <w:rFonts w:cs="Times New Roman"/>
          <w:vertAlign w:val="superscript"/>
        </w:rPr>
        <w:t xml:space="preserve"> </w:t>
      </w:r>
      <w:r w:rsidR="00EE72FE">
        <w:rPr>
          <w:rFonts w:cs="Times New Roman"/>
        </w:rPr>
        <w:t xml:space="preserve">P per media volume (MV) of small </w:t>
      </w:r>
      <w:r w:rsidR="0093290B">
        <w:rPr>
          <w:rFonts w:cs="Times New Roman"/>
        </w:rPr>
        <w:t xml:space="preserve">biochar </w:t>
      </w:r>
      <w:r w:rsidR="00EE72FE">
        <w:rPr>
          <w:rFonts w:cs="Times New Roman"/>
        </w:rPr>
        <w:t>against cumulative P input.</w:t>
      </w:r>
      <w:bookmarkEnd w:id="153"/>
    </w:p>
    <w:p w14:paraId="65C851F9" w14:textId="6DBEB601" w:rsidR="00B77721" w:rsidRPr="00770477" w:rsidRDefault="00B73521" w:rsidP="00B73521">
      <w:pPr>
        <w:spacing w:line="240" w:lineRule="auto"/>
        <w:rPr>
          <w:rFonts w:cs="Times New Roman"/>
          <w:i/>
          <w:iCs/>
          <w:color w:val="44546A" w:themeColor="text2"/>
          <w:sz w:val="18"/>
          <w:szCs w:val="18"/>
        </w:rPr>
      </w:pPr>
      <w:r w:rsidRPr="00770477">
        <w:rPr>
          <w:rFonts w:cs="Times New Roman"/>
        </w:rPr>
        <w:br w:type="page"/>
      </w:r>
    </w:p>
    <w:p w14:paraId="51B0CF42" w14:textId="762929D0" w:rsidR="00697840" w:rsidRPr="00770477" w:rsidRDefault="00615DD8" w:rsidP="002970C5">
      <w:pPr>
        <w:pStyle w:val="Heading1"/>
        <w:rPr>
          <w:rFonts w:cs="Times New Roman"/>
        </w:rPr>
      </w:pPr>
      <w:bookmarkStart w:id="154" w:name="_Toc121496025"/>
      <w:r w:rsidRPr="00770477">
        <w:rPr>
          <w:rFonts w:cs="Times New Roman"/>
        </w:rPr>
        <w:lastRenderedPageBreak/>
        <w:t>Discussion</w:t>
      </w:r>
      <w:bookmarkEnd w:id="154"/>
    </w:p>
    <w:p w14:paraId="59D6203C" w14:textId="1E3675B1" w:rsidR="00ED4D36" w:rsidRPr="00770477" w:rsidRDefault="00ED4D36" w:rsidP="00ED4D36">
      <w:pPr>
        <w:pStyle w:val="Heading2"/>
        <w:rPr>
          <w:rFonts w:cs="Times New Roman"/>
        </w:rPr>
      </w:pPr>
      <w:bookmarkStart w:id="155" w:name="_Toc121496026"/>
      <w:r w:rsidRPr="00770477">
        <w:rPr>
          <w:rFonts w:cs="Times New Roman"/>
        </w:rPr>
        <w:t>Media Dissolution Impacts on pH and Specific Conductivity</w:t>
      </w:r>
      <w:bookmarkEnd w:id="155"/>
    </w:p>
    <w:p w14:paraId="2E9BEFAD" w14:textId="737FBE3A" w:rsidR="0024366A" w:rsidRPr="00770477" w:rsidRDefault="00ED4D36" w:rsidP="00172A02">
      <w:pPr>
        <w:ind w:firstLine="576"/>
        <w:rPr>
          <w:rFonts w:cs="Times New Roman"/>
        </w:rPr>
      </w:pPr>
      <w:r w:rsidRPr="00770477">
        <w:rPr>
          <w:rFonts w:cs="Times New Roman"/>
        </w:rPr>
        <w:t xml:space="preserve">Dissolution of -oxide species into solution is of major consideration regarding effluent pH and specific conductivity (SpC). For undersaturated mineral and elemental species, each compositional -oxide species in the treatment media will tend to dissolve into solution </w:t>
      </w:r>
      <w:r w:rsidR="00EC29CE" w:rsidRPr="00770477">
        <w:rPr>
          <w:rFonts w:cs="Times New Roman"/>
        </w:rPr>
        <w:fldChar w:fldCharType="begin"/>
      </w:r>
      <w:r w:rsidR="002074AD">
        <w:rPr>
          <w:rFonts w:cs="Times New Roman"/>
        </w:rPr>
        <w:instrText xml:space="preserve"> ADDIN ZOTERO_ITEM CSL_CITATION {"citationID":"a1vc53n3g41","properties":{"formattedCitation":"(Agyei et al., 2002; Ahmaruzzaman, 2010)","plainCitation":"(Agyei et al., 2002; Ahmaruzzaman, 2010)","noteIndex":0},"citationItems":[{"id":82,"uris":["http://zotero.org/users/8423188/items/HN5FGA5G"],"itemData":{"id":82,"type":"article-journal","abstract":"Phosphate ions have been removed from aqueous solution by fly ash, slag, ordinary Portland cement (OPC) and related cement blends. The rate and efficiency of PO43 À removal were found to increase in the order: fly ash, slag, OPC, apparently mimicking the order of increasing percent CaO in the adsorbents. Blending OPC with fly ash or slag evidently results in diminished PO43 À removal efficiency. Better removal was obtained at higher solute concentration, acidic pH and higher temperature. The effect of particle size and the speed of mixing were found not to be significant. A first-order kinetic model was used to obtain values for overall sorption rate constants and intraparticle diffusion constants. The Frumkin isotherm was found to be the appropriate equation for modelling isotherms from the experimental adsorption data, and values have been obtained for the isotherm constants. A 400-mg/l PO43 À (as P) solution was fed at a steady velocity of 2.0 cm/min through a 2.0-cm fixed-bed column (at pH 9.0 and 25 °C), and breakthrough curves were constructed to obtain estimated adsorption capacity values of 32, 60, 75, 78 and 83 mg PO43 À /g adsorbent for fly ash, slag, OPC + fly ash, OPC + slag and OPC, respectively.","container-title":"Cement and Concrete Research","DOI":"10.1016/S0008-8846(02)00888-8","ISSN":"00088846","issue":"12","journalAbbreviation":"Cement and Concrete Research","language":"en","page":"1889-1897","source":"DOI.org (Crossref)","title":"The removal of phosphate ions from aqueous solution by fly ash, slag, ordinary Portland cement and related blends","volume":"32","author":[{"family":"Agyei","given":"N.M."},{"family":"Strydom","given":"C.A."},{"family":"Potgieter","given":"J.H."}],"issued":{"date-parts":[["2002",12]]}}},{"id":77,"uris":["http://zotero.org/users/8423188/items/PEE3JLJR"],"itemData":{"id":77,"type":"article-journal","abstract":"Fly ash, generated during the combustion of coal for energy production, is an industrial by-product which is recognized as an environmental pollutant. Because of the environmental problems presented by the ﬂy ash, considerable research has been undertaken on the subject worldwide. In this paper, the utilization of ﬂy ash in construction, as a low-cost adsorbent for the removal of organic compounds, ﬂue gas and metals, light weight aggregate, mine back ﬁll, road sub-base, and zeolite synthesis is discussed. A considerable amount of research has been conducted using ﬂy ash for adsorption of NOx, SOx, organic compounds, and mercury in air, dyes and other organic compounds in waters. It is found that ﬂy ash is a promising adsorbent for the removal of various pollutants. The adsorption capacity of ﬂy ash may be increased after chemical and physical activation. It was also found that ﬂy ash has good potential for use in the construction industry. The conversion of ﬂy ash into zeolites has many applications such as ion exchange, molecular sieves, and adsorbents. Converting ﬂy ash into zeolites not only alleviates the disposal problem but also converts a waste material into a marketable commodity. Investigations also revealed that the unburned carbon component in ﬂy ash plays an important role in its adsorption capacity. Future research in these areas is also discussed.","container-title":"Progress in Energy and Combustion Science","DOI":"10.1016/j.pecs.2009.11.003","ISSN":"03601285","issue":"3","journalAbbreviation":"Progress in Energy and Combustion Science","language":"en","page":"327-363","source":"DOI.org (Crossref)","title":"A review on the utilization of fly ash","volume":"36","author":[{"family":"Ahmaruzzaman","given":"M."}],"issued":{"date-parts":[["2010",6]]}}}],"schema":"https://github.com/citation-style-language/schema/raw/master/csl-citation.json"} </w:instrText>
      </w:r>
      <w:r w:rsidR="00EC29CE" w:rsidRPr="00770477">
        <w:rPr>
          <w:rFonts w:cs="Times New Roman"/>
        </w:rPr>
        <w:fldChar w:fldCharType="separate"/>
      </w:r>
      <w:r w:rsidR="003D5078" w:rsidRPr="00770477">
        <w:rPr>
          <w:rFonts w:cs="Times New Roman"/>
        </w:rPr>
        <w:t>(Agyei et al., 2002; Ahmaruzzaman, 2010)</w:t>
      </w:r>
      <w:r w:rsidR="00EC29CE" w:rsidRPr="00770477">
        <w:rPr>
          <w:rFonts w:cs="Times New Roman"/>
        </w:rPr>
        <w:fldChar w:fldCharType="end"/>
      </w:r>
      <w:r w:rsidRPr="00770477">
        <w:rPr>
          <w:rFonts w:cs="Times New Roman"/>
        </w:rPr>
        <w:t xml:space="preserve">. Generalized forms of these reactions are shown </w:t>
      </w:r>
      <w:r w:rsidR="0024366A" w:rsidRPr="00770477">
        <w:rPr>
          <w:rFonts w:cs="Times New Roman"/>
        </w:rPr>
        <w:t xml:space="preserve">in </w:t>
      </w:r>
      <w:r w:rsidR="0024366A" w:rsidRPr="00770477">
        <w:rPr>
          <w:rFonts w:cs="Times New Roman"/>
        </w:rPr>
        <w:fldChar w:fldCharType="begin"/>
      </w:r>
      <w:r w:rsidR="0024366A" w:rsidRPr="00770477">
        <w:rPr>
          <w:rFonts w:cs="Times New Roman"/>
        </w:rPr>
        <w:instrText xml:space="preserve"> REF _Ref117246643 \h </w:instrText>
      </w:r>
      <w:r w:rsidR="00770477">
        <w:rPr>
          <w:rFonts w:cs="Times New Roman"/>
        </w:rPr>
        <w:instrText xml:space="preserve"> \* MERGEFORMAT </w:instrText>
      </w:r>
      <w:r w:rsidR="0024366A" w:rsidRPr="00770477">
        <w:rPr>
          <w:rFonts w:cs="Times New Roman"/>
        </w:rPr>
      </w:r>
      <w:r w:rsidR="0024366A" w:rsidRPr="00770477">
        <w:rPr>
          <w:rFonts w:cs="Times New Roman"/>
        </w:rPr>
        <w:fldChar w:fldCharType="separate"/>
      </w:r>
      <w:r w:rsidR="00061096" w:rsidRPr="00770477">
        <w:rPr>
          <w:rFonts w:cs="Times New Roman"/>
        </w:rPr>
        <w:t xml:space="preserve">Equation </w:t>
      </w:r>
      <w:r w:rsidR="00061096">
        <w:rPr>
          <w:rFonts w:cs="Times New Roman"/>
          <w:noProof/>
        </w:rPr>
        <w:t>4</w:t>
      </w:r>
      <w:r w:rsidR="00061096" w:rsidRPr="00770477">
        <w:rPr>
          <w:rFonts w:cs="Times New Roman"/>
          <w:noProof/>
        </w:rPr>
        <w:noBreakHyphen/>
      </w:r>
      <w:r w:rsidR="00061096">
        <w:rPr>
          <w:rFonts w:cs="Times New Roman"/>
          <w:noProof/>
        </w:rPr>
        <w:t>1</w:t>
      </w:r>
      <w:r w:rsidR="0024366A" w:rsidRPr="00770477">
        <w:rPr>
          <w:rFonts w:cs="Times New Roman"/>
        </w:rPr>
        <w:fldChar w:fldCharType="end"/>
      </w:r>
      <w:r w:rsidRPr="00770477">
        <w:rPr>
          <w:rFonts w:cs="Times New Roman"/>
        </w:rPr>
        <w:t xml:space="preserve"> and demonstrate how metal-oxides will react with water to release ions into solution and form hydroxide ions. </w:t>
      </w:r>
    </w:p>
    <w:p w14:paraId="17B26638" w14:textId="77777777" w:rsidR="0024366A" w:rsidRPr="00770477" w:rsidRDefault="0024366A" w:rsidP="00ED4D36">
      <w:pPr>
        <w:rPr>
          <w:rFonts w:cs="Times New Roman"/>
        </w:rPr>
      </w:pPr>
    </w:p>
    <w:p w14:paraId="33673BED" w14:textId="2843235E" w:rsidR="0024366A" w:rsidRPr="00770477" w:rsidRDefault="0024366A" w:rsidP="0024366A">
      <w:pPr>
        <w:pStyle w:val="Caption"/>
        <w:keepNext/>
        <w:spacing w:line="240" w:lineRule="auto"/>
        <w:jc w:val="center"/>
        <w:rPr>
          <w:rFonts w:cs="Times New Roman"/>
        </w:rPr>
      </w:pPr>
      <w:bookmarkStart w:id="156" w:name="_Ref117246643"/>
      <w:bookmarkStart w:id="157" w:name="_Ref120970982"/>
      <w:bookmarkStart w:id="158" w:name="_Toc121486646"/>
      <w:r w:rsidRPr="00770477">
        <w:rPr>
          <w:rFonts w:cs="Times New Roman"/>
        </w:rPr>
        <w:t xml:space="preserve">Equation </w:t>
      </w:r>
      <w:r w:rsidRPr="00770477">
        <w:rPr>
          <w:rFonts w:cs="Times New Roman"/>
        </w:rPr>
        <w:fldChar w:fldCharType="begin"/>
      </w:r>
      <w:r w:rsidRPr="00770477">
        <w:rPr>
          <w:rFonts w:cs="Times New Roman"/>
        </w:rPr>
        <w:instrText xml:space="preserve"> STYLEREF 1 \s </w:instrText>
      </w:r>
      <w:r w:rsidRPr="00770477">
        <w:rPr>
          <w:rFonts w:cs="Times New Roman"/>
        </w:rPr>
        <w:fldChar w:fldCharType="separate"/>
      </w:r>
      <w:r w:rsidR="00061096">
        <w:rPr>
          <w:rFonts w:cs="Times New Roman"/>
          <w:noProof/>
        </w:rPr>
        <w:t>4</w:t>
      </w:r>
      <w:r w:rsidRPr="00770477">
        <w:rPr>
          <w:rFonts w:cs="Times New Roman"/>
          <w:noProof/>
        </w:rPr>
        <w:fldChar w:fldCharType="end"/>
      </w:r>
      <w:r w:rsidR="008B1ECE" w:rsidRPr="00770477">
        <w:rPr>
          <w:rFonts w:cs="Times New Roman"/>
        </w:rPr>
        <w:noBreakHyphen/>
      </w:r>
      <w:r w:rsidRPr="00770477">
        <w:rPr>
          <w:rFonts w:cs="Times New Roman"/>
        </w:rPr>
        <w:fldChar w:fldCharType="begin"/>
      </w:r>
      <w:r w:rsidRPr="00770477">
        <w:rPr>
          <w:rFonts w:cs="Times New Roman"/>
        </w:rPr>
        <w:instrText xml:space="preserve"> SEQ Equation \* ARABIC \s 1 </w:instrText>
      </w:r>
      <w:r w:rsidRPr="00770477">
        <w:rPr>
          <w:rFonts w:cs="Times New Roman"/>
        </w:rPr>
        <w:fldChar w:fldCharType="separate"/>
      </w:r>
      <w:r w:rsidR="00061096">
        <w:rPr>
          <w:rFonts w:cs="Times New Roman"/>
          <w:noProof/>
        </w:rPr>
        <w:t>1</w:t>
      </w:r>
      <w:r w:rsidRPr="00770477">
        <w:rPr>
          <w:rFonts w:cs="Times New Roman"/>
          <w:noProof/>
        </w:rPr>
        <w:fldChar w:fldCharType="end"/>
      </w:r>
      <w:bookmarkEnd w:id="156"/>
      <w:r w:rsidRPr="00770477">
        <w:rPr>
          <w:rFonts w:cs="Times New Roman"/>
        </w:rPr>
        <w:t xml:space="preserve"> Generalized dissolution reactions which contribute to solution pH increase</w:t>
      </w:r>
      <w:bookmarkEnd w:id="157"/>
      <w:r w:rsidR="0093290B">
        <w:rPr>
          <w:rFonts w:cs="Times New Roman"/>
        </w:rPr>
        <w:t>.</w:t>
      </w:r>
      <w:bookmarkEnd w:id="158"/>
    </w:p>
    <w:p w14:paraId="1A72B70F" w14:textId="77777777" w:rsidR="0024366A" w:rsidRPr="00770477" w:rsidRDefault="00000000" w:rsidP="0024366A">
      <w:pPr>
        <w:jc w:val="center"/>
        <w:rPr>
          <w:rFonts w:cs="Times New Roman"/>
        </w:rPr>
      </w:pPr>
      <m:oMathPara>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r>
            <w:rPr>
              <w:rFonts w:ascii="Cambria Math" w:hAnsi="Cambria Math" w:cs="Times New Roman"/>
            </w:rPr>
            <m:t>O+</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O→2</m:t>
          </m:r>
          <m:sSubSup>
            <m:sSubSupPr>
              <m:ctrlPr>
                <w:rPr>
                  <w:rFonts w:ascii="Cambria Math" w:hAnsi="Cambria Math" w:cs="Times New Roman"/>
                  <w:i/>
                </w:rPr>
              </m:ctrlPr>
            </m:sSubSupPr>
            <m:e>
              <m:r>
                <w:rPr>
                  <w:rFonts w:ascii="Cambria Math" w:hAnsi="Cambria Math" w:cs="Times New Roman"/>
                </w:rPr>
                <m:t>X</m:t>
              </m:r>
            </m:e>
            <m:sub>
              <m:d>
                <m:dPr>
                  <m:ctrlPr>
                    <w:rPr>
                      <w:rFonts w:ascii="Cambria Math" w:hAnsi="Cambria Math" w:cs="Times New Roman"/>
                      <w:i/>
                    </w:rPr>
                  </m:ctrlPr>
                </m:dPr>
                <m:e>
                  <m:r>
                    <w:rPr>
                      <w:rFonts w:ascii="Cambria Math" w:hAnsi="Cambria Math" w:cs="Times New Roman"/>
                    </w:rPr>
                    <m:t>aq</m:t>
                  </m:r>
                </m:e>
              </m:d>
            </m:sub>
            <m:sup>
              <m:r>
                <w:rPr>
                  <w:rFonts w:ascii="Cambria Math" w:hAnsi="Cambria Math" w:cs="Times New Roman"/>
                </w:rPr>
                <m:t>1+</m:t>
              </m:r>
            </m:sup>
          </m:sSubSup>
          <m:r>
            <w:rPr>
              <w:rFonts w:ascii="Cambria Math" w:hAnsi="Cambria Math" w:cs="Times New Roman"/>
            </w:rPr>
            <m:t>+2</m:t>
          </m:r>
          <m:sSub>
            <m:sSubPr>
              <m:ctrlPr>
                <w:rPr>
                  <w:rFonts w:ascii="Cambria Math" w:hAnsi="Cambria Math" w:cs="Times New Roman"/>
                  <w:i/>
                </w:rPr>
              </m:ctrlPr>
            </m:sSubPr>
            <m:e>
              <m:d>
                <m:dPr>
                  <m:ctrlPr>
                    <w:rPr>
                      <w:rFonts w:ascii="Cambria Math" w:hAnsi="Cambria Math" w:cs="Times New Roman"/>
                      <w:i/>
                    </w:rPr>
                  </m:ctrlPr>
                </m:dPr>
                <m:e>
                  <m:r>
                    <w:rPr>
                      <w:rFonts w:ascii="Cambria Math" w:hAnsi="Cambria Math" w:cs="Times New Roman"/>
                    </w:rPr>
                    <m:t>O</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e>
            <m:sub>
              <m:r>
                <w:rPr>
                  <w:rFonts w:ascii="Cambria Math" w:hAnsi="Cambria Math" w:cs="Times New Roman"/>
                </w:rPr>
                <m:t>aq</m:t>
              </m:r>
            </m:sub>
          </m:sSub>
        </m:oMath>
      </m:oMathPara>
    </w:p>
    <w:p w14:paraId="7CC544C9" w14:textId="506AAB59" w:rsidR="0024366A" w:rsidRPr="00770477" w:rsidRDefault="0024366A" w:rsidP="00827994">
      <w:pPr>
        <w:jc w:val="center"/>
        <w:rPr>
          <w:rFonts w:eastAsiaTheme="minorEastAsia" w:cs="Times New Roman"/>
        </w:rPr>
      </w:pPr>
      <m:oMathPara>
        <m:oMath>
          <m:r>
            <w:rPr>
              <w:rFonts w:ascii="Cambria Math" w:hAnsi="Cambria Math" w:cs="Times New Roman"/>
            </w:rPr>
            <m:t>XO+</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O→</m:t>
          </m:r>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(aq)</m:t>
              </m:r>
            </m:sub>
            <m:sup>
              <m:r>
                <w:rPr>
                  <w:rFonts w:ascii="Cambria Math" w:hAnsi="Cambria Math" w:cs="Times New Roman"/>
                </w:rPr>
                <m:t>2+</m:t>
              </m:r>
            </m:sup>
          </m:sSubSup>
          <m:r>
            <w:rPr>
              <w:rFonts w:ascii="Cambria Math" w:hAnsi="Cambria Math" w:cs="Times New Roman"/>
            </w:rPr>
            <m:t xml:space="preserve">+2 </m:t>
          </m:r>
          <m:sSub>
            <m:sSubPr>
              <m:ctrlPr>
                <w:rPr>
                  <w:rFonts w:ascii="Cambria Math" w:hAnsi="Cambria Math" w:cs="Times New Roman"/>
                  <w:i/>
                </w:rPr>
              </m:ctrlPr>
            </m:sSubPr>
            <m:e>
              <m:d>
                <m:dPr>
                  <m:ctrlPr>
                    <w:rPr>
                      <w:rFonts w:ascii="Cambria Math" w:hAnsi="Cambria Math" w:cs="Times New Roman"/>
                      <w:i/>
                    </w:rPr>
                  </m:ctrlPr>
                </m:dPr>
                <m:e>
                  <m:r>
                    <w:rPr>
                      <w:rFonts w:ascii="Cambria Math" w:hAnsi="Cambria Math" w:cs="Times New Roman"/>
                    </w:rPr>
                    <m:t>O</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e>
            <m:sub>
              <m:r>
                <w:rPr>
                  <w:rFonts w:ascii="Cambria Math" w:hAnsi="Cambria Math" w:cs="Times New Roman"/>
                </w:rPr>
                <m:t>aq</m:t>
              </m:r>
            </m:sub>
          </m:sSub>
        </m:oMath>
      </m:oMathPara>
    </w:p>
    <w:p w14:paraId="5173A89C" w14:textId="77777777" w:rsidR="00827994" w:rsidRPr="00770477" w:rsidRDefault="00827994" w:rsidP="00827994">
      <w:pPr>
        <w:jc w:val="center"/>
        <w:rPr>
          <w:rFonts w:eastAsiaTheme="minorEastAsia" w:cs="Times New Roman"/>
        </w:rPr>
      </w:pPr>
    </w:p>
    <w:p w14:paraId="069F7684" w14:textId="46445CB9" w:rsidR="00827994" w:rsidRPr="00770477" w:rsidRDefault="00ED4D36" w:rsidP="00ED4D36">
      <w:pPr>
        <w:rPr>
          <w:rFonts w:cs="Times New Roman"/>
        </w:rPr>
      </w:pPr>
      <w:r w:rsidRPr="00770477">
        <w:rPr>
          <w:rFonts w:cs="Times New Roman"/>
        </w:rPr>
        <w:t>Increased ions in solution will increase the solution’s ability to conduct current and therefore result in an overall increase in SpC. Furthermore, an increase in OH</w:t>
      </w:r>
      <w:r w:rsidRPr="00770477">
        <w:rPr>
          <w:rFonts w:cs="Times New Roman"/>
          <w:vertAlign w:val="superscript"/>
        </w:rPr>
        <w:t>-</w:t>
      </w:r>
      <w:r w:rsidRPr="00770477">
        <w:rPr>
          <w:rFonts w:cs="Times New Roman"/>
        </w:rPr>
        <w:t xml:space="preserve"> in solution will correspond to an increase in solution pH. </w:t>
      </w:r>
      <w:r w:rsidR="00410E45" w:rsidRPr="00770477">
        <w:rPr>
          <w:rFonts w:cs="Times New Roman"/>
        </w:rPr>
        <w:fldChar w:fldCharType="begin"/>
      </w:r>
      <w:r w:rsidR="00410E45" w:rsidRPr="00770477">
        <w:rPr>
          <w:rFonts w:cs="Times New Roman"/>
        </w:rPr>
        <w:instrText xml:space="preserve"> REF _Ref121166695 \h </w:instrText>
      </w:r>
      <w:r w:rsidR="00770477">
        <w:rPr>
          <w:rFonts w:cs="Times New Roman"/>
        </w:rPr>
        <w:instrText xml:space="preserve"> \* MERGEFORMAT </w:instrText>
      </w:r>
      <w:r w:rsidR="00410E45" w:rsidRPr="00770477">
        <w:rPr>
          <w:rFonts w:cs="Times New Roman"/>
        </w:rPr>
      </w:r>
      <w:r w:rsidR="00410E45" w:rsidRPr="00770477">
        <w:rPr>
          <w:rFonts w:cs="Times New Roman"/>
        </w:rPr>
        <w:fldChar w:fldCharType="separate"/>
      </w:r>
      <w:r w:rsidR="00061096" w:rsidRPr="00770477">
        <w:rPr>
          <w:rFonts w:cs="Times New Roman"/>
        </w:rPr>
        <w:t xml:space="preserve">Table </w:t>
      </w:r>
      <w:r w:rsidR="00061096">
        <w:rPr>
          <w:rFonts w:cs="Times New Roman"/>
          <w:noProof/>
        </w:rPr>
        <w:t>2</w:t>
      </w:r>
      <w:r w:rsidR="00061096">
        <w:rPr>
          <w:rFonts w:cs="Times New Roman"/>
          <w:noProof/>
        </w:rPr>
        <w:noBreakHyphen/>
        <w:t>3</w:t>
      </w:r>
      <w:r w:rsidR="00410E45" w:rsidRPr="00770477">
        <w:rPr>
          <w:rFonts w:cs="Times New Roman"/>
        </w:rPr>
        <w:fldChar w:fldCharType="end"/>
      </w:r>
      <w:r w:rsidRPr="00770477">
        <w:rPr>
          <w:rFonts w:cs="Times New Roman"/>
        </w:rPr>
        <w:t xml:space="preserve"> highlights the compositions of each medium used with most metal components expressed in their metal-oxide form. The </w:t>
      </w:r>
      <w:r w:rsidR="00BB6E0A">
        <w:rPr>
          <w:rFonts w:cs="Times New Roman"/>
        </w:rPr>
        <w:t>aggregated fly ash</w:t>
      </w:r>
      <w:r w:rsidRPr="00770477">
        <w:rPr>
          <w:rFonts w:cs="Times New Roman"/>
        </w:rPr>
        <w:t xml:space="preserve"> and steel slag used were reported to contain </w:t>
      </w:r>
      <w:r w:rsidR="00B0136A">
        <w:rPr>
          <w:rFonts w:cs="Times New Roman"/>
        </w:rPr>
        <w:t>large</w:t>
      </w:r>
      <w:r w:rsidRPr="00770477">
        <w:rPr>
          <w:rFonts w:cs="Times New Roman"/>
        </w:rPr>
        <w:t xml:space="preserve"> metal-oxide concentrations with particularly high concentrations of Al</w:t>
      </w:r>
      <w:r w:rsidRPr="00770477">
        <w:rPr>
          <w:rFonts w:cs="Times New Roman"/>
          <w:vertAlign w:val="subscript"/>
        </w:rPr>
        <w:t>2</w:t>
      </w:r>
      <w:r w:rsidRPr="00770477">
        <w:rPr>
          <w:rFonts w:cs="Times New Roman"/>
        </w:rPr>
        <w:t>O</w:t>
      </w:r>
      <w:r w:rsidRPr="00770477">
        <w:rPr>
          <w:rFonts w:cs="Times New Roman"/>
          <w:vertAlign w:val="subscript"/>
        </w:rPr>
        <w:t>3</w:t>
      </w:r>
      <w:r w:rsidRPr="00770477">
        <w:rPr>
          <w:rFonts w:cs="Times New Roman"/>
        </w:rPr>
        <w:t>, Fe</w:t>
      </w:r>
      <w:r w:rsidRPr="00770477">
        <w:rPr>
          <w:rFonts w:cs="Times New Roman"/>
          <w:vertAlign w:val="subscript"/>
        </w:rPr>
        <w:t>2</w:t>
      </w:r>
      <w:r w:rsidRPr="00770477">
        <w:rPr>
          <w:rFonts w:cs="Times New Roman"/>
        </w:rPr>
        <w:t>O</w:t>
      </w:r>
      <w:r w:rsidRPr="00770477">
        <w:rPr>
          <w:rFonts w:cs="Times New Roman"/>
          <w:vertAlign w:val="subscript"/>
        </w:rPr>
        <w:t>3</w:t>
      </w:r>
      <w:r w:rsidRPr="00770477">
        <w:rPr>
          <w:rFonts w:cs="Times New Roman"/>
        </w:rPr>
        <w:t xml:space="preserve">, </w:t>
      </w:r>
      <w:proofErr w:type="spellStart"/>
      <w:r w:rsidRPr="00770477">
        <w:rPr>
          <w:rFonts w:cs="Times New Roman"/>
        </w:rPr>
        <w:t>CaO</w:t>
      </w:r>
      <w:proofErr w:type="spellEnd"/>
      <w:r w:rsidRPr="00770477">
        <w:rPr>
          <w:rFonts w:cs="Times New Roman"/>
        </w:rPr>
        <w:t xml:space="preserve">, and MgO. Furthermore, biochar was not demonstrated to contain </w:t>
      </w:r>
      <w:r w:rsidR="00542CA1">
        <w:rPr>
          <w:rFonts w:cs="Times New Roman"/>
        </w:rPr>
        <w:t>high</w:t>
      </w:r>
      <w:r w:rsidRPr="00770477">
        <w:rPr>
          <w:rFonts w:cs="Times New Roman"/>
        </w:rPr>
        <w:t xml:space="preserve"> levels of metal-oxides, but rather had an overwhelming composition of organic carbon (87.4%). </w:t>
      </w:r>
      <w:r w:rsidR="00EA4EB2" w:rsidRPr="00770477">
        <w:rPr>
          <w:rFonts w:cs="Times New Roman"/>
        </w:rPr>
        <w:t xml:space="preserve">Studies have </w:t>
      </w:r>
      <w:r w:rsidRPr="00770477">
        <w:rPr>
          <w:rFonts w:cs="Times New Roman"/>
        </w:rPr>
        <w:t>demonstrated fly ash</w:t>
      </w:r>
      <w:r w:rsidR="00EA4EB2" w:rsidRPr="00770477">
        <w:rPr>
          <w:rFonts w:cs="Times New Roman"/>
        </w:rPr>
        <w:t xml:space="preserve"> </w:t>
      </w:r>
      <w:r w:rsidR="00EA4EB2" w:rsidRPr="00770477">
        <w:rPr>
          <w:rFonts w:cs="Times New Roman"/>
        </w:rPr>
        <w:fldChar w:fldCharType="begin"/>
      </w:r>
      <w:r w:rsidR="002074AD">
        <w:rPr>
          <w:rFonts w:cs="Times New Roman"/>
        </w:rPr>
        <w:instrText xml:space="preserve"> ADDIN ZOTERO_ITEM CSL_CITATION {"citationID":"a46d4beu45","properties":{"formattedCitation":"\\uldash{(Ahmaruzzaman, 2010)}","plainCitation":"(Ahmaruzzaman, 2010)","dontUpdate":true,"noteIndex":0},"citationItems":[{"id":77,"uris":["http://zotero.org/users/8423188/items/PEE3JLJR"],"itemData":{"id":77,"type":"article-journal","abstract":"Fly ash, generated during the combustion of coal for energy production, is an industrial by-product which is recognized as an environmental pollutant. Because of the environmental problems presented by the ﬂy ash, considerable research has been undertaken on the subject worldwide. In this paper, the utilization of ﬂy ash in construction, as a low-cost adsorbent for the removal of organic compounds, ﬂue gas and metals, light weight aggregate, mine back ﬁll, road sub-base, and zeolite synthesis is discussed. A considerable amount of research has been conducted using ﬂy ash for adsorption of NOx, SOx, organic compounds, and mercury in air, dyes and other organic compounds in waters. It is found that ﬂy ash is a promising adsorbent for the removal of various pollutants. The adsorption capacity of ﬂy ash may be increased after chemical and physical activation. It was also found that ﬂy ash has good potential for use in the construction industry. The conversion of ﬂy ash into zeolites has many applications such as ion exchange, molecular sieves, and adsorbents. Converting ﬂy ash into zeolites not only alleviates the disposal problem but also converts a waste material into a marketable commodity. Investigations also revealed that the unburned carbon component in ﬂy ash plays an important role in its adsorption capacity. Future research in these areas is also discussed.","container-title":"Progress in Energy and Combustion Science","DOI":"10.1016/j.pecs.2009.11.003","ISSN":"03601285","issue":"3","journalAbbreviation":"Progress in Energy and Combustion Science","language":"en","page":"327-363","source":"DOI.org (Crossref)","title":"A review on the utilization of fly ash","volume":"36","author":[{"family":"Ahmaruzzaman","given":"M."}],"issued":{"date-parts":[["2010",6]]}}}],"schema":"https://github.com/citation-style-language/schema/raw/master/csl-citation.json"} </w:instrText>
      </w:r>
      <w:r w:rsidR="00000000">
        <w:rPr>
          <w:rFonts w:cs="Times New Roman"/>
        </w:rPr>
        <w:fldChar w:fldCharType="separate"/>
      </w:r>
      <w:r w:rsidR="00EA4EB2" w:rsidRPr="00770477">
        <w:rPr>
          <w:rFonts w:cs="Times New Roman"/>
        </w:rPr>
        <w:fldChar w:fldCharType="end"/>
      </w:r>
      <w:r w:rsidRPr="00770477">
        <w:rPr>
          <w:rFonts w:cs="Times New Roman"/>
        </w:rPr>
        <w:t xml:space="preserve"> and </w:t>
      </w:r>
      <w:r w:rsidR="00BD62B6" w:rsidRPr="00770477">
        <w:rPr>
          <w:rFonts w:cs="Times New Roman"/>
        </w:rPr>
        <w:fldChar w:fldCharType="begin"/>
      </w:r>
      <w:r w:rsidR="002074AD">
        <w:rPr>
          <w:rFonts w:cs="Times New Roman"/>
        </w:rPr>
        <w:instrText xml:space="preserve"> ADDIN ZOTERO_ITEM CSL_CITATION {"citationID":"a2gsb41knf0","properties":{"formattedCitation":"\\uldash{(Agyei et al., 2002)}","plainCitation":"(Agyei et al., 2002)","dontUpdate":true,"noteIndex":0},"citationItems":[{"id":82,"uris":["http://zotero.org/users/8423188/items/HN5FGA5G"],"itemData":{"id":82,"type":"article-journal","abstract":"Phosphate ions have been removed from aqueous solution by fly ash, slag, ordinary Portland cement (OPC) and related cement blends. The rate and efficiency of PO43 À removal were found to increase in the order: fly ash, slag, OPC, apparently mimicking the order of increasing percent CaO in the adsorbents. Blending OPC with fly ash or slag evidently results in diminished PO43 À removal efficiency. Better removal was obtained at higher solute concentration, acidic pH and higher temperature. The effect of particle size and the speed of mixing were found not to be significant. A first-order kinetic model was used to obtain values for overall sorption rate constants and intraparticle diffusion constants. The Frumkin isotherm was found to be the appropriate equation for modelling isotherms from the experimental adsorption data, and values have been obtained for the isotherm constants. A 400-mg/l PO43 À (as P) solution was fed at a steady velocity of 2.0 cm/min through a 2.0-cm fixed-bed column (at pH 9.0 and 25 °C), and breakthrough curves were constructed to obtain estimated adsorption capacity values of 32, 60, 75, 78 and 83 mg PO43 À /g adsorbent for fly ash, slag, OPC + fly ash, OPC + slag and OPC, respectively.","container-title":"Cement and Concrete Research","DOI":"10.1016/S0008-8846(02)00888-8","ISSN":"00088846","issue":"12","journalAbbreviation":"Cement and Concrete Research","language":"en","page":"1889-1897","source":"DOI.org (Crossref)","title":"The removal of phosphate ions from aqueous solution by fly ash, slag, ordinary Portland cement and related blends","volume":"32","author":[{"family":"Agyei","given":"N.M."},{"family":"Strydom","given":"C.A."},{"family":"Potgieter","given":"J.H."}],"issued":{"date-parts":[["2002",12]]}}}],"schema":"https://github.com/citation-style-language/schema/raw/master/csl-citation.json"} </w:instrText>
      </w:r>
      <w:r w:rsidR="00000000">
        <w:rPr>
          <w:rFonts w:cs="Times New Roman"/>
        </w:rPr>
        <w:fldChar w:fldCharType="separate"/>
      </w:r>
      <w:r w:rsidR="00BD62B6" w:rsidRPr="00770477">
        <w:rPr>
          <w:rFonts w:cs="Times New Roman"/>
        </w:rPr>
        <w:fldChar w:fldCharType="end"/>
      </w:r>
      <w:r w:rsidRPr="00770477">
        <w:rPr>
          <w:rFonts w:cs="Times New Roman"/>
        </w:rPr>
        <w:t xml:space="preserve">steel slag </w:t>
      </w:r>
      <w:r w:rsidR="004F3BC4" w:rsidRPr="00770477">
        <w:rPr>
          <w:rFonts w:cs="Times New Roman"/>
        </w:rPr>
        <w:fldChar w:fldCharType="begin"/>
      </w:r>
      <w:r w:rsidR="002074AD">
        <w:rPr>
          <w:rFonts w:cs="Times New Roman"/>
        </w:rPr>
        <w:instrText xml:space="preserve"> ADDIN ZOTERO_ITEM CSL_CITATION {"citationID":"a1vsrcf244r","properties":{"formattedCitation":"(Agyei et al., 2002)","plainCitation":"(Agyei et al., 2002)","noteIndex":0},"citationItems":[{"id":82,"uris":["http://zotero.org/users/8423188/items/HN5FGA5G"],"itemData":{"id":82,"type":"article-journal","abstract":"Phosphate ions have been removed from aqueous solution by fly ash, slag, ordinary Portland cement (OPC) and related cement blends. The rate and efficiency of PO43 À removal were found to increase in the order: fly ash, slag, OPC, apparently mimicking the order of increasing percent CaO in the adsorbents. Blending OPC with fly ash or slag evidently results in diminished PO43 À removal efficiency. Better removal was obtained at higher solute concentration, acidic pH and higher temperature. The effect of particle size and the speed of mixing were found not to be significant. A first-order kinetic model was used to obtain values for overall sorption rate constants and intraparticle diffusion constants. The Frumkin isotherm was found to be the appropriate equation for modelling isotherms from the experimental adsorption data, and values have been obtained for the isotherm constants. A 400-mg/l PO43 À (as P) solution was fed at a steady velocity of 2.0 cm/min through a 2.0-cm fixed-bed column (at pH 9.0 and 25 °C), and breakthrough curves were constructed to obtain estimated adsorption capacity values of 32, 60, 75, 78 and 83 mg PO43 À /g adsorbent for fly ash, slag, OPC + fly ash, OPC + slag and OPC, respectively.","container-title":"Cement and Concrete Research","DOI":"10.1016/S0008-8846(02)00888-8","ISSN":"00088846","issue":"12","journalAbbreviation":"Cement and Concrete Research","language":"en","page":"1889-1897","source":"DOI.org (Crossref)","title":"The removal of phosphate ions from aqueous solution by fly ash, slag, ordinary Portland cement and related blends","volume":"32","author":[{"family":"Agyei","given":"N.M."},{"family":"Strydom","given":"C.A."},{"family":"Potgieter","given":"J.H."}],"issued":{"date-parts":[["2002",12]]}}}],"schema":"https://github.com/citation-style-language/schema/raw/master/csl-citation.json"} </w:instrText>
      </w:r>
      <w:r w:rsidR="004F3BC4" w:rsidRPr="00770477">
        <w:rPr>
          <w:rFonts w:cs="Times New Roman"/>
        </w:rPr>
        <w:fldChar w:fldCharType="separate"/>
      </w:r>
      <w:r w:rsidR="003D5078" w:rsidRPr="00770477">
        <w:rPr>
          <w:rFonts w:cs="Times New Roman"/>
        </w:rPr>
        <w:t>(Agyei et al., 2002)</w:t>
      </w:r>
      <w:r w:rsidR="004F3BC4" w:rsidRPr="00770477">
        <w:rPr>
          <w:rFonts w:cs="Times New Roman"/>
        </w:rPr>
        <w:fldChar w:fldCharType="end"/>
      </w:r>
      <w:r w:rsidR="004F3BC4" w:rsidRPr="00770477">
        <w:rPr>
          <w:rFonts w:cs="Times New Roman"/>
        </w:rPr>
        <w:t xml:space="preserve"> </w:t>
      </w:r>
      <w:r w:rsidRPr="00770477">
        <w:rPr>
          <w:rFonts w:cs="Times New Roman"/>
        </w:rPr>
        <w:t xml:space="preserve">yield higher pH and SpC values due to this metal-oxide dissolution. </w:t>
      </w:r>
    </w:p>
    <w:p w14:paraId="08ADB6E4" w14:textId="1850D1C3" w:rsidR="00ED4D36" w:rsidRPr="00770477" w:rsidRDefault="00827994" w:rsidP="00827994">
      <w:pPr>
        <w:spacing w:line="240" w:lineRule="auto"/>
        <w:rPr>
          <w:rFonts w:cs="Times New Roman"/>
        </w:rPr>
      </w:pPr>
      <w:r w:rsidRPr="00770477">
        <w:rPr>
          <w:rFonts w:cs="Times New Roman"/>
        </w:rPr>
        <w:br w:type="page"/>
      </w:r>
    </w:p>
    <w:p w14:paraId="2E925BD4" w14:textId="77777777" w:rsidR="00ED4D36" w:rsidRPr="00770477" w:rsidRDefault="00ED4D36" w:rsidP="00827994">
      <w:pPr>
        <w:pStyle w:val="Heading2"/>
        <w:rPr>
          <w:rFonts w:cs="Times New Roman"/>
        </w:rPr>
      </w:pPr>
      <w:bookmarkStart w:id="159" w:name="_Toc121496027"/>
      <w:r w:rsidRPr="00770477">
        <w:rPr>
          <w:rFonts w:cs="Times New Roman"/>
        </w:rPr>
        <w:lastRenderedPageBreak/>
        <w:t>Leaching</w:t>
      </w:r>
      <w:bookmarkEnd w:id="159"/>
    </w:p>
    <w:p w14:paraId="3FD99E7F" w14:textId="2036C28F" w:rsidR="00ED4D36" w:rsidRPr="00770477" w:rsidRDefault="00ED4D36" w:rsidP="00ED4D36">
      <w:pPr>
        <w:ind w:firstLine="720"/>
        <w:rPr>
          <w:rFonts w:cs="Times New Roman"/>
        </w:rPr>
      </w:pPr>
      <w:r w:rsidRPr="00770477">
        <w:rPr>
          <w:rFonts w:cs="Times New Roman"/>
        </w:rPr>
        <w:t xml:space="preserve">As was demonstrated in the previous section, both </w:t>
      </w:r>
      <w:r w:rsidR="00BB6E0A">
        <w:rPr>
          <w:rFonts w:cs="Times New Roman"/>
        </w:rPr>
        <w:t>aggregated fly ash</w:t>
      </w:r>
      <w:r w:rsidRPr="00770477">
        <w:rPr>
          <w:rFonts w:cs="Times New Roman"/>
        </w:rPr>
        <w:t xml:space="preserve"> and steel slag possess a high potential to leach cations (such as </w:t>
      </w:r>
      <w:r w:rsidR="009E64C4">
        <w:rPr>
          <w:rFonts w:cs="Times New Roman"/>
        </w:rPr>
        <w:t>Ca</w:t>
      </w:r>
      <w:r w:rsidR="009E64C4" w:rsidRPr="00CB02A7">
        <w:rPr>
          <w:rFonts w:cs="Times New Roman"/>
          <w:vertAlign w:val="superscript"/>
        </w:rPr>
        <w:t>+2</w:t>
      </w:r>
      <w:r w:rsidRPr="00770477">
        <w:rPr>
          <w:rFonts w:cs="Times New Roman"/>
        </w:rPr>
        <w:t xml:space="preserve">, </w:t>
      </w:r>
      <w:r w:rsidR="00E865BE">
        <w:rPr>
          <w:rFonts w:cs="Times New Roman"/>
        </w:rPr>
        <w:t>Mg</w:t>
      </w:r>
      <w:r w:rsidR="00E865BE" w:rsidRPr="00E865BE">
        <w:rPr>
          <w:rFonts w:cs="Times New Roman"/>
          <w:vertAlign w:val="superscript"/>
        </w:rPr>
        <w:t>+2</w:t>
      </w:r>
      <w:r w:rsidRPr="00770477">
        <w:rPr>
          <w:rFonts w:cs="Times New Roman"/>
        </w:rPr>
        <w:t xml:space="preserve">, </w:t>
      </w:r>
      <w:r w:rsidR="005D6128">
        <w:rPr>
          <w:rFonts w:cs="Times New Roman"/>
        </w:rPr>
        <w:t>Na</w:t>
      </w:r>
      <w:r w:rsidR="005D6128" w:rsidRPr="00C52F03">
        <w:rPr>
          <w:rFonts w:cs="Times New Roman"/>
          <w:vertAlign w:val="superscript"/>
        </w:rPr>
        <w:t>+</w:t>
      </w:r>
      <w:r w:rsidRPr="00770477">
        <w:rPr>
          <w:rFonts w:cs="Times New Roman"/>
        </w:rPr>
        <w:t xml:space="preserve">, </w:t>
      </w:r>
      <w:r w:rsidR="00C777B5">
        <w:rPr>
          <w:rFonts w:cs="Times New Roman"/>
        </w:rPr>
        <w:t>K</w:t>
      </w:r>
      <w:r w:rsidR="00C777B5" w:rsidRPr="00E05983">
        <w:rPr>
          <w:rFonts w:cs="Times New Roman"/>
          <w:vertAlign w:val="superscript"/>
        </w:rPr>
        <w:t>+</w:t>
      </w:r>
      <w:r w:rsidRPr="00770477">
        <w:rPr>
          <w:rFonts w:cs="Times New Roman"/>
        </w:rPr>
        <w:t xml:space="preserve">, </w:t>
      </w:r>
      <w:r w:rsidR="00114071">
        <w:rPr>
          <w:rFonts w:cs="Times New Roman"/>
        </w:rPr>
        <w:t>Fe</w:t>
      </w:r>
      <w:r w:rsidR="00114071" w:rsidRPr="005E340B">
        <w:rPr>
          <w:rFonts w:cs="Times New Roman"/>
          <w:vertAlign w:val="superscript"/>
        </w:rPr>
        <w:t>+3</w:t>
      </w:r>
      <w:r w:rsidRPr="00770477">
        <w:rPr>
          <w:rFonts w:cs="Times New Roman"/>
        </w:rPr>
        <w:t xml:space="preserve">, and Al) into solution. This was demonstrated by </w:t>
      </w:r>
      <w:r w:rsidR="00904EC5" w:rsidRPr="00770477">
        <w:rPr>
          <w:rFonts w:cs="Times New Roman"/>
        </w:rPr>
        <w:t xml:space="preserve">reviewing </w:t>
      </w:r>
      <w:r w:rsidRPr="00770477">
        <w:rPr>
          <w:rFonts w:cs="Times New Roman"/>
        </w:rPr>
        <w:t xml:space="preserve">Ca, Mg, Na, K, and Fe </w:t>
      </w:r>
      <w:r w:rsidR="00904EC5" w:rsidRPr="00770477">
        <w:rPr>
          <w:rFonts w:cs="Times New Roman"/>
        </w:rPr>
        <w:t xml:space="preserve">ratio </w:t>
      </w:r>
      <w:r w:rsidRPr="00770477">
        <w:rPr>
          <w:rFonts w:cs="Times New Roman"/>
        </w:rPr>
        <w:t>data</w:t>
      </w:r>
      <w:r w:rsidR="00904EC5" w:rsidRPr="00770477">
        <w:rPr>
          <w:rFonts w:cs="Times New Roman"/>
        </w:rPr>
        <w:t xml:space="preserve"> in </w:t>
      </w:r>
      <w:r w:rsidR="00302953">
        <w:rPr>
          <w:rFonts w:cs="Times New Roman"/>
        </w:rPr>
        <w:fldChar w:fldCharType="begin"/>
      </w:r>
      <w:r w:rsidR="00302953">
        <w:rPr>
          <w:rFonts w:cs="Times New Roman"/>
        </w:rPr>
        <w:instrText xml:space="preserve"> REF _Ref121496223 \h </w:instrText>
      </w:r>
      <w:r w:rsidR="00302953">
        <w:rPr>
          <w:rFonts w:cs="Times New Roman"/>
        </w:rPr>
      </w:r>
      <w:r w:rsidR="00302953">
        <w:rPr>
          <w:rFonts w:cs="Times New Roman"/>
        </w:rPr>
        <w:fldChar w:fldCharType="separate"/>
      </w:r>
      <w:r w:rsidR="00061096">
        <w:t xml:space="preserve">Table </w:t>
      </w:r>
      <w:r w:rsidR="00061096">
        <w:rPr>
          <w:noProof/>
        </w:rPr>
        <w:t>10</w:t>
      </w:r>
      <w:r w:rsidR="00061096">
        <w:noBreakHyphen/>
      </w:r>
      <w:r w:rsidR="00061096">
        <w:rPr>
          <w:noProof/>
        </w:rPr>
        <w:t>4</w:t>
      </w:r>
      <w:r w:rsidR="00302953">
        <w:rPr>
          <w:rFonts w:cs="Times New Roman"/>
        </w:rPr>
        <w:fldChar w:fldCharType="end"/>
      </w:r>
      <w:r w:rsidR="00302953">
        <w:rPr>
          <w:rFonts w:cs="Times New Roman"/>
        </w:rPr>
        <w:t xml:space="preserve">, </w:t>
      </w:r>
      <w:r w:rsidR="00302953">
        <w:rPr>
          <w:rFonts w:cs="Times New Roman"/>
        </w:rPr>
        <w:fldChar w:fldCharType="begin"/>
      </w:r>
      <w:r w:rsidR="00302953">
        <w:rPr>
          <w:rFonts w:cs="Times New Roman"/>
        </w:rPr>
        <w:instrText xml:space="preserve"> REF _Ref121496255 \h </w:instrText>
      </w:r>
      <w:r w:rsidR="00302953">
        <w:rPr>
          <w:rFonts w:cs="Times New Roman"/>
        </w:rPr>
      </w:r>
      <w:r w:rsidR="00302953">
        <w:rPr>
          <w:rFonts w:cs="Times New Roman"/>
        </w:rPr>
        <w:fldChar w:fldCharType="separate"/>
      </w:r>
      <w:r w:rsidR="00061096">
        <w:t xml:space="preserve">Table </w:t>
      </w:r>
      <w:r w:rsidR="00061096">
        <w:rPr>
          <w:noProof/>
        </w:rPr>
        <w:t>10</w:t>
      </w:r>
      <w:r w:rsidR="00061096">
        <w:noBreakHyphen/>
      </w:r>
      <w:r w:rsidR="00061096">
        <w:rPr>
          <w:noProof/>
        </w:rPr>
        <w:t>5</w:t>
      </w:r>
      <w:r w:rsidR="00302953">
        <w:rPr>
          <w:rFonts w:cs="Times New Roman"/>
        </w:rPr>
        <w:fldChar w:fldCharType="end"/>
      </w:r>
      <w:r w:rsidR="00302953">
        <w:rPr>
          <w:rFonts w:cs="Times New Roman"/>
        </w:rPr>
        <w:t xml:space="preserve">, </w:t>
      </w:r>
      <w:r w:rsidR="00302953">
        <w:rPr>
          <w:rFonts w:cs="Times New Roman"/>
        </w:rPr>
        <w:fldChar w:fldCharType="begin"/>
      </w:r>
      <w:r w:rsidR="00302953">
        <w:rPr>
          <w:rFonts w:cs="Times New Roman"/>
        </w:rPr>
        <w:instrText xml:space="preserve"> REF _Ref121496256 \h </w:instrText>
      </w:r>
      <w:r w:rsidR="00302953">
        <w:rPr>
          <w:rFonts w:cs="Times New Roman"/>
        </w:rPr>
      </w:r>
      <w:r w:rsidR="00302953">
        <w:rPr>
          <w:rFonts w:cs="Times New Roman"/>
        </w:rPr>
        <w:fldChar w:fldCharType="separate"/>
      </w:r>
      <w:r w:rsidR="00061096">
        <w:t xml:space="preserve">Table </w:t>
      </w:r>
      <w:r w:rsidR="00061096">
        <w:rPr>
          <w:noProof/>
        </w:rPr>
        <w:t>10</w:t>
      </w:r>
      <w:r w:rsidR="00061096">
        <w:noBreakHyphen/>
      </w:r>
      <w:r w:rsidR="00061096">
        <w:rPr>
          <w:noProof/>
        </w:rPr>
        <w:t>6</w:t>
      </w:r>
      <w:r w:rsidR="00302953">
        <w:rPr>
          <w:rFonts w:cs="Times New Roman"/>
        </w:rPr>
        <w:fldChar w:fldCharType="end"/>
      </w:r>
      <w:r w:rsidR="00654F35" w:rsidRPr="00770477">
        <w:rPr>
          <w:rFonts w:cs="Times New Roman"/>
        </w:rPr>
        <w:t>in the appendix.</w:t>
      </w:r>
      <w:r w:rsidRPr="00770477">
        <w:rPr>
          <w:rFonts w:cs="Times New Roman"/>
        </w:rPr>
        <w:t xml:space="preserve"> </w:t>
      </w:r>
      <w:r w:rsidR="00654F35" w:rsidRPr="00770477">
        <w:rPr>
          <w:rFonts w:cs="Times New Roman"/>
        </w:rPr>
        <w:t>L</w:t>
      </w:r>
      <w:r w:rsidRPr="00770477">
        <w:rPr>
          <w:rFonts w:cs="Times New Roman"/>
        </w:rPr>
        <w:t xml:space="preserve">eaching of a material is of concern to the quality of the water that is flowing into the environment and into various waterbodies. Major cations such as </w:t>
      </w:r>
      <w:r w:rsidR="009E64C4">
        <w:rPr>
          <w:rFonts w:cs="Times New Roman"/>
        </w:rPr>
        <w:t>Ca</w:t>
      </w:r>
      <w:r w:rsidR="009E64C4" w:rsidRPr="00CB02A7">
        <w:rPr>
          <w:rFonts w:cs="Times New Roman"/>
          <w:vertAlign w:val="superscript"/>
        </w:rPr>
        <w:t>+2</w:t>
      </w:r>
      <w:r w:rsidRPr="00770477">
        <w:rPr>
          <w:rFonts w:cs="Times New Roman"/>
        </w:rPr>
        <w:t xml:space="preserve">, </w:t>
      </w:r>
      <w:r w:rsidR="00E865BE">
        <w:rPr>
          <w:rFonts w:cs="Times New Roman"/>
        </w:rPr>
        <w:t>Mg</w:t>
      </w:r>
      <w:r w:rsidR="00E865BE" w:rsidRPr="00E865BE">
        <w:rPr>
          <w:rFonts w:cs="Times New Roman"/>
          <w:vertAlign w:val="superscript"/>
        </w:rPr>
        <w:t>+2</w:t>
      </w:r>
      <w:r w:rsidRPr="00770477">
        <w:rPr>
          <w:rFonts w:cs="Times New Roman"/>
        </w:rPr>
        <w:t xml:space="preserve">, </w:t>
      </w:r>
      <w:r w:rsidR="00C52F03">
        <w:rPr>
          <w:rFonts w:cs="Times New Roman"/>
        </w:rPr>
        <w:t>Na</w:t>
      </w:r>
      <w:r w:rsidR="00C52F03" w:rsidRPr="00C52F03">
        <w:rPr>
          <w:rFonts w:cs="Times New Roman"/>
          <w:vertAlign w:val="superscript"/>
        </w:rPr>
        <w:t>+</w:t>
      </w:r>
      <w:r w:rsidRPr="00770477">
        <w:rPr>
          <w:rFonts w:cs="Times New Roman"/>
        </w:rPr>
        <w:t xml:space="preserve">, and </w:t>
      </w:r>
      <w:r w:rsidR="00C52F03">
        <w:rPr>
          <w:rFonts w:cs="Times New Roman"/>
        </w:rPr>
        <w:t>K</w:t>
      </w:r>
      <w:r w:rsidR="00C52F03" w:rsidRPr="00E05983">
        <w:rPr>
          <w:rFonts w:cs="Times New Roman"/>
          <w:vertAlign w:val="superscript"/>
        </w:rPr>
        <w:t>+</w:t>
      </w:r>
      <w:r w:rsidRPr="00770477">
        <w:rPr>
          <w:rFonts w:cs="Times New Roman"/>
        </w:rPr>
        <w:t xml:space="preserve"> alone are not considered as </w:t>
      </w:r>
      <w:r w:rsidR="00542CA1" w:rsidRPr="00770477">
        <w:rPr>
          <w:rFonts w:cs="Times New Roman"/>
        </w:rPr>
        <w:t>substantial</w:t>
      </w:r>
      <w:r w:rsidRPr="00770477">
        <w:rPr>
          <w:rFonts w:cs="Times New Roman"/>
        </w:rPr>
        <w:t xml:space="preserve"> threats to aquatic life. However, these elements typically combine to constitute total dissolved solids (TDS) which is a measure that is considered impactful to aquatic life. </w:t>
      </w:r>
      <w:r w:rsidRPr="00770477">
        <w:rPr>
          <w:rFonts w:cs="Times New Roman"/>
        </w:rPr>
        <w:fldChar w:fldCharType="begin"/>
      </w:r>
      <w:r w:rsidR="002074AD">
        <w:rPr>
          <w:rFonts w:cs="Times New Roman"/>
        </w:rPr>
        <w:instrText xml:space="preserve"> ADDIN ZOTERO_ITEM CSL_CITATION {"citationID":"xFAeU4cx","properties":{"formattedCitation":"({\\i{}Water Quality Standards | Oklahoma Water Resources Board}, n.d.)","plainCitation":"(Water Quality Standards | Oklahoma Water Resources Board, n.d.)","dontUpdate":true,"noteIndex":0},"citationItems":[{"id":74,"uris":["http://zotero.org/users/8423188/items/J7Z3VX4P"],"itemData":{"id":74,"type":"webpage","title":"Water Quality Standards | Oklahoma Water Resources Board","URL":"https://www.owrb.ok.gov/quality/standards/standards.php","accessed":{"date-parts":[["2021",11,3]]}}}],"schema":"https://github.com/citation-style-language/schema/raw/master/csl-citation.json"} </w:instrText>
      </w:r>
      <w:r w:rsidRPr="00770477">
        <w:rPr>
          <w:rFonts w:cs="Times New Roman"/>
        </w:rPr>
        <w:fldChar w:fldCharType="separate"/>
      </w:r>
      <w:r w:rsidRPr="00770477">
        <w:rPr>
          <w:rFonts w:cs="Times New Roman"/>
          <w:i/>
          <w:iCs/>
        </w:rPr>
        <w:t>Water Quality Standards | Oklahoma Water Resources Board</w:t>
      </w:r>
      <w:r w:rsidRPr="00770477">
        <w:rPr>
          <w:rFonts w:cs="Times New Roman"/>
        </w:rPr>
        <w:t xml:space="preserve"> (n.d.)</w:t>
      </w:r>
      <w:r w:rsidRPr="00770477">
        <w:rPr>
          <w:rFonts w:cs="Times New Roman"/>
        </w:rPr>
        <w:fldChar w:fldCharType="end"/>
      </w:r>
      <w:r w:rsidRPr="00770477">
        <w:rPr>
          <w:rFonts w:cs="Times New Roman"/>
        </w:rPr>
        <w:t xml:space="preserve"> defines “general use groundwater” as a groundwater that can be used for human consumption or otherwise without adverse impacts and is defined by a TDS value below 3,000 mg L</w:t>
      </w:r>
      <w:r w:rsidRPr="00770477">
        <w:rPr>
          <w:rFonts w:cs="Times New Roman"/>
          <w:vertAlign w:val="superscript"/>
        </w:rPr>
        <w:t>-1</w:t>
      </w:r>
      <w:r w:rsidRPr="00770477">
        <w:rPr>
          <w:rFonts w:cs="Times New Roman"/>
        </w:rPr>
        <w:t>. The standards go on to define water sufficient for water supply purposes to be below 5,000 mg L</w:t>
      </w:r>
      <w:r w:rsidRPr="00770477">
        <w:rPr>
          <w:rFonts w:cs="Times New Roman"/>
          <w:vertAlign w:val="superscript"/>
        </w:rPr>
        <w:t>-1</w:t>
      </w:r>
      <w:r w:rsidRPr="00770477">
        <w:rPr>
          <w:rFonts w:cs="Times New Roman"/>
        </w:rPr>
        <w:t xml:space="preserve"> and sets a secondary drinking water standard at 500 mg L</w:t>
      </w:r>
      <w:r w:rsidRPr="00770477">
        <w:rPr>
          <w:rFonts w:cs="Times New Roman"/>
          <w:vertAlign w:val="superscript"/>
        </w:rPr>
        <w:t>-1</w:t>
      </w:r>
      <w:r w:rsidRPr="00770477">
        <w:rPr>
          <w:rFonts w:cs="Times New Roman"/>
        </w:rPr>
        <w:t xml:space="preserve"> (for more aesthetic purposes). Even in the most extreme of cases, combined </w:t>
      </w:r>
      <w:r w:rsidR="009E64C4">
        <w:rPr>
          <w:rFonts w:cs="Times New Roman"/>
        </w:rPr>
        <w:t>Ca</w:t>
      </w:r>
      <w:r w:rsidR="009E64C4" w:rsidRPr="00CB02A7">
        <w:rPr>
          <w:rFonts w:cs="Times New Roman"/>
          <w:vertAlign w:val="superscript"/>
        </w:rPr>
        <w:t>+2</w:t>
      </w:r>
      <w:r w:rsidRPr="00770477">
        <w:rPr>
          <w:rFonts w:cs="Times New Roman"/>
        </w:rPr>
        <w:t xml:space="preserve">, </w:t>
      </w:r>
      <w:r w:rsidR="00E865BE">
        <w:rPr>
          <w:rFonts w:cs="Times New Roman"/>
        </w:rPr>
        <w:t>Mg</w:t>
      </w:r>
      <w:r w:rsidR="00E865BE" w:rsidRPr="00E865BE">
        <w:rPr>
          <w:rFonts w:cs="Times New Roman"/>
          <w:vertAlign w:val="superscript"/>
        </w:rPr>
        <w:t>+2</w:t>
      </w:r>
      <w:r w:rsidRPr="00770477">
        <w:rPr>
          <w:rFonts w:cs="Times New Roman"/>
        </w:rPr>
        <w:t xml:space="preserve">, </w:t>
      </w:r>
      <w:r w:rsidR="00C52F03">
        <w:rPr>
          <w:rFonts w:cs="Times New Roman"/>
        </w:rPr>
        <w:t>Na</w:t>
      </w:r>
      <w:r w:rsidR="00C52F03" w:rsidRPr="00C52F03">
        <w:rPr>
          <w:rFonts w:cs="Times New Roman"/>
          <w:vertAlign w:val="superscript"/>
        </w:rPr>
        <w:t>+</w:t>
      </w:r>
      <w:r w:rsidRPr="00770477">
        <w:rPr>
          <w:rFonts w:cs="Times New Roman"/>
        </w:rPr>
        <w:t xml:space="preserve">, and </w:t>
      </w:r>
      <w:r w:rsidR="0020173F">
        <w:rPr>
          <w:rFonts w:cs="Times New Roman"/>
        </w:rPr>
        <w:t>K</w:t>
      </w:r>
      <w:r w:rsidR="0020173F" w:rsidRPr="00E05983">
        <w:rPr>
          <w:rFonts w:cs="Times New Roman"/>
          <w:vertAlign w:val="superscript"/>
        </w:rPr>
        <w:t>+</w:t>
      </w:r>
      <w:r w:rsidRPr="00770477">
        <w:rPr>
          <w:rFonts w:cs="Times New Roman"/>
        </w:rPr>
        <w:t xml:space="preserve"> experiment results would not exceed a TDS of more than 150 mg L</w:t>
      </w:r>
      <w:r w:rsidRPr="00770477">
        <w:rPr>
          <w:rFonts w:cs="Times New Roman"/>
          <w:vertAlign w:val="superscript"/>
        </w:rPr>
        <w:t>-1</w:t>
      </w:r>
      <w:r w:rsidRPr="00770477">
        <w:rPr>
          <w:rFonts w:cs="Times New Roman"/>
        </w:rPr>
        <w:t xml:space="preserve">, meaning major cation leaching is not of environmental concern in this study. </w:t>
      </w:r>
    </w:p>
    <w:p w14:paraId="1AA236BF" w14:textId="580A50A0" w:rsidR="00ED4D36" w:rsidRPr="00770477" w:rsidRDefault="00ED4D36" w:rsidP="00ED4D36">
      <w:pPr>
        <w:ind w:firstLine="720"/>
        <w:rPr>
          <w:rFonts w:cs="Times New Roman"/>
        </w:rPr>
      </w:pPr>
      <w:r w:rsidRPr="00770477">
        <w:rPr>
          <w:rFonts w:cs="Times New Roman"/>
        </w:rPr>
        <w:t xml:space="preserve">Aluminum is another element that was generally leached in </w:t>
      </w:r>
      <w:r w:rsidR="00BB6E0A">
        <w:rPr>
          <w:rFonts w:cs="Times New Roman"/>
        </w:rPr>
        <w:t>aggregated fly ash</w:t>
      </w:r>
      <w:r w:rsidRPr="00770477">
        <w:rPr>
          <w:rFonts w:cs="Times New Roman"/>
        </w:rPr>
        <w:t xml:space="preserve"> and steel slag experiments which may pose an environmental concern. The aquatic life criteria is dependent on the hardness of the water, but generally is given in the range of thousands to tens of thousands of µg L</w:t>
      </w:r>
      <w:r w:rsidRPr="00770477">
        <w:rPr>
          <w:rFonts w:cs="Times New Roman"/>
          <w:vertAlign w:val="superscript"/>
        </w:rPr>
        <w:t>-1</w:t>
      </w:r>
      <w:r w:rsidRPr="00770477">
        <w:rPr>
          <w:rFonts w:cs="Times New Roman"/>
        </w:rPr>
        <w:t xml:space="preserve"> </w:t>
      </w:r>
      <w:r w:rsidRPr="00770477">
        <w:rPr>
          <w:rFonts w:cs="Times New Roman"/>
        </w:rPr>
        <w:fldChar w:fldCharType="begin"/>
      </w:r>
      <w:r w:rsidR="002074AD">
        <w:rPr>
          <w:rFonts w:cs="Times New Roman"/>
        </w:rPr>
        <w:instrText xml:space="preserve"> ADDIN ZOTERO_ITEM CSL_CITATION {"citationID":"GEbexWPg","properties":{"formattedCitation":"(US EPA, 2015b)","plainCitation":"(US EPA, 2015b)","noteIndex":0},"citationItems":[{"id":617,"uris":["http://zotero.org/users/8423188/items/TIDFMLLD"],"itemData":{"id":617,"type":"webpage","abstract":"Table listing criteria for chemical concentration goals to protect surface water for aquatic life use.","genre":"Data and Tools","language":"en","title":"National Recommended Water Quality Criteria - Aquatic Life Criteria Table","URL":"https://www.epa.gov/wqc/national-recommended-water-quality-criteria-aquatic-life-criteria-table","author":[{"family":"US EPA","given":"OW"}],"accessed":{"date-parts":[["2022",8,24]]},"issued":{"date-parts":[["2015",9,3]]}}}],"schema":"https://github.com/citation-style-language/schema/raw/master/csl-citation.json"} </w:instrText>
      </w:r>
      <w:r w:rsidRPr="00770477">
        <w:rPr>
          <w:rFonts w:cs="Times New Roman"/>
        </w:rPr>
        <w:fldChar w:fldCharType="separate"/>
      </w:r>
      <w:r w:rsidR="003D5078" w:rsidRPr="00770477">
        <w:rPr>
          <w:rFonts w:cs="Times New Roman"/>
        </w:rPr>
        <w:t>(US EPA, 2015b)</w:t>
      </w:r>
      <w:r w:rsidRPr="00770477">
        <w:rPr>
          <w:rFonts w:cs="Times New Roman"/>
        </w:rPr>
        <w:fldChar w:fldCharType="end"/>
      </w:r>
      <w:r w:rsidRPr="00770477">
        <w:rPr>
          <w:rFonts w:cs="Times New Roman"/>
        </w:rPr>
        <w:t>. An exceedance of 1,000 µg L</w:t>
      </w:r>
      <w:r w:rsidRPr="00770477">
        <w:rPr>
          <w:rFonts w:cs="Times New Roman"/>
          <w:vertAlign w:val="superscript"/>
        </w:rPr>
        <w:t>-1</w:t>
      </w:r>
      <w:r w:rsidRPr="00770477">
        <w:rPr>
          <w:rFonts w:cs="Times New Roman"/>
        </w:rPr>
        <w:t xml:space="preserve"> was generally observed in experiments run with </w:t>
      </w:r>
      <w:r w:rsidR="00BB6E0A">
        <w:rPr>
          <w:rFonts w:cs="Times New Roman"/>
        </w:rPr>
        <w:t>aggregated fly ash</w:t>
      </w:r>
      <w:r w:rsidRPr="00770477">
        <w:rPr>
          <w:rFonts w:cs="Times New Roman"/>
        </w:rPr>
        <w:t xml:space="preserve"> with effluent Al concentrations ranging between 615 µg L</w:t>
      </w:r>
      <w:r w:rsidRPr="00770477">
        <w:rPr>
          <w:rFonts w:cs="Times New Roman"/>
          <w:vertAlign w:val="superscript"/>
        </w:rPr>
        <w:t>-1</w:t>
      </w:r>
      <w:r w:rsidRPr="00770477">
        <w:rPr>
          <w:rFonts w:cs="Times New Roman"/>
        </w:rPr>
        <w:t xml:space="preserve"> and 21,845 µg L</w:t>
      </w:r>
      <w:r w:rsidRPr="00770477">
        <w:rPr>
          <w:rFonts w:cs="Times New Roman"/>
          <w:vertAlign w:val="superscript"/>
        </w:rPr>
        <w:t>-1</w:t>
      </w:r>
      <w:r w:rsidRPr="00770477">
        <w:rPr>
          <w:rFonts w:cs="Times New Roman"/>
        </w:rPr>
        <w:t xml:space="preserve">. Understandably, the use of </w:t>
      </w:r>
      <w:r w:rsidR="00BB6E0A">
        <w:rPr>
          <w:rFonts w:cs="Times New Roman"/>
        </w:rPr>
        <w:t>aggregated fly ash</w:t>
      </w:r>
      <w:r w:rsidRPr="00770477">
        <w:rPr>
          <w:rFonts w:cs="Times New Roman"/>
        </w:rPr>
        <w:t xml:space="preserve"> would constitute a cause for concern and therefore may not be suitable in all situations. All other media were found to leach below 1,000 µg L</w:t>
      </w:r>
      <w:r w:rsidRPr="00770477">
        <w:rPr>
          <w:rFonts w:cs="Times New Roman"/>
          <w:vertAlign w:val="superscript"/>
        </w:rPr>
        <w:t>-1</w:t>
      </w:r>
      <w:r w:rsidRPr="00770477">
        <w:rPr>
          <w:rFonts w:cs="Times New Roman"/>
        </w:rPr>
        <w:t xml:space="preserve">. </w:t>
      </w:r>
    </w:p>
    <w:p w14:paraId="5C1AF13C" w14:textId="6924B876" w:rsidR="00ED4D36" w:rsidRPr="00770477" w:rsidRDefault="00ED4D36" w:rsidP="00ED4D36">
      <w:pPr>
        <w:ind w:firstLine="720"/>
        <w:rPr>
          <w:rFonts w:cs="Times New Roman"/>
        </w:rPr>
      </w:pPr>
      <w:r w:rsidRPr="00770477">
        <w:rPr>
          <w:rFonts w:cs="Times New Roman"/>
        </w:rPr>
        <w:lastRenderedPageBreak/>
        <w:t>Lastly, Fe is designated to be toxic at levels above 1,000 µg L</w:t>
      </w:r>
      <w:r w:rsidRPr="00770477">
        <w:rPr>
          <w:rFonts w:cs="Times New Roman"/>
          <w:vertAlign w:val="superscript"/>
        </w:rPr>
        <w:t>-1</w:t>
      </w:r>
      <w:r w:rsidRPr="00770477">
        <w:rPr>
          <w:rFonts w:cs="Times New Roman"/>
        </w:rPr>
        <w:t xml:space="preserve"> </w:t>
      </w:r>
      <w:r w:rsidRPr="00770477">
        <w:rPr>
          <w:rFonts w:cs="Times New Roman"/>
        </w:rPr>
        <w:fldChar w:fldCharType="begin"/>
      </w:r>
      <w:r w:rsidR="002074AD">
        <w:rPr>
          <w:rFonts w:cs="Times New Roman"/>
        </w:rPr>
        <w:instrText xml:space="preserve"> ADDIN ZOTERO_ITEM CSL_CITATION {"citationID":"XrJs2DK5","properties":{"formattedCitation":"(US EPA, 2015b)","plainCitation":"(US EPA, 2015b)","noteIndex":0},"citationItems":[{"id":617,"uris":["http://zotero.org/users/8423188/items/TIDFMLLD"],"itemData":{"id":617,"type":"webpage","abstract":"Table listing criteria for chemical concentration goals to protect surface water for aquatic life use.","genre":"Data and Tools","language":"en","title":"National Recommended Water Quality Criteria - Aquatic Life Criteria Table","URL":"https://www.epa.gov/wqc/national-recommended-water-quality-criteria-aquatic-life-criteria-table","author":[{"family":"US EPA","given":"OW"}],"accessed":{"date-parts":[["2022",8,24]]},"issued":{"date-parts":[["2015",9,3]]}}}],"schema":"https://github.com/citation-style-language/schema/raw/master/csl-citation.json"} </w:instrText>
      </w:r>
      <w:r w:rsidRPr="00770477">
        <w:rPr>
          <w:rFonts w:cs="Times New Roman"/>
        </w:rPr>
        <w:fldChar w:fldCharType="separate"/>
      </w:r>
      <w:r w:rsidR="003D5078" w:rsidRPr="00770477">
        <w:rPr>
          <w:rFonts w:cs="Times New Roman"/>
        </w:rPr>
        <w:t>(US EPA, 2015b)</w:t>
      </w:r>
      <w:r w:rsidRPr="00770477">
        <w:rPr>
          <w:rFonts w:cs="Times New Roman"/>
        </w:rPr>
        <w:fldChar w:fldCharType="end"/>
      </w:r>
      <w:r w:rsidRPr="00770477">
        <w:rPr>
          <w:rFonts w:cs="Times New Roman"/>
        </w:rPr>
        <w:t>. All results from this study yielded Fe values below 100 µg L</w:t>
      </w:r>
      <w:r w:rsidRPr="00770477">
        <w:rPr>
          <w:rFonts w:cs="Times New Roman"/>
          <w:vertAlign w:val="superscript"/>
        </w:rPr>
        <w:t>-1</w:t>
      </w:r>
      <w:r w:rsidRPr="00770477">
        <w:rPr>
          <w:rFonts w:cs="Times New Roman"/>
        </w:rPr>
        <w:t xml:space="preserve"> indicating that the use of this media for the improvement of water quality provides no </w:t>
      </w:r>
      <w:r w:rsidR="00542CA1">
        <w:rPr>
          <w:rFonts w:cs="Times New Roman"/>
        </w:rPr>
        <w:t>meaningful</w:t>
      </w:r>
      <w:r w:rsidRPr="00770477">
        <w:rPr>
          <w:rFonts w:cs="Times New Roman"/>
        </w:rPr>
        <w:t xml:space="preserve"> environmental concern for Fe. </w:t>
      </w:r>
    </w:p>
    <w:p w14:paraId="595AC6A8" w14:textId="77777777" w:rsidR="004B5055" w:rsidRPr="00770477" w:rsidRDefault="004B5055" w:rsidP="004B5055">
      <w:pPr>
        <w:rPr>
          <w:rFonts w:cs="Times New Roman"/>
        </w:rPr>
      </w:pPr>
    </w:p>
    <w:p w14:paraId="0DF9AED9" w14:textId="57F8DBC3" w:rsidR="00DA773C" w:rsidRPr="00770477" w:rsidRDefault="00636575" w:rsidP="00664EDF">
      <w:pPr>
        <w:pStyle w:val="Heading2"/>
        <w:rPr>
          <w:rFonts w:cs="Times New Roman"/>
        </w:rPr>
      </w:pPr>
      <w:bookmarkStart w:id="160" w:name="_Toc121496028"/>
      <w:r>
        <w:rPr>
          <w:rFonts w:cs="Times New Roman"/>
        </w:rPr>
        <w:t>Below Detection Limits (</w:t>
      </w:r>
      <w:r w:rsidR="00664EDF" w:rsidRPr="00770477">
        <w:rPr>
          <w:rFonts w:cs="Times New Roman"/>
        </w:rPr>
        <w:t>BDLs</w:t>
      </w:r>
      <w:r>
        <w:rPr>
          <w:rFonts w:cs="Times New Roman"/>
        </w:rPr>
        <w:t>)</w:t>
      </w:r>
      <w:r w:rsidR="00664EDF" w:rsidRPr="00770477">
        <w:rPr>
          <w:rFonts w:cs="Times New Roman"/>
        </w:rPr>
        <w:t xml:space="preserve"> and </w:t>
      </w:r>
      <w:r w:rsidR="000E77C2" w:rsidRPr="00770477">
        <w:rPr>
          <w:rFonts w:cs="Times New Roman"/>
        </w:rPr>
        <w:t>Control-Experimental Separation</w:t>
      </w:r>
      <w:bookmarkEnd w:id="160"/>
    </w:p>
    <w:p w14:paraId="02CEC6C4" w14:textId="060DEBED" w:rsidR="004B5055" w:rsidRPr="00770477" w:rsidRDefault="00501074" w:rsidP="00827994">
      <w:pPr>
        <w:ind w:firstLine="720"/>
        <w:rPr>
          <w:rFonts w:cs="Times New Roman"/>
        </w:rPr>
      </w:pPr>
      <w:r w:rsidRPr="00770477">
        <w:rPr>
          <w:rFonts w:cs="Times New Roman"/>
        </w:rPr>
        <w:t>One</w:t>
      </w:r>
      <w:r w:rsidR="00953F66" w:rsidRPr="00770477">
        <w:rPr>
          <w:rFonts w:cs="Times New Roman"/>
        </w:rPr>
        <w:t xml:space="preserve"> potential explanation for results being below detection limits (BDL)</w:t>
      </w:r>
      <w:r w:rsidRPr="00770477">
        <w:rPr>
          <w:rFonts w:cs="Times New Roman"/>
        </w:rPr>
        <w:t xml:space="preserve"> is </w:t>
      </w:r>
      <w:r w:rsidR="00953F66" w:rsidRPr="00770477">
        <w:rPr>
          <w:rFonts w:cs="Times New Roman"/>
        </w:rPr>
        <w:t>when</w:t>
      </w:r>
      <w:r w:rsidRPr="00770477">
        <w:rPr>
          <w:rFonts w:cs="Times New Roman"/>
        </w:rPr>
        <w:t xml:space="preserve"> influent values are measured BDL, therefore so long as the media is not a source of the measured contaminant, then the effluent will also be BDL.</w:t>
      </w:r>
      <w:r w:rsidR="00D268CA" w:rsidRPr="00770477">
        <w:rPr>
          <w:rFonts w:cs="Times New Roman"/>
        </w:rPr>
        <w:t xml:space="preserve"> This essentially represents the influent concentration for a contaminant being too low to properly quantify in this study. Another</w:t>
      </w:r>
      <w:r w:rsidRPr="00770477">
        <w:rPr>
          <w:rFonts w:cs="Times New Roman"/>
        </w:rPr>
        <w:t xml:space="preserve"> </w:t>
      </w:r>
      <w:r w:rsidR="00D268CA" w:rsidRPr="00770477">
        <w:rPr>
          <w:rFonts w:cs="Times New Roman"/>
        </w:rPr>
        <w:t xml:space="preserve">explanation </w:t>
      </w:r>
      <w:r w:rsidR="004206AD" w:rsidRPr="00770477">
        <w:rPr>
          <w:rFonts w:cs="Times New Roman"/>
        </w:rPr>
        <w:t>is whe</w:t>
      </w:r>
      <w:r w:rsidR="00D268CA" w:rsidRPr="00770477">
        <w:rPr>
          <w:rFonts w:cs="Times New Roman"/>
        </w:rPr>
        <w:t>n</w:t>
      </w:r>
      <w:r w:rsidR="004206AD" w:rsidRPr="00770477">
        <w:rPr>
          <w:rFonts w:cs="Times New Roman"/>
        </w:rPr>
        <w:t xml:space="preserve"> influent</w:t>
      </w:r>
      <w:r w:rsidR="00D268CA" w:rsidRPr="00770477">
        <w:rPr>
          <w:rFonts w:cs="Times New Roman"/>
        </w:rPr>
        <w:t xml:space="preserve"> concentrations</w:t>
      </w:r>
      <w:r w:rsidR="004206AD" w:rsidRPr="00770477">
        <w:rPr>
          <w:rFonts w:cs="Times New Roman"/>
        </w:rPr>
        <w:t xml:space="preserve"> w</w:t>
      </w:r>
      <w:r w:rsidR="00D268CA" w:rsidRPr="00770477">
        <w:rPr>
          <w:rFonts w:cs="Times New Roman"/>
        </w:rPr>
        <w:t>ere</w:t>
      </w:r>
      <w:r w:rsidR="004206AD" w:rsidRPr="00770477">
        <w:rPr>
          <w:rFonts w:cs="Times New Roman"/>
        </w:rPr>
        <w:t xml:space="preserve"> above the lower detection limit (LDL) and the media removed </w:t>
      </w:r>
      <w:r w:rsidR="008515F8" w:rsidRPr="00770477">
        <w:rPr>
          <w:rFonts w:cs="Times New Roman"/>
        </w:rPr>
        <w:t xml:space="preserve">the contaminant </w:t>
      </w:r>
      <w:r w:rsidR="00CB2DB4" w:rsidRPr="00770477">
        <w:rPr>
          <w:rFonts w:cs="Times New Roman"/>
        </w:rPr>
        <w:t>thoroughly enough</w:t>
      </w:r>
      <w:r w:rsidR="008515F8" w:rsidRPr="00770477">
        <w:rPr>
          <w:rFonts w:cs="Times New Roman"/>
        </w:rPr>
        <w:t xml:space="preserve"> throughout the duration of the experiment</w:t>
      </w:r>
      <w:r w:rsidR="00CB2DB4" w:rsidRPr="00770477">
        <w:rPr>
          <w:rFonts w:cs="Times New Roman"/>
        </w:rPr>
        <w:t xml:space="preserve"> to yield consistent BDL values. This case would </w:t>
      </w:r>
      <w:r w:rsidR="00C83ACF" w:rsidRPr="00770477">
        <w:rPr>
          <w:rFonts w:cs="Times New Roman"/>
        </w:rPr>
        <w:t xml:space="preserve">indicate ideal contaminant </w:t>
      </w:r>
      <w:r w:rsidR="0062119A" w:rsidRPr="00770477">
        <w:rPr>
          <w:rFonts w:cs="Times New Roman"/>
        </w:rPr>
        <w:t>removal;</w:t>
      </w:r>
      <w:r w:rsidR="00C83ACF" w:rsidRPr="00770477">
        <w:rPr>
          <w:rFonts w:cs="Times New Roman"/>
        </w:rPr>
        <w:t xml:space="preserve"> however</w:t>
      </w:r>
      <w:r w:rsidR="0062119A" w:rsidRPr="00770477">
        <w:rPr>
          <w:rFonts w:cs="Times New Roman"/>
        </w:rPr>
        <w:t>,</w:t>
      </w:r>
      <w:r w:rsidR="00C83ACF" w:rsidRPr="00770477">
        <w:rPr>
          <w:rFonts w:cs="Times New Roman"/>
        </w:rPr>
        <w:t xml:space="preserve"> it does not yield </w:t>
      </w:r>
      <w:r w:rsidR="00A6281A" w:rsidRPr="00770477">
        <w:rPr>
          <w:rFonts w:cs="Times New Roman"/>
        </w:rPr>
        <w:t xml:space="preserve">a curve appropriate for analysis. </w:t>
      </w:r>
      <w:r w:rsidR="00D52977" w:rsidRPr="00770477">
        <w:rPr>
          <w:rFonts w:cs="Times New Roman"/>
        </w:rPr>
        <w:fldChar w:fldCharType="begin"/>
      </w:r>
      <w:r w:rsidR="00D52977" w:rsidRPr="00770477">
        <w:rPr>
          <w:rFonts w:cs="Times New Roman"/>
        </w:rPr>
        <w:instrText xml:space="preserve"> REF _Ref117867135 \h </w:instrText>
      </w:r>
      <w:r w:rsidR="00770477">
        <w:rPr>
          <w:rFonts w:cs="Times New Roman"/>
        </w:rPr>
        <w:instrText xml:space="preserve"> \* MERGEFORMAT </w:instrText>
      </w:r>
      <w:r w:rsidR="00D52977" w:rsidRPr="00770477">
        <w:rPr>
          <w:rFonts w:cs="Times New Roman"/>
        </w:rPr>
      </w:r>
      <w:r w:rsidR="00D52977" w:rsidRPr="00770477">
        <w:rPr>
          <w:rFonts w:cs="Times New Roman"/>
        </w:rPr>
        <w:fldChar w:fldCharType="separate"/>
      </w:r>
      <w:r w:rsidR="00061096" w:rsidRPr="00770477">
        <w:rPr>
          <w:rFonts w:cs="Times New Roman"/>
        </w:rPr>
        <w:t xml:space="preserve">Table </w:t>
      </w:r>
      <w:r w:rsidR="00061096">
        <w:rPr>
          <w:rFonts w:cs="Times New Roman"/>
          <w:noProof/>
        </w:rPr>
        <w:t>4</w:t>
      </w:r>
      <w:r w:rsidR="00061096">
        <w:rPr>
          <w:rFonts w:cs="Times New Roman"/>
          <w:noProof/>
        </w:rPr>
        <w:noBreakHyphen/>
        <w:t>1</w:t>
      </w:r>
      <w:r w:rsidR="00D52977" w:rsidRPr="00770477">
        <w:rPr>
          <w:rFonts w:cs="Times New Roman"/>
        </w:rPr>
        <w:fldChar w:fldCharType="end"/>
      </w:r>
      <w:r w:rsidR="00D52977" w:rsidRPr="00770477">
        <w:rPr>
          <w:rFonts w:cs="Times New Roman"/>
        </w:rPr>
        <w:t xml:space="preserve"> </w:t>
      </w:r>
      <w:r w:rsidR="00B116B1" w:rsidRPr="00770477">
        <w:rPr>
          <w:rFonts w:cs="Times New Roman"/>
        </w:rPr>
        <w:t xml:space="preserve">below outlines which contaminant-media-orientation combination yielded which </w:t>
      </w:r>
      <w:r w:rsidR="00A97719" w:rsidRPr="00770477">
        <w:rPr>
          <w:rFonts w:cs="Times New Roman"/>
        </w:rPr>
        <w:t>result.</w:t>
      </w:r>
      <w:r w:rsidR="00964349" w:rsidRPr="00770477">
        <w:rPr>
          <w:rFonts w:cs="Times New Roman"/>
        </w:rPr>
        <w:br w:type="page"/>
      </w:r>
    </w:p>
    <w:p w14:paraId="7788EADB" w14:textId="7D8306A3" w:rsidR="009D3E94" w:rsidRPr="00770477" w:rsidRDefault="009D3E94" w:rsidP="00A1266A">
      <w:pPr>
        <w:pStyle w:val="Caption"/>
        <w:keepNext/>
        <w:spacing w:line="240" w:lineRule="auto"/>
        <w:rPr>
          <w:rFonts w:cs="Times New Roman"/>
        </w:rPr>
      </w:pPr>
      <w:bookmarkStart w:id="161" w:name="_Ref117867135"/>
      <w:bookmarkStart w:id="162" w:name="_Ref117867119"/>
      <w:bookmarkStart w:id="163" w:name="_Toc121495938"/>
      <w:r w:rsidRPr="00770477">
        <w:rPr>
          <w:rFonts w:cs="Times New Roman"/>
        </w:rPr>
        <w:lastRenderedPageBreak/>
        <w:t xml:space="preserve">Table </w:t>
      </w:r>
      <w:r w:rsidR="00B26DDF">
        <w:rPr>
          <w:rFonts w:cs="Times New Roman"/>
        </w:rPr>
        <w:fldChar w:fldCharType="begin"/>
      </w:r>
      <w:r w:rsidR="00B26DDF">
        <w:rPr>
          <w:rFonts w:cs="Times New Roman"/>
        </w:rPr>
        <w:instrText xml:space="preserve"> STYLEREF 1 \s </w:instrText>
      </w:r>
      <w:r w:rsidR="00B26DDF">
        <w:rPr>
          <w:rFonts w:cs="Times New Roman"/>
        </w:rPr>
        <w:fldChar w:fldCharType="separate"/>
      </w:r>
      <w:r w:rsidR="00061096">
        <w:rPr>
          <w:rFonts w:cs="Times New Roman"/>
          <w:noProof/>
        </w:rPr>
        <w:t>4</w:t>
      </w:r>
      <w:r w:rsidR="00B26DDF">
        <w:rPr>
          <w:rFonts w:cs="Times New Roman"/>
        </w:rPr>
        <w:fldChar w:fldCharType="end"/>
      </w:r>
      <w:r w:rsidR="00B26DDF">
        <w:rPr>
          <w:rFonts w:cs="Times New Roman"/>
        </w:rPr>
        <w:noBreakHyphen/>
      </w:r>
      <w:r w:rsidR="00B26DDF">
        <w:rPr>
          <w:rFonts w:cs="Times New Roman"/>
        </w:rPr>
        <w:fldChar w:fldCharType="begin"/>
      </w:r>
      <w:r w:rsidR="00B26DDF">
        <w:rPr>
          <w:rFonts w:cs="Times New Roman"/>
        </w:rPr>
        <w:instrText xml:space="preserve"> SEQ Table \* ARABIC \s 1 </w:instrText>
      </w:r>
      <w:r w:rsidR="00B26DDF">
        <w:rPr>
          <w:rFonts w:cs="Times New Roman"/>
        </w:rPr>
        <w:fldChar w:fldCharType="separate"/>
      </w:r>
      <w:r w:rsidR="00061096">
        <w:rPr>
          <w:rFonts w:cs="Times New Roman"/>
          <w:noProof/>
        </w:rPr>
        <w:t>1</w:t>
      </w:r>
      <w:r w:rsidR="00B26DDF">
        <w:rPr>
          <w:rFonts w:cs="Times New Roman"/>
        </w:rPr>
        <w:fldChar w:fldCharType="end"/>
      </w:r>
      <w:bookmarkEnd w:id="161"/>
      <w:r w:rsidRPr="00770477">
        <w:rPr>
          <w:rFonts w:cs="Times New Roman"/>
        </w:rPr>
        <w:t xml:space="preserve"> Media-contaminant-orientation combinations that </w:t>
      </w:r>
      <w:r w:rsidR="004660F7" w:rsidRPr="00770477">
        <w:rPr>
          <w:rFonts w:cs="Times New Roman"/>
        </w:rPr>
        <w:t>yielded</w:t>
      </w:r>
      <w:r w:rsidRPr="00770477">
        <w:rPr>
          <w:rFonts w:cs="Times New Roman"/>
        </w:rPr>
        <w:t xml:space="preserve"> results below detection limit (BDL)</w:t>
      </w:r>
      <w:bookmarkEnd w:id="162"/>
      <w:r w:rsidR="0093290B">
        <w:rPr>
          <w:rFonts w:cs="Times New Roman"/>
        </w:rPr>
        <w:t>.</w:t>
      </w:r>
      <w:bookmarkEnd w:id="163"/>
    </w:p>
    <w:tbl>
      <w:tblPr>
        <w:tblStyle w:val="PlainTable5"/>
        <w:tblW w:w="0" w:type="auto"/>
        <w:tblLook w:val="04A0" w:firstRow="1" w:lastRow="0" w:firstColumn="1" w:lastColumn="0" w:noHBand="0" w:noVBand="1"/>
      </w:tblPr>
      <w:tblGrid>
        <w:gridCol w:w="4140"/>
        <w:gridCol w:w="2430"/>
      </w:tblGrid>
      <w:tr w:rsidR="00C11625" w:rsidRPr="00770477" w14:paraId="07152F39" w14:textId="77777777" w:rsidTr="009D3E9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140" w:type="dxa"/>
          </w:tcPr>
          <w:p w14:paraId="506C2C50" w14:textId="4C295BFD" w:rsidR="00C11625" w:rsidRPr="00770477" w:rsidRDefault="00C11625" w:rsidP="009D3E94">
            <w:pPr>
              <w:spacing w:line="240" w:lineRule="auto"/>
              <w:rPr>
                <w:rFonts w:cs="Times New Roman"/>
              </w:rPr>
            </w:pPr>
            <w:r w:rsidRPr="00770477">
              <w:rPr>
                <w:rFonts w:cs="Times New Roman"/>
              </w:rPr>
              <w:t>Column Orientation</w:t>
            </w:r>
          </w:p>
        </w:tc>
        <w:tc>
          <w:tcPr>
            <w:tcW w:w="2430" w:type="dxa"/>
          </w:tcPr>
          <w:p w14:paraId="60ECDB24" w14:textId="3576A5A5" w:rsidR="00C11625" w:rsidRPr="00770477" w:rsidRDefault="00C11625" w:rsidP="0093290B">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70477">
              <w:rPr>
                <w:rFonts w:cs="Times New Roman"/>
              </w:rPr>
              <w:t>Metals</w:t>
            </w:r>
          </w:p>
        </w:tc>
      </w:tr>
      <w:tr w:rsidR="00C11625" w:rsidRPr="00770477" w14:paraId="1A893200" w14:textId="77777777" w:rsidTr="009D3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52C1487E" w14:textId="19668BAD" w:rsidR="00C11625" w:rsidRPr="00770477" w:rsidRDefault="00C11625" w:rsidP="009D3E94">
            <w:pPr>
              <w:spacing w:line="240" w:lineRule="auto"/>
              <w:rPr>
                <w:rFonts w:cs="Times New Roman"/>
              </w:rPr>
            </w:pPr>
            <w:r w:rsidRPr="00770477">
              <w:rPr>
                <w:rFonts w:cs="Times New Roman"/>
              </w:rPr>
              <w:t xml:space="preserve">Vertical </w:t>
            </w:r>
          </w:p>
        </w:tc>
        <w:tc>
          <w:tcPr>
            <w:tcW w:w="2430" w:type="dxa"/>
          </w:tcPr>
          <w:p w14:paraId="5C06D8BF" w14:textId="254F4282" w:rsidR="00C11625" w:rsidRPr="00770477" w:rsidRDefault="00C11625" w:rsidP="0093290B">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Cd, Co, Ni</w:t>
            </w:r>
          </w:p>
        </w:tc>
      </w:tr>
      <w:tr w:rsidR="00C11625" w:rsidRPr="00770477" w14:paraId="673EFC2E" w14:textId="77777777" w:rsidTr="009D3E94">
        <w:tc>
          <w:tcPr>
            <w:cnfStyle w:val="001000000000" w:firstRow="0" w:lastRow="0" w:firstColumn="1" w:lastColumn="0" w:oddVBand="0" w:evenVBand="0" w:oddHBand="0" w:evenHBand="0" w:firstRowFirstColumn="0" w:firstRowLastColumn="0" w:lastRowFirstColumn="0" w:lastRowLastColumn="0"/>
            <w:tcW w:w="4140" w:type="dxa"/>
          </w:tcPr>
          <w:p w14:paraId="1C4FE845" w14:textId="74631D43" w:rsidR="00C11625" w:rsidRPr="00770477" w:rsidRDefault="00C11625" w:rsidP="009D3E94">
            <w:pPr>
              <w:spacing w:line="240" w:lineRule="auto"/>
              <w:rPr>
                <w:rFonts w:cs="Times New Roman"/>
              </w:rPr>
            </w:pPr>
            <w:r w:rsidRPr="00770477">
              <w:rPr>
                <w:rFonts w:cs="Times New Roman"/>
              </w:rPr>
              <w:t xml:space="preserve">Horizontal </w:t>
            </w:r>
          </w:p>
        </w:tc>
        <w:tc>
          <w:tcPr>
            <w:tcW w:w="2430" w:type="dxa"/>
          </w:tcPr>
          <w:p w14:paraId="408E505F" w14:textId="41041F40" w:rsidR="00C11625" w:rsidRPr="00770477" w:rsidRDefault="00C11625" w:rsidP="0093290B">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770477">
              <w:rPr>
                <w:rFonts w:cs="Times New Roman"/>
              </w:rPr>
              <w:t>Be, Cd, Co, Fe, Ni, Zn</w:t>
            </w:r>
          </w:p>
        </w:tc>
      </w:tr>
      <w:tr w:rsidR="00C11625" w:rsidRPr="00770477" w14:paraId="51AD0328" w14:textId="77777777" w:rsidTr="009D3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765D5A6F" w14:textId="43789B16" w:rsidR="00C11625" w:rsidRPr="00770477" w:rsidRDefault="00C11625" w:rsidP="009D3E94">
            <w:pPr>
              <w:spacing w:line="240" w:lineRule="auto"/>
              <w:rPr>
                <w:rFonts w:cs="Times New Roman"/>
              </w:rPr>
            </w:pPr>
            <w:r w:rsidRPr="00770477">
              <w:rPr>
                <w:rFonts w:cs="Times New Roman"/>
              </w:rPr>
              <w:t>Influent BDL</w:t>
            </w:r>
          </w:p>
        </w:tc>
        <w:tc>
          <w:tcPr>
            <w:tcW w:w="2430" w:type="dxa"/>
          </w:tcPr>
          <w:p w14:paraId="76633979" w14:textId="36AB2290" w:rsidR="00C11625" w:rsidRPr="00770477" w:rsidRDefault="00C11625" w:rsidP="0093290B">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770477">
              <w:rPr>
                <w:rFonts w:cs="Times New Roman"/>
              </w:rPr>
              <w:t>Cu, Pb, Se</w:t>
            </w:r>
          </w:p>
        </w:tc>
      </w:tr>
    </w:tbl>
    <w:p w14:paraId="6D6D51EF" w14:textId="77777777" w:rsidR="00A97719" w:rsidRPr="00770477" w:rsidRDefault="00A97719" w:rsidP="005602A6">
      <w:pPr>
        <w:rPr>
          <w:rFonts w:cs="Times New Roman"/>
        </w:rPr>
      </w:pPr>
    </w:p>
    <w:p w14:paraId="4F06172E" w14:textId="77777777" w:rsidR="00061096" w:rsidRPr="00770477" w:rsidRDefault="00F87656" w:rsidP="00061096">
      <w:pPr>
        <w:rPr>
          <w:rFonts w:cs="Times New Roman"/>
        </w:rPr>
      </w:pPr>
      <w:r w:rsidRPr="00770477">
        <w:rPr>
          <w:rFonts w:cs="Times New Roman"/>
        </w:rPr>
        <w:t>The second major category in the data is where there is no noticeable separation between the control column and the experimental column</w:t>
      </w:r>
      <w:r w:rsidR="00AF1E79" w:rsidRPr="00770477">
        <w:rPr>
          <w:rFonts w:cs="Times New Roman"/>
        </w:rPr>
        <w:t xml:space="preserve"> in removing contaminants in horizontal column experiments. T</w:t>
      </w:r>
      <w:r w:rsidR="00E846DC" w:rsidRPr="00770477">
        <w:rPr>
          <w:rFonts w:cs="Times New Roman"/>
        </w:rPr>
        <w:t>his could mean that both the</w:t>
      </w:r>
      <w:r w:rsidR="003912FA" w:rsidRPr="00770477">
        <w:rPr>
          <w:rFonts w:cs="Times New Roman"/>
        </w:rPr>
        <w:t xml:space="preserve"> control column and the experimental columns are </w:t>
      </w:r>
      <w:r w:rsidR="007D49A7" w:rsidRPr="00770477">
        <w:rPr>
          <w:rFonts w:cs="Times New Roman"/>
        </w:rPr>
        <w:t>BDL</w:t>
      </w:r>
      <w:r w:rsidR="00351C7B" w:rsidRPr="00770477">
        <w:rPr>
          <w:rFonts w:cs="Times New Roman"/>
        </w:rPr>
        <w:t>,</w:t>
      </w:r>
      <w:r w:rsidR="003912FA" w:rsidRPr="00770477">
        <w:rPr>
          <w:rFonts w:cs="Times New Roman"/>
        </w:rPr>
        <w:t xml:space="preserve"> therefore no separation is able to be determined. </w:t>
      </w:r>
      <w:r w:rsidR="00102C0C" w:rsidRPr="00770477">
        <w:rPr>
          <w:rFonts w:cs="Times New Roman"/>
        </w:rPr>
        <w:t>Furthermore,</w:t>
      </w:r>
      <w:r w:rsidR="003912FA" w:rsidRPr="00770477">
        <w:rPr>
          <w:rFonts w:cs="Times New Roman"/>
        </w:rPr>
        <w:t xml:space="preserve"> removal </w:t>
      </w:r>
      <w:r w:rsidR="00102C0C" w:rsidRPr="00770477">
        <w:rPr>
          <w:rFonts w:cs="Times New Roman"/>
        </w:rPr>
        <w:t>could be</w:t>
      </w:r>
      <w:r w:rsidR="003912FA" w:rsidRPr="00770477">
        <w:rPr>
          <w:rFonts w:cs="Times New Roman"/>
        </w:rPr>
        <w:t xml:space="preserve"> observed</w:t>
      </w:r>
      <w:r w:rsidR="004C32BC" w:rsidRPr="00770477">
        <w:rPr>
          <w:rFonts w:cs="Times New Roman"/>
        </w:rPr>
        <w:t xml:space="preserve"> in horizontal columns, however,</w:t>
      </w:r>
      <w:r w:rsidR="00351C7B" w:rsidRPr="00770477">
        <w:rPr>
          <w:rFonts w:cs="Times New Roman"/>
        </w:rPr>
        <w:t xml:space="preserve"> there </w:t>
      </w:r>
      <w:r w:rsidR="00102C0C" w:rsidRPr="00770477">
        <w:rPr>
          <w:rFonts w:cs="Times New Roman"/>
        </w:rPr>
        <w:t>may be</w:t>
      </w:r>
      <w:r w:rsidR="00351C7B" w:rsidRPr="00770477">
        <w:rPr>
          <w:rFonts w:cs="Times New Roman"/>
        </w:rPr>
        <w:t xml:space="preserve"> no noticeable separation between the control column and the experimental columns</w:t>
      </w:r>
      <w:r w:rsidR="004C32BC" w:rsidRPr="00770477">
        <w:rPr>
          <w:rFonts w:cs="Times New Roman"/>
        </w:rPr>
        <w:t>. Where this does indicate that removal took place, it also demonstrates that the bioretention simula</w:t>
      </w:r>
      <w:r w:rsidR="0082017D" w:rsidRPr="00770477">
        <w:rPr>
          <w:rFonts w:cs="Times New Roman"/>
        </w:rPr>
        <w:t xml:space="preserve">tion tube was the primary driver of removal and not the experimental media. </w:t>
      </w:r>
      <w:r w:rsidR="00BB401D" w:rsidRPr="00770477">
        <w:rPr>
          <w:rFonts w:cs="Times New Roman"/>
        </w:rPr>
        <w:t xml:space="preserve">These </w:t>
      </w:r>
      <w:r w:rsidR="009B5346" w:rsidRPr="00770477">
        <w:rPr>
          <w:rFonts w:cs="Times New Roman"/>
        </w:rPr>
        <w:t xml:space="preserve">media-contaminant-orientation combinations can be found in </w:t>
      </w:r>
      <w:r w:rsidR="009B5346" w:rsidRPr="00770477">
        <w:rPr>
          <w:rFonts w:cs="Times New Roman"/>
        </w:rPr>
        <w:fldChar w:fldCharType="begin"/>
      </w:r>
      <w:r w:rsidR="009B5346" w:rsidRPr="00770477">
        <w:rPr>
          <w:rFonts w:cs="Times New Roman"/>
        </w:rPr>
        <w:instrText xml:space="preserve"> REF _Ref117005024 \h </w:instrText>
      </w:r>
      <w:r w:rsidR="00784B7B" w:rsidRPr="00770477">
        <w:rPr>
          <w:rFonts w:cs="Times New Roman"/>
        </w:rPr>
        <w:instrText xml:space="preserve"> \* MERGEFORMAT </w:instrText>
      </w:r>
      <w:r w:rsidR="009B5346" w:rsidRPr="00770477">
        <w:rPr>
          <w:rFonts w:cs="Times New Roman"/>
        </w:rPr>
      </w:r>
      <w:r w:rsidR="009B5346" w:rsidRPr="00770477">
        <w:rPr>
          <w:rFonts w:cs="Times New Roman"/>
        </w:rPr>
        <w:fldChar w:fldCharType="separate"/>
      </w:r>
    </w:p>
    <w:p w14:paraId="4ED9826D" w14:textId="14E01567" w:rsidR="004B5055" w:rsidRPr="00770477" w:rsidRDefault="00061096" w:rsidP="004B5055">
      <w:pPr>
        <w:rPr>
          <w:rFonts w:cs="Times New Roman"/>
        </w:rPr>
      </w:pPr>
      <w:r w:rsidRPr="00770477">
        <w:rPr>
          <w:rFonts w:cs="Times New Roman"/>
        </w:rPr>
        <w:t xml:space="preserve">Table </w:t>
      </w:r>
      <w:r>
        <w:rPr>
          <w:rFonts w:cs="Times New Roman"/>
          <w:noProof/>
        </w:rPr>
        <w:t>3</w:t>
      </w:r>
      <w:r>
        <w:rPr>
          <w:rFonts w:cs="Times New Roman"/>
          <w:noProof/>
        </w:rPr>
        <w:noBreakHyphen/>
        <w:t>1</w:t>
      </w:r>
      <w:r w:rsidR="009B5346" w:rsidRPr="00770477">
        <w:rPr>
          <w:rFonts w:cs="Times New Roman"/>
        </w:rPr>
        <w:fldChar w:fldCharType="end"/>
      </w:r>
      <w:r w:rsidR="009B5346" w:rsidRPr="00770477">
        <w:rPr>
          <w:rFonts w:cs="Times New Roman"/>
        </w:rPr>
        <w:t xml:space="preserve"> </w:t>
      </w:r>
      <w:r w:rsidR="001E6B9B" w:rsidRPr="00770477">
        <w:rPr>
          <w:rFonts w:cs="Times New Roman"/>
        </w:rPr>
        <w:t xml:space="preserve">above classified as category 2. </w:t>
      </w:r>
      <w:r w:rsidR="00342F63" w:rsidRPr="00770477">
        <w:rPr>
          <w:rFonts w:cs="Times New Roman"/>
        </w:rPr>
        <w:t xml:space="preserve">These results are important to understanding the processes </w:t>
      </w:r>
      <w:r w:rsidR="00BA5ABA" w:rsidRPr="00770477">
        <w:rPr>
          <w:rFonts w:cs="Times New Roman"/>
        </w:rPr>
        <w:t xml:space="preserve">within an augmented bioretention system as suggested, however these </w:t>
      </w:r>
      <w:r w:rsidR="005E4280" w:rsidRPr="00770477">
        <w:rPr>
          <w:rFonts w:cs="Times New Roman"/>
        </w:rPr>
        <w:t>specific results are beyond the scope of this study and are suggested for further investigation in future studies.</w:t>
      </w:r>
    </w:p>
    <w:p w14:paraId="48979B26" w14:textId="77777777" w:rsidR="004B5055" w:rsidRPr="00770477" w:rsidRDefault="004B5055" w:rsidP="004B5055">
      <w:pPr>
        <w:rPr>
          <w:rFonts w:cs="Times New Roman"/>
        </w:rPr>
      </w:pPr>
    </w:p>
    <w:p w14:paraId="75C79A83" w14:textId="51D95D76" w:rsidR="00FD3158" w:rsidRPr="00770477" w:rsidRDefault="00FD3158" w:rsidP="00FD3158">
      <w:pPr>
        <w:pStyle w:val="Heading2"/>
        <w:rPr>
          <w:rFonts w:cs="Times New Roman"/>
        </w:rPr>
      </w:pPr>
      <w:bookmarkStart w:id="164" w:name="_Toc121496029"/>
      <w:r w:rsidRPr="00770477">
        <w:rPr>
          <w:rFonts w:cs="Times New Roman"/>
        </w:rPr>
        <w:t>Metals</w:t>
      </w:r>
      <w:bookmarkEnd w:id="164"/>
    </w:p>
    <w:p w14:paraId="057F8BDB" w14:textId="5B0CF04D" w:rsidR="00FD3158" w:rsidRPr="00770477" w:rsidRDefault="00FD3158" w:rsidP="00FD3158">
      <w:pPr>
        <w:ind w:firstLine="720"/>
        <w:rPr>
          <w:rFonts w:cs="Times New Roman"/>
        </w:rPr>
      </w:pPr>
      <w:r w:rsidRPr="00770477">
        <w:rPr>
          <w:rFonts w:cs="Times New Roman"/>
        </w:rPr>
        <w:t xml:space="preserve">In vertical column experiments, no specific media proved to be statistically different from the rest with results highly clustered between 0% and 50% </w:t>
      </w:r>
      <w:r w:rsidR="000974A2">
        <w:rPr>
          <w:rFonts w:cs="Times New Roman"/>
        </w:rPr>
        <w:t>As</w:t>
      </w:r>
      <w:r w:rsidR="000974A2" w:rsidRPr="009E5089">
        <w:rPr>
          <w:rFonts w:cs="Times New Roman"/>
          <w:vertAlign w:val="superscript"/>
        </w:rPr>
        <w:t>+5</w:t>
      </w:r>
      <w:r w:rsidRPr="00770477">
        <w:rPr>
          <w:rFonts w:cs="Times New Roman"/>
        </w:rPr>
        <w:t xml:space="preserve"> removal. Horizontal column results however, produced one unique curve in small steel slag (p = 0.04). </w:t>
      </w:r>
      <w:r w:rsidRPr="00770477">
        <w:rPr>
          <w:rFonts w:cs="Times New Roman"/>
        </w:rPr>
        <w:fldChar w:fldCharType="begin"/>
      </w:r>
      <w:r w:rsidR="002074AD">
        <w:rPr>
          <w:rFonts w:cs="Times New Roman"/>
        </w:rPr>
        <w:instrText xml:space="preserve"> ADDIN ZOTERO_ITEM CSL_CITATION {"citationID":"r2azfGQx","properties":{"formattedCitation":"(Akter et al., 2005)","plainCitation":"(Akter et al., 2005)","dontUpdate":true,"noteIndex":0},"citationItems":[{"id":1174,"uris":["http://zotero.org/users/8423188/items/YP6EFNZY"],"itemData":{"id":1174,"type":"chapter","container-title":"Reviews of Environmental Contamination and Toxicology","event-place":"New York, NY","ISBN":"978-0-387-22398-8","language":"en","note":"collection-title: Reviews of Environmental Contamination and Toxicology\nDOI: 10.1007/0-387-27565-7_3","page":"97-149","publisher":"Springer New York","publisher-place":"New York, NY","source":"DOI.org (Crossref)","title":"Arsenic Speciation and Toxicity in Biological Systems","URL":"http://link.springer.com/10.1007/0-387-27565-7_3","volume":"184","editor":[{"family":"Ware","given":"George W."},{"family":"Albert","given":"Lilia A."},{"family":"Crosby","given":"D.G."},{"family":"Voogt","given":"Pim","non-dropping-particle":"de"},{"family":"Hutzinger","given":"O."},{"family":"Knaak","given":"James B."},{"family":"Mayer","given":"Foster L."},{"family":"Morgan","given":"D.P."},{"family":"Park","given":"Douglas L."},{"family":"Tjeerdema","given":"Ronald S."},{"family":"Whitacre","given":"David M."},{"family":"Yang","given":"Raymond S.H."},{"family":"Gunther","given":"Francis A."}],"author":[{"family":"Akter","given":"Kazi Farzana"},{"family":"Owens","given":"Gary"},{"family":"Davey","given":"David E."},{"family":"Naidu","given":"Ravi"}],"accessed":{"date-parts":[["2022",11,25]]},"issued":{"date-parts":[["2005"]]}}}],"schema":"https://github.com/citation-style-language/schema/raw/master/csl-citation.json"} </w:instrText>
      </w:r>
      <w:r w:rsidRPr="00770477">
        <w:rPr>
          <w:rFonts w:cs="Times New Roman"/>
        </w:rPr>
        <w:fldChar w:fldCharType="separate"/>
      </w:r>
      <w:r w:rsidRPr="00770477">
        <w:rPr>
          <w:rFonts w:cs="Times New Roman"/>
          <w:noProof/>
        </w:rPr>
        <w:t>Akter et al. (2005)</w:t>
      </w:r>
      <w:r w:rsidRPr="00770477">
        <w:rPr>
          <w:rFonts w:cs="Times New Roman"/>
        </w:rPr>
        <w:fldChar w:fldCharType="end"/>
      </w:r>
      <w:r w:rsidRPr="00770477">
        <w:rPr>
          <w:rFonts w:cs="Times New Roman"/>
        </w:rPr>
        <w:t xml:space="preserve"> shows an Eh/pH diagram for As</w:t>
      </w:r>
      <w:r w:rsidRPr="00770477">
        <w:rPr>
          <w:rFonts w:cs="Times New Roman"/>
          <w:vertAlign w:val="superscript"/>
        </w:rPr>
        <w:t>-5</w:t>
      </w:r>
      <w:r w:rsidRPr="00770477">
        <w:rPr>
          <w:rFonts w:cs="Times New Roman"/>
        </w:rPr>
        <w:t xml:space="preserve"> speciation in an aqueous system at 25˚C and 1 bar of pressure. For the pH range given in our effluent results (7 – 12) and an assumed Eh between 200 mV and 600 mV </w:t>
      </w:r>
      <w:r w:rsidRPr="00770477">
        <w:rPr>
          <w:rFonts w:cs="Times New Roman"/>
        </w:rPr>
        <w:fldChar w:fldCharType="begin"/>
      </w:r>
      <w:r w:rsidR="002074AD">
        <w:rPr>
          <w:rFonts w:cs="Times New Roman"/>
        </w:rPr>
        <w:instrText xml:space="preserve"> ADDIN ZOTERO_ITEM CSL_CITATION {"citationID":"xxKZ1g2k","properties":{"formattedCitation":"({\\i{}Characterization of Solutions by PH and Eh}, 2006)","plainCitation":"(Characterization of Solutions by PH and Eh, 2006)","dontUpdate":true,"noteIndex":0},"citationItems":[{"id":1198,"uris":["http://zotero.org/users/8423188/items/ERB4HFEK"],"itemData":{"id":1198,"type":"webpage","container-title":"Railsback's Some Fundaments of Mineralogy and Geochemistry","title":"Characterization of Solutions by pH and Eh","URL":"http://railsback.org/Fundamentals/8150RedoxPlot07LS.pdf","issued":{"date-parts":[["2006",10]]}}}],"schema":"https://github.com/citation-style-language/schema/raw/master/csl-citation.json"} </w:instrText>
      </w:r>
      <w:r w:rsidRPr="00770477">
        <w:rPr>
          <w:rFonts w:cs="Times New Roman"/>
        </w:rPr>
        <w:fldChar w:fldCharType="separate"/>
      </w:r>
      <w:r w:rsidRPr="00770477">
        <w:rPr>
          <w:rFonts w:cs="Times New Roman"/>
        </w:rPr>
        <w:t>(</w:t>
      </w:r>
      <w:r w:rsidRPr="00770477">
        <w:rPr>
          <w:rFonts w:cs="Times New Roman"/>
          <w:i/>
          <w:iCs/>
        </w:rPr>
        <w:t>Characterization of Solutions by pH and Eh</w:t>
      </w:r>
      <w:r w:rsidRPr="00770477">
        <w:rPr>
          <w:rFonts w:cs="Times New Roman"/>
        </w:rPr>
        <w:t>, 2006)</w:t>
      </w:r>
      <w:r w:rsidRPr="00770477">
        <w:rPr>
          <w:rFonts w:cs="Times New Roman"/>
        </w:rPr>
        <w:fldChar w:fldCharType="end"/>
      </w:r>
      <w:r w:rsidRPr="00770477">
        <w:rPr>
          <w:rFonts w:cs="Times New Roman"/>
        </w:rPr>
        <w:t xml:space="preserve"> results in an expected As species of HAsO</w:t>
      </w:r>
      <w:r w:rsidRPr="00770477">
        <w:rPr>
          <w:rFonts w:cs="Times New Roman"/>
          <w:vertAlign w:val="subscript"/>
        </w:rPr>
        <w:t>4</w:t>
      </w:r>
      <w:r w:rsidRPr="00770477">
        <w:rPr>
          <w:rFonts w:cs="Times New Roman"/>
          <w:vertAlign w:val="superscript"/>
        </w:rPr>
        <w:t>2</w:t>
      </w:r>
      <w:r w:rsidR="008E148E" w:rsidRPr="00770477">
        <w:rPr>
          <w:rFonts w:cs="Times New Roman"/>
          <w:vertAlign w:val="superscript"/>
        </w:rPr>
        <w:t>-</w:t>
      </w:r>
      <w:r w:rsidRPr="00770477">
        <w:rPr>
          <w:rFonts w:cs="Times New Roman"/>
        </w:rPr>
        <w:lastRenderedPageBreak/>
        <w:t>, which is an As</w:t>
      </w:r>
      <w:r w:rsidRPr="00770477">
        <w:rPr>
          <w:rFonts w:cs="Times New Roman"/>
          <w:vertAlign w:val="superscript"/>
        </w:rPr>
        <w:t>5-</w:t>
      </w:r>
      <w:r w:rsidRPr="00770477">
        <w:rPr>
          <w:rFonts w:cs="Times New Roman"/>
        </w:rPr>
        <w:t xml:space="preserve"> species. </w:t>
      </w:r>
      <w:r w:rsidRPr="00770477">
        <w:rPr>
          <w:rFonts w:cs="Times New Roman"/>
        </w:rPr>
        <w:softHyphen/>
      </w:r>
      <w:r w:rsidRPr="00770477">
        <w:rPr>
          <w:rFonts w:cs="Times New Roman"/>
        </w:rPr>
        <w:softHyphen/>
        <w:t xml:space="preserve">In a study by </w:t>
      </w:r>
      <w:r w:rsidRPr="00770477">
        <w:rPr>
          <w:rFonts w:cs="Times New Roman"/>
        </w:rPr>
        <w:fldChar w:fldCharType="begin"/>
      </w:r>
      <w:r w:rsidR="002074AD">
        <w:rPr>
          <w:rFonts w:cs="Times New Roman"/>
        </w:rPr>
        <w:instrText xml:space="preserve"> ADDIN ZOTERO_ITEM CSL_CITATION {"citationID":"zX0albTx","properties":{"formattedCitation":"(Liem-Nguyen et al., 2020)","plainCitation":"(Liem-Nguyen et al., 2020)","dontUpdate":true,"noteIndex":0},"citationItems":[{"id":1172,"uris":["http://zotero.org/users/8423188/items/827S7YGI"],"itemData":{"id":1172,"type":"article-journal","abstract":"With this study, the removal mechanisms of arsenate by steel slag and its potential for treatment of contaminated water were elucidated. While original slag showed a poor ﬁt to the Langmuir equation (R2 = 0.960), washed slag (the original slag is washed by low pH water solutions to remove readily soluble oxides) conformed better (R2 = 0.995). An initial pH of 2.0 give optimal adsorption, with a strong impact from the chemical speciation observed with highest eﬃciency for the fully protonated (OH)3AsO form. Adsorption capacity of the slag is 4.0 mg g−1, while together with precipitation the retention capacity reaches 13.7 mg g−1. However, removal by precipitation is a non-steady process due to re-dissolution of Ca3(AsO4)2(s). The washed slag shows a similar adsorption capacity to the original one but has not as strong alkaline properties. Batch experiment shows fast adsorption kinetics and column loading tests indicate an instant adsorption kinetics with 80 % As(V) removal for a 10 mg L−1 As(V) solution by 1.0 g of washed slag using a solution ﬂowrate of 1 mL min−1. Common ions like sulfate, carbonate, chloride, iron(III), humic acid and fulvic acid do not signiﬁcantly interfere with the removal eﬃciency. In combination with limited hazardous metals leaching, the slag is thus appropriate for use as a ﬁlter material for treatment of contaminated water and it has been successfully applied as ﬁlter material for treatment of arsenate spiked natural water sample with average removal eﬃciency of 84 % (solid to liquid ratio of 200).","container-title":"Journal of Environmental Chemical Engineering","DOI":"10.1016/j.jece.2020.103833","ISSN":"22133437","issue":"4","journalAbbreviation":"Journal of Environmental Chemical Engineering","language":"en","page":"103833","source":"DOI.org (Crossref)","title":"Removal mechanism of arsenic (V) by stainless steel slags obtained from scrap metal recycling","volume":"8","author":[{"family":"Liem-Nguyen","given":"Van"},{"family":"Sjöberg","given":"Viktor"},{"family":"Dinh","given":"Ngoc Phuoc"},{"family":"Huy","given":"Duong Huu"},{"family":"Karlsson","given":"Stefan"}],"issued":{"date-parts":[["2020",8]]}}}],"schema":"https://github.com/citation-style-language/schema/raw/master/csl-citation.json"} </w:instrText>
      </w:r>
      <w:r w:rsidRPr="00770477">
        <w:rPr>
          <w:rFonts w:cs="Times New Roman"/>
        </w:rPr>
        <w:fldChar w:fldCharType="separate"/>
      </w:r>
      <w:r w:rsidRPr="00770477">
        <w:rPr>
          <w:rFonts w:cs="Times New Roman"/>
          <w:noProof/>
        </w:rPr>
        <w:t>Liem-Nguyen et al. (2020)</w:t>
      </w:r>
      <w:r w:rsidRPr="00770477">
        <w:rPr>
          <w:rFonts w:cs="Times New Roman"/>
        </w:rPr>
        <w:fldChar w:fldCharType="end"/>
      </w:r>
      <w:r w:rsidRPr="00770477">
        <w:rPr>
          <w:rFonts w:cs="Times New Roman"/>
        </w:rPr>
        <w:t xml:space="preserve"> a steel slag was used to treat a solution spiked with As</w:t>
      </w:r>
      <w:r w:rsidRPr="00770477">
        <w:rPr>
          <w:rFonts w:cs="Times New Roman"/>
          <w:vertAlign w:val="superscript"/>
        </w:rPr>
        <w:t>5-</w:t>
      </w:r>
      <w:r w:rsidRPr="00770477">
        <w:rPr>
          <w:rFonts w:cs="Times New Roman"/>
        </w:rPr>
        <w:t xml:space="preserve"> across a variety of pH conditions. At an initial pH of 7.0, the resultant pH was 12.0 and just over 40% of As</w:t>
      </w:r>
      <w:r w:rsidRPr="00770477">
        <w:rPr>
          <w:rFonts w:cs="Times New Roman"/>
          <w:vertAlign w:val="superscript"/>
        </w:rPr>
        <w:t>5-</w:t>
      </w:r>
      <w:r w:rsidRPr="00770477">
        <w:rPr>
          <w:rFonts w:cs="Times New Roman"/>
        </w:rPr>
        <w:t xml:space="preserve"> was reported to be removed from solution by the steel slag. This was also observed in the horizontal column experiments where results initially yielded nearly 100% As</w:t>
      </w:r>
      <w:r w:rsidRPr="00770477">
        <w:rPr>
          <w:rFonts w:cs="Times New Roman"/>
          <w:vertAlign w:val="superscript"/>
        </w:rPr>
        <w:t>5-</w:t>
      </w:r>
      <w:r w:rsidRPr="00770477">
        <w:rPr>
          <w:rFonts w:cs="Times New Roman"/>
        </w:rPr>
        <w:t xml:space="preserve"> removal, but eventually reached equilibrium at a removal rate between 40% and 50%. </w:t>
      </w:r>
      <w:r w:rsidRPr="00770477">
        <w:rPr>
          <w:rFonts w:cs="Times New Roman"/>
        </w:rPr>
        <w:fldChar w:fldCharType="begin"/>
      </w:r>
      <w:r w:rsidR="002074AD">
        <w:rPr>
          <w:rFonts w:cs="Times New Roman"/>
        </w:rPr>
        <w:instrText xml:space="preserve"> ADDIN ZOTERO_ITEM CSL_CITATION {"citationID":"j96VXPNZ","properties":{"formattedCitation":"(Akter et al., 2005)","plainCitation":"(Akter et al., 2005)","dontUpdate":true,"noteIndex":0},"citationItems":[{"id":1174,"uris":["http://zotero.org/users/8423188/items/YP6EFNZY"],"itemData":{"id":1174,"type":"chapter","container-title":"Reviews of Environmental Contamination and Toxicology","event-place":"New York, NY","ISBN":"978-0-387-22398-8","language":"en","note":"collection-title: Reviews of Environmental Contamination and Toxicology\nDOI: 10.1007/0-387-27565-7_3","page":"97-149","publisher":"Springer New York","publisher-place":"New York, NY","source":"DOI.org (Crossref)","title":"Arsenic Speciation and Toxicity in Biological Systems","URL":"http://link.springer.com/10.1007/0-387-27565-7_3","volume":"184","editor":[{"family":"Ware","given":"George W."},{"family":"Albert","given":"Lilia A."},{"family":"Crosby","given":"D.G."},{"family":"Voogt","given":"Pim","non-dropping-particle":"de"},{"family":"Hutzinger","given":"O."},{"family":"Knaak","given":"James B."},{"family":"Mayer","given":"Foster L."},{"family":"Morgan","given":"D.P."},{"family":"Park","given":"Douglas L."},{"family":"Tjeerdema","given":"Ronald S."},{"family":"Whitacre","given":"David M."},{"family":"Yang","given":"Raymond S.H."},{"family":"Gunther","given":"Francis A."}],"author":[{"family":"Akter","given":"Kazi Farzana"},{"family":"Owens","given":"Gary"},{"family":"Davey","given":"David E."},{"family":"Naidu","given":"Ravi"}],"accessed":{"date-parts":[["2022",11,25]]},"issued":{"date-parts":[["2005"]]}}}],"schema":"https://github.com/citation-style-language/schema/raw/master/csl-citation.json"} </w:instrText>
      </w:r>
      <w:r w:rsidRPr="00770477">
        <w:rPr>
          <w:rFonts w:cs="Times New Roman"/>
        </w:rPr>
        <w:fldChar w:fldCharType="separate"/>
      </w:r>
      <w:r w:rsidRPr="00770477">
        <w:rPr>
          <w:rFonts w:cs="Times New Roman"/>
          <w:noProof/>
        </w:rPr>
        <w:t>Akter et al. (2005)</w:t>
      </w:r>
      <w:r w:rsidRPr="00770477">
        <w:rPr>
          <w:rFonts w:cs="Times New Roman"/>
        </w:rPr>
        <w:fldChar w:fldCharType="end"/>
      </w:r>
      <w:r w:rsidRPr="00770477">
        <w:rPr>
          <w:rFonts w:cs="Times New Roman"/>
        </w:rPr>
        <w:t xml:space="preserve"> goes on to explain that As</w:t>
      </w:r>
      <w:r w:rsidRPr="00770477">
        <w:rPr>
          <w:rFonts w:cs="Times New Roman"/>
          <w:vertAlign w:val="superscript"/>
        </w:rPr>
        <w:t>5-</w:t>
      </w:r>
      <w:r w:rsidRPr="00770477">
        <w:rPr>
          <w:rFonts w:cs="Times New Roman"/>
        </w:rPr>
        <w:t xml:space="preserve"> removal is due to a combination of precipitation and adsorption. Precipitation is predicted as Ca</w:t>
      </w:r>
      <w:r w:rsidRPr="00770477">
        <w:rPr>
          <w:rFonts w:cs="Times New Roman"/>
          <w:vertAlign w:val="subscript"/>
        </w:rPr>
        <w:t>3</w:t>
      </w:r>
      <w:r w:rsidRPr="00770477">
        <w:rPr>
          <w:rFonts w:cs="Times New Roman"/>
        </w:rPr>
        <w:t>(AsO</w:t>
      </w:r>
      <w:r w:rsidRPr="00770477">
        <w:rPr>
          <w:rFonts w:cs="Times New Roman"/>
          <w:vertAlign w:val="subscript"/>
        </w:rPr>
        <w:t>4</w:t>
      </w:r>
      <w:r w:rsidRPr="00770477">
        <w:rPr>
          <w:rFonts w:cs="Times New Roman"/>
        </w:rPr>
        <w:t>)</w:t>
      </w:r>
      <w:r w:rsidRPr="00770477">
        <w:rPr>
          <w:rFonts w:cs="Times New Roman"/>
          <w:vertAlign w:val="subscript"/>
        </w:rPr>
        <w:t>2</w:t>
      </w:r>
      <w:r w:rsidRPr="00770477">
        <w:rPr>
          <w:rFonts w:cs="Times New Roman"/>
        </w:rPr>
        <w:t xml:space="preserve"> • 4H</w:t>
      </w:r>
      <w:r w:rsidRPr="00770477">
        <w:rPr>
          <w:rFonts w:cs="Times New Roman"/>
          <w:vertAlign w:val="subscript"/>
        </w:rPr>
        <w:t>2</w:t>
      </w:r>
      <w:r w:rsidRPr="00770477">
        <w:rPr>
          <w:rFonts w:cs="Times New Roman"/>
        </w:rPr>
        <w:t>O</w:t>
      </w:r>
      <w:r w:rsidRPr="00770477">
        <w:rPr>
          <w:rFonts w:cs="Times New Roman"/>
          <w:vertAlign w:val="subscript"/>
        </w:rPr>
        <w:t>(s)</w:t>
      </w:r>
      <w:r w:rsidRPr="00770477">
        <w:rPr>
          <w:rFonts w:cs="Times New Roman"/>
        </w:rPr>
        <w:t xml:space="preserve"> and therefore is predicted to Ca dependent. However, with a similar resultant pH to steel slag and a higher Ca content, </w:t>
      </w:r>
      <w:r w:rsidR="00BB6E0A">
        <w:rPr>
          <w:rFonts w:cs="Times New Roman"/>
        </w:rPr>
        <w:t>aggregated fly ash</w:t>
      </w:r>
      <w:r w:rsidRPr="00770477">
        <w:rPr>
          <w:rFonts w:cs="Times New Roman"/>
        </w:rPr>
        <w:t xml:space="preserve"> should be expected to also result in a similar removal of As</w:t>
      </w:r>
      <w:r w:rsidRPr="00770477">
        <w:rPr>
          <w:rFonts w:cs="Times New Roman"/>
          <w:vertAlign w:val="superscript"/>
        </w:rPr>
        <w:t>5-</w:t>
      </w:r>
      <w:r w:rsidRPr="00770477">
        <w:rPr>
          <w:rFonts w:cs="Times New Roman"/>
        </w:rPr>
        <w:t xml:space="preserve"> from solution, although the horizontal column data did not result in a </w:t>
      </w:r>
      <w:r w:rsidR="007260EE">
        <w:rPr>
          <w:rFonts w:cs="Times New Roman"/>
        </w:rPr>
        <w:t>large</w:t>
      </w:r>
      <w:r w:rsidRPr="00770477">
        <w:rPr>
          <w:rFonts w:cs="Times New Roman"/>
        </w:rPr>
        <w:t xml:space="preserve"> quantity of As</w:t>
      </w:r>
      <w:r w:rsidRPr="00770477">
        <w:rPr>
          <w:rFonts w:cs="Times New Roman"/>
          <w:vertAlign w:val="superscript"/>
        </w:rPr>
        <w:t>5-</w:t>
      </w:r>
      <w:r w:rsidRPr="00770477">
        <w:rPr>
          <w:rFonts w:cs="Times New Roman"/>
        </w:rPr>
        <w:t xml:space="preserve"> being removed from solution. Therefore, adsorption is likely a more </w:t>
      </w:r>
      <w:r w:rsidR="002F5B33">
        <w:rPr>
          <w:rFonts w:cs="Times New Roman"/>
        </w:rPr>
        <w:t>likely</w:t>
      </w:r>
      <w:r w:rsidRPr="00770477">
        <w:rPr>
          <w:rFonts w:cs="Times New Roman"/>
        </w:rPr>
        <w:t xml:space="preserve"> mechanism. The composition of media sorption site compositions is beyond the scope of this study, however sorption sites that are associated with compounds at high concentrations in steel slag as compared to the other media are expected to be the key in understanding As</w:t>
      </w:r>
      <w:r w:rsidRPr="00770477">
        <w:rPr>
          <w:rFonts w:cs="Times New Roman"/>
          <w:vertAlign w:val="superscript"/>
        </w:rPr>
        <w:t>5-</w:t>
      </w:r>
      <w:r w:rsidRPr="00770477">
        <w:rPr>
          <w:rFonts w:cs="Times New Roman"/>
        </w:rPr>
        <w:t xml:space="preserve"> removal in this case. The most likely of these compounds are Fe- and Mn-oxides. </w:t>
      </w:r>
    </w:p>
    <w:p w14:paraId="0924F234" w14:textId="5C67EC7B" w:rsidR="00FD3158" w:rsidRDefault="00FD3158" w:rsidP="00FD3158">
      <w:pPr>
        <w:rPr>
          <w:rFonts w:cs="Times New Roman"/>
        </w:rPr>
      </w:pPr>
      <w:r w:rsidRPr="00770477">
        <w:rPr>
          <w:rFonts w:cs="Times New Roman"/>
        </w:rPr>
        <w:tab/>
        <w:t xml:space="preserve">Manganese (Mn) results show a strong dependence on pH. Steel slag and </w:t>
      </w:r>
      <w:r w:rsidR="00BB6E0A">
        <w:rPr>
          <w:rFonts w:cs="Times New Roman"/>
        </w:rPr>
        <w:t>aggregated fly ash</w:t>
      </w:r>
      <w:r w:rsidRPr="00770477">
        <w:rPr>
          <w:rFonts w:cs="Times New Roman"/>
        </w:rPr>
        <w:t xml:space="preserve"> have shown to </w:t>
      </w:r>
      <w:r w:rsidR="002F5B33">
        <w:rPr>
          <w:rFonts w:cs="Times New Roman"/>
        </w:rPr>
        <w:t>noticeab</w:t>
      </w:r>
      <w:r w:rsidRPr="00770477">
        <w:rPr>
          <w:rFonts w:cs="Times New Roman"/>
        </w:rPr>
        <w:t xml:space="preserve">ly increase solution pH to a range of 10 – 12. In an Eh/pH diagram of </w:t>
      </w:r>
      <w:r w:rsidR="002A402D">
        <w:rPr>
          <w:rFonts w:cs="Times New Roman"/>
        </w:rPr>
        <w:t>Mn</w:t>
      </w:r>
      <w:r w:rsidR="002A402D" w:rsidRPr="002A402D">
        <w:rPr>
          <w:rFonts w:cs="Times New Roman"/>
          <w:vertAlign w:val="superscript"/>
        </w:rPr>
        <w:t>+2</w:t>
      </w:r>
      <w:r w:rsidRPr="00770477">
        <w:rPr>
          <w:rFonts w:cs="Times New Roman"/>
        </w:rPr>
        <w:t xml:space="preserve"> speciation in an aqueous solution by </w:t>
      </w:r>
      <w:r w:rsidRPr="00770477">
        <w:rPr>
          <w:rFonts w:cs="Times New Roman"/>
        </w:rPr>
        <w:fldChar w:fldCharType="begin"/>
      </w:r>
      <w:r w:rsidR="002074AD">
        <w:rPr>
          <w:rFonts w:cs="Times New Roman"/>
        </w:rPr>
        <w:instrText xml:space="preserve"> ADDIN ZOTERO_ITEM CSL_CITATION {"citationID":"hqiO7gvN","properties":{"formattedCitation":"(Gabelich et al., 2006)","plainCitation":"(Gabelich et al., 2006)","dontUpdate":true,"noteIndex":0},"citationItems":[{"id":1180,"uris":["http://zotero.org/users/8423188/items/LT25FVHW"],"itemData":{"id":1180,"type":"article-journal","container-title":"Journal - American Water Works Association","DOI":"10.1002/j.1551-8833.2006.tb07665.x","ISSN":"0003150X","issue":"5","journalAbbreviation":"Journal - American Water Works Association","language":"en","page":"116-127","source":"DOI.org (Crossref)","title":"Sequential Manganese Desorption and Sequestration in Anthracite Coal and Silica Sand Filter Media","volume":"98","author":[{"family":"Gabelich","given":"Christopher J."},{"family":"Gerringer","given":"Fredrick W."},{"family":"Lee","given":"Connie C."},{"family":"Knocke","given":"William R."}],"issued":{"date-parts":[["2006",5]]}}}],"schema":"https://github.com/citation-style-language/schema/raw/master/csl-citation.json"} </w:instrText>
      </w:r>
      <w:r w:rsidRPr="00770477">
        <w:rPr>
          <w:rFonts w:cs="Times New Roman"/>
        </w:rPr>
        <w:fldChar w:fldCharType="separate"/>
      </w:r>
      <w:r w:rsidRPr="00770477">
        <w:rPr>
          <w:rFonts w:cs="Times New Roman"/>
          <w:noProof/>
        </w:rPr>
        <w:t>Gabelich et al. (2006)</w:t>
      </w:r>
      <w:r w:rsidRPr="00770477">
        <w:rPr>
          <w:rFonts w:cs="Times New Roman"/>
        </w:rPr>
        <w:fldChar w:fldCharType="end"/>
      </w:r>
      <w:r w:rsidRPr="00770477">
        <w:rPr>
          <w:rFonts w:cs="Times New Roman"/>
        </w:rPr>
        <w:t xml:space="preserve"> demonstrates that for a resultant pH between 10 and 12 and an Eh between 200 mV and 600 mV, either </w:t>
      </w:r>
      <w:proofErr w:type="spellStart"/>
      <w:r w:rsidRPr="00770477">
        <w:rPr>
          <w:rFonts w:cs="Times New Roman"/>
        </w:rPr>
        <w:t>MnOOH</w:t>
      </w:r>
      <w:proofErr w:type="spellEnd"/>
      <w:r w:rsidRPr="00770477">
        <w:rPr>
          <w:rFonts w:cs="Times New Roman"/>
          <w:vertAlign w:val="subscript"/>
        </w:rPr>
        <w:t>(s)</w:t>
      </w:r>
      <w:r w:rsidRPr="00770477">
        <w:rPr>
          <w:rFonts w:cs="Times New Roman"/>
        </w:rPr>
        <w:t xml:space="preserve"> or Mn</w:t>
      </w:r>
      <w:r w:rsidRPr="00770477">
        <w:rPr>
          <w:rFonts w:cs="Times New Roman"/>
          <w:vertAlign w:val="subscript"/>
        </w:rPr>
        <w:t>3</w:t>
      </w:r>
      <w:r w:rsidRPr="00770477">
        <w:rPr>
          <w:rFonts w:cs="Times New Roman"/>
        </w:rPr>
        <w:t>O</w:t>
      </w:r>
      <w:r w:rsidRPr="00770477">
        <w:rPr>
          <w:rFonts w:cs="Times New Roman"/>
          <w:vertAlign w:val="subscript"/>
        </w:rPr>
        <w:t>4 (s)</w:t>
      </w:r>
      <w:r w:rsidRPr="00770477">
        <w:rPr>
          <w:rFonts w:cs="Times New Roman"/>
        </w:rPr>
        <w:t xml:space="preserve"> is predicted to form and precipitate. Conversely, with biochar not noticeably impacting solution pH (pH = 7.0-7.5), Mn is predicted to remain in solution as Mn</w:t>
      </w:r>
      <w:r w:rsidR="00714E81">
        <w:rPr>
          <w:rFonts w:cs="Times New Roman"/>
          <w:vertAlign w:val="superscript"/>
        </w:rPr>
        <w:t>+2</w:t>
      </w:r>
      <w:r w:rsidRPr="00770477">
        <w:rPr>
          <w:rFonts w:cs="Times New Roman"/>
        </w:rPr>
        <w:t xml:space="preserve">, hence not demonstrating any significant removal from solution. </w:t>
      </w:r>
    </w:p>
    <w:p w14:paraId="3BE3BBB7" w14:textId="5456A580" w:rsidR="00EC5221" w:rsidRPr="00B176C1" w:rsidRDefault="00EC5221" w:rsidP="00FD3158">
      <w:pPr>
        <w:rPr>
          <w:rFonts w:cs="Times New Roman"/>
        </w:rPr>
      </w:pPr>
      <w:r>
        <w:rPr>
          <w:rFonts w:cs="Times New Roman"/>
        </w:rPr>
        <w:lastRenderedPageBreak/>
        <w:tab/>
      </w:r>
      <w:r w:rsidR="00351A0D">
        <w:rPr>
          <w:rFonts w:cs="Times New Roman"/>
        </w:rPr>
        <w:t xml:space="preserve">Although the Gompertz model was not statistically significant, </w:t>
      </w:r>
      <w:proofErr w:type="gramStart"/>
      <w:r w:rsidR="00B84002">
        <w:rPr>
          <w:rFonts w:cs="Times New Roman"/>
        </w:rPr>
        <w:t>Be</w:t>
      </w:r>
      <w:proofErr w:type="gramEnd"/>
      <w:r w:rsidR="00B84002">
        <w:rPr>
          <w:rFonts w:cs="Times New Roman"/>
          <w:vertAlign w:val="superscript"/>
        </w:rPr>
        <w:t>+2</w:t>
      </w:r>
      <w:r w:rsidR="00B84002">
        <w:rPr>
          <w:rFonts w:cs="Times New Roman"/>
        </w:rPr>
        <w:t xml:space="preserve"> removal from solution </w:t>
      </w:r>
      <w:r w:rsidR="002E5AD4">
        <w:rPr>
          <w:rFonts w:cs="Times New Roman"/>
        </w:rPr>
        <w:t xml:space="preserve">visually </w:t>
      </w:r>
      <w:r w:rsidR="001B3763">
        <w:rPr>
          <w:rFonts w:cs="Times New Roman"/>
        </w:rPr>
        <w:t xml:space="preserve">appeared to be </w:t>
      </w:r>
      <w:r w:rsidR="002E5AD4">
        <w:rPr>
          <w:rFonts w:cs="Times New Roman"/>
        </w:rPr>
        <w:t>best</w:t>
      </w:r>
      <w:r w:rsidR="00F843AC">
        <w:rPr>
          <w:rFonts w:cs="Times New Roman"/>
        </w:rPr>
        <w:t xml:space="preserve"> with small steel slag. </w:t>
      </w:r>
      <w:r w:rsidR="002E5AD4">
        <w:rPr>
          <w:rFonts w:cs="Times New Roman"/>
        </w:rPr>
        <w:t xml:space="preserve">All others remained just below an IE ratio of 1.0. </w:t>
      </w:r>
      <w:r w:rsidR="00D43E5B">
        <w:rPr>
          <w:rFonts w:cs="Times New Roman"/>
        </w:rPr>
        <w:fldChar w:fldCharType="begin"/>
      </w:r>
      <w:r w:rsidR="002074AD">
        <w:rPr>
          <w:rFonts w:cs="Times New Roman"/>
        </w:rPr>
        <w:instrText xml:space="preserve"> ADDIN ZOTERO_ITEM CSL_CITATION {"citationID":"a2nf7bejqrq","properties":{"formattedCitation":"\\uldash{(Tokar\\uc0\\u269{}\\uc0\\u237{}kov\\uc0\\u225{} et al., 2021)}","plainCitation":"(Tokarčíková et al., 2021)","dontUpdate":true,"noteIndex":0},"citationItems":[{"id":1212,"uris":["http://zotero.org/users/8423188/items/JRI59G4P"],"itemData":{"id":1212,"type":"article-journal","abstract":"Although both beryllium and its compounds display high toxicity, little attention has been focused on the removal of beryllium from wastewaters. In this research, magnetically modiﬁed biochar obtained from poor-quality wheat with two distinct FexOy contents was studied as a sorbent for the elimination of beryllium from an aqueous solution. The determined elimination efﬁciency was higher than 80% in both prepared composites, and the presence of FexOy did not affect the sorption properties. The experimental qmax values were determined to be 1.44 mg/g for original biochar and biochar with lower content of iron and 1.45 mg/g for the biochar with higher iron content. The optimum pH values favorable for sorption were determined to be 6. After the sorption procedure, the sorbent was still magnetically active enough to be removed from the solution by a magnet. Using magnetically modiﬁed sorbents proved to be an easy to apply, low-cost, and effective technique.","container-title":"Materials","DOI":"10.3390/ma14216610","ISSN":"1996-1944","issue":"21","journalAbbreviation":"Materials","language":"en","page":"6610","source":"DOI.org (Crossref)","title":"Magnetically Modified Biosorbent for Rapid Beryllium Elimination from the Aqueous Environment","volume":"14","author":[{"family":"Tokarčíková","given":"Michaela"},{"family":"Motyka","given":"Oldřich"},{"family":"Peikertová","given":"Pavlína"},{"family":"Gabor","given":"Roman"},{"family":"Seidlerová","given":"Jana"}],"issued":{"date-parts":[["2021",11,3]]}}}],"schema":"https://github.com/citation-style-language/schema/raw/master/csl-citation.json"} </w:instrText>
      </w:r>
      <w:r w:rsidR="00D43E5B">
        <w:rPr>
          <w:rFonts w:cs="Times New Roman"/>
        </w:rPr>
        <w:fldChar w:fldCharType="separate"/>
      </w:r>
      <w:r w:rsidR="00C74C28" w:rsidRPr="00C74C28">
        <w:rPr>
          <w:rFonts w:cs="Times New Roman"/>
          <w:u w:val="dash"/>
        </w:rPr>
        <w:t xml:space="preserve">Tokarčíková et al. </w:t>
      </w:r>
      <w:r w:rsidR="00C74C28">
        <w:rPr>
          <w:rFonts w:cs="Times New Roman"/>
          <w:u w:val="dash"/>
        </w:rPr>
        <w:t>(</w:t>
      </w:r>
      <w:r w:rsidR="00C74C28" w:rsidRPr="00C74C28">
        <w:rPr>
          <w:rFonts w:cs="Times New Roman"/>
          <w:u w:val="dash"/>
        </w:rPr>
        <w:t>2021)</w:t>
      </w:r>
      <w:r w:rsidR="00D43E5B">
        <w:rPr>
          <w:rFonts w:cs="Times New Roman"/>
        </w:rPr>
        <w:fldChar w:fldCharType="end"/>
      </w:r>
      <w:r w:rsidR="00C74C28">
        <w:rPr>
          <w:rFonts w:cs="Times New Roman"/>
        </w:rPr>
        <w:t xml:space="preserve"> did not investigate the removal of Be</w:t>
      </w:r>
      <w:r w:rsidR="00C74C28">
        <w:rPr>
          <w:rFonts w:cs="Times New Roman"/>
          <w:vertAlign w:val="superscript"/>
        </w:rPr>
        <w:t>+2</w:t>
      </w:r>
      <w:r w:rsidR="00C74C28">
        <w:rPr>
          <w:rFonts w:cs="Times New Roman"/>
        </w:rPr>
        <w:t xml:space="preserve"> from solution using fly ash or steel slag, but </w:t>
      </w:r>
      <w:r w:rsidR="00992051">
        <w:rPr>
          <w:rFonts w:cs="Times New Roman"/>
        </w:rPr>
        <w:t xml:space="preserve">the authors did indicate that charged sites on biochar surfaces was the most likely </w:t>
      </w:r>
      <w:r w:rsidR="002008B7">
        <w:rPr>
          <w:rFonts w:cs="Times New Roman"/>
        </w:rPr>
        <w:t xml:space="preserve">point of sorption. </w:t>
      </w:r>
      <w:r w:rsidR="00B0035A">
        <w:rPr>
          <w:rFonts w:cs="Times New Roman"/>
        </w:rPr>
        <w:t xml:space="preserve">If the assumption is made that both aggregated fly ash and steel slag have charged surfaces, then </w:t>
      </w:r>
      <w:r w:rsidR="00616D42">
        <w:rPr>
          <w:rFonts w:cs="Times New Roman"/>
        </w:rPr>
        <w:t>Be</w:t>
      </w:r>
      <w:r w:rsidR="00616D42">
        <w:rPr>
          <w:rFonts w:cs="Times New Roman"/>
          <w:vertAlign w:val="superscript"/>
        </w:rPr>
        <w:t>+2</w:t>
      </w:r>
      <w:r w:rsidR="00616D42">
        <w:rPr>
          <w:rFonts w:cs="Times New Roman"/>
        </w:rPr>
        <w:t xml:space="preserve"> removal from solution via this mechanism is also possible. More likely, however</w:t>
      </w:r>
      <w:r w:rsidR="00E844A5">
        <w:rPr>
          <w:rFonts w:cs="Times New Roman"/>
        </w:rPr>
        <w:t>, is the removal of Be</w:t>
      </w:r>
      <w:r w:rsidR="00E844A5">
        <w:rPr>
          <w:rFonts w:cs="Times New Roman"/>
          <w:vertAlign w:val="superscript"/>
        </w:rPr>
        <w:t>+2</w:t>
      </w:r>
      <w:r w:rsidR="00E844A5">
        <w:rPr>
          <w:rFonts w:cs="Times New Roman"/>
        </w:rPr>
        <w:t xml:space="preserve"> via complexation as </w:t>
      </w:r>
      <w:proofErr w:type="gramStart"/>
      <w:r w:rsidR="00E844A5">
        <w:rPr>
          <w:rFonts w:cs="Times New Roman"/>
        </w:rPr>
        <w:t>Be(</w:t>
      </w:r>
      <w:proofErr w:type="gramEnd"/>
      <w:r w:rsidR="00E844A5">
        <w:rPr>
          <w:rFonts w:cs="Times New Roman"/>
        </w:rPr>
        <w:t>OH)</w:t>
      </w:r>
      <w:r w:rsidR="00E844A5" w:rsidRPr="00E844A5">
        <w:rPr>
          <w:rFonts w:cs="Times New Roman"/>
          <w:vertAlign w:val="subscript"/>
        </w:rPr>
        <w:t>2</w:t>
      </w:r>
      <w:r w:rsidR="00E844A5">
        <w:rPr>
          <w:rFonts w:cs="Times New Roman"/>
        </w:rPr>
        <w:t xml:space="preserve"> </w:t>
      </w:r>
      <w:r w:rsidR="00E844A5" w:rsidRPr="00E844A5">
        <w:rPr>
          <w:rFonts w:cs="Times New Roman"/>
        </w:rPr>
        <w:t>at</w:t>
      </w:r>
      <w:r w:rsidR="00E844A5">
        <w:rPr>
          <w:rFonts w:cs="Times New Roman"/>
        </w:rPr>
        <w:t xml:space="preserve"> a pH above 4</w:t>
      </w:r>
      <w:r w:rsidR="0081542A">
        <w:rPr>
          <w:rFonts w:cs="Times New Roman"/>
        </w:rPr>
        <w:t xml:space="preserve">. This was the primary mechanism of removal reported by </w:t>
      </w:r>
      <w:r w:rsidR="0081542A">
        <w:rPr>
          <w:rFonts w:cs="Times New Roman"/>
        </w:rPr>
        <w:fldChar w:fldCharType="begin"/>
      </w:r>
      <w:r w:rsidR="002074AD">
        <w:rPr>
          <w:rFonts w:cs="Times New Roman"/>
        </w:rPr>
        <w:instrText xml:space="preserve"> ADDIN ZOTERO_ITEM CSL_CITATION {"citationID":"a148slfer4p","properties":{"formattedCitation":"\\uldash{(Tokar\\uc0\\u269{}\\uc0\\u237{}kov\\uc0\\u225{} et al., 2021)}","plainCitation":"(Tokarčíková et al., 2021)","dontUpdate":true,"noteIndex":0},"citationItems":[{"id":1212,"uris":["http://zotero.org/users/8423188/items/JRI59G4P"],"itemData":{"id":1212,"type":"article-journal","abstract":"Although both beryllium and its compounds display high toxicity, little attention has been focused on the removal of beryllium from wastewaters. In this research, magnetically modiﬁed biochar obtained from poor-quality wheat with two distinct FexOy contents was studied as a sorbent for the elimination of beryllium from an aqueous solution. The determined elimination efﬁciency was higher than 80% in both prepared composites, and the presence of FexOy did not affect the sorption properties. The experimental qmax values were determined to be 1.44 mg/g for original biochar and biochar with lower content of iron and 1.45 mg/g for the biochar with higher iron content. The optimum pH values favorable for sorption were determined to be 6. After the sorption procedure, the sorbent was still magnetically active enough to be removed from the solution by a magnet. Using magnetically modiﬁed sorbents proved to be an easy to apply, low-cost, and effective technique.","container-title":"Materials","DOI":"10.3390/ma14216610","ISSN":"1996-1944","issue":"21","journalAbbreviation":"Materials","language":"en","page":"6610","source":"DOI.org (Crossref)","title":"Magnetically Modified Biosorbent for Rapid Beryllium Elimination from the Aqueous Environment","volume":"14","author":[{"family":"Tokarčíková","given":"Michaela"},{"family":"Motyka","given":"Oldřich"},{"family":"Peikertová","given":"Pavlína"},{"family":"Gabor","given":"Roman"},{"family":"Seidlerová","given":"Jana"}],"issued":{"date-parts":[["2021",11,3]]}}}],"schema":"https://github.com/citation-style-language/schema/raw/master/csl-citation.json"} </w:instrText>
      </w:r>
      <w:r w:rsidR="0081542A">
        <w:rPr>
          <w:rFonts w:cs="Times New Roman"/>
        </w:rPr>
        <w:fldChar w:fldCharType="separate"/>
      </w:r>
      <w:r w:rsidR="0081542A" w:rsidRPr="0081542A">
        <w:rPr>
          <w:rFonts w:cs="Times New Roman"/>
          <w:u w:val="dash"/>
        </w:rPr>
        <w:t xml:space="preserve">Tokarčíková et al. </w:t>
      </w:r>
      <w:r w:rsidR="0081542A">
        <w:rPr>
          <w:rFonts w:cs="Times New Roman"/>
          <w:u w:val="dash"/>
        </w:rPr>
        <w:t>(</w:t>
      </w:r>
      <w:r w:rsidR="0081542A" w:rsidRPr="0081542A">
        <w:rPr>
          <w:rFonts w:cs="Times New Roman"/>
          <w:u w:val="dash"/>
        </w:rPr>
        <w:t>2021)</w:t>
      </w:r>
      <w:r w:rsidR="0081542A">
        <w:rPr>
          <w:rFonts w:cs="Times New Roman"/>
        </w:rPr>
        <w:fldChar w:fldCharType="end"/>
      </w:r>
      <w:r w:rsidR="0081542A">
        <w:rPr>
          <w:rFonts w:cs="Times New Roman"/>
        </w:rPr>
        <w:t xml:space="preserve"> at high pH</w:t>
      </w:r>
      <w:r w:rsidR="00A05D13">
        <w:rPr>
          <w:rFonts w:cs="Times New Roman"/>
        </w:rPr>
        <w:t xml:space="preserve"> and is </w:t>
      </w:r>
      <w:r w:rsidR="00CD6D81">
        <w:rPr>
          <w:rFonts w:cs="Times New Roman"/>
        </w:rPr>
        <w:t xml:space="preserve">a </w:t>
      </w:r>
      <w:r w:rsidR="00A05D13">
        <w:rPr>
          <w:rFonts w:cs="Times New Roman"/>
        </w:rPr>
        <w:t>likely method of removal in this study as well. Curiously, however, a constant removal rate was not observed through the duration of the experiment as was demonstrated with Mn</w:t>
      </w:r>
      <w:r w:rsidR="00CD6D81">
        <w:rPr>
          <w:rFonts w:cs="Times New Roman"/>
          <w:vertAlign w:val="superscript"/>
        </w:rPr>
        <w:t>+2</w:t>
      </w:r>
      <w:r w:rsidR="00CD6D81">
        <w:rPr>
          <w:rFonts w:cs="Times New Roman"/>
        </w:rPr>
        <w:t xml:space="preserve">. </w:t>
      </w:r>
      <w:r w:rsidR="00B176C1">
        <w:rPr>
          <w:rFonts w:cs="Times New Roman"/>
        </w:rPr>
        <w:t xml:space="preserve">With pH remaining relatively constant throughout the duration of all experiments but </w:t>
      </w:r>
      <w:proofErr w:type="gramStart"/>
      <w:r w:rsidR="00B176C1">
        <w:rPr>
          <w:rFonts w:cs="Times New Roman"/>
        </w:rPr>
        <w:t>Be</w:t>
      </w:r>
      <w:proofErr w:type="gramEnd"/>
      <w:r w:rsidR="00B176C1">
        <w:rPr>
          <w:rFonts w:cs="Times New Roman"/>
          <w:vertAlign w:val="superscript"/>
        </w:rPr>
        <w:t>+2</w:t>
      </w:r>
      <w:r w:rsidR="00B176C1">
        <w:rPr>
          <w:rFonts w:cs="Times New Roman"/>
        </w:rPr>
        <w:t xml:space="preserve"> removal declining over time, </w:t>
      </w:r>
      <w:r w:rsidR="00A14A9C">
        <w:rPr>
          <w:rFonts w:cs="Times New Roman"/>
        </w:rPr>
        <w:t xml:space="preserve">sorption appears to be the primary </w:t>
      </w:r>
      <w:r w:rsidR="00D63F34">
        <w:rPr>
          <w:rFonts w:cs="Times New Roman"/>
        </w:rPr>
        <w:t>method of removal in this study.  Further research would need to be conducted to investigate the exact mechanism of removal in this study</w:t>
      </w:r>
      <w:r w:rsidR="00630A03">
        <w:rPr>
          <w:rFonts w:cs="Times New Roman"/>
        </w:rPr>
        <w:t>.</w:t>
      </w:r>
    </w:p>
    <w:p w14:paraId="696C7DB8" w14:textId="5F38824A" w:rsidR="00FD3158" w:rsidRPr="00770477" w:rsidRDefault="00FD3158" w:rsidP="00FD3158">
      <w:pPr>
        <w:rPr>
          <w:rFonts w:cs="Times New Roman"/>
        </w:rPr>
      </w:pPr>
      <w:r w:rsidRPr="00770477">
        <w:rPr>
          <w:rFonts w:cs="Times New Roman"/>
        </w:rPr>
        <w:tab/>
        <w:t xml:space="preserve">Generally, metals removal from solution is expected when treated with </w:t>
      </w:r>
      <w:r w:rsidR="00D369C8">
        <w:rPr>
          <w:rFonts w:cs="Times New Roman"/>
        </w:rPr>
        <w:t>aggregated fly ash</w:t>
      </w:r>
      <w:r w:rsidRPr="00770477">
        <w:rPr>
          <w:rFonts w:cs="Times New Roman"/>
        </w:rPr>
        <w:t xml:space="preserve"> </w:t>
      </w:r>
      <w:r w:rsidRPr="00770477">
        <w:rPr>
          <w:rFonts w:cs="Times New Roman"/>
        </w:rPr>
        <w:fldChar w:fldCharType="begin"/>
      </w:r>
      <w:r w:rsidR="002074AD">
        <w:rPr>
          <w:rFonts w:cs="Times New Roman"/>
        </w:rPr>
        <w:instrText xml:space="preserve"> ADDIN ZOTERO_ITEM CSL_CITATION {"citationID":"SRmuzNU6","properties":{"formattedCitation":"(Apak et al., 1998; Ayala et al., 1998; Bayat, 2002a, 2002b; Chandra Srivastava et al., 2006; Diamadopoulos et al., 1993; G. Gupta &amp; Torres, 1998, 1998; V. K. Gupta et al., 2003; V. K. Gupta &amp; Ali, 2000, 2004; V. K. Gupta &amp; Sharma, 2003; Hsu et al., 2008; Lin &amp; Chang, 2001; S.-C. Pan et al., 2003; Panday et al., 1985; Rao et al., 2003; Ricou et al., 1999; Rio et al., 2002; S. Wang et al., 2008; Yadava et al., 1987)","plainCitation":"(Apak et al., 1998; Ayala et al., 1998; Bayat, 2002a, 2002b; Chandra Srivastava et al., 2006; Diamadopoulos et al., 1993; G. Gupta &amp; Torres, 1998, 1998; V. K. Gupta et al., 2003; V. K. Gupta &amp; Ali, 2000, 2004; V. K. Gupta &amp; Sharma, 2003; Hsu et al., 2008; Lin &amp; Chang, 2001; S.-C. Pan et al., 2003; Panday et al., 1985; Rao et al., 2003; Ricou et al., 1999; Rio et al., 2002; S. Wang et al., 2008; Yadava et al., 1987)","noteIndex":0},"citationItems":[{"id":681,"uris":["http://zotero.org/users/8423188/items/8P7SBUYM"],"itemData":{"id":681,"type":"article-journal","container-title":"Water Research","DOI":"10.1016/S0043-1354(97)00204-2","ISSN":"00431354","issue":"2","journalAbbreviation":"Water Research","language":"en","page":"430-440","source":"DOI.org (Crossref)","title":"Heavy metal cation retention by unconventional sorbents (red muds and fly ashes)","volume":"32","author":[{"family":"Apak","given":"Reşat"},{"family":"Tütem","given":"Esma"},{"family":"Hügül","given":"Mehmet"},{"family":"Hizal","given":"Jülide"}],"issued":{"date-parts":[["1998",2]]}}},{"id":673,"uris":["http://zotero.org/users/8423188/items/ZQG4XPRJ"],"itemData":{"id":673,"type":"article-journal","container-title":"Fuel","DOI":"10.1016/S0016-2361(98)00027-1","ISSN":"00162361","issue":"11","journalAbbreviation":"Fuel","language":"en","page":"1147-1154","source":"DOI.org (Crossref)","title":"Asturian fly ash as a heavy metals removal material","volume":"77","author":[{"family":"Ayala","given":"Julia"},{"family":"Blanco","given":"Francisco"},{"family":"García","given":"Purificación"},{"family":"Rodriguez","given":"Penelope"},{"family":"Sancho","given":"José"}],"issued":{"date-parts":[["1998",9]]}}},{"id":672,"uris":["http://zotero.org/users/8423188/items/U5UEU9Y2"],"itemData":{"id":672,"type":"article-journal","abstract":"The aim of this work is the investigation of possible use of ﬂy ash in the removal of zinc (Zn2+) and cadmium (Cd2+) contained in aqueous solutions. Batch adsorption experiments were performed in order to evaluate the removal efﬁciency of lignite-based ﬂy ash. The parameters studied include contact time, pH, temperature, initial concentration of the adsorbate and ﬂy ash dosage. The contact time necessary to attain equilibrium was found to be two hours. Maximum adsorption occurred in the pH range of 7.0 to 7.5. The percent adsorption of Zn2+ and Cd2+ increased with an increase in concentration of Zn2+ and Cd2+, dosage of ﬂy ash and temperature. The applicability of Langmuir isotherm suggests the formation of monolayer coverage Zn2+ and Cd2+ ions at the outer surface of the adsorbent. Thermodynamic parameters suggested the endothermic nature of the adsorption process. The ﬂy ash was found to be an metal adsorbent as effective as activated carbon.","container-title":"Water, Air and Soil Pollution","language":"en","page":"69-92","source":"Zotero","title":"Combined Removal of Zinc (II) and Cadmium (II) from Aqueous Solutions by Adsorption onto High-Calcium Turkish Fly Ash","volume":"136","author":[{"family":"Bayat","given":"Belgin"}],"issued":{"date-parts":[["2002",1]]}}},{"id":680,"uris":["http://zotero.org/users/8423188/items/RQX89T3T"],"itemData":{"id":680,"type":"article-journal","container-title":"Journal of Hazardous Materials","DOI":"10.1016/S0304-3894(02)00141-3","ISSN":"03043894","issue":"3","journalAbbreviation":"Journal of Hazardous Materials","language":"en","page":"275-290","source":"DOI.org (Crossref)","title":"Comparative study of adsorption properties of Turkish fly ashes","volume":"95","author":[{"family":"Bayat","given":"Belgin"}],"issued":{"date-parts":[["2002",12]]}}},{"id":683,"uris":["http://zotero.org/users/8423188/items/SF4IBLY2"],"itemData":{"id":683,"type":"article-journal","container-title":"Separation Science and Technology","DOI":"10.1080/01496390600725687","ISSN":"0149-6395, 1520-5754","issue":"12","journalAbbreviation":"Separation Science and Technology","language":"en","page":"2685-2710","source":"DOI.org (Crossref)","title":"Modelling Individual and Competitive Adsorption of Cadmium(II) and Zinc(II) Metal Ions from Aqueous Solution onto Bagasse Fly Ash","volume":"41","author":[{"family":"Chandra Srivastava","given":"Vimal"},{"family":"Deo Mall","given":"Indra"},{"family":"Mani Mishra","given":"Indra"}],"issued":{"date-parts":[["2006",9]]}}},{"id":660,"uris":["http://zotero.org/users/8423188/items/9EKR3238"],"itemData":{"id":660,"type":"article-journal","container-title":"Water Research","DOI":"10.1016/0043-1354(93)90116-Y","ISSN":"00431354","issue":"12","journalAbbreviation":"Water Research","language":"en","page":"1773-1777","source":"DOI.org (Crossref)","title":"As(V) removal from aqueous solutions by fly ash","volume":"27","author":[{"family":"Diamadopoulos","given":"Evan"},{"family":"Ioannidis","given":"Socrates"},{"family":"Sakellaropoulos","given":"George P."}],"issued":{"date-parts":[["1993",12]]}}},{"id":671,"uris":["http://zotero.org/users/8423188/items/S4E7P38U"],"itemData":{"id":671,"type":"article-journal","container-title":"Journal of Hazardous Materials","DOI":"10.1016/S0304-3894(97)00093-9","ISSN":"03043894","issue":"1-3","journalAbbreviation":"Journal of Hazardous Materials","language":"en","page":"243-248","source":"DOI.org (Crossref)","title":"Use of fly ash in reducing toxicity of and heavy metals in wastewater effluent","volume":"57","author":[{"family":"Gupta","given":"Gian"},{"family":"Torres","given":"Norca"}],"issued":{"date-parts":[["1998",1]]}}},{"id":671,"uris":["http://zotero.org/users/8423188/items/S4E7P38U"],"itemData":{"id":671,"type":"article-journal","container-title":"Journal of Hazardous Materials","DOI":"10.1016/S0304-3894(97)00093-9","ISSN":"03043894","issue":"1-3","journalAbbreviation":"Journal of Hazardous Materials","language":"en","page":"243-248","source":"DOI.org (Crossref)","title":"Use of fly ash in reducing toxicity of and heavy metals in wastewater effluent","volume":"57","author":[{"family":"Gupta","given":"Gian"},{"family":"Torres","given":"Norca"}],"issued":{"date-parts":[["1998",1]]}}},{"id":666,"uris":["http://zotero.org/users/8423188/items/H4PN2JFD"],"itemData":{"id":666,"type":"article-journal","container-title":"Water Research","DOI":"10.1016/S0043-1354(03)00292-6","ISSN":"00431354","issue":"16","journalAbbreviation":"Water Research","language":"en","page":"4038-4044","source":"DOI.org (Crossref)","title":"Removal of cadmium and nickel from wastewater using bagasse fly ash—a sugar industry waste","volume":"37","author":[{"family":"Gupta","given":"Vinod K."},{"family":"Jain","given":"C.K."},{"family":"Ali","given":"Imran"},{"family":"Sharma","given":"M."},{"family":"Saini","given":"V.K."}],"issued":{"date-parts":[["2003",9]]}}},{"id":668,"uris":["http://zotero.org/users/8423188/items/X8XGLQ48"],"itemData":{"id":668,"type":"article-journal","container-title":"Separation and Purification Technology","DOI":"10.1016/S1383-5866(99)00058-1","ISSN":"13835866","issue":"2","journalAbbreviation":"Separation and Purification Technology","language":"en","page":"131-140","source":"DOI.org (Crossref)","title":"Utilisation of bagasse fly ash (a sugar industry waste) for the removal of copper and zinc from wastewater","volume":"18","author":[{"family":"Gupta","given":"Vinod K."},{"family":"Ali","given":"Imran"}],"issued":{"date-parts":[["2000",3]]}}},{"id":665,"uris":["http://zotero.org/users/8423188/items/GAAITFHV"],"itemData":{"id":665,"type":"article-journal","container-title":"Journal of Colloid and Interface Science","DOI":"10.1016/j.jcis.2003.11.007","ISSN":"00219797","issue":"2","journalAbbreviation":"Journal of Colloid and Interface Science","language":"en","page":"321-328","source":"DOI.org (Crossref)","title":"Removal of lead and chromium from wastewater using bagasse fly ash—a sugar industry waste","volume":"271","author":[{"family":"Gupta","given":"V.K."},{"family":"Ali","given":"Imran"}],"issued":{"date-parts":[["2004",3]]}}},{"id":667,"uris":["http://zotero.org/users/8423188/items/VNXC8IQ4"],"itemData":{"id":667,"type":"article-journal","container-title":"Industrial &amp; Engineering Chemistry Research","DOI":"10.1021/ie0303146","ISSN":"0888-5885, 1520-5045","issue":"25","journalAbbreviation":"Ind. Eng. Chem. Res.","language":"en","page":"6619-6624","source":"DOI.org (Crossref)","title":"Removal of Zinc from Aqueous Solutions Using Bagasse Fly Ash − a Low Cost Adsorbent","volume":"42","author":[{"family":"Gupta","given":"Vinod K."},{"family":"Sharma","given":"Saurabh"}],"issued":{"date-parts":[["2003",12,1]]}}},{"id":675,"uris":["http://zotero.org/users/8423188/items/DNXKSMZZ"],"itemData":{"id":675,"type":"article-journal","container-title":"Fuel","DOI":"10.1016/j.fuel.2007.05.055","ISSN":"00162361","issue":"7","journalAbbreviation":"Fuel","language":"en","page":"1355-1359","source":"DOI.org (Crossref)","title":"Adsorption of Cu2+ from water using raw and modified coal fly ashes","volume":"87","author":[{"family":"Hsu","given":"Ting-Chu"},{"family":"Yu","given":"Chung-Chin"},{"family":"Yeh","given":"Chin-Ming"}],"issued":{"date-parts":[["2008",6]]}}},{"id":676,"uris":["http://zotero.org/users/8423188/items/4S6UUC7R"],"itemData":{"id":676,"type":"article-journal","container-title":"Chemosphere","DOI":"10.1016/S0045-6535(00)00494-X","ISSN":"00456535","issue":"5","journalAbbreviation":"Chemosphere","language":"en","page":"1185-1192","source":"DOI.org (Crossref)","title":"Effect of fly ash characteristics on the removal of Cu(II) from aqueous solution","volume":"44","author":[{"family":"Lin","given":"Chien-Jung"},{"family":"Chang","given":"Juu-En"}],"issued":{"date-parts":[["2001",8]]}}},{"id":662,"uris":["http://zotero.org/users/8423188/items/T6GESYYU"],"itemData":{"id":662,"type":"article-journal","container-title":"Resources, Conservation and Recycling","DOI":"10.1016/S0921-3449(02)00122-2","ISSN":"09213449","issue":"1","journalAbbreviation":"Resources, Conservation and Recycling","language":"en","page":"79-90","source":"DOI.org (Crossref)","title":"Reusing sewage sludge ash as adsorbent for copper removal from wastewater","volume":"39","author":[{"family":"Pan","given":"Shih-Cheng"},{"family":"Lin","given":"Chin-Chi"},{"family":"Tseng","given":"Dyi-Hwa"}],"issued":{"date-parts":[["2003",8]]}}},{"id":678,"uris":["http://zotero.org/users/8423188/items/UHGTM4SL"],"itemData":{"id":678,"type":"article-journal","container-title":"Water Research","DOI":"10.1016/0043-1354(85)90145-9","ISSN":"00431354","issue":"7","journalAbbreviation":"Water Research","language":"en","page":"869-873","source":"DOI.org (Crossref)","title":"Copper(II) removal from aqueous solutions by fly ash","volume":"19","author":[{"family":"Panday","given":"K.K."},{"family":"Prasad","given":"Gur"},{"family":"Singh","given":"V.N."}],"issued":{"date-parts":[["1985",1]]}}},{"id":661,"uris":["http://zotero.org/users/8423188/items/WKXYX3XE"],"itemData":{"id":661,"type":"article-journal","container-title":"Journal of Water Supply: Research and Technology-Aqua","DOI":"10.2166/aqua.2003.0005","ISSN":"0003-7214, 1605-3974","issue":"1","language":"en","page":"49-58","source":"DOI.org (Crossref)","title":"Performance of low-cost adsorbents for the removal of copper and lead","volume":"52","author":[{"family":"Rao","given":"M."},{"family":"Parwate","given":"A. V."},{"family":"Kadu","given":"P. A."},{"family":"Bhole","given":"A. G."}],"issued":{"date-parts":[["2003",2]]}}},{"id":682,"uris":["http://zotero.org/users/8423188/items/GW8F83DH"],"itemData":{"id":682,"type":"article-journal","issue":"10-11","journalAbbreviation":"Wat. Sci. Tech.","page":"239-247","title":"Removal of Cu2+, Zn2+ and Pb2+ by Adsorption Onto Fly Ash and Fly Ash/Lime Mixing","volume":"39","author":[{"family":"Ricou","given":"P"},{"family":"Lecuyer","given":"I"},{"family":"Le Cloirec","given":"P"}],"issued":{"date-parts":[["1999"]]}}},{"id":670,"uris":["http://zotero.org/users/8423188/items/GS52TV7S"],"itemData":{"id":670,"type":"article-journal","container-title":"Journal of Chemical Technology &amp; Biotechnology","DOI":"10.1002/jctb.573","ISSN":"02682575","issue":"3","journalAbbreviation":"J. Chem. Technol. Biotechnol.","language":"en","page":"382-388","source":"DOI.org (Crossref)","title":"Metallic ion removal from aqueous solutions by fly ashes: multicomponent studies: Metallic ion removal from aqueous solutions by fly ashes","title-short":"Metallic ion removal from aqueous solutions by fly ashes","volume":"77","author":[{"family":"Rio","given":"Sébastien"},{"family":"Delebarre","given":"Arnaud"},{"family":"Héquet","given":"Valérie"},{"family":"Cloirec","given":"Pierre Le"},{"family":"Blondin","given":"Jacques"}],"issued":{"date-parts":[["2002",3]]}}},{"id":674,"uris":["http://zotero.org/users/8423188/items/BJ4R2TNP"],"itemData":{"id":674,"type":"article-journal","container-title":"Separation and Purification Technology","DOI":"10.1016/j.seppur.2007.05.009","ISSN":"13835866","issue":"3","journalAbbreviation":"Separation and Purification Technology","language":"en","page":"353-358","source":"DOI.org (Crossref)","title":"Single and co-adsorption of heavy metals and humic acid on fly ash","volume":"58","author":[{"family":"Wang","given":"Shaobin"},{"family":"Terdkiatburana","given":"T."},{"family":"Tadé","given":"M.O."}],"issued":{"date-parts":[["2008",1]]}}},{"id":679,"uris":["http://zotero.org/users/8423188/items/LV7BNUVU"],"itemData":{"id":679,"type":"article-journal","container-title":"Environmental Technology Letters","DOI":"10.1080/09593338709384482","ISSN":"0143-2060","issue":"1-12","journalAbbreviation":"Environmental Technology Letters","language":"en","page":"225-234","source":"DOI.org (Crossref)","title":"Fly ash for the treatment of Cd(II) rich effluents","volume":"8","author":[{"family":"Yadava","given":"K.P."},{"family":"Tyagi","given":"B.S."},{"family":"Panday","given":"K.K."},{"family":"Singh","given":"V.N."}],"issued":{"date-parts":[["1987",1]]}}}],"schema":"https://github.com/citation-style-language/schema/raw/master/csl-citation.json"} </w:instrText>
      </w:r>
      <w:r w:rsidRPr="00770477">
        <w:rPr>
          <w:rFonts w:cs="Times New Roman"/>
        </w:rPr>
        <w:fldChar w:fldCharType="separate"/>
      </w:r>
      <w:r w:rsidR="003D5078" w:rsidRPr="00770477">
        <w:rPr>
          <w:rFonts w:cs="Times New Roman"/>
        </w:rPr>
        <w:t>(Apak et al., 1998; Ayala et al., 1998; Bayat, 2002a, 2002b; Chandra Srivastava et al., 2006; Diamadopoulos et al., 1993; G. Gupta &amp; Torres, 1998, 1998; V. K. Gupta et al., 2003; V. K. Gupta &amp; Ali, 2000, 2004; V. K. Gupta &amp; Sharma, 2003; Hsu et al., 2008; Lin &amp; Chang, 2001; S.-C. Pan et al., 2003; Panday et al., 1985; Rao et al., 2003; Ricou et al., 1999; Rio et al., 2002; S. Wang et al., 2008; Yadava et al., 1987)</w:t>
      </w:r>
      <w:r w:rsidRPr="00770477">
        <w:rPr>
          <w:rFonts w:cs="Times New Roman"/>
        </w:rPr>
        <w:fldChar w:fldCharType="end"/>
      </w:r>
      <w:r w:rsidRPr="00770477">
        <w:rPr>
          <w:rFonts w:cs="Times New Roman"/>
        </w:rPr>
        <w:t xml:space="preserve"> and steel slag </w:t>
      </w:r>
      <w:r w:rsidRPr="00770477">
        <w:rPr>
          <w:rFonts w:cs="Times New Roman"/>
        </w:rPr>
        <w:fldChar w:fldCharType="begin"/>
      </w:r>
      <w:r w:rsidR="002074AD">
        <w:rPr>
          <w:rFonts w:cs="Times New Roman"/>
        </w:rPr>
        <w:instrText xml:space="preserve"> ADDIN ZOTERO_ITEM CSL_CITATION {"citationID":"mM4pTtVt","properties":{"formattedCitation":"(Kim et al., 2008; Wu et al., 2014)","plainCitation":"(Kim et al., 2008; Wu et al., 2014)","noteIndex":0},"citationItems":[{"id":810,"uris":["http://zotero.org/users/8423188/items/FBWVBIR8"],"itemData":{"id":810,"type":"article-journal","abstract":"Slag, which consists of calcium oxide, aluminium oxide, and other metal oxides, is an abundant by-product in steel-making process. It has been used as adsorbents to remove various heavy metals and the major removal mechanisms are precipitation and adsorption on the surface of metal oxide. However, the relative contribution of two removal mechanisms has not reported. In this study, the removal characteristics of copper were investigated in terms of sorption kinetics and sorption isotherms. As initial pH of solution increased, the sorption capacity of slags increased dramatically. We evaluated the relative contribution of two mechanisms in the copper removal by steel-making slag. At above pH 3.0, contribution of adsorption to overall removal of copper was less than 12%. As a result, most of copper was removed by slag as a form or copper hydroxide.","container-title":"Desalination","DOI":"10.1016/j.desal.2007.01.226","ISSN":"00119164","issue":"1-3","journalAbbreviation":"Desalination","language":"en","page":"283-289","source":"DOI.org (Crossref)","title":"Removal mechanisms of copper using steel-making slag: adsorption and precipitation","title-short":"Removal mechanisms of copper using steel-making slag","volume":"223","author":[{"family":"Kim","given":"Do-Hyung"},{"family":"Shin","given":"Min-Chul"},{"family":"Choi","given":"Hyun-Doc"},{"family":"Seo","given":"Chang-Il"},{"family":"Baek","given":"Kitae"}],"issued":{"date-parts":[["2008",3]]}}},{"id":808,"uris":["http://zotero.org/users/8423188/items/PZWUBFQL"],"itemData":{"id":808,"type":"article-journal","container-title":"Applied Surface Science","DOI":"10.1016/j.apsusc.2014.06.154","ISSN":"01694332","journalAbbreviation":"Applied Surface Science","language":"en","page":"129-137","source":"DOI.org (Crossref)","title":"Pb(II) removal from aqueous solution by a low-cost adsorbent dry desulfurization slag","volume":"314","author":[{"family":"Wu","given":"Qiong"},{"family":"You","given":"Ruirong"},{"family":"Clark","given":"Malcolm"},{"family":"Yu","given":"Yan"}],"issued":{"date-parts":[["2014",9]]}}}],"schema":"https://github.com/citation-style-language/schema/raw/master/csl-citation.json"} </w:instrText>
      </w:r>
      <w:r w:rsidRPr="00770477">
        <w:rPr>
          <w:rFonts w:cs="Times New Roman"/>
        </w:rPr>
        <w:fldChar w:fldCharType="separate"/>
      </w:r>
      <w:r w:rsidRPr="00770477">
        <w:rPr>
          <w:rFonts w:cs="Times New Roman"/>
          <w:noProof/>
        </w:rPr>
        <w:t>(Kim et al., 2008; Wu et al., 2014)</w:t>
      </w:r>
      <w:r w:rsidRPr="00770477">
        <w:rPr>
          <w:rFonts w:cs="Times New Roman"/>
        </w:rPr>
        <w:fldChar w:fldCharType="end"/>
      </w:r>
      <w:r w:rsidRPr="00770477">
        <w:rPr>
          <w:rFonts w:cs="Times New Roman"/>
        </w:rPr>
        <w:t xml:space="preserve">.  This study demonstrated both </w:t>
      </w:r>
      <w:r w:rsidR="00D369C8">
        <w:rPr>
          <w:rFonts w:cs="Times New Roman"/>
        </w:rPr>
        <w:t>aggregated fly ash</w:t>
      </w:r>
      <w:r w:rsidRPr="00770477">
        <w:rPr>
          <w:rFonts w:cs="Times New Roman"/>
        </w:rPr>
        <w:t xml:space="preserve"> and steel slag as effective in removing metals from solution. However, despite the overwhelming body of literature, this study supports steel slag as a more effective and safer option to removal metals from solution as opposed to </w:t>
      </w:r>
      <w:r w:rsidR="00D369C8">
        <w:rPr>
          <w:rFonts w:cs="Times New Roman"/>
        </w:rPr>
        <w:t>aggregated fly ash</w:t>
      </w:r>
      <w:r w:rsidRPr="00770477">
        <w:rPr>
          <w:rFonts w:cs="Times New Roman"/>
        </w:rPr>
        <w:t xml:space="preserve">. As this study and the body of literature further demonstrated, biochar is expect to have little to no </w:t>
      </w:r>
      <w:r w:rsidRPr="00770477">
        <w:rPr>
          <w:rFonts w:cs="Times New Roman"/>
        </w:rPr>
        <w:lastRenderedPageBreak/>
        <w:t xml:space="preserve">significant impact on metals removal from solution without some type of pretreatment </w:t>
      </w:r>
      <w:r w:rsidRPr="00770477">
        <w:rPr>
          <w:rFonts w:cs="Times New Roman"/>
        </w:rPr>
        <w:fldChar w:fldCharType="begin"/>
      </w:r>
      <w:r w:rsidR="002074AD">
        <w:rPr>
          <w:rFonts w:cs="Times New Roman"/>
        </w:rPr>
        <w:instrText xml:space="preserve"> ADDIN ZOTERO_ITEM CSL_CITATION {"citationID":"go9l1K1n","properties":{"formattedCitation":"(Ding et al., 2016; Reddy et al., 2014a, 2014b; Zhou et al., 2016)","plainCitation":"(Ding et al., 2016; Reddy et al., 2014a, 2014b; Zhou et al., 2016)","noteIndex":0},"citationItems":[{"id":883,"uris":["http://zotero.org/users/8423188/items/ZBHR4Y4N"],"itemData":{"id":883,"type":"article-journal","container-title":"Journal of Industrial and Engineering Chemistry","DOI":"10.1016/j.jiec.2015.10.007","ISSN":"1226086X","journalAbbreviation":"Journal of Industrial and Engineering Chemistry","language":"en","page":"239-245","source":"DOI.org (Crossref)","title":"Removal of lead, copper, cadmium, zinc, and nickel from aqueous solutions by alkali-modified biochar: Batch and column tests","title-short":"Removal of lead, copper, cadmium, zinc, and nickel from aqueous solutions by alkali-modified biochar","volume":"33","author":[{"family":"Ding","given":"Zhuhong"},{"family":"Hu","given":"Xin"},{"family":"Wan","given":"Yongshan"},{"family":"Wang","given":"Shengsen"},{"family":"Gao","given":"Bin"}],"issued":{"date-parts":[["2016",1]]}}},{"id":557,"uris":["http://zotero.org/users/8423188/items/2BXSQ3IH"],"itemData":{"id":557,"type":"article-journal","abstract":"Heavy metals wash from tires, automobile exhausts, road asphalt, fuel combustion, parking dust, and recreational land into urban stormwater runoff and its subsequent discharge into surface and subsurface water sources can create public health and environmental hazards. An in-ground permeable reactive ﬁlter system is proposed to treat contaminated urban stormwater. However, the ﬁlter materials should be carefully selected. Several series of batch experiments were conducted with synthetic stormwater containing individual metal contaminants at different concentrations to determine the adsorption and removal behavior of four potential permeable inorganic ﬁlter materials (calcite, zeolite, sand, and iron ﬁlings) for six common toxic heavy metal contaminants (Cd, Cu, Pb, Ni, Cr, and Zn). The adsorbed metals, pH, oxidation–reduction potential and electrical conductivity of batch samples were determined. Isotherm modeling was performed to assess the mechanisms and quantify the adsorption of each ﬁlter material for the contaminants. The extent of adsorption and removal of metals was found to depend on the type and concentration of metal as well as the ﬁlter material. Langmuir or Freundlich isotherm proved best to describe the metal adsorption behavior. The maximum removal rates achieved for individual metals were: 95–100% Cd, Cu, Pb and Zn by calcite, zeolite and iron ﬁlings, 90% Ni by zeolite, and 100% Cr by iron ﬁlings. Sand produced low results with maximum levels of 8–58%. Based on the maximum adsorption capacity of each ﬁlter material, the typical ﬁlter size and volume of stormwater that can be treated were estimated. No single ﬁlter material was capable of removing all metals to the maximum extent; therefore, a combination of ﬁlter materials should be investigated for the simultaneous removal of multiple heavy metals.","container-title":"Journal of Environmental Chemical Engineering","DOI":"10.1016/j.jece.2013.12.020","ISSN":"22133437","issue":"1","journalAbbreviation":"Journal of Environmental Chemical Engineering","language":"en","page":"282-292","source":"DOI.org (Crossref)","title":"Removal of heavy metals from urban stormwater runoff using different filter materials","volume":"2","author":[{"family":"Reddy","given":"Krishna R."},{"family":"Xie","given":"Tao"},{"family":"Dastgheibi","given":"Sara"}],"issued":{"date-parts":[["2014",3]]}}},{"id":882,"uris":["http://zotero.org/users/8423188/items/PLI9E6PH"],"itemData":{"id":882,"type":"article-journal","abstract":"Urban storm water runoff can carry a wide range of contaminants, many of which exceed federal maximum contaminant levels, into surface water resources (e.g., rivers and lakes). The use of filtration systems has received greater attention for its potential to remove particulate matter and other contaminants. Biochar is expected to have excellent potential as an adsorbent or filter given its large surface area and microporous structure. This study evaluated the potential use of biochar as a filter media through a series of column experiments. A column with an inner diameter of 7 cm (2.75 in.) and a length of 61 cm (24 in.) using biochar as filter media was constructed to examine its effectiveness for the removal of mixed contaminants [total suspended solids (TSS), nutrients, heavy metals, polycyclic aromatic hydrocarbons (PAHs), and E. coli] from synthetic storm water. The results demonstrated that this filter reduced the TSS in the storm water effluent by an average of 86% and the concentrations of nitrate and phosphate by 86 and 47%, respectively. After filtration, the concentration of Cd, Cr, Cu, Pb, Ni, and Zn (heavy metals) decreased by 18, 19, 65, 75, 17, and 24%, respectively. The variation can be explained in terms of the chemical behavior of the different heavy metals as well as the properties of the biochar. Among the three PAHs tested, biochar successfully removed phenanthrene (almost 100% removal efficiency) and achieved 76% removal efficiency for naphthalene but resulted in no removal of benzo(a) pyrene; the average removal for the three PAHs was 68%. Biochar was not efficient in removing E. coli from storm water, and the concentration of almost 7,400 MPN=100 mL in the inflow was reduced to approximately 5,000 MPN=100 mL in the outflow, representing a mean removal efficiency of 27%. Overall, the biochar used in this study showed promise to be an effective filter media for the removal of selected contaminants from urban storm water runoff. However, additional research should be conducted using different types of biochars, produced from different feedstock and production conditions, to determine the most effective biochar that can simultaneously remove multiple contaminants from urban storm water. DOI: 10.1061/(ASCE)EE.1943-7870.0000872. © 2014 American Society of Civil Engineers.","container-title":"Journal of Environmental Engineering","DOI":"10.1061/(ASCE)EE.1943-7870.0000872","ISSN":"0733-9372, 1943-7870","issue":"12","journalAbbreviation":"J. Environ. Eng.","language":"en","page":"04014043","source":"DOI.org (Crossref)","title":"Evaluation of Biochar as a Potential Filter Media for the Removal of Mixed Contaminants from Urban Storm Water Runoff","volume":"140","author":[{"family":"Reddy","given":"Krishna R."},{"family":"Xie","given":"Tao"},{"family":"Dastgheibi","given":"Sara"}],"issued":{"date-parts":[["2014",12]]}}},{"id":884,"uris":["http://zotero.org/users/8423188/items/JM2PENQ4"],"itemData":{"id":884,"type":"article-journal","container-title":"Environmental Engineering Science","DOI":"10.1089/ees.2016.0042","ISSN":"1092-8758, 1557-9018","issue":"12","journalAbbreviation":"Environmental Engineering Science","language":"en","page":"962-969","source":"DOI.org (Crossref)","title":"Role of Ash Content in Biochar for Copper Immobilization","volume":"33","author":[{"family":"Zhou","given":"Dandan"},{"family":"Ghosh","given":"Saikat"},{"family":"Zhang","given":"Di"},{"family":"Liang","given":"Ni"},{"family":"Dong","given":"Xudong"},{"family":"Wu","given":"Min"},{"family":"Pan","given":"Bo"}],"issued":{"date-parts":[["2016",12]]}}}],"schema":"https://github.com/citation-style-language/schema/raw/master/csl-citation.json"} </w:instrText>
      </w:r>
      <w:r w:rsidRPr="00770477">
        <w:rPr>
          <w:rFonts w:cs="Times New Roman"/>
        </w:rPr>
        <w:fldChar w:fldCharType="separate"/>
      </w:r>
      <w:r w:rsidRPr="00770477">
        <w:rPr>
          <w:rFonts w:cs="Times New Roman"/>
          <w:noProof/>
        </w:rPr>
        <w:t>(Ding et al., 2016; Reddy et al., 2014a, 2014b; Zhou et al., 2016)</w:t>
      </w:r>
      <w:r w:rsidRPr="00770477">
        <w:rPr>
          <w:rFonts w:cs="Times New Roman"/>
        </w:rPr>
        <w:fldChar w:fldCharType="end"/>
      </w:r>
      <w:r w:rsidRPr="00770477">
        <w:rPr>
          <w:rFonts w:cs="Times New Roman"/>
        </w:rPr>
        <w:t xml:space="preserve">. </w:t>
      </w:r>
    </w:p>
    <w:p w14:paraId="021FEAF7" w14:textId="3F2529DA" w:rsidR="00FD3158" w:rsidRPr="00770477" w:rsidRDefault="00FD3158" w:rsidP="00FD3158">
      <w:pPr>
        <w:rPr>
          <w:rFonts w:cs="Times New Roman"/>
        </w:rPr>
      </w:pPr>
    </w:p>
    <w:p w14:paraId="1D85C785" w14:textId="77777777" w:rsidR="00FD3158" w:rsidRPr="00770477" w:rsidRDefault="00FD3158" w:rsidP="00FD3158">
      <w:pPr>
        <w:pStyle w:val="Heading2"/>
        <w:rPr>
          <w:rFonts w:cs="Times New Roman"/>
        </w:rPr>
      </w:pPr>
      <w:bookmarkStart w:id="165" w:name="_Toc121496030"/>
      <w:r w:rsidRPr="00770477">
        <w:rPr>
          <w:rFonts w:cs="Times New Roman"/>
        </w:rPr>
        <w:t>Phosphorus</w:t>
      </w:r>
      <w:bookmarkEnd w:id="165"/>
    </w:p>
    <w:p w14:paraId="3043FF3A" w14:textId="698D5327" w:rsidR="00FD3158" w:rsidRDefault="00FD3158" w:rsidP="00FD3158">
      <w:pPr>
        <w:rPr>
          <w:rFonts w:cs="Times New Roman"/>
        </w:rPr>
      </w:pPr>
      <w:r w:rsidRPr="00770477">
        <w:rPr>
          <w:rFonts w:cs="Times New Roman"/>
        </w:rPr>
        <w:tab/>
        <w:t xml:space="preserve">Biochar was not shown to remove P from solution, likely due to the lacking charged surface sorption sites and deficient capacity to raise solution pH via metal-oxide dissolution. Conversely, </w:t>
      </w:r>
      <w:r w:rsidR="00D369C8">
        <w:rPr>
          <w:rFonts w:cs="Times New Roman"/>
        </w:rPr>
        <w:t>aggregated fly ash</w:t>
      </w:r>
      <w:r w:rsidRPr="00770477">
        <w:rPr>
          <w:rFonts w:cs="Times New Roman"/>
        </w:rPr>
        <w:t xml:space="preserve"> and steel slag results demonstrated the P removal capability that charged media surfaces and high solution pH can provide. Both </w:t>
      </w:r>
      <w:r w:rsidR="00D369C8">
        <w:rPr>
          <w:rFonts w:cs="Times New Roman"/>
        </w:rPr>
        <w:t>aggregated fly ash</w:t>
      </w:r>
      <w:r w:rsidRPr="00770477">
        <w:rPr>
          <w:rFonts w:cs="Times New Roman"/>
        </w:rPr>
        <w:t xml:space="preserve"> sizes in vertical column experiments yielded highly similar results. Due to the high secondary porosity observed between the large and small fractions of the </w:t>
      </w:r>
      <w:r w:rsidR="00D369C8">
        <w:rPr>
          <w:rFonts w:cs="Times New Roman"/>
        </w:rPr>
        <w:t>aggregated fly ash</w:t>
      </w:r>
      <w:r w:rsidRPr="00770477">
        <w:rPr>
          <w:rFonts w:cs="Times New Roman"/>
        </w:rPr>
        <w:t xml:space="preserve">, grain size is not anticipated to have a </w:t>
      </w:r>
      <w:r w:rsidR="005B7957">
        <w:rPr>
          <w:rFonts w:cs="Times New Roman"/>
        </w:rPr>
        <w:t>noticeable</w:t>
      </w:r>
      <w:r w:rsidRPr="00770477">
        <w:rPr>
          <w:rFonts w:cs="Times New Roman"/>
        </w:rPr>
        <w:t xml:space="preserve"> impact on contaminant removal with the internal crystalline structure being the primary factor. Contrarily, steel slag did not show such secondary porosity and therefore the grain size had a noticeable effect as was demonstrated with P removal. Literature suggests that the Ca content of the treatment media is the primary predictor of how well a media removes P from solution, typically allowing for the formation of hydroxyapatite (Ca</w:t>
      </w:r>
      <w:r w:rsidRPr="00770477">
        <w:rPr>
          <w:rFonts w:cs="Times New Roman"/>
          <w:vertAlign w:val="subscript"/>
        </w:rPr>
        <w:t>10</w:t>
      </w:r>
      <w:r w:rsidRPr="00770477">
        <w:rPr>
          <w:rFonts w:cs="Times New Roman"/>
        </w:rPr>
        <w:t>(PO</w:t>
      </w:r>
      <w:r w:rsidRPr="00770477">
        <w:rPr>
          <w:rFonts w:cs="Times New Roman"/>
          <w:vertAlign w:val="subscript"/>
        </w:rPr>
        <w:t>4</w:t>
      </w:r>
      <w:r w:rsidRPr="00770477">
        <w:rPr>
          <w:rFonts w:cs="Times New Roman"/>
        </w:rPr>
        <w:t>)</w:t>
      </w:r>
      <w:r w:rsidRPr="00770477">
        <w:rPr>
          <w:rFonts w:cs="Times New Roman"/>
          <w:vertAlign w:val="subscript"/>
        </w:rPr>
        <w:t>5</w:t>
      </w:r>
      <w:r w:rsidRPr="00770477">
        <w:rPr>
          <w:rFonts w:cs="Times New Roman"/>
        </w:rPr>
        <w:t>(OH)</w:t>
      </w:r>
      <w:r w:rsidRPr="00770477">
        <w:rPr>
          <w:rFonts w:cs="Times New Roman"/>
          <w:vertAlign w:val="subscript"/>
        </w:rPr>
        <w:t>2</w:t>
      </w:r>
      <w:r w:rsidRPr="00770477">
        <w:rPr>
          <w:rFonts w:cs="Times New Roman"/>
        </w:rPr>
        <w:t xml:space="preserve">) </w:t>
      </w:r>
      <w:r w:rsidRPr="00770477">
        <w:rPr>
          <w:rFonts w:cs="Times New Roman"/>
        </w:rPr>
        <w:fldChar w:fldCharType="begin"/>
      </w:r>
      <w:r w:rsidR="002074AD">
        <w:rPr>
          <w:rFonts w:cs="Times New Roman"/>
        </w:rPr>
        <w:instrText xml:space="preserve"> ADDIN ZOTERO_ITEM CSL_CITATION {"citationID":"DtwXd1sS","properties":{"formattedCitation":"(Drizo et al., 2006; Kim et al., 2008; Piatak et al., 2019; Scott &amp; Penn, 2021)","plainCitation":"(Drizo et al., 2006; Kim et al., 2008; Piatak et al., 2019; Scott &amp; Penn, 2021)","noteIndex":0},"citationItems":[{"id":804,"uris":["http://zotero.org/users/8423188/items/DPAV8W6W"],"itemData":{"id":804,"type":"article-journal","container-title":"Water Research","DOI":"10.1016/j.watres.2006.02.001","ISSN":"00431354","issue":"8","journalAbbreviation":"Water Research","language":"en","page":"1547-1554","source":"DOI.org (Crossref)","title":"Phosphorus removal by electric arc furnace steel slag and serpentinite","volume":"40","author":[{"family":"Drizo","given":"Aleksandra"},{"family":"Forget","given":"Christiane"},{"family":"Chapuis","given":"Robert P."},{"family":"Comeau","given":"Yves"}],"issued":{"date-parts":[["2006",5]]}}},{"id":810,"uris":["http://zotero.org/users/8423188/items/FBWVBIR8"],"itemData":{"id":810,"type":"article-journal","abstract":"Slag, which consists of calcium oxide, aluminium oxide, and other metal oxides, is an abundant by-product in steel-making process. It has been used as adsorbents to remove various heavy metals and the major removal mechanisms are precipitation and adsorption on the surface of metal oxide. However, the relative contribution of two removal mechanisms has not reported. In this study, the removal characteristics of copper were investigated in terms of sorption kinetics and sorption isotherms. As initial pH of solution increased, the sorption capacity of slags increased dramatically. We evaluated the relative contribution of two mechanisms in the copper removal by steel-making slag. At above pH 3.0, contribution of adsorption to overall removal of copper was less than 12%. As a result, most of copper was removed by slag as a form or copper hydroxide.","container-title":"Desalination","DOI":"10.1016/j.desal.2007.01.226","ISSN":"00119164","issue":"1-3","journalAbbreviation":"Desalination","language":"en","page":"283-289","source":"DOI.org (Crossref)","title":"Removal mechanisms of copper using steel-making slag: adsorption and precipitation","title-short":"Removal mechanisms of copper using steel-making slag","volume":"223","author":[{"family":"Kim","given":"Do-Hyung"},{"family":"Shin","given":"Min-Chul"},{"family":"Choi","given":"Hyun-Doc"},{"family":"Seo","given":"Chang-Il"},{"family":"Baek","given":"Kitae"}],"issued":{"date-parts":[["2008",3]]}}},{"id":806,"uris":["http://zotero.org/users/8423188/items/VVSD27TR"],"itemData":{"id":806,"type":"article-journal","abstract":"Iron and steel slags from legacy and modern operations in the Chicago-Gary area of Illinois and Indiana, USA, are predominantly composed of Ca (10–44 wt. % CaO), Fe (0.3–28 wt. % FeO), and Si (10–44 wt. % SiO2), with generally lesser amounts of Al (&lt;1–15 wt. % Al2O3), Mg (2–11 wt. % MgO), and Mn (0.3–9 wt. % MnO). Mineralogy is dominated by Ca ± Mg ± Al silicates, Fe ± Ca oxides, Ca-carbonates, and high-temperature SiO2 phases. Chromium and Mn concentrations in most samples may be environmentally signiﬁcant based on comparison with generic soil contaminant guidelines. However, simulated weathering tests suggest these elements are present in generally insoluble phases making their use in water treatment applications possible; however, the generation of high pH and alkaline solutions may be an issue. As for possible water treatment applications, batch and ﬂow-through experiments document eﬀective removal of phosphate from synthetic solutions for nearly all slag samples. Air-cooled ﬁne fractions (&lt;10 mm) of modern slag were most eﬀective; other types, including modern granulated, modern air-cooled coarse fractions (&gt;10 mm), and legacy slag removed phosphate, but to a lesser degree. An additional water treatment application is the use of slag to neutralize acidic waters. Most slag samples are extremely alkaline and have high net neutralization potentials (NNP) (400–830 kg CaCO3/t), with the highest approximately equivalent to 80% of the neutralization potential of calcite. Overall, phosphate removal capacity and NNP correlate positively with total Ca content and the dissolution of Ca minerals facilitates secondary Ca phosphate formation and consumes acid during hydrolysis. Utilizing locally available slag to treat waste or agricultural waters in this region may be a higher value alternative than use in construction, potentially oﬀsetting restoration costs to degraded legacy areas and decreasing steel manufacturers’ current waste footprint.","container-title":"Minerals","DOI":"10.3390/min9080468","ISSN":"2075-163X","issue":"8","journalAbbreviation":"Minerals","language":"en","page":"468","source":"DOI.org (Crossref)","title":"Geochemical Characterization of Iron and Steel Slag and Its Potential to Remove Phosphate and Neutralize Acid","volume":"9","author":[{"literal":"Piatak"},{"literal":"Ii"},{"literal":"Hoppe"},{"literal":"Green"},{"literal":"Buszka"}],"issued":{"date-parts":[["2019",7,31]]}}},{"id":331,"uris":["http://zotero.org/users/8423188/items/CSHY3DJB"],"itemData":{"id":331,"type":"article-journal","abstract":"Steel slag has been proven to be an effective phosphorus (P) removal media, and a potential aid to mitigate point and nonpoint P pollution in freshwater systems. However, the behavior of steel slag as a P sorption material (PSM) is often oversimpliﬁed through the generalization of its chemical and physical properties, preventing proper design of P removal structures. In this work, we tested eighteen steel slag samples from different batches, production processes, and steel-making plants, for the purpose of relating slag origin and chemical and physical properties to P removal ability, under two different ﬂow regimes. Slag samples were also coated with aluminum (Al) and tested for P removal. Characterization included elemental composition, particle density, buffer capacity, and P removal ability. There was great variability in the evaluated properties across slag sources and origin, compelling the individual characterization of steel slag samples, since their intrinsic characteristics were key variables in determining their potential P removal capacity. Speciﬁcally, electrical conductivity (EC), bulk density, particle density and magnesium (Mg) content could explain around 70% of the variability of P removal by uncoated steel slags. Increasing residence time (RT) always increased P removal for uncoated slags. Steel slags showed a high variability in their P removal ability, but such variability was considerably decreased by coating the slags with Al. Additionally, the Al-coating process signiﬁcantly improved P removal performance under more rapid ﬂows (lower RT).","container-title":"Chemosphere","DOI":"10.1016/j.chemosphere.2021.130205","ISSN":"00456535","journalAbbreviation":"Chemosphere","language":"en","page":"130205","source":"DOI.org (Crossref)","title":"Estimating the variability of steel slag properties and their influence in phosphorus removal ability","volume":"276","author":[{"family":"Scott","given":"Isis S.P.C."},{"family":"Penn","given":"Chad J."}],"issued":{"date-parts":[["2021",8]]}}}],"schema":"https://github.com/citation-style-language/schema/raw/master/csl-citation.json"} </w:instrText>
      </w:r>
      <w:r w:rsidRPr="00770477">
        <w:rPr>
          <w:rFonts w:cs="Times New Roman"/>
        </w:rPr>
        <w:fldChar w:fldCharType="separate"/>
      </w:r>
      <w:r w:rsidRPr="00770477">
        <w:rPr>
          <w:rFonts w:cs="Times New Roman"/>
          <w:noProof/>
        </w:rPr>
        <w:t>(Drizo et al., 2006; Kim et al., 2008; Piatak et al., 2019; Scott &amp; Penn, 2021)</w:t>
      </w:r>
      <w:r w:rsidRPr="00770477">
        <w:rPr>
          <w:rFonts w:cs="Times New Roman"/>
        </w:rPr>
        <w:fldChar w:fldCharType="end"/>
      </w:r>
      <w:r w:rsidRPr="00770477">
        <w:rPr>
          <w:rFonts w:cs="Times New Roman"/>
        </w:rPr>
        <w:t xml:space="preserve">. In general, fly ash is known to contain ~23% </w:t>
      </w:r>
      <w:proofErr w:type="spellStart"/>
      <w:r w:rsidRPr="00770477">
        <w:rPr>
          <w:rFonts w:cs="Times New Roman"/>
        </w:rPr>
        <w:t>CaO</w:t>
      </w:r>
      <w:proofErr w:type="spellEnd"/>
      <w:r w:rsidRPr="00770477">
        <w:rPr>
          <w:rFonts w:cs="Times New Roman"/>
        </w:rPr>
        <w:t xml:space="preserve"> </w:t>
      </w:r>
      <w:r w:rsidRPr="00770477">
        <w:rPr>
          <w:rFonts w:cs="Times New Roman"/>
        </w:rPr>
        <w:fldChar w:fldCharType="begin"/>
      </w:r>
      <w:r w:rsidR="002074AD">
        <w:rPr>
          <w:rFonts w:cs="Times New Roman"/>
        </w:rPr>
        <w:instrText xml:space="preserve"> ADDIN ZOTERO_ITEM CSL_CITATION {"citationID":"DDYhfXUP","properties":{"formattedCitation":"(W. Zhang et al., 2008)","plainCitation":"(W. Zhang et al., 2008)","noteIndex":0},"citationItems":[{"id":85,"uris":["http://zotero.org/users/8423188/items/DFEUEDT5"],"itemData":{"id":85,"type":"article-journal","container-title":"Water Environment Research","DOI":"10.2175/106143008X266823","ISSN":"10614303","issue":"6","journalAbbreviation":"Water Environment Research","language":"en","page":"507-516","source":"DOI.org (Crossref)","title":"Fly-Ash-Amended Sand as Filter Media in Bioretention Cells to Improve Phosphorus Removal","volume":"80","author":[{"family":"Zhang","given":"Wei"},{"family":"Brown","given":"Glenn O."},{"family":"Storm","given":"Daniel E."},{"family":"Zhang","given":"Hailin"}],"issued":{"date-parts":[["2008",6]]}}}],"schema":"https://github.com/citation-style-language/schema/raw/master/csl-citation.json"} </w:instrText>
      </w:r>
      <w:r w:rsidRPr="00770477">
        <w:rPr>
          <w:rFonts w:cs="Times New Roman"/>
        </w:rPr>
        <w:fldChar w:fldCharType="separate"/>
      </w:r>
      <w:r w:rsidRPr="00770477">
        <w:rPr>
          <w:rFonts w:cs="Times New Roman"/>
          <w:noProof/>
        </w:rPr>
        <w:t>(W. Zhang et al., 2008)</w:t>
      </w:r>
      <w:r w:rsidRPr="00770477">
        <w:rPr>
          <w:rFonts w:cs="Times New Roman"/>
        </w:rPr>
        <w:fldChar w:fldCharType="end"/>
      </w:r>
      <w:r w:rsidRPr="00770477">
        <w:rPr>
          <w:rFonts w:cs="Times New Roman"/>
        </w:rPr>
        <w:t xml:space="preserve">, where steel slag only contains ~10% </w:t>
      </w:r>
      <w:r w:rsidRPr="00770477">
        <w:rPr>
          <w:rFonts w:cs="Times New Roman"/>
        </w:rPr>
        <w:fldChar w:fldCharType="begin"/>
      </w:r>
      <w:r w:rsidR="002074AD">
        <w:rPr>
          <w:rFonts w:cs="Times New Roman"/>
        </w:rPr>
        <w:instrText xml:space="preserve"> ADDIN ZOTERO_ITEM CSL_CITATION {"citationID":"NHtHP0Ib","properties":{"formattedCitation":"(Bowen, 2021)","plainCitation":"(Bowen, 2021)","noteIndex":0},"citationItems":[{"id":1200,"uris":["http://zotero.org/users/8423188/items/GB9PF6I8"],"itemData":{"id":1200,"type":"report","event-place":"Sayreville, NJ","genre":"Analytical Report","number":"180-118695-1","publisher":"Eurofins","publisher-place":"Sayreville, NJ","title":"Steel Slag TCLP","author":[{"family":"Bowen","given":"Debra"}],"issued":{"date-parts":[["2021",4,13]]}}}],"schema":"https://github.com/citation-style-language/schema/raw/master/csl-citation.json"} </w:instrText>
      </w:r>
      <w:r w:rsidRPr="00770477">
        <w:rPr>
          <w:rFonts w:cs="Times New Roman"/>
        </w:rPr>
        <w:fldChar w:fldCharType="separate"/>
      </w:r>
      <w:r w:rsidRPr="00770477">
        <w:rPr>
          <w:rFonts w:cs="Times New Roman"/>
          <w:noProof/>
        </w:rPr>
        <w:t>(Bowen, 2021)</w:t>
      </w:r>
      <w:r w:rsidRPr="00770477">
        <w:rPr>
          <w:rFonts w:cs="Times New Roman"/>
        </w:rPr>
        <w:fldChar w:fldCharType="end"/>
      </w:r>
      <w:r w:rsidRPr="00770477">
        <w:rPr>
          <w:rFonts w:cs="Times New Roman"/>
        </w:rPr>
        <w:t xml:space="preserve">, yet small steel slag removed P at a better rate than both </w:t>
      </w:r>
      <w:r w:rsidR="00D369C8">
        <w:rPr>
          <w:rFonts w:cs="Times New Roman"/>
        </w:rPr>
        <w:t>aggregated fly ash</w:t>
      </w:r>
      <w:r w:rsidRPr="00770477">
        <w:rPr>
          <w:rFonts w:cs="Times New Roman"/>
        </w:rPr>
        <w:t xml:space="preserve"> sizes. While not entirely known based on the results of this study, one potential explanation is regarding steel slag’s much higher density than </w:t>
      </w:r>
      <w:r w:rsidR="00F6773E">
        <w:rPr>
          <w:rFonts w:cs="Times New Roman"/>
        </w:rPr>
        <w:t>aggregated fly ash</w:t>
      </w:r>
      <w:r w:rsidRPr="00770477">
        <w:rPr>
          <w:rFonts w:cs="Times New Roman"/>
        </w:rPr>
        <w:t xml:space="preserve">, meaning steel slag is able to make available more Ca mass per unit volume than </w:t>
      </w:r>
      <w:r w:rsidR="00F6773E">
        <w:rPr>
          <w:rFonts w:cs="Times New Roman"/>
        </w:rPr>
        <w:t>aggregated fly ash</w:t>
      </w:r>
      <w:r w:rsidRPr="00770477">
        <w:rPr>
          <w:rFonts w:cs="Times New Roman"/>
        </w:rPr>
        <w:t xml:space="preserve">. Horizontal column experiments demonstrated the control sand to have a measurable removal of P from solution, however the capacity was exhausted quickly necessitating the use of an amendment to help retain more P. Both biochar and </w:t>
      </w:r>
      <w:r w:rsidR="00F6773E">
        <w:rPr>
          <w:rFonts w:cs="Times New Roman"/>
        </w:rPr>
        <w:t>aggregated fly ash</w:t>
      </w:r>
      <w:r w:rsidRPr="00770477">
        <w:rPr>
          <w:rFonts w:cs="Times New Roman"/>
        </w:rPr>
        <w:t xml:space="preserve"> removed P </w:t>
      </w:r>
      <w:r w:rsidRPr="00770477">
        <w:rPr>
          <w:rFonts w:cs="Times New Roman"/>
        </w:rPr>
        <w:lastRenderedPageBreak/>
        <w:t xml:space="preserve">well during the initial stages of the experiment likely </w:t>
      </w:r>
      <w:proofErr w:type="gramStart"/>
      <w:r w:rsidRPr="00770477">
        <w:rPr>
          <w:rFonts w:cs="Times New Roman"/>
        </w:rPr>
        <w:t>as a result of</w:t>
      </w:r>
      <w:proofErr w:type="gramEnd"/>
      <w:r w:rsidRPr="00770477">
        <w:rPr>
          <w:rFonts w:cs="Times New Roman"/>
        </w:rPr>
        <w:t xml:space="preserve"> the control sand rather than the media itself removing P. As the control sand’s removal capacity tapered off, as did the removal rates for </w:t>
      </w:r>
      <w:r w:rsidR="00F6773E">
        <w:rPr>
          <w:rFonts w:cs="Times New Roman"/>
        </w:rPr>
        <w:t>aggregated fly ash</w:t>
      </w:r>
      <w:r w:rsidRPr="00770477">
        <w:rPr>
          <w:rFonts w:cs="Times New Roman"/>
        </w:rPr>
        <w:t xml:space="preserve"> and biochar, demonstrating these media to not be effect treatments for removing P from solution. Steel slag however was measured to remove &gt;90% of P from solution for the duration of the experiment. Again, the Ca mechanism of removal is expected, yet the absence of </w:t>
      </w:r>
      <w:r w:rsidR="00EC7A98">
        <w:rPr>
          <w:rFonts w:cs="Times New Roman"/>
        </w:rPr>
        <w:t>aggregated fly ash</w:t>
      </w:r>
      <w:r w:rsidRPr="00770477">
        <w:rPr>
          <w:rFonts w:cs="Times New Roman"/>
        </w:rPr>
        <w:t xml:space="preserve"> to be a reasonable sink of solution P calls that mechanism into question. Instead, </w:t>
      </w:r>
      <w:r w:rsidRPr="00770477">
        <w:rPr>
          <w:rFonts w:cs="Times New Roman"/>
        </w:rPr>
        <w:fldChar w:fldCharType="begin"/>
      </w:r>
      <w:r w:rsidR="002074AD">
        <w:rPr>
          <w:rFonts w:cs="Times New Roman"/>
        </w:rPr>
        <w:instrText xml:space="preserve"> ADDIN ZOTERO_ITEM CSL_CITATION {"citationID":"wSFnnD7o","properties":{"formattedCitation":"(Scott &amp; Penn, 2021)","plainCitation":"(Scott &amp; Penn, 2021)","dontUpdate":true,"noteIndex":0},"citationItems":[{"id":331,"uris":["http://zotero.org/users/8423188/items/CSHY3DJB"],"itemData":{"id":331,"type":"article-journal","abstract":"Steel slag has been proven to be an effective phosphorus (P) removal media, and a potential aid to mitigate point and nonpoint P pollution in freshwater systems. However, the behavior of steel slag as a P sorption material (PSM) is often oversimpliﬁed through the generalization of its chemical and physical properties, preventing proper design of P removal structures. In this work, we tested eighteen steel slag samples from different batches, production processes, and steel-making plants, for the purpose of relating slag origin and chemical and physical properties to P removal ability, under two different ﬂow regimes. Slag samples were also coated with aluminum (Al) and tested for P removal. Characterization included elemental composition, particle density, buffer capacity, and P removal ability. There was great variability in the evaluated properties across slag sources and origin, compelling the individual characterization of steel slag samples, since their intrinsic characteristics were key variables in determining their potential P removal capacity. Speciﬁcally, electrical conductivity (EC), bulk density, particle density and magnesium (Mg) content could explain around 70% of the variability of P removal by uncoated steel slags. Increasing residence time (RT) always increased P removal for uncoated slags. Steel slags showed a high variability in their P removal ability, but such variability was considerably decreased by coating the slags with Al. Additionally, the Al-coating process signiﬁcantly improved P removal performance under more rapid ﬂows (lower RT).","container-title":"Chemosphere","DOI":"10.1016/j.chemosphere.2021.130205","ISSN":"00456535","journalAbbreviation":"Chemosphere","language":"en","page":"130205","source":"DOI.org (Crossref)","title":"Estimating the variability of steel slag properties and their influence in phosphorus removal ability","volume":"276","author":[{"family":"Scott","given":"Isis S.P.C."},{"family":"Penn","given":"Chad J."}],"issued":{"date-parts":[["2021",8]]}}}],"schema":"https://github.com/citation-style-language/schema/raw/master/csl-citation.json"} </w:instrText>
      </w:r>
      <w:r w:rsidRPr="00770477">
        <w:rPr>
          <w:rFonts w:cs="Times New Roman"/>
        </w:rPr>
        <w:fldChar w:fldCharType="separate"/>
      </w:r>
      <w:r w:rsidRPr="00770477">
        <w:rPr>
          <w:rFonts w:cs="Times New Roman"/>
          <w:noProof/>
        </w:rPr>
        <w:t>Scott &amp; Penn (2021)</w:t>
      </w:r>
      <w:r w:rsidRPr="00770477">
        <w:rPr>
          <w:rFonts w:cs="Times New Roman"/>
        </w:rPr>
        <w:fldChar w:fldCharType="end"/>
      </w:r>
      <w:r w:rsidRPr="00770477">
        <w:rPr>
          <w:rFonts w:cs="Times New Roman"/>
        </w:rPr>
        <w:t xml:space="preserve"> in a study of steel slags removing P from solution suggest that Fe-oxides could also play a role in P removal. The authors suggest that at a high pH, such as what was observed in this thesis, this mechanism is not as likely. However, with the Ca mechanism of removal in question, it could be possible that this reaction plays an important role in removal despite the high pH of the solution. This is supported by the observed difference in removal and differing Fe-oxide compositions of the steel slag and </w:t>
      </w:r>
      <w:r w:rsidR="00EC7A98">
        <w:rPr>
          <w:rFonts w:cs="Times New Roman"/>
        </w:rPr>
        <w:t>aggregated fly ash</w:t>
      </w:r>
      <w:r w:rsidRPr="00770477">
        <w:rPr>
          <w:rFonts w:cs="Times New Roman"/>
        </w:rPr>
        <w:t xml:space="preserve">. </w:t>
      </w:r>
    </w:p>
    <w:p w14:paraId="2701BE8F" w14:textId="77777777" w:rsidR="008C46FD" w:rsidRPr="00770477" w:rsidRDefault="008C46FD" w:rsidP="00FD3158">
      <w:pPr>
        <w:rPr>
          <w:rFonts w:cs="Times New Roman"/>
        </w:rPr>
      </w:pPr>
    </w:p>
    <w:p w14:paraId="3BA3309B" w14:textId="77777777" w:rsidR="00FD3158" w:rsidRPr="00770477" w:rsidRDefault="00FD3158" w:rsidP="00FD3158">
      <w:pPr>
        <w:pStyle w:val="Heading2"/>
        <w:rPr>
          <w:rFonts w:cs="Times New Roman"/>
        </w:rPr>
      </w:pPr>
      <w:bookmarkStart w:id="166" w:name="_Toc121496031"/>
      <w:r w:rsidRPr="00770477">
        <w:rPr>
          <w:rFonts w:cs="Times New Roman"/>
        </w:rPr>
        <w:t>Neonicotinoids</w:t>
      </w:r>
      <w:bookmarkEnd w:id="166"/>
    </w:p>
    <w:p w14:paraId="7E8C90A8" w14:textId="1749FA1D" w:rsidR="00FD3158" w:rsidRPr="00770477" w:rsidRDefault="00FD3158" w:rsidP="00FD3158">
      <w:pPr>
        <w:rPr>
          <w:rFonts w:cs="Times New Roman"/>
        </w:rPr>
      </w:pPr>
      <w:r w:rsidRPr="00770477">
        <w:rPr>
          <w:rFonts w:cs="Times New Roman"/>
        </w:rPr>
        <w:tab/>
        <w:t>Neonicotinoids in this study showed uniform results across all three sub species (acetamiprid, dinotefuran, and imidacloprid). Vertical column experiments were spiked at the higher neonicotinoid level (1 mg L</w:t>
      </w:r>
      <w:r w:rsidRPr="00770477">
        <w:rPr>
          <w:rFonts w:cs="Times New Roman"/>
          <w:vertAlign w:val="superscript"/>
        </w:rPr>
        <w:t>-1</w:t>
      </w:r>
      <w:r w:rsidRPr="00770477">
        <w:rPr>
          <w:rFonts w:cs="Times New Roman"/>
        </w:rPr>
        <w:t xml:space="preserve">), which is believed to be the source of some unexpected results. Steel slag was not anticipated to be a reasonable source of pesticide removal from solution with atrazine (a herbicide) only removed at 0.3% </w:t>
      </w:r>
      <w:r w:rsidRPr="00770477">
        <w:rPr>
          <w:rFonts w:cs="Times New Roman"/>
        </w:rPr>
        <w:fldChar w:fldCharType="begin"/>
      </w:r>
      <w:r w:rsidR="002074AD">
        <w:rPr>
          <w:rFonts w:cs="Times New Roman"/>
        </w:rPr>
        <w:instrText xml:space="preserve"> ADDIN ZOTERO_ITEM CSL_CITATION {"citationID":"UYJAjx6N","properties":{"formattedCitation":"(Gonzalez et al., 2016)","plainCitation":"(Gonzalez et al., 2016)","noteIndex":0},"citationItems":[{"id":802,"uris":["http://zotero.org/users/8423188/items/PDY6RRBP"],"itemData":{"id":802,"type":"article-journal","abstract":"Surface inlets are installed in subsurface drainage systems to reduce ponding duration and surface runoff, but can contribute to water quality concerns by allowing water to directly enter buried drains. Blind inlets consist of perforated pipes covered with gravel and are separated from an overlying sand layer by a geotextile membrane and have been shown to be more effective in reducing losses of sediment, nutrients, and pesticides than typical tile line risers. In this study, we investigated whether the effectiveness of blind inlets to sorb pollutants, with emphasis on the herbicide atrazine, could be further improved by amended them with materials other than limestone. The media, shredded tires (tire chips), electric arc steel furnace slag (steel slag), and oak-derived biochar were chosen because they are readily available, inexpensive, and do not present environmental concerns. Kinetic sorption and isotherms were determined to ascertain atrazine sorption by these materials, in addition to testing for potential metal leaching using the Synthetic Precipitation Leaching Procedure (SPLP) and the Toxicity Characteristic Leaching Procedure (TCLP). The kinetic data were fitted using pseudo first- and second-order reaction equations and indicated that atrazine sorption rate was 38 times faster and equilibrium was reached 5 times earlier for biochar than tire chips. The 24-h sorption isotherm data were fitted to the Freundlich sorption equation. The sorption coefficient for biochar was higher than for tire chips, steel slag, and limestone. Per the SPLC and TLCP tests, there was no leaching of heavy metals at levels of environmental concern. Our results suggested that the effectiveness of blind inlets as well as other conservation practices that include filter media such as rain gardens and filter socks could be improved by incorporating more reactive materials than sand and gravel with biochar being a particularly effective alternative.","container-title":"Journal of Water Resource and Protection","DOI":"10.4236/jwarp.2016.813097","ISSN":"1945-3094, 1945-3108","issue":"13","journalAbbreviation":"JWARP","language":"en","page":"1266-1282","source":"DOI.org (Crossref)","title":"Atrazine Sorption by Biochar, Tire Chips, and Steel Slag as Media for Blind Inlets: A Kinetic and Isotherm Sorption Approach","title-short":"Atrazine Sorption by Biochar, Tire Chips, and Steel Slag as Media for Blind Inlets","volume":"08","author":[{"family":"Gonzalez","given":"Javier M."},{"family":"Shipitalo","given":"Martin J."},{"family":"Smith","given":"Douglas R."},{"family":"Warnemuende-Pappas","given":"Elizabeth"},{"family":"Livingston","given":"Stanley J."}],"issued":{"date-parts":[["2016"]]}}}],"schema":"https://github.com/citation-style-language/schema/raw/master/csl-citation.json"} </w:instrText>
      </w:r>
      <w:r w:rsidRPr="00770477">
        <w:rPr>
          <w:rFonts w:cs="Times New Roman"/>
        </w:rPr>
        <w:fldChar w:fldCharType="separate"/>
      </w:r>
      <w:r w:rsidRPr="00770477">
        <w:rPr>
          <w:rFonts w:cs="Times New Roman"/>
          <w:noProof/>
        </w:rPr>
        <w:t>(Gonzalez et al., 2016)</w:t>
      </w:r>
      <w:r w:rsidRPr="00770477">
        <w:rPr>
          <w:rFonts w:cs="Times New Roman"/>
        </w:rPr>
        <w:fldChar w:fldCharType="end"/>
      </w:r>
      <w:r w:rsidRPr="00770477">
        <w:rPr>
          <w:rFonts w:cs="Times New Roman"/>
        </w:rPr>
        <w:t xml:space="preserve"> and 2,4-D and carbofuran (pesticides) reported to have a “negligible” removal from solution using steel slag </w:t>
      </w:r>
      <w:r w:rsidRPr="00770477">
        <w:rPr>
          <w:rFonts w:cs="Times New Roman"/>
        </w:rPr>
        <w:fldChar w:fldCharType="begin"/>
      </w:r>
      <w:r w:rsidR="002074AD">
        <w:rPr>
          <w:rFonts w:cs="Times New Roman"/>
        </w:rPr>
        <w:instrText xml:space="preserve"> ADDIN ZOTERO_ITEM CSL_CITATION {"citationID":"9sYPgl6m","properties":{"formattedCitation":"(V. K. Gupta et al., 2006)","plainCitation":"(V. K. Gupta et al., 2006)","noteIndex":0},"citationItems":[{"id":801,"uris":["http://zotero.org/users/8423188/items/XUJ6SCKK"],"itemData":{"id":801,"type":"article-journal","abstract":"The removal of 2,4-dichlorophenoxyacetic acid (2,4-D) and carbofuran from aqueous solution was studied by using fertilizer industry waste (carbon slurry) and steel industry wastes (blast furnace slag, dust, and sludge) as adsorbents in batch. Adsorption was found to be in decreasing order: carbon slurry, blast furnace sludge, dust, and slag, respectively. Carbonaceous adsorbent prepared from carbon slurry exhibited the uptake capacity of 212 and 208 mg g−1 for 2,4-D and carbofuran, respectively at 25 ◦C and pH 7.5. Adsorption equilibrium, kinetics, and thermodynamics were investigated as a function of initial pH, temperature, and pesticide concentrations. Equilibrium data ﬁtted well to the Langmuir equilibrium model in the studied concentration range of 2,4-D and carbofuran at all the temperatures studied. Two simpliﬁed models, including pseudo-ﬁrstorder and pseudo-second-order kinetic models, were used to test the adsorption kinetics. Adsorption of 2,4-D and carbofuran on carbon slurry at 25, 35, and 45 ◦C could be best ﬁtted in the pseudo-second-order kinetic model. Pore diffusion was conﬁrmed as the essential rate-controlling step with the help of Bangham’s equation.","container-title":"Journal of Colloid and Interface Science","DOI":"10.1016/j.jcis.2006.02.017","ISSN":"00219797","issue":"2","journalAbbreviation":"Journal of Colloid and Interface Science","language":"en","page":"556-563","source":"DOI.org (Crossref)","title":"Adsorption of 2,4-D and carbofuran pesticides using fertilizer and steel industry wastes","volume":"299","author":[{"family":"Gupta","given":"Vinod K."},{"family":"Ali","given":"Imran"},{"literal":"Suhas"},{"family":"Saini","given":"Vipin K."}],"issued":{"date-parts":[["2006",7]]}}}],"schema":"https://github.com/citation-style-language/schema/raw/master/csl-citation.json"} </w:instrText>
      </w:r>
      <w:r w:rsidRPr="00770477">
        <w:rPr>
          <w:rFonts w:cs="Times New Roman"/>
        </w:rPr>
        <w:fldChar w:fldCharType="separate"/>
      </w:r>
      <w:r w:rsidRPr="00770477">
        <w:rPr>
          <w:rFonts w:cs="Times New Roman"/>
          <w:noProof/>
        </w:rPr>
        <w:t>(V. K. Gupta et al., 2006)</w:t>
      </w:r>
      <w:r w:rsidRPr="00770477">
        <w:rPr>
          <w:rFonts w:cs="Times New Roman"/>
        </w:rPr>
        <w:fldChar w:fldCharType="end"/>
      </w:r>
      <w:r w:rsidRPr="00770477">
        <w:rPr>
          <w:rFonts w:cs="Times New Roman"/>
        </w:rPr>
        <w:t xml:space="preserve">. Therefore, it was unexpected to see small steel slag as the best performer (acetamiprid, p = 0.01; dinotefuran, p = 0.12; imidacloprid, p = 0.30) in the vertical columns. The literature did support fly ash as a potential for the removal of herbicides and pesticides </w:t>
      </w:r>
      <w:r w:rsidRPr="00770477">
        <w:rPr>
          <w:rFonts w:cs="Times New Roman"/>
        </w:rPr>
        <w:fldChar w:fldCharType="begin"/>
      </w:r>
      <w:r w:rsidR="002074AD">
        <w:rPr>
          <w:rFonts w:cs="Times New Roman"/>
        </w:rPr>
        <w:instrText xml:space="preserve"> ADDIN ZOTERO_ITEM CSL_CITATION {"citationID":"EUlaKNYn","properties":{"formattedCitation":"(V. Gupta et al., 2002; V. K. Gupta &amp; Ali, 2001; Nollet et al., 2003)","plainCitation":"(V. Gupta et al., 2002; V. K. Gupta &amp; Ali, 2001; Nollet et al., 2003)","noteIndex":0},"citationItems":[{"id":652,"uris":["http://zotero.org/users/8423188/items/WX6FME8B"],"itemData":{"id":652,"type":"article-journal","container-title":"Water Research","DOI":"10.1016/S0043-1354(01)00474-2","ISSN":"00431354","issue":"10","page":"2483-2490","source":"DOI.org (Crossref)","title":"Removal of lindane and malathion from wastewater using bagasse fly ash—a sugar industry waste","volume":"36","author":[{"family":"Gupta","given":"V"},{"family":"Jain","given":"C.K."},{"family":"Ali","given":"Imran"},{"family":"Chandra","given":"S."},{"family":"Agarwal","given":"S."}],"issued":{"date-parts":[["2002",5]]}}},{"id":76,"uris":["http://zotero.org/users/8423188/items/DELGJMQQ"],"itemData":{"id":76,"type":"article-journal","container-title":"Water Research","DOI":"10.1016/S0043-1354(00)00232-3","ISSN":"00431354","issue":"1","journalAbbreviation":"Water Research","language":"en","page":"33-40","source":"DOI.org (Crossref)","title":"Removal of DDD and DDE from wastewater using bagasse fly ash, a sugar industry waste","volume":"35","author":[{"family":"Gupta","given":"Vinod K."},{"family":"Ali","given":"Imran"}],"issued":{"date-parts":[["2001",1]]}}},{"id":650,"uris":["http://zotero.org/users/8423188/items/GQLCH4ZF"],"itemData":{"id":650,"type":"article-journal","container-title":"Chemosphere","DOI":"10.1016/S0045-6535(03)00517-4","ISSN":"00456535","issue":"6","journalAbbreviation":"Chemosphere","language":"en","page":"655-665","source":"DOI.org (Crossref)","title":"Removal of PCBs from wastewater using fly ash","volume":"53","author":[{"family":"Nollet","given":"Hendrik"},{"family":"Roels","given":"Murielle"},{"family":"Lutgen","given":"Pierre"},{"family":"Van der Meeren","given":"Paul"},{"family":"Verstraete","given":"Willy"}],"issued":{"date-parts":[["2003",11]]}}}],"schema":"https://github.com/citation-style-language/schema/raw/master/csl-citation.json"} </w:instrText>
      </w:r>
      <w:r w:rsidRPr="00770477">
        <w:rPr>
          <w:rFonts w:cs="Times New Roman"/>
        </w:rPr>
        <w:fldChar w:fldCharType="separate"/>
      </w:r>
      <w:r w:rsidRPr="00770477">
        <w:rPr>
          <w:rFonts w:cs="Times New Roman"/>
          <w:noProof/>
        </w:rPr>
        <w:t xml:space="preserve">(V. Gupta et al., 2002; </w:t>
      </w:r>
      <w:r w:rsidRPr="00770477">
        <w:rPr>
          <w:rFonts w:cs="Times New Roman"/>
          <w:noProof/>
        </w:rPr>
        <w:lastRenderedPageBreak/>
        <w:t>V. K. Gupta &amp; Ali, 2001; Nollet et al., 2003)</w:t>
      </w:r>
      <w:r w:rsidRPr="00770477">
        <w:rPr>
          <w:rFonts w:cs="Times New Roman"/>
        </w:rPr>
        <w:fldChar w:fldCharType="end"/>
      </w:r>
      <w:r w:rsidRPr="00770477">
        <w:rPr>
          <w:rFonts w:cs="Times New Roman"/>
        </w:rPr>
        <w:t xml:space="preserve"> and vertical column experiments from this study also demonstrated some neonicotinoid removal, albeit not with a modeled fit that was significantly unique as compared to the other modeled fits (all sub species, p &gt; 0.65).  Biochar was projected to be the best at removing neonicotinoids with mechanisms such as pi-pi, cation-pi, and hydrophobic effects as the primary driver of removal </w:t>
      </w:r>
      <w:r w:rsidRPr="00770477">
        <w:rPr>
          <w:rFonts w:cs="Times New Roman"/>
        </w:rPr>
        <w:fldChar w:fldCharType="begin"/>
      </w:r>
      <w:r w:rsidR="002074AD">
        <w:rPr>
          <w:rFonts w:cs="Times New Roman"/>
        </w:rPr>
        <w:instrText xml:space="preserve"> ADDIN ZOTERO_ITEM CSL_CITATION {"citationID":"o2DVlXzc","properties":{"formattedCitation":"(Shi et al., 2022; P. Zhang et al., 2018)","plainCitation":"(Shi et al., 2022; P. Zhang et al., 2018)","noteIndex":0},"citationItems":[{"id":925,"uris":["http://zotero.org/users/8423188/items/Q5SQFGQE"],"itemData":{"id":925,"type":"article-journal","abstract":"Neonicotinoid pesticides (NEOs) are the most widely used insecticides in the world and pose a serious threat to ecological systems. Thus, the development of an efficient and sustainable technique for their removal is urgently needed. In this study, a novel biochar was prepared by pyrolysis of Tenebrio molitor frass and activated with KOH at 650 (TMFBC-650A), 750 (TMFBC-750A) and 850 ◦C (TMFBC-850A). Among them, TMFBC-750A showed the best adsorption performance, and the adsorption capacities for thiacloprid (THI), nitenpyram (NIT) and dino­ tefuran (DIN) were 155.08 mg</w:instrText>
      </w:r>
      <w:r w:rsidR="002074AD">
        <w:rPr>
          <w:rFonts w:ascii="Cambria Math" w:hAnsi="Cambria Math" w:cs="Cambria Math"/>
        </w:rPr>
        <w:instrText>⋅</w:instrText>
      </w:r>
      <w:r w:rsidR="002074AD">
        <w:rPr>
          <w:rFonts w:cs="Times New Roman"/>
        </w:rPr>
        <w:instrText>g− 1, 195.86 mg</w:instrText>
      </w:r>
      <w:r w:rsidR="002074AD">
        <w:rPr>
          <w:rFonts w:ascii="Cambria Math" w:hAnsi="Cambria Math" w:cs="Cambria Math"/>
        </w:rPr>
        <w:instrText>⋅</w:instrText>
      </w:r>
      <w:r w:rsidR="002074AD">
        <w:rPr>
          <w:rFonts w:cs="Times New Roman"/>
        </w:rPr>
        <w:instrText>g− 1, 325.81 mg</w:instrText>
      </w:r>
      <w:r w:rsidR="002074AD">
        <w:rPr>
          <w:rFonts w:ascii="Cambria Math" w:hAnsi="Cambria Math" w:cs="Cambria Math"/>
        </w:rPr>
        <w:instrText>⋅</w:instrText>
      </w:r>
      <w:r w:rsidR="002074AD">
        <w:rPr>
          <w:rFonts w:cs="Times New Roman"/>
        </w:rPr>
        <w:instrText xml:space="preserve">g− 1, respectively. The isotherms for the adsorption of NIT and THI fit the Langmuir model quite well, while DIN fits the Freundlich model. Moreover, the adsorption of THI, NIT and DIN was well fitted by the pseudofirst-order kinetic model. The physicochemical characterization analysis demonstrated that the adsorption process of NEOs by TMFBC might be mainly controlled by micropore filling, π-π electron donor–acceptor interactions and functional group interactions (Hbonding, covalent bonding and hydrophobic interactions). Additionally, the thermodynamic parameters sug­ gested that NEO adsorption in this work was a spontaneous, endothermic and randomly increasing process. TMFBC also exhibited a high selective adsorption capacity regardless of solution pH and inorganic ion strength concentrations. The regenerated TMFBC (via synergistic ultrasound/ethanol) could sustainably and efficiently absorb NEOs in reuse cycles, suggesting that TMFBC has excellent reusability and stability. These results indi­ cated that TMFBC can be a potential and sustainable adsorbent for neonicotinoid pesticide removal.","container-title":"Separation and Purification Technology","language":"en","page":"12","source":"Zotero","title":"Removal of neonicotinoid pesticides by adsorption on modified Tenebrio molitor frass biochar: Kinetics and mechanism","author":[{"family":"Shi","given":"Ying"},{"family":"Wang","given":"Saier"},{"family":"Xu","given":"Man"},{"family":"Yan","given":"Xinli"},{"family":"Huang","given":"Junbiao"},{"family":"Wang","given":"Hong-wei"}],"issued":{"date-parts":[["2022"]]}}},{"id":879,"uris":["http://zotero.org/users/8423188/items/F3DG544R"],"itemData":{"id":879,"type":"article-journal","abstract":"To elucidate the sorption afﬁnity of biochars for neonicotinoid pesticides and the inﬂuence of biochar structure on sorption mechanisms therein, 24 biochar samples were obtained by pyrolyzing maize straw and pig manure at pyrolyzing temperatures (PTs) of 200e700  C and by further deashing them using acids, and the sorption of three typical neonicotinoids, imidacloprid, clothianidin and thiacloprid on untreated and acid-deashed biochars were evaluated. All the biochar samples could efﬁciently adsorb the three neonicotinoids and multiple mechanisms were involved in sorption. With the increasing PTs, hydrophobic partition sorption increased, but had a declined contribution to the total sorption as revealed by a dual-mode model. Besides hydrophobic partition, speciﬁc interactions like cation-p electron donor acceptor (EDA) interactions (only for protonated IMI and CLO) and hydrogen bond and contributed much to the sorption on low-PT ( 500  C) biochars, while the sorption on those high-PT (&gt;500  C) biochars mainly depended on pore-ﬁlling strengthened by cation-p and p/p-p EDA interactions. Thiacloprid showed stronger sorption on untreated biochars compared to imidacloprid and clothianidin, due to its greater ability to form hydrogen bond and hydrophobic interactions. Aciddeashing treatments increased the relative percentage contents of organic carbon, bulk O, aromaticity and O-containing functional groups, surface area and pore volume of biochars. The ash can bind neonicotinoids by speciﬁc interactions but played a negative role in the whole sorption on high-PT biochars by covering the inner sorption sites of organic moieties and blocking the micropores in biochars. The results acquired in the present study will help us to get deep insight in the comprehensive sorption mechanisms of polar pesticides on biochar and the effects of biochar structure.","container-title":"Environmental Pollution","DOI":"10.1016/j.envpol.2017.12.013","ISSN":"02697491","journalAbbreviation":"Environmental Pollution","language":"en","page":"812-820","source":"DOI.org (Crossref)","title":"Sorption mechanisms of neonicotinoids on biochars and the impact of deashing treatments on biochar structure and neonicotinoids sorption","volume":"234","author":[{"family":"Zhang","given":"Peng"},{"family":"Sun","given":"Hongwen"},{"family":"Ren","given":"Chao"},{"family":"Min","given":"Lujuan"},{"family":"Zhang","given":"Huiming"}],"issued":{"date-parts":[["2018",3]]}}}],"schema":"https://github.com/citation-style-language/schema/raw/master/csl-citation.json"} </w:instrText>
      </w:r>
      <w:r w:rsidRPr="00770477">
        <w:rPr>
          <w:rFonts w:cs="Times New Roman"/>
        </w:rPr>
        <w:fldChar w:fldCharType="separate"/>
      </w:r>
      <w:r w:rsidRPr="00770477">
        <w:rPr>
          <w:rFonts w:cs="Times New Roman"/>
          <w:noProof/>
        </w:rPr>
        <w:t>(Shi et al., 2022; P. Zhang et al., 2018)</w:t>
      </w:r>
      <w:r w:rsidRPr="00770477">
        <w:rPr>
          <w:rFonts w:cs="Times New Roman"/>
        </w:rPr>
        <w:fldChar w:fldCharType="end"/>
      </w:r>
      <w:r w:rsidRPr="00770477">
        <w:rPr>
          <w:rFonts w:cs="Times New Roman"/>
        </w:rPr>
        <w:t>. By referring to</w:t>
      </w:r>
      <w:r w:rsidR="0018352C" w:rsidRPr="00770477">
        <w:rPr>
          <w:rFonts w:cs="Times New Roman"/>
        </w:rPr>
        <w:t xml:space="preserve"> </w:t>
      </w:r>
      <w:r w:rsidR="0018352C" w:rsidRPr="00770477">
        <w:rPr>
          <w:rFonts w:cs="Times New Roman"/>
        </w:rPr>
        <w:fldChar w:fldCharType="begin"/>
      </w:r>
      <w:r w:rsidR="0018352C" w:rsidRPr="00770477">
        <w:rPr>
          <w:rFonts w:cs="Times New Roman"/>
        </w:rPr>
        <w:instrText xml:space="preserve"> REF _Ref121166695 \h </w:instrText>
      </w:r>
      <w:r w:rsidR="00770477">
        <w:rPr>
          <w:rFonts w:cs="Times New Roman"/>
        </w:rPr>
        <w:instrText xml:space="preserve"> \* MERGEFORMAT </w:instrText>
      </w:r>
      <w:r w:rsidR="0018352C" w:rsidRPr="00770477">
        <w:rPr>
          <w:rFonts w:cs="Times New Roman"/>
        </w:rPr>
      </w:r>
      <w:r w:rsidR="0018352C" w:rsidRPr="00770477">
        <w:rPr>
          <w:rFonts w:cs="Times New Roman"/>
        </w:rPr>
        <w:fldChar w:fldCharType="separate"/>
      </w:r>
      <w:r w:rsidR="00061096" w:rsidRPr="00770477">
        <w:rPr>
          <w:rFonts w:cs="Times New Roman"/>
        </w:rPr>
        <w:t xml:space="preserve">Table </w:t>
      </w:r>
      <w:r w:rsidR="00061096">
        <w:rPr>
          <w:rFonts w:cs="Times New Roman"/>
          <w:noProof/>
        </w:rPr>
        <w:t>2</w:t>
      </w:r>
      <w:r w:rsidR="00061096">
        <w:rPr>
          <w:rFonts w:cs="Times New Roman"/>
          <w:noProof/>
        </w:rPr>
        <w:noBreakHyphen/>
        <w:t>3</w:t>
      </w:r>
      <w:r w:rsidR="0018352C" w:rsidRPr="00770477">
        <w:rPr>
          <w:rFonts w:cs="Times New Roman"/>
        </w:rPr>
        <w:fldChar w:fldCharType="end"/>
      </w:r>
      <w:r w:rsidRPr="00770477">
        <w:rPr>
          <w:rFonts w:cs="Times New Roman"/>
        </w:rPr>
        <w:t xml:space="preserve"> these properties are provided by the organic carbon structures of biochar but is not provided by metal-oxide structures such as the primary composition of fly ash and steel slag. In vertical column experiments, excluding large biochar in imidacloprid and dinotefuran results (p = 0.06 and 0.50, respectively), all biochar results yielded unique models which demonstrated removal quantities between 25 and 75% tapering to removals between 0 and 10%. Although biochars in the high neonicotinoid spiked vertical column experiments did not provide the highest removal rates, when the neonicotinoid concentration was adjusted and the bioretention simulation horizontal column experiments were run, biochar was the standout media removing nearly all neonicotinoids from solution. Biochar models in all three sub species yielded p &lt; 0.05, with acetamiprid and imidacloprid yielding p &lt;&lt; 0.01. The aromatic structure of the organic C, which is the overwhelming component of biochar, yielded greater than 90% removal of acetamiprid and dinotefuran through the duration of the experiment. Dinotefuran demonstrated greater than 90% removal with biochar in horizontal column experiments, however unlike the others, the removal tapered off to around 60% removal by the end of the experiment. </w:t>
      </w:r>
      <w:r w:rsidRPr="00770477">
        <w:rPr>
          <w:rFonts w:cs="Times New Roman"/>
        </w:rPr>
        <w:fldChar w:fldCharType="begin"/>
      </w:r>
      <w:r w:rsidR="002074AD">
        <w:rPr>
          <w:rFonts w:cs="Times New Roman"/>
        </w:rPr>
        <w:instrText xml:space="preserve"> ADDIN ZOTERO_ITEM CSL_CITATION {"citationID":"N3Vc0g1i","properties":{"formattedCitation":"(Shi et al., 2022)","plainCitation":"(Shi et al., 2022)","dontUpdate":true,"noteIndex":0},"citationItems":[{"id":925,"uris":["http://zotero.org/users/8423188/items/Q5SQFGQE"],"itemData":{"id":925,"type":"article-journal","abstract":"Neonicotinoid pesticides (NEOs) are the most widely used insecticides in the world and pose a serious threat to ecological systems. Thus, the development of an efficient and sustainable technique for their removal is urgently needed. In this study, a novel biochar was prepared by pyrolysis of Tenebrio molitor frass and activated with KOH at 650 (TMFBC-650A), 750 (TMFBC-750A) and 850 ◦C (TMFBC-850A). Among them, TMFBC-750A showed the best adsorption performance, and the adsorption capacities for thiacloprid (THI), nitenpyram (NIT) and dino­ tefuran (DIN) were 155.08 mg</w:instrText>
      </w:r>
      <w:r w:rsidR="002074AD">
        <w:rPr>
          <w:rFonts w:ascii="Cambria Math" w:hAnsi="Cambria Math" w:cs="Cambria Math"/>
        </w:rPr>
        <w:instrText>⋅</w:instrText>
      </w:r>
      <w:r w:rsidR="002074AD">
        <w:rPr>
          <w:rFonts w:cs="Times New Roman"/>
        </w:rPr>
        <w:instrText>g− 1, 195.86 mg</w:instrText>
      </w:r>
      <w:r w:rsidR="002074AD">
        <w:rPr>
          <w:rFonts w:ascii="Cambria Math" w:hAnsi="Cambria Math" w:cs="Cambria Math"/>
        </w:rPr>
        <w:instrText>⋅</w:instrText>
      </w:r>
      <w:r w:rsidR="002074AD">
        <w:rPr>
          <w:rFonts w:cs="Times New Roman"/>
        </w:rPr>
        <w:instrText>g− 1, 325.81 mg</w:instrText>
      </w:r>
      <w:r w:rsidR="002074AD">
        <w:rPr>
          <w:rFonts w:ascii="Cambria Math" w:hAnsi="Cambria Math" w:cs="Cambria Math"/>
        </w:rPr>
        <w:instrText>⋅</w:instrText>
      </w:r>
      <w:r w:rsidR="002074AD">
        <w:rPr>
          <w:rFonts w:cs="Times New Roman"/>
        </w:rPr>
        <w:instrText xml:space="preserve">g− 1, respectively. The isotherms for the adsorption of NIT and THI fit the Langmuir model quite well, while DIN fits the Freundlich model. Moreover, the adsorption of THI, NIT and DIN was well fitted by the pseudofirst-order kinetic model. The physicochemical characterization analysis demonstrated that the adsorption process of NEOs by TMFBC might be mainly controlled by micropore filling, π-π electron donor–acceptor interactions and functional group interactions (Hbonding, covalent bonding and hydrophobic interactions). Additionally, the thermodynamic parameters sug­ gested that NEO adsorption in this work was a spontaneous, endothermic and randomly increasing process. TMFBC also exhibited a high selective adsorption capacity regardless of solution pH and inorganic ion strength concentrations. The regenerated TMFBC (via synergistic ultrasound/ethanol) could sustainably and efficiently absorb NEOs in reuse cycles, suggesting that TMFBC has excellent reusability and stability. These results indi­ cated that TMFBC can be a potential and sustainable adsorbent for neonicotinoid pesticide removal.","container-title":"Separation and Purification Technology","language":"en","page":"12","source":"Zotero","title":"Removal of neonicotinoid pesticides by adsorption on modified Tenebrio molitor frass biochar: Kinetics and mechanism","author":[{"family":"Shi","given":"Ying"},{"family":"Wang","given":"Saier"},{"family":"Xu","given":"Man"},{"family":"Yan","given":"Xinli"},{"family":"Huang","given":"Junbiao"},{"family":"Wang","given":"Hong-wei"}],"issued":{"date-parts":[["2022"]]}}}],"schema":"https://github.com/citation-style-language/schema/raw/master/csl-citation.json"} </w:instrText>
      </w:r>
      <w:r w:rsidRPr="00770477">
        <w:rPr>
          <w:rFonts w:cs="Times New Roman"/>
        </w:rPr>
        <w:fldChar w:fldCharType="separate"/>
      </w:r>
      <w:r w:rsidRPr="00770477">
        <w:rPr>
          <w:rFonts w:cs="Times New Roman"/>
          <w:noProof/>
        </w:rPr>
        <w:t>Shi et al. (2022)</w:t>
      </w:r>
      <w:r w:rsidRPr="00770477">
        <w:rPr>
          <w:rFonts w:cs="Times New Roman"/>
        </w:rPr>
        <w:fldChar w:fldCharType="end"/>
      </w:r>
      <w:r w:rsidRPr="00770477">
        <w:rPr>
          <w:rFonts w:cs="Times New Roman"/>
        </w:rPr>
        <w:t xml:space="preserve"> shows that neonicotinoid sorption is highly selective, despite solution pH and ionic strength, which is likely demonstrated in the difference between acetamiprid/imidacloprid results and the dinotefuran results. </w:t>
      </w:r>
      <w:r w:rsidR="00F15598">
        <w:rPr>
          <w:rFonts w:cs="Times New Roman"/>
          <w:highlight w:val="yellow"/>
        </w:rPr>
        <w:fldChar w:fldCharType="begin"/>
      </w:r>
      <w:r w:rsidR="00F15598">
        <w:rPr>
          <w:rFonts w:cs="Times New Roman"/>
        </w:rPr>
        <w:instrText xml:space="preserve"> REF _Ref121494986 \h </w:instrText>
      </w:r>
      <w:r w:rsidR="00F15598">
        <w:rPr>
          <w:rFonts w:cs="Times New Roman"/>
          <w:highlight w:val="yellow"/>
        </w:rPr>
      </w:r>
      <w:r w:rsidR="00F15598">
        <w:rPr>
          <w:rFonts w:cs="Times New Roman"/>
          <w:highlight w:val="yellow"/>
        </w:rPr>
        <w:fldChar w:fldCharType="separate"/>
      </w:r>
      <w:r w:rsidR="00061096">
        <w:t xml:space="preserve">Table </w:t>
      </w:r>
      <w:r w:rsidR="00061096">
        <w:rPr>
          <w:noProof/>
        </w:rPr>
        <w:t>1</w:t>
      </w:r>
      <w:r w:rsidR="00061096">
        <w:noBreakHyphen/>
      </w:r>
      <w:r w:rsidR="00061096">
        <w:rPr>
          <w:noProof/>
        </w:rPr>
        <w:t>1</w:t>
      </w:r>
      <w:r w:rsidR="00F15598">
        <w:rPr>
          <w:rFonts w:cs="Times New Roman"/>
          <w:highlight w:val="yellow"/>
        </w:rPr>
        <w:fldChar w:fldCharType="end"/>
      </w:r>
      <w:r w:rsidR="00F15598">
        <w:rPr>
          <w:rFonts w:cs="Times New Roman"/>
        </w:rPr>
        <w:t xml:space="preserve"> </w:t>
      </w:r>
      <w:r w:rsidRPr="00770477">
        <w:rPr>
          <w:rFonts w:cs="Times New Roman"/>
        </w:rPr>
        <w:t xml:space="preserve">amended from </w:t>
      </w:r>
      <w:r w:rsidR="004E75A1" w:rsidRPr="00770477">
        <w:rPr>
          <w:rFonts w:cs="Times New Roman"/>
        </w:rPr>
        <w:fldChar w:fldCharType="begin"/>
      </w:r>
      <w:r w:rsidR="002074AD">
        <w:rPr>
          <w:rFonts w:cs="Times New Roman"/>
        </w:rPr>
        <w:instrText xml:space="preserve"> ADDIN ZOTERO_ITEM CSL_CITATION {"citationID":"a1faof7g2fd","properties":{"formattedCitation":"(Morrissey et al., 2015)","plainCitation":"(Morrissey et al., 2015)","noteIndex":0},"citationItems":[{"id":221,"uris":["http://zotero.org/users/8423188/items/VC3HAM8N"],"itemData":{"id":221,"type":"article-journal","abstract":"Neonicotinoids, broad-spectrum systemic insecticides, are the fastest growing class of insecticides worldwide and are now registered for use on hundreds of ﬁeld crops in over 120 different countries. The environmental proﬁle of this class of pesticides indicate that they are persistent, have high leaching and runoff potential, and are highly toxic to a wide range of invertebrates. Therefore, neonicotinoids represent a significant risk to surface waters and the diverse aquatic and terrestrial fauna that these ecosystems support. This review synthesizes the current state of knowledge on the reported concentrations of neonicotinoids in surface waters from 29 studies in 9 countries world-wide in tandem with published data on their acute and chronic toxicity to 49 species of aquatic insects and crustaceans spanning 12 invertebrate orders. Strong evidence exists that water-borne neonicotinoid exposures are frequent, long-term and at levels (geometric means = 0.13 μg/L (averages) and 0.63 μg/L (maxima)) which commonly exceed several existing water quality guidelines. Imidacloprid is by far the most widely studied neonicotinoid (66% of the 214 toxicity tests reviewed) with differences in sensitivity among aquatic invertebrate species ranging several orders of magnitude; other neonicotinoids display analogous modes of action and similar toxicities, although comparative data are limited. Of the species evaluated, insects belonging to the orders Ephemeroptera, Trichoptera and Diptera appear to be the most sensitive, while those of Crustacea (although not universally so) are less sensitive. In particular, the standard test species Daphnia magna appears to be very tolerant, with 24–96 hour LC50 values exceeding 100,000 μg/L (geometric mean N 44,000 μg/L), which is at least 2–3 orders of magnitude higher than the geometric mean of all other invertebrate species tested. Overall, neonicotinoids can exert adverse effects on survival, growth, emergence, mobility, and behavior of many sensitive aquatic invertebrate taxa at concentrations at or below 1 μg/L under acute exposure and 0.1 μg/L for chronic exposure. Using probabilistic approaches (species sensitivity distributions), we recommend here that ecological thresholds for neonicotinoid water concentrations need to be below 0.2 μg/L (shortterm acute) or 0.035 μg/L (long-term chronic) to avoid lasting effects on aquatic invertebrate communities. The application of safety factors may still be warranted considering potential issues of slow recovery, additive or synergistic effects and multiple stressors that can occur in the ﬁeld. Our analysis revealed that 81% (22/27) and 74% (14/19) of global surface water studies reporting maximum and average individual neonicotinoid concentrations respectively, exceeded these thresholds of 0.2 and 0.035 μg/L. Therefore, it appears that environmentally relevant concentrations of neonicotinoids in surface waters worldwide are well within the range where both short- and long-term impacts on aquatic invertebrate species are possible over broad spatial scales.","container-title":"Environment International","DOI":"10.1016/j.envint.2014.10.024","ISSN":"01604120","journalAbbreviation":"Environment International","language":"en","page":"291-303","source":"DOI.org (Crossref)","title":"Neonicotinoid contamination of global surface waters and associated risk to aquatic invertebrates: A review","title-short":"Neonicotinoid contamination of global surface waters and associated risk to aquatic invertebrates","volume":"74","author":[{"family":"Morrissey","given":"Christy A."},{"family":"Mineau","given":"Pierre"},{"family":"Devries","given":"James H."},{"family":"Sanchez-Bayo","given":"Francisco"},{"family":"Liess","given":"Matthias"},{"family":"Cavallaro","given":"Michael C."},{"family":"Liber","given":"Karsten"}],"issued":{"date-parts":[["2015",1]]}}}],"schema":"https://github.com/citation-style-language/schema/raw/master/csl-citation.json"} </w:instrText>
      </w:r>
      <w:r w:rsidR="004E75A1" w:rsidRPr="00770477">
        <w:rPr>
          <w:rFonts w:cs="Times New Roman"/>
        </w:rPr>
        <w:fldChar w:fldCharType="separate"/>
      </w:r>
      <w:r w:rsidR="003D5078" w:rsidRPr="00770477">
        <w:rPr>
          <w:rFonts w:cs="Times New Roman"/>
        </w:rPr>
        <w:t>(Morrissey et al., 2015)</w:t>
      </w:r>
      <w:r w:rsidR="004E75A1" w:rsidRPr="00770477">
        <w:rPr>
          <w:rFonts w:cs="Times New Roman"/>
        </w:rPr>
        <w:fldChar w:fldCharType="end"/>
      </w:r>
      <w:r w:rsidRPr="00770477">
        <w:rPr>
          <w:rFonts w:cs="Times New Roman"/>
        </w:rPr>
        <w:t xml:space="preserve"> demonstrates a soil sorptive capacity (log </w:t>
      </w:r>
      <w:proofErr w:type="spellStart"/>
      <w:r w:rsidRPr="00770477">
        <w:rPr>
          <w:rFonts w:cs="Times New Roman"/>
        </w:rPr>
        <w:t>K</w:t>
      </w:r>
      <w:r w:rsidRPr="00770477">
        <w:rPr>
          <w:rFonts w:cs="Times New Roman"/>
          <w:vertAlign w:val="subscript"/>
        </w:rPr>
        <w:t>oc</w:t>
      </w:r>
      <w:proofErr w:type="spellEnd"/>
      <w:r w:rsidRPr="00770477">
        <w:rPr>
          <w:rFonts w:cs="Times New Roman"/>
        </w:rPr>
        <w:t xml:space="preserve">) for dinotefuran that is lower (less sorbent) than the equally matched, higher log </w:t>
      </w:r>
      <w:proofErr w:type="spellStart"/>
      <w:r w:rsidRPr="00770477">
        <w:rPr>
          <w:rFonts w:cs="Times New Roman"/>
        </w:rPr>
        <w:t>K</w:t>
      </w:r>
      <w:r w:rsidRPr="00770477">
        <w:rPr>
          <w:rFonts w:cs="Times New Roman"/>
          <w:vertAlign w:val="subscript"/>
        </w:rPr>
        <w:t>oc</w:t>
      </w:r>
      <w:proofErr w:type="spellEnd"/>
      <w:r w:rsidRPr="00770477">
        <w:rPr>
          <w:rFonts w:cs="Times New Roman"/>
        </w:rPr>
        <w:t xml:space="preserve"> (more </w:t>
      </w:r>
      <w:r w:rsidRPr="00770477">
        <w:rPr>
          <w:rFonts w:cs="Times New Roman"/>
        </w:rPr>
        <w:lastRenderedPageBreak/>
        <w:t xml:space="preserve">sorbent) acetamiprid and imidacloprid. As sites begin to exhaust, dinotefuran is likely the first of the three to yield lower sorption rates. The control column in horizontal column experiments demonstrated 0% (dinotefuran) to ~10% (acetamiprid and imidacloprid) removal from solution, therefore justifying the need for some form of water quality finishing for neonicotinoids. Both </w:t>
      </w:r>
      <w:r w:rsidR="00EC7A98">
        <w:rPr>
          <w:rFonts w:cs="Times New Roman"/>
        </w:rPr>
        <w:t>aggregated fly ash</w:t>
      </w:r>
      <w:r w:rsidRPr="00770477">
        <w:rPr>
          <w:rFonts w:cs="Times New Roman"/>
        </w:rPr>
        <w:t xml:space="preserve"> and steel slag had no statistically unique results with both demonstrating little to no additional removal beyond the control column. Based on the understanding of preferred neonicotinoid removal pathways (</w:t>
      </w:r>
      <w:proofErr w:type="gramStart"/>
      <w:r w:rsidRPr="00770477">
        <w:rPr>
          <w:rFonts w:cs="Times New Roman"/>
        </w:rPr>
        <w:t>pi-pi</w:t>
      </w:r>
      <w:proofErr w:type="gramEnd"/>
      <w:r w:rsidRPr="00770477">
        <w:rPr>
          <w:rFonts w:cs="Times New Roman"/>
        </w:rPr>
        <w:t xml:space="preserve">, cation-pi, and hydrophobicity), combined with previous studies, it is no surprise that steel slag did not yield much removal. Fly ash was potentially expected to remove pesticides </w:t>
      </w:r>
      <w:r w:rsidRPr="00770477">
        <w:rPr>
          <w:rFonts w:cs="Times New Roman"/>
        </w:rPr>
        <w:fldChar w:fldCharType="begin"/>
      </w:r>
      <w:r w:rsidR="002074AD">
        <w:rPr>
          <w:rFonts w:cs="Times New Roman"/>
        </w:rPr>
        <w:instrText xml:space="preserve"> ADDIN ZOTERO_ITEM CSL_CITATION {"citationID":"vbu7AHY1","properties":{"formattedCitation":"(V. Gupta et al., 2002; V. K. Gupta &amp; Ali, 2001; Nollet et al., 2003)","plainCitation":"(V. Gupta et al., 2002; V. K. Gupta &amp; Ali, 2001; Nollet et al., 2003)","noteIndex":0},"citationItems":[{"id":652,"uris":["http://zotero.org/users/8423188/items/WX6FME8B"],"itemData":{"id":652,"type":"article-journal","container-title":"Water Research","DOI":"10.1016/S0043-1354(01)00474-2","ISSN":"00431354","issue":"10","page":"2483-2490","source":"DOI.org (Crossref)","title":"Removal of lindane and malathion from wastewater using bagasse fly ash—a sugar industry waste","volume":"36","author":[{"family":"Gupta","given":"V"},{"family":"Jain","given":"C.K."},{"family":"Ali","given":"Imran"},{"family":"Chandra","given":"S."},{"family":"Agarwal","given":"S."}],"issued":{"date-parts":[["2002",5]]}}},{"id":76,"uris":["http://zotero.org/users/8423188/items/DELGJMQQ"],"itemData":{"id":76,"type":"article-journal","container-title":"Water Research","DOI":"10.1016/S0043-1354(00)00232-3","ISSN":"00431354","issue":"1","journalAbbreviation":"Water Research","language":"en","page":"33-40","source":"DOI.org (Crossref)","title":"Removal of DDD and DDE from wastewater using bagasse fly ash, a sugar industry waste","volume":"35","author":[{"family":"Gupta","given":"Vinod K."},{"family":"Ali","given":"Imran"}],"issued":{"date-parts":[["2001",1]]}}},{"id":650,"uris":["http://zotero.org/users/8423188/items/GQLCH4ZF"],"itemData":{"id":650,"type":"article-journal","container-title":"Chemosphere","DOI":"10.1016/S0045-6535(03)00517-4","ISSN":"00456535","issue":"6","journalAbbreviation":"Chemosphere","language":"en","page":"655-665","source":"DOI.org (Crossref)","title":"Removal of PCBs from wastewater using fly ash","volume":"53","author":[{"family":"Nollet","given":"Hendrik"},{"family":"Roels","given":"Murielle"},{"family":"Lutgen","given":"Pierre"},{"family":"Van der Meeren","given":"Paul"},{"family":"Verstraete","given":"Willy"}],"issued":{"date-parts":[["2003",11]]}}}],"schema":"https://github.com/citation-style-language/schema/raw/master/csl-citation.json"} </w:instrText>
      </w:r>
      <w:r w:rsidRPr="00770477">
        <w:rPr>
          <w:rFonts w:cs="Times New Roman"/>
        </w:rPr>
        <w:fldChar w:fldCharType="separate"/>
      </w:r>
      <w:r w:rsidRPr="00770477">
        <w:rPr>
          <w:rFonts w:cs="Times New Roman"/>
          <w:noProof/>
        </w:rPr>
        <w:t>(V. Gupta et al., 2002; V. K. Gupta &amp; Ali, 2001; Nollet et al., 2003)</w:t>
      </w:r>
      <w:r w:rsidRPr="00770477">
        <w:rPr>
          <w:rFonts w:cs="Times New Roman"/>
        </w:rPr>
        <w:fldChar w:fldCharType="end"/>
      </w:r>
      <w:r w:rsidRPr="00770477">
        <w:rPr>
          <w:rFonts w:cs="Times New Roman"/>
        </w:rPr>
        <w:t xml:space="preserve"> albeit no evidence suggested the effective removal of neonicotinoids specifically. Given our predicted proffered neonicotinoid removal mechanisms and our understanding that </w:t>
      </w:r>
      <w:r w:rsidR="00554D82">
        <w:rPr>
          <w:rFonts w:cs="Times New Roman"/>
        </w:rPr>
        <w:t>aggregated fly ash</w:t>
      </w:r>
      <w:r w:rsidRPr="00770477">
        <w:rPr>
          <w:rFonts w:cs="Times New Roman"/>
        </w:rPr>
        <w:t xml:space="preserve"> lacks these qualities, the results from horizontal column experiments are no surprise. </w:t>
      </w:r>
    </w:p>
    <w:p w14:paraId="719681E0" w14:textId="77777777" w:rsidR="00FD3158" w:rsidRPr="00770477" w:rsidRDefault="00FD3158" w:rsidP="00FD3158">
      <w:pPr>
        <w:rPr>
          <w:rFonts w:cs="Times New Roman"/>
          <w:u w:val="single"/>
        </w:rPr>
      </w:pPr>
    </w:p>
    <w:p w14:paraId="36017087" w14:textId="77777777" w:rsidR="00FD3158" w:rsidRPr="00770477" w:rsidRDefault="00FD3158" w:rsidP="00FD3158">
      <w:pPr>
        <w:pStyle w:val="Heading2"/>
        <w:rPr>
          <w:rFonts w:cs="Times New Roman"/>
        </w:rPr>
      </w:pPr>
      <w:bookmarkStart w:id="167" w:name="_Toc121496032"/>
      <w:r w:rsidRPr="00770477">
        <w:rPr>
          <w:rFonts w:cs="Times New Roman"/>
        </w:rPr>
        <w:t>Mass Removal Rate</w:t>
      </w:r>
      <w:bookmarkEnd w:id="167"/>
    </w:p>
    <w:p w14:paraId="0A133098" w14:textId="2ADC9E94" w:rsidR="000D230F" w:rsidRPr="00770477" w:rsidRDefault="00FD3158" w:rsidP="0093290B">
      <w:pPr>
        <w:rPr>
          <w:rFonts w:cs="Times New Roman"/>
        </w:rPr>
      </w:pPr>
      <w:r w:rsidRPr="00770477">
        <w:rPr>
          <w:rFonts w:cs="Times New Roman"/>
        </w:rPr>
        <w:tab/>
        <w:t xml:space="preserve">Small steel slag demonstrated uniform results in removing </w:t>
      </w:r>
      <w:proofErr w:type="gramStart"/>
      <w:r w:rsidR="00355EB9">
        <w:rPr>
          <w:rFonts w:cs="Times New Roman"/>
        </w:rPr>
        <w:t>As</w:t>
      </w:r>
      <w:proofErr w:type="gramEnd"/>
      <w:r w:rsidR="00355EB9" w:rsidRPr="009E5089">
        <w:rPr>
          <w:rFonts w:cs="Times New Roman"/>
          <w:vertAlign w:val="superscript"/>
        </w:rPr>
        <w:t>+5</w:t>
      </w:r>
      <w:r w:rsidRPr="00770477">
        <w:rPr>
          <w:rFonts w:cs="Times New Roman"/>
        </w:rPr>
        <w:t xml:space="preserve"> between the horizontal and vertical experiments which is ideal in comparing the two datasets. </w:t>
      </w:r>
      <w:r w:rsidR="00554D82">
        <w:rPr>
          <w:rFonts w:cs="Times New Roman"/>
        </w:rPr>
        <w:t>Aggregated f</w:t>
      </w:r>
      <w:r w:rsidRPr="00770477">
        <w:rPr>
          <w:rFonts w:cs="Times New Roman"/>
        </w:rPr>
        <w:t xml:space="preserve">ly ash results for </w:t>
      </w:r>
      <w:proofErr w:type="gramStart"/>
      <w:r w:rsidR="00355EB9">
        <w:rPr>
          <w:rFonts w:cs="Times New Roman"/>
        </w:rPr>
        <w:t>As</w:t>
      </w:r>
      <w:proofErr w:type="gramEnd"/>
      <w:r w:rsidR="00355EB9" w:rsidRPr="009E5089">
        <w:rPr>
          <w:rFonts w:cs="Times New Roman"/>
          <w:vertAlign w:val="superscript"/>
        </w:rPr>
        <w:t>+5</w:t>
      </w:r>
      <w:r w:rsidRPr="00770477">
        <w:rPr>
          <w:rFonts w:cs="Times New Roman"/>
        </w:rPr>
        <w:t xml:space="preserve"> and P between horizontal and vertical column experiments demonstrated similar trends with different magnitudes. This supports the mechanism of removal being constant between the two experiments, however some difference between the two experimental designs is impacting the effectiveness of </w:t>
      </w:r>
      <w:r w:rsidR="004811A4">
        <w:rPr>
          <w:rFonts w:cs="Times New Roman"/>
        </w:rPr>
        <w:t>aggregated fly ash</w:t>
      </w:r>
      <w:r w:rsidRPr="00770477">
        <w:rPr>
          <w:rFonts w:cs="Times New Roman"/>
        </w:rPr>
        <w:t xml:space="preserve"> to remove both contaminants at the same rate as the vertical column. The most likely is the introduction of the bioretention simulation sand in the horizontal column experiment. This impact is suggested as a point of further study; however, this study has demonstrated the potential of negative impacts of bioretention prior to being treated with </w:t>
      </w:r>
      <w:proofErr w:type="gramStart"/>
      <w:r w:rsidRPr="00770477">
        <w:rPr>
          <w:rFonts w:cs="Times New Roman"/>
        </w:rPr>
        <w:t>a</w:t>
      </w:r>
      <w:proofErr w:type="gramEnd"/>
      <w:r w:rsidRPr="00770477">
        <w:rPr>
          <w:rFonts w:cs="Times New Roman"/>
        </w:rPr>
        <w:t xml:space="preserve"> </w:t>
      </w:r>
      <w:r w:rsidR="004811A4">
        <w:rPr>
          <w:rFonts w:cs="Times New Roman"/>
        </w:rPr>
        <w:lastRenderedPageBreak/>
        <w:t>aggregated fly ash</w:t>
      </w:r>
      <w:r w:rsidRPr="00770477">
        <w:rPr>
          <w:rFonts w:cs="Times New Roman"/>
        </w:rPr>
        <w:t xml:space="preserve"> to remove arsenic from solution. For arsenic, biochar demonstrated little to no removal in horizontal column experiments, where vertical column experiments showed a mild removal rate between 0.005 and 0.01 µg hr</w:t>
      </w:r>
      <w:r w:rsidRPr="00770477">
        <w:rPr>
          <w:rFonts w:cs="Times New Roman"/>
          <w:vertAlign w:val="superscript"/>
        </w:rPr>
        <w:t>-1</w:t>
      </w:r>
      <w:r w:rsidRPr="00770477">
        <w:rPr>
          <w:rFonts w:cs="Times New Roman"/>
        </w:rPr>
        <w:t xml:space="preserve"> cm</w:t>
      </w:r>
      <w:r w:rsidRPr="00770477">
        <w:rPr>
          <w:rFonts w:cs="Times New Roman"/>
          <w:vertAlign w:val="superscript"/>
        </w:rPr>
        <w:t>-3</w:t>
      </w:r>
      <w:r w:rsidRPr="00770477">
        <w:rPr>
          <w:rFonts w:cs="Times New Roman"/>
        </w:rPr>
        <w:t xml:space="preserve">. The impact of the overlaying bioretention simulation sand could have a similar impact on </w:t>
      </w:r>
      <w:proofErr w:type="gramStart"/>
      <w:r w:rsidR="00355EB9">
        <w:rPr>
          <w:rFonts w:cs="Times New Roman"/>
        </w:rPr>
        <w:t>As</w:t>
      </w:r>
      <w:proofErr w:type="gramEnd"/>
      <w:r w:rsidR="00355EB9" w:rsidRPr="009E5089">
        <w:rPr>
          <w:rFonts w:cs="Times New Roman"/>
          <w:vertAlign w:val="superscript"/>
        </w:rPr>
        <w:t>+5</w:t>
      </w:r>
      <w:r w:rsidRPr="00770477">
        <w:rPr>
          <w:rFonts w:cs="Times New Roman"/>
        </w:rPr>
        <w:t xml:space="preserve"> removal using biochar as well. In IE ratio graphs, biochar was not shown to remove considerable amounts of P from solution, a trend that was also observed in the mass removal rate analysis. For small steel slag and small </w:t>
      </w:r>
      <w:r w:rsidR="004811A4">
        <w:rPr>
          <w:rFonts w:cs="Times New Roman"/>
        </w:rPr>
        <w:t>aggregated fly ash</w:t>
      </w:r>
      <w:r w:rsidRPr="00770477">
        <w:rPr>
          <w:rFonts w:cs="Times New Roman"/>
        </w:rPr>
        <w:t>, P results demonstrated some curious trends between the vertical and horizontal column experiments. Vertical columns demonstrated a high removal rate (0.3 – 0.5 µg hr</w:t>
      </w:r>
      <w:r w:rsidRPr="00770477">
        <w:rPr>
          <w:rFonts w:cs="Times New Roman"/>
          <w:vertAlign w:val="superscript"/>
        </w:rPr>
        <w:t>-1</w:t>
      </w:r>
      <w:r w:rsidRPr="00770477">
        <w:rPr>
          <w:rFonts w:cs="Times New Roman"/>
        </w:rPr>
        <w:t xml:space="preserve"> cm</w:t>
      </w:r>
      <w:r w:rsidRPr="00770477">
        <w:rPr>
          <w:rFonts w:cs="Times New Roman"/>
          <w:vertAlign w:val="superscript"/>
        </w:rPr>
        <w:t>-3</w:t>
      </w:r>
      <w:r w:rsidRPr="00770477">
        <w:rPr>
          <w:rFonts w:cs="Times New Roman"/>
        </w:rPr>
        <w:t xml:space="preserve">) early on when low quantities of P have been passed through, with the rate declining over time as more P is passed through, indicating the exhaustion of sorption sites. However, for small steel slag and small </w:t>
      </w:r>
      <w:r w:rsidR="004811A4">
        <w:rPr>
          <w:rFonts w:cs="Times New Roman"/>
        </w:rPr>
        <w:t>aggregated fly ash</w:t>
      </w:r>
      <w:r w:rsidRPr="00770477">
        <w:rPr>
          <w:rFonts w:cs="Times New Roman"/>
        </w:rPr>
        <w:t xml:space="preserve"> (and biochar to some degree) in horizontal column experiments, a relationship between media removal and control column removal appeared. The control column as was demonstrated in </w:t>
      </w:r>
      <w:r w:rsidR="00642031" w:rsidRPr="00770477">
        <w:rPr>
          <w:rFonts w:cs="Times New Roman"/>
        </w:rPr>
        <w:fldChar w:fldCharType="begin"/>
      </w:r>
      <w:r w:rsidR="00642031" w:rsidRPr="00770477">
        <w:rPr>
          <w:rFonts w:cs="Times New Roman"/>
        </w:rPr>
        <w:instrText xml:space="preserve"> REF _Ref117866242 \h </w:instrText>
      </w:r>
      <w:r w:rsidR="00770477">
        <w:rPr>
          <w:rFonts w:cs="Times New Roman"/>
        </w:rPr>
        <w:instrText xml:space="preserve"> \* MERGEFORMAT </w:instrText>
      </w:r>
      <w:r w:rsidR="00642031" w:rsidRPr="00770477">
        <w:rPr>
          <w:rFonts w:cs="Times New Roman"/>
        </w:rPr>
      </w:r>
      <w:r w:rsidR="00642031" w:rsidRPr="00770477">
        <w:rPr>
          <w:rFonts w:cs="Times New Roman"/>
        </w:rPr>
        <w:fldChar w:fldCharType="separate"/>
      </w:r>
      <w:r w:rsidR="00061096" w:rsidRPr="00770477">
        <w:rPr>
          <w:rFonts w:cs="Times New Roman"/>
        </w:rPr>
        <w:t xml:space="preserve">Figure </w:t>
      </w:r>
      <w:r w:rsidR="00061096">
        <w:rPr>
          <w:rFonts w:cs="Times New Roman"/>
          <w:noProof/>
        </w:rPr>
        <w:t>3</w:t>
      </w:r>
      <w:r w:rsidR="00061096" w:rsidRPr="00770477">
        <w:rPr>
          <w:rFonts w:cs="Times New Roman"/>
          <w:noProof/>
        </w:rPr>
        <w:noBreakHyphen/>
      </w:r>
      <w:r w:rsidR="00061096">
        <w:rPr>
          <w:rFonts w:cs="Times New Roman"/>
          <w:noProof/>
        </w:rPr>
        <w:t>21</w:t>
      </w:r>
      <w:r w:rsidR="00642031" w:rsidRPr="00770477">
        <w:rPr>
          <w:rFonts w:cs="Times New Roman"/>
        </w:rPr>
        <w:fldChar w:fldCharType="end"/>
      </w:r>
      <w:r w:rsidRPr="00770477">
        <w:rPr>
          <w:rFonts w:cs="Times New Roman"/>
        </w:rPr>
        <w:t xml:space="preserve"> to initially remove some P but breakthrough relatively quickly. This same trend was observed in the mass removal rate analysis with an initial removal rate near 0.18 µg hr</w:t>
      </w:r>
      <w:r w:rsidRPr="00770477">
        <w:rPr>
          <w:rFonts w:cs="Times New Roman"/>
          <w:vertAlign w:val="superscript"/>
        </w:rPr>
        <w:t>-1</w:t>
      </w:r>
      <w:r w:rsidRPr="00770477">
        <w:rPr>
          <w:rFonts w:cs="Times New Roman"/>
        </w:rPr>
        <w:t xml:space="preserve"> cm</w:t>
      </w:r>
      <w:r w:rsidRPr="00770477">
        <w:rPr>
          <w:rFonts w:cs="Times New Roman"/>
          <w:vertAlign w:val="superscript"/>
        </w:rPr>
        <w:t>-3</w:t>
      </w:r>
      <w:r w:rsidRPr="00770477">
        <w:rPr>
          <w:rFonts w:cs="Times New Roman"/>
        </w:rPr>
        <w:t xml:space="preserve"> and reaching exhaustion by around 300 µg P passed through. Media results however demonstrated that </w:t>
      </w:r>
      <w:proofErr w:type="gramStart"/>
      <w:r w:rsidRPr="00770477">
        <w:rPr>
          <w:rFonts w:cs="Times New Roman"/>
        </w:rPr>
        <w:t>as long as</w:t>
      </w:r>
      <w:proofErr w:type="gramEnd"/>
      <w:r w:rsidRPr="00770477">
        <w:rPr>
          <w:rFonts w:cs="Times New Roman"/>
        </w:rPr>
        <w:t xml:space="preserve"> the control column was removing P, the removal rate was low or nonexistent. Intuitively, if the control column is removing large quantities of P from solution, the rate of removal is going to be a function of how much P is left available in solution to remove, so long as that value is not larger than the maximum removal rate capacity of the media. As the control column’s removal rate begins to decline with time, there is consequently more P in solution for the media to remove and therefore the removal rate of the media begins to increase. In the </w:t>
      </w:r>
      <w:r w:rsidR="006A6137">
        <w:rPr>
          <w:rFonts w:cs="Times New Roman"/>
        </w:rPr>
        <w:t>aggregated fly ash</w:t>
      </w:r>
      <w:r w:rsidRPr="00770477">
        <w:rPr>
          <w:rFonts w:cs="Times New Roman"/>
        </w:rPr>
        <w:t xml:space="preserve"> horizontal column, after the media P removal rate superseded the control </w:t>
      </w:r>
      <w:r w:rsidRPr="00770477">
        <w:rPr>
          <w:rFonts w:cs="Times New Roman"/>
        </w:rPr>
        <w:lastRenderedPageBreak/>
        <w:t xml:space="preserve">column removal rate, the media removal rate trend began to decline ultimately matching the trend of the vertical column experiment which showed a declining removal rate over time.  </w:t>
      </w:r>
      <w:r w:rsidR="000D230F" w:rsidRPr="00770477">
        <w:rPr>
          <w:rFonts w:cs="Times New Roman"/>
        </w:rPr>
        <w:br w:type="page"/>
      </w:r>
    </w:p>
    <w:p w14:paraId="3DA0733A" w14:textId="32F90A9B" w:rsidR="00615DD8" w:rsidRPr="00770477" w:rsidRDefault="00CB706B" w:rsidP="00E46783">
      <w:pPr>
        <w:pStyle w:val="Heading1"/>
        <w:rPr>
          <w:rFonts w:cs="Times New Roman"/>
        </w:rPr>
      </w:pPr>
      <w:bookmarkStart w:id="168" w:name="_Toc121496033"/>
      <w:r w:rsidRPr="00770477">
        <w:rPr>
          <w:rFonts w:cs="Times New Roman"/>
        </w:rPr>
        <w:lastRenderedPageBreak/>
        <w:t>Considerations</w:t>
      </w:r>
      <w:bookmarkEnd w:id="168"/>
    </w:p>
    <w:p w14:paraId="1718A2E5" w14:textId="730D24AD" w:rsidR="007B5F27" w:rsidRPr="00770477" w:rsidRDefault="00112A2A" w:rsidP="000D230F">
      <w:pPr>
        <w:ind w:firstLine="720"/>
        <w:rPr>
          <w:rFonts w:cs="Times New Roman"/>
        </w:rPr>
      </w:pPr>
      <w:r w:rsidRPr="00770477">
        <w:rPr>
          <w:rFonts w:cs="Times New Roman"/>
        </w:rPr>
        <w:t xml:space="preserve">As a contribution to the body of scientific literature, </w:t>
      </w:r>
      <w:r w:rsidR="00C01D00" w:rsidRPr="00770477">
        <w:rPr>
          <w:rFonts w:cs="Times New Roman"/>
        </w:rPr>
        <w:t xml:space="preserve">it is important for assumptions, limitation, and potential areas for concern to be clearly divulged </w:t>
      </w:r>
      <w:r w:rsidR="0039202B" w:rsidRPr="00770477">
        <w:rPr>
          <w:rFonts w:cs="Times New Roman"/>
        </w:rPr>
        <w:t xml:space="preserve">to properly contextualize the research being conducted. This section will review these </w:t>
      </w:r>
      <w:r w:rsidR="00473EDB" w:rsidRPr="00770477">
        <w:rPr>
          <w:rFonts w:cs="Times New Roman"/>
        </w:rPr>
        <w:t xml:space="preserve">disclosures </w:t>
      </w:r>
      <w:proofErr w:type="gramStart"/>
      <w:r w:rsidR="000E4E0A" w:rsidRPr="00770477">
        <w:rPr>
          <w:rFonts w:cs="Times New Roman"/>
        </w:rPr>
        <w:t>in order to</w:t>
      </w:r>
      <w:proofErr w:type="gramEnd"/>
      <w:r w:rsidR="000E4E0A" w:rsidRPr="00770477">
        <w:rPr>
          <w:rFonts w:cs="Times New Roman"/>
        </w:rPr>
        <w:t xml:space="preserve"> properly frame this </w:t>
      </w:r>
      <w:r w:rsidR="00E839EF" w:rsidRPr="00770477">
        <w:rPr>
          <w:rFonts w:cs="Times New Roman"/>
        </w:rPr>
        <w:t>study</w:t>
      </w:r>
      <w:r w:rsidR="000E4E0A" w:rsidRPr="00770477">
        <w:rPr>
          <w:rFonts w:cs="Times New Roman"/>
        </w:rPr>
        <w:t xml:space="preserve"> in the </w:t>
      </w:r>
      <w:r w:rsidR="00E839EF" w:rsidRPr="00770477">
        <w:rPr>
          <w:rFonts w:cs="Times New Roman"/>
        </w:rPr>
        <w:t xml:space="preserve">broader scientific discussion around LID modification, contaminant fate and transport, </w:t>
      </w:r>
      <w:r w:rsidR="002370A6" w:rsidRPr="00770477">
        <w:rPr>
          <w:rFonts w:cs="Times New Roman"/>
        </w:rPr>
        <w:t xml:space="preserve">and aqueous geochemistry. </w:t>
      </w:r>
    </w:p>
    <w:p w14:paraId="5A44F4D6" w14:textId="77777777" w:rsidR="000D230F" w:rsidRPr="00770477" w:rsidRDefault="000D230F" w:rsidP="000D230F">
      <w:pPr>
        <w:rPr>
          <w:rFonts w:cs="Times New Roman"/>
        </w:rPr>
      </w:pPr>
    </w:p>
    <w:p w14:paraId="7A1263CB" w14:textId="0D13CC86" w:rsidR="002370A6" w:rsidRPr="00770477" w:rsidRDefault="002370A6" w:rsidP="002370A6">
      <w:pPr>
        <w:pStyle w:val="Heading2"/>
        <w:rPr>
          <w:rFonts w:cs="Times New Roman"/>
        </w:rPr>
      </w:pPr>
      <w:bookmarkStart w:id="169" w:name="_Toc121496034"/>
      <w:r w:rsidRPr="00770477">
        <w:rPr>
          <w:rFonts w:cs="Times New Roman"/>
        </w:rPr>
        <w:t>Gompertz Function</w:t>
      </w:r>
      <w:r w:rsidR="00A00B19" w:rsidRPr="00770477">
        <w:rPr>
          <w:rFonts w:cs="Times New Roman"/>
        </w:rPr>
        <w:t xml:space="preserve"> and Influent-Effluent Graphs</w:t>
      </w:r>
      <w:bookmarkEnd w:id="169"/>
    </w:p>
    <w:p w14:paraId="4D409152" w14:textId="4B223DB5" w:rsidR="002370A6" w:rsidRPr="00770477" w:rsidRDefault="00BE277D" w:rsidP="000D230F">
      <w:pPr>
        <w:ind w:firstLine="720"/>
        <w:rPr>
          <w:rFonts w:cs="Times New Roman"/>
        </w:rPr>
      </w:pPr>
      <w:r w:rsidRPr="00770477">
        <w:rPr>
          <w:rFonts w:cs="Times New Roman"/>
        </w:rPr>
        <w:fldChar w:fldCharType="begin"/>
      </w:r>
      <w:r w:rsidR="002074AD">
        <w:rPr>
          <w:rFonts w:cs="Times New Roman"/>
        </w:rPr>
        <w:instrText xml:space="preserve"> ADDIN ZOTERO_ITEM CSL_CITATION {"citationID":"Uex5WKQK","properties":{"formattedCitation":"(Chu, 2020)","plainCitation":"(Chu, 2020)","dontUpdate":true,"noteIndex":0},"citationItems":[{"id":969,"uris":["http://zotero.org/users/8423188/items/VQ7BYHES"],"itemData":{"id":969,"type":"article-journal","container-title":"Journal of Environmental Chemical Engineering","DOI":"10.1016/j.jece.2020.103713","ISSN":"22133437","issue":"3","journalAbbreviation":"Journal of Environmental Chemical Engineering","language":"en","page":"103713","source":"DOI.org (Crossref)","title":"Fitting the Gompertz equation to asymmetric breakthrough curves","volume":"8","author":[{"family":"Chu","given":"Khim Hoong"}],"issued":{"date-parts":[["2020",6]]}}}],"schema":"https://github.com/citation-style-language/schema/raw/master/csl-citation.json"} </w:instrText>
      </w:r>
      <w:r w:rsidRPr="00770477">
        <w:rPr>
          <w:rFonts w:cs="Times New Roman"/>
        </w:rPr>
        <w:fldChar w:fldCharType="separate"/>
      </w:r>
      <w:r w:rsidRPr="00770477">
        <w:rPr>
          <w:rFonts w:cs="Times New Roman"/>
        </w:rPr>
        <w:t xml:space="preserve">Chu </w:t>
      </w:r>
      <w:r w:rsidR="00024532" w:rsidRPr="00770477">
        <w:rPr>
          <w:rFonts w:cs="Times New Roman"/>
        </w:rPr>
        <w:t>(</w:t>
      </w:r>
      <w:r w:rsidRPr="00770477">
        <w:rPr>
          <w:rFonts w:cs="Times New Roman"/>
        </w:rPr>
        <w:t>2020)</w:t>
      </w:r>
      <w:r w:rsidRPr="00770477">
        <w:rPr>
          <w:rFonts w:cs="Times New Roman"/>
        </w:rPr>
        <w:fldChar w:fldCharType="end"/>
      </w:r>
      <w:r w:rsidR="00024532" w:rsidRPr="00770477">
        <w:rPr>
          <w:rFonts w:cs="Times New Roman"/>
        </w:rPr>
        <w:t xml:space="preserve"> makes a strong case </w:t>
      </w:r>
      <w:r w:rsidR="004A5403" w:rsidRPr="00770477">
        <w:rPr>
          <w:rFonts w:cs="Times New Roman"/>
        </w:rPr>
        <w:t xml:space="preserve">the use of the Gompertz function </w:t>
      </w:r>
      <w:r w:rsidR="00897C4D" w:rsidRPr="00770477">
        <w:rPr>
          <w:rFonts w:cs="Times New Roman"/>
        </w:rPr>
        <w:t xml:space="preserve">to fit </w:t>
      </w:r>
      <w:r w:rsidR="00BD120E" w:rsidRPr="00770477">
        <w:rPr>
          <w:rFonts w:cs="Times New Roman"/>
        </w:rPr>
        <w:t>data</w:t>
      </w:r>
      <w:r w:rsidR="00897C4D" w:rsidRPr="00770477">
        <w:rPr>
          <w:rFonts w:cs="Times New Roman"/>
        </w:rPr>
        <w:t xml:space="preserve"> such as </w:t>
      </w:r>
      <w:r w:rsidR="00AF49AC" w:rsidRPr="00770477">
        <w:rPr>
          <w:rFonts w:cs="Times New Roman"/>
        </w:rPr>
        <w:t>fixed bed adsorption studies</w:t>
      </w:r>
      <w:r w:rsidR="00BD120E" w:rsidRPr="00770477">
        <w:rPr>
          <w:rFonts w:cs="Times New Roman"/>
        </w:rPr>
        <w:t xml:space="preserve"> </w:t>
      </w:r>
      <w:proofErr w:type="gramStart"/>
      <w:r w:rsidR="00BD120E" w:rsidRPr="00770477">
        <w:rPr>
          <w:rFonts w:cs="Times New Roman"/>
        </w:rPr>
        <w:t>similar to</w:t>
      </w:r>
      <w:proofErr w:type="gramEnd"/>
      <w:r w:rsidR="00BD120E" w:rsidRPr="00770477">
        <w:rPr>
          <w:rFonts w:cs="Times New Roman"/>
        </w:rPr>
        <w:t xml:space="preserve"> what was studied in this thesis. </w:t>
      </w:r>
      <w:r w:rsidR="00D42B2E" w:rsidRPr="00770477">
        <w:rPr>
          <w:rFonts w:cs="Times New Roman"/>
        </w:rPr>
        <w:t xml:space="preserve">This curve is </w:t>
      </w:r>
      <w:r w:rsidR="00B2173B" w:rsidRPr="00770477">
        <w:rPr>
          <w:rFonts w:cs="Times New Roman"/>
        </w:rPr>
        <w:t>applicable to this study</w:t>
      </w:r>
      <w:r w:rsidR="00D42B2E" w:rsidRPr="00770477">
        <w:rPr>
          <w:rFonts w:cs="Times New Roman"/>
        </w:rPr>
        <w:t xml:space="preserve"> due to its ability to model asymmetric </w:t>
      </w:r>
      <w:r w:rsidR="004E16D3" w:rsidRPr="00770477">
        <w:rPr>
          <w:rFonts w:cs="Times New Roman"/>
        </w:rPr>
        <w:t>breakthrough curves</w:t>
      </w:r>
      <w:r w:rsidR="00D42B2E" w:rsidRPr="00770477">
        <w:rPr>
          <w:rFonts w:cs="Times New Roman"/>
        </w:rPr>
        <w:t xml:space="preserve"> well, which </w:t>
      </w:r>
      <w:r w:rsidR="00CE4730" w:rsidRPr="00770477">
        <w:rPr>
          <w:rFonts w:cs="Times New Roman"/>
        </w:rPr>
        <w:t xml:space="preserve">was largely the case for the study covered in this thesis. </w:t>
      </w:r>
      <w:r w:rsidR="00EF3F86" w:rsidRPr="00770477">
        <w:rPr>
          <w:rFonts w:cs="Times New Roman"/>
        </w:rPr>
        <w:t>Often, the data analyzed here</w:t>
      </w:r>
      <w:r w:rsidR="00F9073F" w:rsidRPr="00770477">
        <w:rPr>
          <w:rFonts w:cs="Times New Roman"/>
        </w:rPr>
        <w:t xml:space="preserve"> showed only the decaying tail</w:t>
      </w:r>
      <w:r w:rsidR="00FD6044" w:rsidRPr="00770477">
        <w:rPr>
          <w:rFonts w:cs="Times New Roman"/>
        </w:rPr>
        <w:t xml:space="preserve"> (concave down)</w:t>
      </w:r>
      <w:r w:rsidR="00F9073F" w:rsidRPr="00770477">
        <w:rPr>
          <w:rFonts w:cs="Times New Roman"/>
        </w:rPr>
        <w:t xml:space="preserve"> of an S-curve, while other data only showed the exponential growth</w:t>
      </w:r>
      <w:r w:rsidR="00FD6044" w:rsidRPr="00770477">
        <w:rPr>
          <w:rFonts w:cs="Times New Roman"/>
        </w:rPr>
        <w:t xml:space="preserve"> (concave up)</w:t>
      </w:r>
      <w:r w:rsidR="00F9073F" w:rsidRPr="00770477">
        <w:rPr>
          <w:rFonts w:cs="Times New Roman"/>
        </w:rPr>
        <w:t xml:space="preserve"> portion of an S-curve</w:t>
      </w:r>
      <w:r w:rsidR="00FD6044" w:rsidRPr="00770477">
        <w:rPr>
          <w:rFonts w:cs="Times New Roman"/>
        </w:rPr>
        <w:t>, while yet others showed both. The Gompertz function allows for</w:t>
      </w:r>
      <w:r w:rsidR="00133594" w:rsidRPr="00770477">
        <w:rPr>
          <w:rFonts w:cs="Times New Roman"/>
        </w:rPr>
        <w:t xml:space="preserve"> showing one or </w:t>
      </w:r>
      <w:proofErr w:type="gramStart"/>
      <w:r w:rsidR="00133594" w:rsidRPr="00770477">
        <w:rPr>
          <w:rFonts w:cs="Times New Roman"/>
        </w:rPr>
        <w:t>both of these</w:t>
      </w:r>
      <w:proofErr w:type="gramEnd"/>
      <w:r w:rsidR="00133594" w:rsidRPr="00770477">
        <w:rPr>
          <w:rFonts w:cs="Times New Roman"/>
        </w:rPr>
        <w:t xml:space="preserve"> while also allowing for asymmetry in all cases. </w:t>
      </w:r>
    </w:p>
    <w:p w14:paraId="28366E00" w14:textId="5F063565" w:rsidR="00297B7F" w:rsidRPr="00770477" w:rsidRDefault="00955A5E" w:rsidP="00F2614D">
      <w:pPr>
        <w:ind w:firstLine="720"/>
        <w:rPr>
          <w:rFonts w:cs="Times New Roman"/>
        </w:rPr>
      </w:pPr>
      <w:r w:rsidRPr="00770477">
        <w:rPr>
          <w:rFonts w:cs="Times New Roman"/>
        </w:rPr>
        <w:t xml:space="preserve">However, </w:t>
      </w:r>
      <w:r w:rsidR="00631545" w:rsidRPr="00770477">
        <w:rPr>
          <w:rFonts w:cs="Times New Roman"/>
        </w:rPr>
        <w:t>there are several</w:t>
      </w:r>
      <w:r w:rsidR="004C7EE2" w:rsidRPr="00770477">
        <w:rPr>
          <w:rFonts w:cs="Times New Roman"/>
        </w:rPr>
        <w:t xml:space="preserve"> considerations with how the Gompertz function was utilized to </w:t>
      </w:r>
      <w:r w:rsidR="00805586" w:rsidRPr="00770477">
        <w:rPr>
          <w:rFonts w:cs="Times New Roman"/>
        </w:rPr>
        <w:t xml:space="preserve">analyze the data in this study. First, </w:t>
      </w:r>
      <w:r w:rsidR="00FC49B9" w:rsidRPr="00770477">
        <w:rPr>
          <w:rFonts w:cs="Times New Roman"/>
        </w:rPr>
        <w:t xml:space="preserve">this model is strictly a </w:t>
      </w:r>
      <w:r w:rsidR="00730D9C" w:rsidRPr="00770477">
        <w:rPr>
          <w:rFonts w:cs="Times New Roman"/>
        </w:rPr>
        <w:t xml:space="preserve">diagnostic model </w:t>
      </w:r>
      <w:r w:rsidR="00730D9C" w:rsidRPr="00770477">
        <w:rPr>
          <w:rFonts w:cs="Times New Roman"/>
          <w:i/>
          <w:iCs/>
        </w:rPr>
        <w:t>not</w:t>
      </w:r>
      <w:r w:rsidR="00730D9C" w:rsidRPr="00770477">
        <w:rPr>
          <w:rFonts w:cs="Times New Roman"/>
        </w:rPr>
        <w:t xml:space="preserve"> a predictive one. This meaning, </w:t>
      </w:r>
      <w:r w:rsidR="00631545" w:rsidRPr="00770477">
        <w:rPr>
          <w:rFonts w:cs="Times New Roman"/>
        </w:rPr>
        <w:t>points</w:t>
      </w:r>
      <w:r w:rsidR="00730D9C" w:rsidRPr="00770477">
        <w:rPr>
          <w:rFonts w:cs="Times New Roman"/>
        </w:rPr>
        <w:t xml:space="preserve"> that fall outside the domain of the experiment </w:t>
      </w:r>
      <w:r w:rsidR="00631545" w:rsidRPr="00770477">
        <w:rPr>
          <w:rFonts w:cs="Times New Roman"/>
        </w:rPr>
        <w:t xml:space="preserve">are not able to be appropriately </w:t>
      </w:r>
      <w:r w:rsidR="00991797" w:rsidRPr="00770477">
        <w:rPr>
          <w:rFonts w:cs="Times New Roman"/>
        </w:rPr>
        <w:t xml:space="preserve">characterized by the curve fit </w:t>
      </w:r>
      <w:r w:rsidR="00991797" w:rsidRPr="00770477">
        <w:rPr>
          <w:rFonts w:cs="Times New Roman"/>
          <w:i/>
          <w:iCs/>
        </w:rPr>
        <w:t>within</w:t>
      </w:r>
      <w:r w:rsidR="00991797" w:rsidRPr="00770477">
        <w:rPr>
          <w:rFonts w:cs="Times New Roman"/>
        </w:rPr>
        <w:t xml:space="preserve"> the domain of the data. </w:t>
      </w:r>
      <w:r w:rsidR="00660ECC" w:rsidRPr="00770477">
        <w:rPr>
          <w:rFonts w:cs="Times New Roman"/>
        </w:rPr>
        <w:t>T</w:t>
      </w:r>
      <w:r w:rsidR="00052AD3" w:rsidRPr="00770477">
        <w:rPr>
          <w:rFonts w:cs="Times New Roman"/>
        </w:rPr>
        <w:t>he Gompertz curve would often predict elements outside the domain of the data</w:t>
      </w:r>
      <w:r w:rsidR="00660ECC" w:rsidRPr="00770477">
        <w:rPr>
          <w:rFonts w:cs="Times New Roman"/>
        </w:rPr>
        <w:t xml:space="preserve">, however without further data points to confirm the model, </w:t>
      </w:r>
      <w:r w:rsidR="00B97E0F" w:rsidRPr="00770477">
        <w:rPr>
          <w:rFonts w:cs="Times New Roman"/>
        </w:rPr>
        <w:t xml:space="preserve">these elements cannot be fully relied on. Instead, when elements such as the upper IE asymptote fell outside the domain of the data, the </w:t>
      </w:r>
      <w:r w:rsidR="00506A63" w:rsidRPr="00770477">
        <w:rPr>
          <w:rFonts w:cs="Times New Roman"/>
        </w:rPr>
        <w:t xml:space="preserve">resultant elements are treated as merely speculative rather than predictive. </w:t>
      </w:r>
      <w:r w:rsidR="000A769B" w:rsidRPr="00770477">
        <w:rPr>
          <w:rFonts w:cs="Times New Roman"/>
        </w:rPr>
        <w:t xml:space="preserve">Furthermore, in instances where the model did not reach an </w:t>
      </w:r>
      <w:r w:rsidR="000A769B" w:rsidRPr="00770477">
        <w:rPr>
          <w:rFonts w:cs="Times New Roman"/>
        </w:rPr>
        <w:lastRenderedPageBreak/>
        <w:t>upper IE ratio asymptote of at least 0.95, overriding the asymptote to be fixed at 1.00</w:t>
      </w:r>
      <w:r w:rsidR="007C6D8B" w:rsidRPr="00770477">
        <w:rPr>
          <w:rFonts w:cs="Times New Roman"/>
        </w:rPr>
        <w:t xml:space="preserve"> was an attempt to calculate a coarse speculation as to where breakthrough </w:t>
      </w:r>
      <w:r w:rsidR="007C6D8B" w:rsidRPr="00770477">
        <w:rPr>
          <w:rFonts w:cs="Times New Roman"/>
          <w:i/>
          <w:iCs/>
        </w:rPr>
        <w:t>might</w:t>
      </w:r>
      <w:r w:rsidR="007C6D8B" w:rsidRPr="00770477">
        <w:rPr>
          <w:rFonts w:cs="Times New Roman"/>
        </w:rPr>
        <w:t xml:space="preserve"> occur. </w:t>
      </w:r>
      <w:r w:rsidR="005D739B" w:rsidRPr="00770477">
        <w:rPr>
          <w:rFonts w:cs="Times New Roman"/>
        </w:rPr>
        <w:t xml:space="preserve">Overall, where the key parameters were not measured within the domain of the data collected, further data </w:t>
      </w:r>
      <w:r w:rsidR="0060133E" w:rsidRPr="00770477">
        <w:rPr>
          <w:rFonts w:cs="Times New Roman"/>
        </w:rPr>
        <w:t>is needed</w:t>
      </w:r>
      <w:r w:rsidR="005D739B" w:rsidRPr="00770477">
        <w:rPr>
          <w:rFonts w:cs="Times New Roman"/>
        </w:rPr>
        <w:t xml:space="preserve"> </w:t>
      </w:r>
      <w:proofErr w:type="gramStart"/>
      <w:r w:rsidR="005D739B" w:rsidRPr="00770477">
        <w:rPr>
          <w:rFonts w:cs="Times New Roman"/>
        </w:rPr>
        <w:t>in order to</w:t>
      </w:r>
      <w:proofErr w:type="gramEnd"/>
      <w:r w:rsidR="005D739B" w:rsidRPr="00770477">
        <w:rPr>
          <w:rFonts w:cs="Times New Roman"/>
        </w:rPr>
        <w:t xml:space="preserve"> </w:t>
      </w:r>
      <w:r w:rsidR="00960CA4" w:rsidRPr="00770477">
        <w:rPr>
          <w:rFonts w:cs="Times New Roman"/>
        </w:rPr>
        <w:t xml:space="preserve">better calibrate the model to reflect the </w:t>
      </w:r>
      <w:r w:rsidR="0060133E" w:rsidRPr="00770477">
        <w:rPr>
          <w:rFonts w:cs="Times New Roman"/>
        </w:rPr>
        <w:t xml:space="preserve">interactions and processes </w:t>
      </w:r>
      <w:r w:rsidR="00E0701E" w:rsidRPr="00770477">
        <w:rPr>
          <w:rFonts w:cs="Times New Roman"/>
        </w:rPr>
        <w:t xml:space="preserve">studied. Conversely, many datasets in this study </w:t>
      </w:r>
      <w:r w:rsidR="007B0DEF" w:rsidRPr="00770477">
        <w:rPr>
          <w:rFonts w:cs="Times New Roman"/>
        </w:rPr>
        <w:t xml:space="preserve">predicted key parameters of the Gompertz curve within the data domain as collected and therefore </w:t>
      </w:r>
      <w:r w:rsidR="004A0BA9" w:rsidRPr="00770477">
        <w:rPr>
          <w:rFonts w:cs="Times New Roman"/>
        </w:rPr>
        <w:t>this model represents a</w:t>
      </w:r>
      <w:r w:rsidR="003F30E2" w:rsidRPr="00770477">
        <w:rPr>
          <w:rFonts w:cs="Times New Roman"/>
        </w:rPr>
        <w:t xml:space="preserve">n effective </w:t>
      </w:r>
      <w:r w:rsidR="004A0BA9" w:rsidRPr="00770477">
        <w:rPr>
          <w:rFonts w:cs="Times New Roman"/>
        </w:rPr>
        <w:t>characterization of the interactions and processes</w:t>
      </w:r>
      <w:r w:rsidR="003F30E2" w:rsidRPr="00770477">
        <w:rPr>
          <w:rFonts w:cs="Times New Roman"/>
        </w:rPr>
        <w:t xml:space="preserve"> occurring. </w:t>
      </w:r>
    </w:p>
    <w:p w14:paraId="6DCD770D" w14:textId="0873C39E" w:rsidR="00093AC0" w:rsidRPr="00770477" w:rsidRDefault="00ED7AA3" w:rsidP="00093AC0">
      <w:pPr>
        <w:ind w:firstLine="720"/>
        <w:rPr>
          <w:rFonts w:cs="Times New Roman"/>
        </w:rPr>
      </w:pPr>
      <w:r w:rsidRPr="00770477">
        <w:rPr>
          <w:rFonts w:cs="Times New Roman"/>
        </w:rPr>
        <w:t xml:space="preserve">Another consideration </w:t>
      </w:r>
      <w:r w:rsidR="00A10ECB" w:rsidRPr="00770477">
        <w:rPr>
          <w:rFonts w:cs="Times New Roman"/>
        </w:rPr>
        <w:t>are</w:t>
      </w:r>
      <w:r w:rsidRPr="00770477">
        <w:rPr>
          <w:rFonts w:cs="Times New Roman"/>
        </w:rPr>
        <w:t xml:space="preserve"> the underlying assumptions</w:t>
      </w:r>
      <w:r w:rsidR="00A10ECB" w:rsidRPr="00770477">
        <w:rPr>
          <w:rFonts w:cs="Times New Roman"/>
        </w:rPr>
        <w:t xml:space="preserve"> for the proper application of the</w:t>
      </w:r>
      <w:r w:rsidR="00E76BE3" w:rsidRPr="00770477">
        <w:rPr>
          <w:rFonts w:cs="Times New Roman"/>
        </w:rPr>
        <w:t xml:space="preserve"> Gompertz function</w:t>
      </w:r>
      <w:r w:rsidR="00A10ECB" w:rsidRPr="00770477">
        <w:rPr>
          <w:rFonts w:cs="Times New Roman"/>
        </w:rPr>
        <w:t>. Originally, this function</w:t>
      </w:r>
      <w:r w:rsidR="00E76BE3" w:rsidRPr="00770477">
        <w:rPr>
          <w:rFonts w:cs="Times New Roman"/>
        </w:rPr>
        <w:t xml:space="preserve"> was intended to model populations in biological sciences. One of the foundations of the Gompertz function because of this is that relationships are intended to</w:t>
      </w:r>
      <w:r w:rsidR="00EE2B8F" w:rsidRPr="00770477">
        <w:rPr>
          <w:rFonts w:cs="Times New Roman"/>
        </w:rPr>
        <w:t xml:space="preserve"> be studied as binary; either a </w:t>
      </w:r>
      <w:r w:rsidR="00F41502" w:rsidRPr="00770477">
        <w:rPr>
          <w:rFonts w:cs="Times New Roman"/>
        </w:rPr>
        <w:t xml:space="preserve">being (person, microbe, animal, </w:t>
      </w:r>
      <w:r w:rsidR="00C35EA4" w:rsidRPr="00770477">
        <w:rPr>
          <w:rFonts w:cs="Times New Roman"/>
        </w:rPr>
        <w:t>etc.</w:t>
      </w:r>
      <w:r w:rsidR="00F41502" w:rsidRPr="00770477">
        <w:rPr>
          <w:rFonts w:cs="Times New Roman"/>
        </w:rPr>
        <w:t>)</w:t>
      </w:r>
      <w:r w:rsidR="00E76BE3" w:rsidRPr="00770477">
        <w:rPr>
          <w:rFonts w:cs="Times New Roman"/>
        </w:rPr>
        <w:t xml:space="preserve"> </w:t>
      </w:r>
      <w:r w:rsidR="00F41502" w:rsidRPr="00770477">
        <w:rPr>
          <w:rFonts w:cs="Times New Roman"/>
        </w:rPr>
        <w:t xml:space="preserve">is alive or dead. Furthermore, once </w:t>
      </w:r>
      <w:r w:rsidR="00A51882" w:rsidRPr="00770477">
        <w:rPr>
          <w:rFonts w:cs="Times New Roman"/>
        </w:rPr>
        <w:t>a being is alive, it stays alive and once it is dead, it stays dead.</w:t>
      </w:r>
      <w:r w:rsidR="00E76BE3" w:rsidRPr="00770477">
        <w:rPr>
          <w:rFonts w:cs="Times New Roman"/>
        </w:rPr>
        <w:t xml:space="preserve"> What </w:t>
      </w:r>
      <w:r w:rsidR="00A51882" w:rsidRPr="00770477">
        <w:rPr>
          <w:rFonts w:cs="Times New Roman"/>
        </w:rPr>
        <w:t>this</w:t>
      </w:r>
      <w:r w:rsidR="00E76BE3" w:rsidRPr="00770477">
        <w:rPr>
          <w:rFonts w:cs="Times New Roman"/>
        </w:rPr>
        <w:t xml:space="preserve"> implies for the use of the Gompertz model for this study is that the contaminant should react, then at some point the reaction stops and nothing further happens. However, it is well known that this is not the case</w:t>
      </w:r>
      <w:r w:rsidR="006112FA" w:rsidRPr="00770477">
        <w:rPr>
          <w:rFonts w:cs="Times New Roman"/>
        </w:rPr>
        <w:t xml:space="preserve"> with sorbed contaminants often exchanging for other contaminants and for varying precipitation/</w:t>
      </w:r>
      <w:r w:rsidR="00BD5A7B" w:rsidRPr="00770477">
        <w:rPr>
          <w:rFonts w:cs="Times New Roman"/>
        </w:rPr>
        <w:t>dissolution</w:t>
      </w:r>
      <w:r w:rsidR="006112FA" w:rsidRPr="00770477">
        <w:rPr>
          <w:rFonts w:cs="Times New Roman"/>
        </w:rPr>
        <w:t xml:space="preserve"> reactions continuously occurring</w:t>
      </w:r>
      <w:r w:rsidR="00B915A8" w:rsidRPr="00770477">
        <w:rPr>
          <w:rFonts w:cs="Times New Roman"/>
        </w:rPr>
        <w:t xml:space="preserve"> </w:t>
      </w:r>
      <w:r w:rsidR="00C61ABA" w:rsidRPr="00770477">
        <w:rPr>
          <w:rFonts w:cs="Times New Roman"/>
        </w:rPr>
        <w:fldChar w:fldCharType="begin"/>
      </w:r>
      <w:r w:rsidR="002074AD">
        <w:rPr>
          <w:rFonts w:cs="Times New Roman"/>
        </w:rPr>
        <w:instrText xml:space="preserve"> ADDIN ZOTERO_ITEM CSL_CITATION {"citationID":"a2fckku6ud8","properties":{"formattedCitation":"(Attard &amp; Barnes, 1998)","plainCitation":"(Attard &amp; Barnes, 1998)","noteIndex":0},"citationItems":[{"id":1001,"uris":["http://zotero.org/users/8423188/items/ATRHW66I"],"itemData":{"id":1001,"type":"book","call-number":"QD506 .A88 1998","collection-number":"59","collection-title":"Oxford science publications","event-place":"Oxford ; New York","ISBN":"978-0-19-855686-2","number-of-pages":"92","publisher":"Oxford University Press","publisher-place":"Oxford ; New York","source":"Library of Congress ISBN","title":"Surfaces","author":[{"family":"Attard","given":"Gary"},{"family":"Barnes","given":"Colin"}],"issued":{"date-parts":[["1998"]]}}}],"schema":"https://github.com/citation-style-language/schema/raw/master/csl-citation.json"} </w:instrText>
      </w:r>
      <w:r w:rsidR="00C61ABA" w:rsidRPr="00770477">
        <w:rPr>
          <w:rFonts w:cs="Times New Roman"/>
        </w:rPr>
        <w:fldChar w:fldCharType="separate"/>
      </w:r>
      <w:r w:rsidR="003D5078" w:rsidRPr="00770477">
        <w:rPr>
          <w:rFonts w:cs="Times New Roman"/>
        </w:rPr>
        <w:t>(Attard &amp; Barnes, 1998)</w:t>
      </w:r>
      <w:r w:rsidR="00C61ABA" w:rsidRPr="00770477">
        <w:rPr>
          <w:rFonts w:cs="Times New Roman"/>
        </w:rPr>
        <w:fldChar w:fldCharType="end"/>
      </w:r>
      <w:r w:rsidR="006112FA" w:rsidRPr="00770477">
        <w:rPr>
          <w:rFonts w:cs="Times New Roman"/>
        </w:rPr>
        <w:t xml:space="preserve">. </w:t>
      </w:r>
      <w:r w:rsidR="00230BFE" w:rsidRPr="00770477">
        <w:rPr>
          <w:rFonts w:cs="Times New Roman"/>
        </w:rPr>
        <w:t xml:space="preserve">Although </w:t>
      </w:r>
      <w:r w:rsidR="00063DA9" w:rsidRPr="00770477">
        <w:rPr>
          <w:rFonts w:cs="Times New Roman"/>
        </w:rPr>
        <w:t xml:space="preserve">the study in this thesis is highly complex and is likely to be composed of </w:t>
      </w:r>
      <w:r w:rsidR="005B7957">
        <w:rPr>
          <w:rFonts w:cs="Times New Roman"/>
        </w:rPr>
        <w:t>large quantities</w:t>
      </w:r>
      <w:r w:rsidR="006023F3">
        <w:rPr>
          <w:rFonts w:cs="Times New Roman"/>
        </w:rPr>
        <w:t xml:space="preserve"> of</w:t>
      </w:r>
      <w:r w:rsidR="00063DA9" w:rsidRPr="00770477">
        <w:rPr>
          <w:rFonts w:cs="Times New Roman"/>
        </w:rPr>
        <w:t xml:space="preserve"> sorption/</w:t>
      </w:r>
      <w:r w:rsidR="005B0EBC" w:rsidRPr="00770477">
        <w:rPr>
          <w:rFonts w:cs="Times New Roman"/>
        </w:rPr>
        <w:t>desorption</w:t>
      </w:r>
      <w:r w:rsidR="00063DA9" w:rsidRPr="00770477">
        <w:rPr>
          <w:rFonts w:cs="Times New Roman"/>
        </w:rPr>
        <w:t xml:space="preserve"> and dissolution/precipitation reactions</w:t>
      </w:r>
      <w:r w:rsidR="005B0EBC" w:rsidRPr="00770477">
        <w:rPr>
          <w:rFonts w:cs="Times New Roman"/>
        </w:rPr>
        <w:t>, general</w:t>
      </w:r>
      <w:r w:rsidR="00B406FD" w:rsidRPr="00770477">
        <w:rPr>
          <w:rFonts w:cs="Times New Roman"/>
        </w:rPr>
        <w:t>izing reactions</w:t>
      </w:r>
      <w:r w:rsidR="00C348FC" w:rsidRPr="00770477">
        <w:rPr>
          <w:rFonts w:cs="Times New Roman"/>
        </w:rPr>
        <w:t xml:space="preserve"> can help to create a more binary </w:t>
      </w:r>
      <w:r w:rsidR="008F0A29" w:rsidRPr="00770477">
        <w:rPr>
          <w:rFonts w:cs="Times New Roman"/>
        </w:rPr>
        <w:t xml:space="preserve">system which is appropriate for Gompertz modeling. Generally, by observing a </w:t>
      </w:r>
      <w:r w:rsidR="00FA128C" w:rsidRPr="00770477">
        <w:rPr>
          <w:rFonts w:cs="Times New Roman"/>
        </w:rPr>
        <w:t xml:space="preserve">trend of removing a contaminant followed by an exhaustion of the media to remove a contaminant produces a </w:t>
      </w:r>
      <w:r w:rsidR="00093AC0" w:rsidRPr="00770477">
        <w:rPr>
          <w:rFonts w:cs="Times New Roman"/>
        </w:rPr>
        <w:t xml:space="preserve">system that is well modeled by the Gompertz equation. </w:t>
      </w:r>
    </w:p>
    <w:p w14:paraId="7AA68CE6" w14:textId="73FCDCBF" w:rsidR="000D230F" w:rsidRPr="00770477" w:rsidRDefault="00FB458F" w:rsidP="00C66281">
      <w:pPr>
        <w:ind w:firstLine="720"/>
        <w:rPr>
          <w:rFonts w:cs="Times New Roman"/>
        </w:rPr>
      </w:pPr>
      <w:r w:rsidRPr="00770477">
        <w:rPr>
          <w:rFonts w:cs="Times New Roman"/>
        </w:rPr>
        <w:lastRenderedPageBreak/>
        <w:t xml:space="preserve">Overall, the use of the Gompertz function in this study is not necessarily inappropriate and </w:t>
      </w:r>
      <w:r w:rsidR="003E153C" w:rsidRPr="00770477">
        <w:rPr>
          <w:rFonts w:cs="Times New Roman"/>
        </w:rPr>
        <w:t>often</w:t>
      </w:r>
      <w:r w:rsidRPr="00770477">
        <w:rPr>
          <w:rFonts w:cs="Times New Roman"/>
        </w:rPr>
        <w:t xml:space="preserve"> is descriptive and effective, however, several factors in its utilization </w:t>
      </w:r>
      <w:r w:rsidR="00DC2630" w:rsidRPr="00770477">
        <w:rPr>
          <w:rFonts w:cs="Times New Roman"/>
        </w:rPr>
        <w:t xml:space="preserve">should be considered when </w:t>
      </w:r>
      <w:r w:rsidR="00C66281" w:rsidRPr="00770477">
        <w:rPr>
          <w:rFonts w:cs="Times New Roman"/>
        </w:rPr>
        <w:t>interpreting results.</w:t>
      </w:r>
    </w:p>
    <w:p w14:paraId="0783E32B" w14:textId="77777777" w:rsidR="00C66281" w:rsidRPr="00770477" w:rsidRDefault="00C66281" w:rsidP="00C66281">
      <w:pPr>
        <w:ind w:firstLine="720"/>
        <w:rPr>
          <w:rFonts w:cs="Times New Roman"/>
        </w:rPr>
      </w:pPr>
    </w:p>
    <w:p w14:paraId="6EF28B33" w14:textId="0C8FCACE" w:rsidR="002370A6" w:rsidRPr="00770477" w:rsidRDefault="002370A6" w:rsidP="002370A6">
      <w:pPr>
        <w:pStyle w:val="Heading2"/>
        <w:rPr>
          <w:rFonts w:cs="Times New Roman"/>
        </w:rPr>
      </w:pPr>
      <w:bookmarkStart w:id="170" w:name="_Toc121496035"/>
      <w:r w:rsidRPr="00770477">
        <w:rPr>
          <w:rFonts w:cs="Times New Roman"/>
        </w:rPr>
        <w:t xml:space="preserve">Study </w:t>
      </w:r>
      <w:r w:rsidR="00AF34B7" w:rsidRPr="00770477">
        <w:rPr>
          <w:rFonts w:cs="Times New Roman"/>
        </w:rPr>
        <w:t>Design: Proof of Concept</w:t>
      </w:r>
      <w:bookmarkEnd w:id="170"/>
    </w:p>
    <w:p w14:paraId="0363E6D4" w14:textId="5B972333" w:rsidR="00FB458F" w:rsidRPr="00770477" w:rsidRDefault="00FB458F" w:rsidP="000D230F">
      <w:pPr>
        <w:ind w:firstLine="720"/>
        <w:rPr>
          <w:rFonts w:cs="Times New Roman"/>
        </w:rPr>
      </w:pPr>
      <w:r w:rsidRPr="00770477">
        <w:rPr>
          <w:rFonts w:cs="Times New Roman"/>
        </w:rPr>
        <w:t>As has been referenced multiple times through this thesis, the</w:t>
      </w:r>
      <w:r w:rsidR="00AD2C50" w:rsidRPr="00770477">
        <w:rPr>
          <w:rFonts w:cs="Times New Roman"/>
        </w:rPr>
        <w:t xml:space="preserve"> used</w:t>
      </w:r>
      <w:r w:rsidRPr="00770477">
        <w:rPr>
          <w:rFonts w:cs="Times New Roman"/>
        </w:rPr>
        <w:t xml:space="preserve"> study design involves highly</w:t>
      </w:r>
      <w:r w:rsidR="00AD2C50" w:rsidRPr="00770477">
        <w:rPr>
          <w:rFonts w:cs="Times New Roman"/>
        </w:rPr>
        <w:t xml:space="preserve"> intricate interactions with a</w:t>
      </w:r>
      <w:r w:rsidRPr="00770477">
        <w:rPr>
          <w:rFonts w:cs="Times New Roman"/>
        </w:rPr>
        <w:t xml:space="preserve"> complex influent which underwent complex reactions under a continuously flowing system. </w:t>
      </w:r>
      <w:r w:rsidR="00AD2C50" w:rsidRPr="00770477">
        <w:rPr>
          <w:rFonts w:cs="Times New Roman"/>
        </w:rPr>
        <w:t xml:space="preserve">This allows for many things to play a role in understanding the removal of contaminants such as kinetics, multi-layer sorption, chemical sorption, competitive sorption, and precipitation/dissolution reactions to name a few. </w:t>
      </w:r>
    </w:p>
    <w:p w14:paraId="1993D3DF" w14:textId="2EB4FC0B" w:rsidR="00191B62" w:rsidRPr="00770477" w:rsidRDefault="00191B62" w:rsidP="000D230F">
      <w:pPr>
        <w:ind w:firstLine="720"/>
        <w:rPr>
          <w:rFonts w:cs="Times New Roman"/>
        </w:rPr>
      </w:pPr>
      <w:r w:rsidRPr="00770477">
        <w:rPr>
          <w:rFonts w:cs="Times New Roman"/>
        </w:rPr>
        <w:t xml:space="preserve">Furthermore, the experiments </w:t>
      </w:r>
      <w:r w:rsidR="008C02E1" w:rsidRPr="00770477">
        <w:rPr>
          <w:rFonts w:cs="Times New Roman"/>
        </w:rPr>
        <w:t>performed</w:t>
      </w:r>
      <w:r w:rsidRPr="00770477">
        <w:rPr>
          <w:rFonts w:cs="Times New Roman"/>
        </w:rPr>
        <w:t xml:space="preserve"> were only conducted once and had no replicate studies to confirm the </w:t>
      </w:r>
      <w:r w:rsidR="003E153C" w:rsidRPr="00770477">
        <w:rPr>
          <w:rFonts w:cs="Times New Roman"/>
        </w:rPr>
        <w:t>reproducibility</w:t>
      </w:r>
      <w:r w:rsidR="000C4EFC" w:rsidRPr="00770477">
        <w:rPr>
          <w:rFonts w:cs="Times New Roman"/>
        </w:rPr>
        <w:t xml:space="preserve"> o</w:t>
      </w:r>
      <w:r w:rsidRPr="00770477">
        <w:rPr>
          <w:rFonts w:cs="Times New Roman"/>
        </w:rPr>
        <w:t xml:space="preserve">f what was observed. Therefore, it should be clearly noted that these results apply strictly to the experiments that were conducted and cannot be statistically applied to the wholistic behavior of the studied media in treating the studied contaminants. </w:t>
      </w:r>
    </w:p>
    <w:p w14:paraId="0B019F38" w14:textId="627857CD" w:rsidR="00191B62" w:rsidRPr="00770477" w:rsidRDefault="00191B62" w:rsidP="000D230F">
      <w:pPr>
        <w:ind w:firstLine="720"/>
        <w:rPr>
          <w:rFonts w:cs="Times New Roman"/>
        </w:rPr>
      </w:pPr>
      <w:r w:rsidRPr="00770477">
        <w:rPr>
          <w:rFonts w:cs="Times New Roman"/>
        </w:rPr>
        <w:t xml:space="preserve">This study was designed </w:t>
      </w:r>
      <w:r w:rsidR="00923EC5" w:rsidRPr="00770477">
        <w:rPr>
          <w:rFonts w:cs="Times New Roman"/>
        </w:rPr>
        <w:t xml:space="preserve">the way it was </w:t>
      </w:r>
      <w:proofErr w:type="gramStart"/>
      <w:r w:rsidR="00923EC5" w:rsidRPr="00770477">
        <w:rPr>
          <w:rFonts w:cs="Times New Roman"/>
        </w:rPr>
        <w:t>in order to</w:t>
      </w:r>
      <w:proofErr w:type="gramEnd"/>
      <w:r w:rsidR="00923EC5" w:rsidRPr="00770477">
        <w:rPr>
          <w:rFonts w:cs="Times New Roman"/>
        </w:rPr>
        <w:t xml:space="preserve"> serve as a proof of concept for these media to treat a complex mix of contaminants to further inform future, larger-scaled projects. The conclusions from this study will help to better design effluent treatment systems for bioretention which is actively an area of research within the Oklahoma Water Survey. </w:t>
      </w:r>
      <w:r w:rsidR="00F9507D" w:rsidRPr="00770477">
        <w:rPr>
          <w:rFonts w:cs="Times New Roman"/>
        </w:rPr>
        <w:t xml:space="preserve">More detailed studies are suggested in “Future Studies” which could help to understand specific mechanisms at play and could overall benefit the final design for bioretention effluent treatment systems. </w:t>
      </w:r>
    </w:p>
    <w:p w14:paraId="3DCD443D" w14:textId="77777777" w:rsidR="000D230F" w:rsidRPr="00770477" w:rsidRDefault="000D230F" w:rsidP="000D230F">
      <w:pPr>
        <w:rPr>
          <w:rFonts w:cs="Times New Roman"/>
        </w:rPr>
      </w:pPr>
    </w:p>
    <w:p w14:paraId="0658B201" w14:textId="70B2F9E5" w:rsidR="00AF34B7" w:rsidRPr="00770477" w:rsidRDefault="00AF34B7" w:rsidP="00AF34B7">
      <w:pPr>
        <w:pStyle w:val="Heading2"/>
        <w:rPr>
          <w:rFonts w:cs="Times New Roman"/>
        </w:rPr>
      </w:pPr>
      <w:bookmarkStart w:id="171" w:name="_Toc121496036"/>
      <w:r w:rsidRPr="00770477">
        <w:rPr>
          <w:rFonts w:cs="Times New Roman"/>
        </w:rPr>
        <w:lastRenderedPageBreak/>
        <w:t>Environmental</w:t>
      </w:r>
      <w:r w:rsidR="00365AA2" w:rsidRPr="00770477">
        <w:rPr>
          <w:rFonts w:cs="Times New Roman"/>
        </w:rPr>
        <w:t xml:space="preserve"> Safety</w:t>
      </w:r>
      <w:r w:rsidRPr="00770477">
        <w:rPr>
          <w:rFonts w:cs="Times New Roman"/>
        </w:rPr>
        <w:t xml:space="preserve"> </w:t>
      </w:r>
      <w:r w:rsidR="0017752E" w:rsidRPr="00770477">
        <w:rPr>
          <w:rFonts w:cs="Times New Roman"/>
        </w:rPr>
        <w:t>Considerations</w:t>
      </w:r>
      <w:bookmarkEnd w:id="171"/>
    </w:p>
    <w:p w14:paraId="6B9EEB2F" w14:textId="1C335BE2" w:rsidR="009E2DC6" w:rsidRPr="00770477" w:rsidRDefault="00526CB2" w:rsidP="00751333">
      <w:pPr>
        <w:ind w:firstLine="720"/>
        <w:rPr>
          <w:rFonts w:cs="Times New Roman"/>
        </w:rPr>
      </w:pPr>
      <w:r w:rsidRPr="00770477">
        <w:rPr>
          <w:rFonts w:cs="Times New Roman"/>
        </w:rPr>
        <w:fldChar w:fldCharType="begin"/>
      </w:r>
      <w:r w:rsidR="002074AD">
        <w:rPr>
          <w:rFonts w:cs="Times New Roman"/>
        </w:rPr>
        <w:instrText xml:space="preserve"> ADDIN ZOTERO_ITEM CSL_CITATION {"citationID":"Q7lGSRbt","properties":{"formattedCitation":"(Scott &amp; Penn, 2021)","plainCitation":"(Scott &amp; Penn, 2021)","dontUpdate":true,"noteIndex":0},"citationItems":[{"id":331,"uris":["http://zotero.org/users/8423188/items/CSHY3DJB"],"itemData":{"id":331,"type":"article-journal","abstract":"Steel slag has been proven to be an effective phosphorus (P) removal media, and a potential aid to mitigate point and nonpoint P pollution in freshwater systems. However, the behavior of steel slag as a P sorption material (PSM) is often oversimpliﬁed through the generalization of its chemical and physical properties, preventing proper design of P removal structures. In this work, we tested eighteen steel slag samples from different batches, production processes, and steel-making plants, for the purpose of relating slag origin and chemical and physical properties to P removal ability, under two different ﬂow regimes. Slag samples were also coated with aluminum (Al) and tested for P removal. Characterization included elemental composition, particle density, buffer capacity, and P removal ability. There was great variability in the evaluated properties across slag sources and origin, compelling the individual characterization of steel slag samples, since their intrinsic characteristics were key variables in determining their potential P removal capacity. Speciﬁcally, electrical conductivity (EC), bulk density, particle density and magnesium (Mg) content could explain around 70% of the variability of P removal by uncoated steel slags. Increasing residence time (RT) always increased P removal for uncoated slags. Steel slags showed a high variability in their P removal ability, but such variability was considerably decreased by coating the slags with Al. Additionally, the Al-coating process signiﬁcantly improved P removal performance under more rapid ﬂows (lower RT).","container-title":"Chemosphere","DOI":"10.1016/j.chemosphere.2021.130205","ISSN":"00456535","journalAbbreviation":"Chemosphere","language":"en","page":"130205","source":"DOI.org (Crossref)","title":"Estimating the variability of steel slag properties and their influence in phosphorus removal ability","volume":"276","author":[{"family":"Scott","given":"Isis S.P.C."},{"family":"Penn","given":"Chad J."}],"issued":{"date-parts":[["2021",8]]}}}],"schema":"https://github.com/citation-style-language/schema/raw/master/csl-citation.json"} </w:instrText>
      </w:r>
      <w:r w:rsidRPr="00770477">
        <w:rPr>
          <w:rFonts w:cs="Times New Roman"/>
        </w:rPr>
        <w:fldChar w:fldCharType="separate"/>
      </w:r>
      <w:r w:rsidRPr="00770477">
        <w:rPr>
          <w:rFonts w:cs="Times New Roman"/>
        </w:rPr>
        <w:t>Scott &amp; Penn (2021)</w:t>
      </w:r>
      <w:r w:rsidRPr="00770477">
        <w:rPr>
          <w:rFonts w:cs="Times New Roman"/>
        </w:rPr>
        <w:fldChar w:fldCharType="end"/>
      </w:r>
      <w:r w:rsidRPr="00770477">
        <w:rPr>
          <w:rFonts w:cs="Times New Roman"/>
        </w:rPr>
        <w:t xml:space="preserve"> conclude their study with </w:t>
      </w:r>
      <w:r w:rsidR="005B59C7" w:rsidRPr="00770477">
        <w:rPr>
          <w:rFonts w:cs="Times New Roman"/>
        </w:rPr>
        <w:t xml:space="preserve">an excellent mention of the </w:t>
      </w:r>
      <w:r w:rsidR="0041574F" w:rsidRPr="00770477">
        <w:rPr>
          <w:rFonts w:cs="Times New Roman"/>
        </w:rPr>
        <w:t xml:space="preserve">“environmental safety of steel slags.” Furthermore, in </w:t>
      </w:r>
      <w:r w:rsidR="00940008" w:rsidRPr="00770477">
        <w:rPr>
          <w:rFonts w:cs="Times New Roman"/>
        </w:rPr>
        <w:t>a</w:t>
      </w:r>
      <w:r w:rsidR="0041574F" w:rsidRPr="00770477">
        <w:rPr>
          <w:rFonts w:cs="Times New Roman"/>
        </w:rPr>
        <w:t xml:space="preserve"> review of fly ash, </w:t>
      </w:r>
      <w:r w:rsidR="0041574F" w:rsidRPr="00770477">
        <w:rPr>
          <w:rFonts w:cs="Times New Roman"/>
        </w:rPr>
        <w:fldChar w:fldCharType="begin"/>
      </w:r>
      <w:r w:rsidR="002074AD">
        <w:rPr>
          <w:rFonts w:cs="Times New Roman"/>
        </w:rPr>
        <w:instrText xml:space="preserve"> ADDIN ZOTERO_ITEM CSL_CITATION {"citationID":"zSzXMbMQ","properties":{"formattedCitation":"(Ahmaruzzaman, 2010)","plainCitation":"(Ahmaruzzaman, 2010)","dontUpdate":true,"noteIndex":0},"citationItems":[{"id":77,"uris":["http://zotero.org/users/8423188/items/PEE3JLJR"],"itemData":{"id":77,"type":"article-journal","abstract":"Fly ash, generated during the combustion of coal for energy production, is an industrial by-product which is recognized as an environmental pollutant. Because of the environmental problems presented by the ﬂy ash, considerable research has been undertaken on the subject worldwide. In this paper, the utilization of ﬂy ash in construction, as a low-cost adsorbent for the removal of organic compounds, ﬂue gas and metals, light weight aggregate, mine back ﬁll, road sub-base, and zeolite synthesis is discussed. A considerable amount of research has been conducted using ﬂy ash for adsorption of NOx, SOx, organic compounds, and mercury in air, dyes and other organic compounds in waters. It is found that ﬂy ash is a promising adsorbent for the removal of various pollutants. The adsorption capacity of ﬂy ash may be increased after chemical and physical activation. It was also found that ﬂy ash has good potential for use in the construction industry. The conversion of ﬂy ash into zeolites has many applications such as ion exchange, molecular sieves, and adsorbents. Converting ﬂy ash into zeolites not only alleviates the disposal problem but also converts a waste material into a marketable commodity. Investigations also revealed that the unburned carbon component in ﬂy ash plays an important role in its adsorption capacity. Future research in these areas is also discussed.","container-title":"Progress in Energy and Combustion Science","DOI":"10.1016/j.pecs.2009.11.003","ISSN":"03601285","issue":"3","journalAbbreviation":"Progress in Energy and Combustion Science","language":"en","page":"327-363","source":"DOI.org (Crossref)","title":"A review on the utilization of fly ash","volume":"36","author":[{"family":"Ahmaruzzaman","given":"M."}],"issued":{"date-parts":[["2010",6]]}}}],"schema":"https://github.com/citation-style-language/schema/raw/master/csl-citation.json"} </w:instrText>
      </w:r>
      <w:r w:rsidR="0041574F" w:rsidRPr="00770477">
        <w:rPr>
          <w:rFonts w:cs="Times New Roman"/>
        </w:rPr>
        <w:fldChar w:fldCharType="separate"/>
      </w:r>
      <w:r w:rsidR="0041574F" w:rsidRPr="00770477">
        <w:rPr>
          <w:rFonts w:cs="Times New Roman"/>
        </w:rPr>
        <w:t>Ahmaruzzaman (2010)</w:t>
      </w:r>
      <w:r w:rsidR="0041574F" w:rsidRPr="00770477">
        <w:rPr>
          <w:rFonts w:cs="Times New Roman"/>
        </w:rPr>
        <w:fldChar w:fldCharType="end"/>
      </w:r>
      <w:r w:rsidR="0041574F" w:rsidRPr="00770477">
        <w:rPr>
          <w:rFonts w:cs="Times New Roman"/>
        </w:rPr>
        <w:t xml:space="preserve"> was sure to include mention of the safety and proper application of fly ash in environmental settings. </w:t>
      </w:r>
      <w:r w:rsidR="00751333" w:rsidRPr="00770477">
        <w:rPr>
          <w:rFonts w:cs="Times New Roman"/>
        </w:rPr>
        <w:t>Considerations should include a medium’s l</w:t>
      </w:r>
      <w:r w:rsidR="009E2DC6" w:rsidRPr="00770477">
        <w:rPr>
          <w:rFonts w:cs="Times New Roman"/>
        </w:rPr>
        <w:t>eaching</w:t>
      </w:r>
      <w:r w:rsidR="00751333" w:rsidRPr="00770477">
        <w:rPr>
          <w:rFonts w:cs="Times New Roman"/>
        </w:rPr>
        <w:t xml:space="preserve"> ability</w:t>
      </w:r>
      <w:r w:rsidR="009E2DC6" w:rsidRPr="00770477">
        <w:rPr>
          <w:rFonts w:cs="Times New Roman"/>
        </w:rPr>
        <w:t xml:space="preserve">, </w:t>
      </w:r>
      <w:r w:rsidR="00945054" w:rsidRPr="00770477">
        <w:rPr>
          <w:rFonts w:cs="Times New Roman"/>
        </w:rPr>
        <w:t>reuse</w:t>
      </w:r>
      <w:r w:rsidR="00751333" w:rsidRPr="00770477">
        <w:rPr>
          <w:rFonts w:cs="Times New Roman"/>
        </w:rPr>
        <w:t xml:space="preserve"> potential</w:t>
      </w:r>
      <w:r w:rsidR="00945054" w:rsidRPr="00770477">
        <w:rPr>
          <w:rFonts w:cs="Times New Roman"/>
        </w:rPr>
        <w:t>,</w:t>
      </w:r>
      <w:r w:rsidR="00751333" w:rsidRPr="00770477">
        <w:rPr>
          <w:rFonts w:cs="Times New Roman"/>
        </w:rPr>
        <w:t xml:space="preserve"> proper</w:t>
      </w:r>
      <w:r w:rsidR="00945054" w:rsidRPr="00770477">
        <w:rPr>
          <w:rFonts w:cs="Times New Roman"/>
        </w:rPr>
        <w:t xml:space="preserve"> disposal</w:t>
      </w:r>
      <w:r w:rsidR="00CB706B" w:rsidRPr="00770477">
        <w:rPr>
          <w:rFonts w:cs="Times New Roman"/>
        </w:rPr>
        <w:t>, variability of source</w:t>
      </w:r>
      <w:r w:rsidR="00751333" w:rsidRPr="00770477">
        <w:rPr>
          <w:rFonts w:cs="Times New Roman"/>
        </w:rPr>
        <w:t xml:space="preserve"> material</w:t>
      </w:r>
      <w:r w:rsidR="00CB706B" w:rsidRPr="00770477">
        <w:rPr>
          <w:rFonts w:cs="Times New Roman"/>
        </w:rPr>
        <w:t>,</w:t>
      </w:r>
      <w:r w:rsidR="00751333" w:rsidRPr="00770477">
        <w:rPr>
          <w:rFonts w:cs="Times New Roman"/>
        </w:rPr>
        <w:t xml:space="preserve"> and potential impacts</w:t>
      </w:r>
      <w:r w:rsidR="00CB706B" w:rsidRPr="00770477">
        <w:rPr>
          <w:rFonts w:cs="Times New Roman"/>
        </w:rPr>
        <w:t xml:space="preserve"> to LID hydraulics.</w:t>
      </w:r>
      <w:r w:rsidR="00740A70" w:rsidRPr="00770477">
        <w:rPr>
          <w:rFonts w:cs="Times New Roman"/>
        </w:rPr>
        <w:t xml:space="preserve"> </w:t>
      </w:r>
      <w:r w:rsidR="00EE6B58" w:rsidRPr="00770477">
        <w:rPr>
          <w:rFonts w:cs="Times New Roman"/>
        </w:rPr>
        <w:t xml:space="preserve">The biochar used in this study has been approved by the US EPA as safe to use in the environment </w:t>
      </w:r>
      <w:r w:rsidR="00EE6B58" w:rsidRPr="00770477">
        <w:rPr>
          <w:rFonts w:cs="Times New Roman"/>
        </w:rPr>
        <w:fldChar w:fldCharType="begin"/>
      </w:r>
      <w:r w:rsidR="002074AD">
        <w:rPr>
          <w:rFonts w:cs="Times New Roman"/>
        </w:rPr>
        <w:instrText xml:space="preserve"> ADDIN ZOTERO_ITEM CSL_CITATION {"citationID":"wBSA4lPZ","properties":{"formattedCitation":"(J. Gaspard, personal communication, October 10, 2022)","plainCitation":"(J. Gaspard, personal communication, October 10, 2022)","noteIndex":0},"citationItems":[{"id":1000,"uris":["http://zotero.org/users/8423188/items/JHQPHLP7"],"itemData":{"id":1000,"type":"interview","medium":"Phone Call","title":"Personal Communications","author":[{"family":"Gaspard","given":"James"}],"issued":{"date-parts":[["2022",10,10]]}}}],"schema":"https://github.com/citation-style-language/schema/raw/master/csl-citation.json"} </w:instrText>
      </w:r>
      <w:r w:rsidR="00EE6B58" w:rsidRPr="00770477">
        <w:rPr>
          <w:rFonts w:cs="Times New Roman"/>
        </w:rPr>
        <w:fldChar w:fldCharType="separate"/>
      </w:r>
      <w:r w:rsidR="00E11E17" w:rsidRPr="00770477">
        <w:rPr>
          <w:rFonts w:cs="Times New Roman"/>
        </w:rPr>
        <w:t>(J. Gaspard, personal communication, October 10, 2022)</w:t>
      </w:r>
      <w:r w:rsidR="00EE6B58" w:rsidRPr="00770477">
        <w:rPr>
          <w:rFonts w:cs="Times New Roman"/>
        </w:rPr>
        <w:fldChar w:fldCharType="end"/>
      </w:r>
      <w:r w:rsidR="00EE6B58" w:rsidRPr="00770477">
        <w:rPr>
          <w:rFonts w:cs="Times New Roman"/>
        </w:rPr>
        <w:t xml:space="preserve">. </w:t>
      </w:r>
    </w:p>
    <w:p w14:paraId="22237A98" w14:textId="67961273" w:rsidR="00EE6B58" w:rsidRPr="00770477" w:rsidRDefault="00EE6B58" w:rsidP="000D230F">
      <w:pPr>
        <w:ind w:firstLine="720"/>
        <w:rPr>
          <w:rFonts w:cs="Times New Roman"/>
        </w:rPr>
      </w:pPr>
      <w:r w:rsidRPr="00770477">
        <w:rPr>
          <w:rFonts w:cs="Times New Roman"/>
        </w:rPr>
        <w:t>Fly ash and steel or iron slags are not homogeneous</w:t>
      </w:r>
      <w:r w:rsidR="00F16AB8" w:rsidRPr="00770477">
        <w:rPr>
          <w:rFonts w:cs="Times New Roman"/>
        </w:rPr>
        <w:t xml:space="preserve"> and a</w:t>
      </w:r>
      <w:r w:rsidRPr="00770477">
        <w:rPr>
          <w:rFonts w:cs="Times New Roman"/>
        </w:rPr>
        <w:t xml:space="preserve">s </w:t>
      </w:r>
      <w:r w:rsidR="003D7346" w:rsidRPr="00770477">
        <w:rPr>
          <w:rFonts w:cs="Times New Roman"/>
        </w:rPr>
        <w:t>demonstrated</w:t>
      </w:r>
      <w:r w:rsidR="00F16AB8" w:rsidRPr="00770477">
        <w:rPr>
          <w:rFonts w:cs="Times New Roman"/>
        </w:rPr>
        <w:t xml:space="preserve"> by this study</w:t>
      </w:r>
      <w:r w:rsidRPr="00770477">
        <w:rPr>
          <w:rFonts w:cs="Times New Roman"/>
        </w:rPr>
        <w:t xml:space="preserve">, these media </w:t>
      </w:r>
      <w:r w:rsidR="00B70F76" w:rsidRPr="00770477">
        <w:rPr>
          <w:rFonts w:cs="Times New Roman"/>
        </w:rPr>
        <w:t>possess</w:t>
      </w:r>
      <w:r w:rsidR="00844E53" w:rsidRPr="00770477">
        <w:rPr>
          <w:rFonts w:cs="Times New Roman"/>
        </w:rPr>
        <w:t xml:space="preserve"> the potential </w:t>
      </w:r>
      <w:r w:rsidR="003D7346" w:rsidRPr="00770477">
        <w:rPr>
          <w:rFonts w:cs="Times New Roman"/>
        </w:rPr>
        <w:t>to leach</w:t>
      </w:r>
      <w:r w:rsidR="00844E53" w:rsidRPr="00770477">
        <w:rPr>
          <w:rFonts w:cs="Times New Roman"/>
        </w:rPr>
        <w:t xml:space="preserve"> </w:t>
      </w:r>
      <w:r w:rsidR="00B70F76" w:rsidRPr="00770477">
        <w:rPr>
          <w:rFonts w:cs="Times New Roman"/>
        </w:rPr>
        <w:t>elements</w:t>
      </w:r>
      <w:r w:rsidR="00844E53" w:rsidRPr="00770477">
        <w:rPr>
          <w:rFonts w:cs="Times New Roman"/>
        </w:rPr>
        <w:t xml:space="preserve"> into the environment.</w:t>
      </w:r>
      <w:r w:rsidR="00B70F76" w:rsidRPr="00770477">
        <w:rPr>
          <w:rFonts w:cs="Times New Roman"/>
        </w:rPr>
        <w:t xml:space="preserve"> </w:t>
      </w:r>
      <w:r w:rsidR="003D7346" w:rsidRPr="00770477">
        <w:rPr>
          <w:rFonts w:cs="Times New Roman"/>
        </w:rPr>
        <w:t xml:space="preserve">The selection of the used media is very important, with source media coming from industries or sources that commonly contain higher concentrations of more harmful metals can be of </w:t>
      </w:r>
      <w:r w:rsidR="006023F3">
        <w:rPr>
          <w:rFonts w:cs="Times New Roman"/>
        </w:rPr>
        <w:t>particular</w:t>
      </w:r>
      <w:r w:rsidR="003D7346" w:rsidRPr="00770477">
        <w:rPr>
          <w:rFonts w:cs="Times New Roman"/>
        </w:rPr>
        <w:t xml:space="preserve"> concern. </w:t>
      </w:r>
      <w:r w:rsidR="00B70F76" w:rsidRPr="00770477">
        <w:rPr>
          <w:rFonts w:cs="Times New Roman"/>
        </w:rPr>
        <w:t>Furthermore</w:t>
      </w:r>
      <w:r w:rsidR="003D7346" w:rsidRPr="00770477">
        <w:rPr>
          <w:rFonts w:cs="Times New Roman"/>
        </w:rPr>
        <w:t>, obtaining biochar from a source which</w:t>
      </w:r>
      <w:r w:rsidR="00743576" w:rsidRPr="00770477">
        <w:rPr>
          <w:rFonts w:cs="Times New Roman"/>
        </w:rPr>
        <w:t xml:space="preserve"> produces biochar, and not charcoal</w:t>
      </w:r>
      <w:r w:rsidR="003D7346" w:rsidRPr="00770477">
        <w:rPr>
          <w:rFonts w:cs="Times New Roman"/>
        </w:rPr>
        <w:t xml:space="preserve"> is very important to maintain the carbon structures which give biochar its beneficial properties. </w:t>
      </w:r>
      <w:r w:rsidR="005063A6" w:rsidRPr="00770477">
        <w:rPr>
          <w:rFonts w:cs="Times New Roman"/>
        </w:rPr>
        <w:t>Likewise</w:t>
      </w:r>
      <w:r w:rsidR="003D7346" w:rsidRPr="00770477">
        <w:rPr>
          <w:rFonts w:cs="Times New Roman"/>
        </w:rPr>
        <w:t xml:space="preserve">, the proper application of media is incredibly important. Generally, </w:t>
      </w:r>
      <w:r w:rsidR="00940008" w:rsidRPr="00770477">
        <w:rPr>
          <w:rFonts w:cs="Times New Roman"/>
        </w:rPr>
        <w:t xml:space="preserve">deploying a media with a high metal content into a highly acidic environment considerably increases the risk of metals leaching from the media. Although fly ash and steel slag have been shown to buffer solutions well, in doing so, these media may leach metals </w:t>
      </w:r>
      <w:r w:rsidR="00F96750" w:rsidRPr="00770477">
        <w:rPr>
          <w:rFonts w:cs="Times New Roman"/>
        </w:rPr>
        <w:t>rather than retaining them.</w:t>
      </w:r>
    </w:p>
    <w:p w14:paraId="053BC33C" w14:textId="62E4B005" w:rsidR="00293C4C" w:rsidRPr="00770477" w:rsidRDefault="00D20C4E" w:rsidP="00931099">
      <w:pPr>
        <w:ind w:firstLine="720"/>
        <w:rPr>
          <w:rFonts w:cs="Times New Roman"/>
        </w:rPr>
      </w:pPr>
      <w:r w:rsidRPr="00770477">
        <w:rPr>
          <w:rFonts w:cs="Times New Roman"/>
        </w:rPr>
        <w:t xml:space="preserve">Lastly, using a porous media in a system designed to capture and distribute water </w:t>
      </w:r>
      <w:r w:rsidR="003408B8" w:rsidRPr="00770477">
        <w:rPr>
          <w:rFonts w:cs="Times New Roman"/>
        </w:rPr>
        <w:t xml:space="preserve">can </w:t>
      </w:r>
      <w:r w:rsidR="003A4FEF" w:rsidRPr="00770477">
        <w:rPr>
          <w:rFonts w:cs="Times New Roman"/>
        </w:rPr>
        <w:t xml:space="preserve">pose an issue to the hydraulics for said system. </w:t>
      </w:r>
      <w:r w:rsidR="001238AA" w:rsidRPr="00770477">
        <w:rPr>
          <w:rFonts w:cs="Times New Roman"/>
        </w:rPr>
        <w:t xml:space="preserve">Considerations would need to be </w:t>
      </w:r>
      <w:proofErr w:type="gramStart"/>
      <w:r w:rsidR="001238AA" w:rsidRPr="00770477">
        <w:rPr>
          <w:rFonts w:cs="Times New Roman"/>
        </w:rPr>
        <w:t>taken into account</w:t>
      </w:r>
      <w:proofErr w:type="gramEnd"/>
      <w:r w:rsidR="001238AA" w:rsidRPr="00770477">
        <w:rPr>
          <w:rFonts w:cs="Times New Roman"/>
        </w:rPr>
        <w:t xml:space="preserve"> </w:t>
      </w:r>
      <w:r w:rsidR="0037117A" w:rsidRPr="00770477">
        <w:rPr>
          <w:rFonts w:cs="Times New Roman"/>
        </w:rPr>
        <w:t xml:space="preserve">to determine if inserting media into a bioretention underdrain would negatively impact the hydraulics of the system and potentially reduce the efficacy of the bioretention as designed. </w:t>
      </w:r>
      <w:r w:rsidR="005A0A13" w:rsidRPr="00770477">
        <w:rPr>
          <w:rFonts w:cs="Times New Roman"/>
        </w:rPr>
        <w:t xml:space="preserve">Likewise, </w:t>
      </w:r>
      <w:r w:rsidR="000B3CF0" w:rsidRPr="00770477">
        <w:rPr>
          <w:rFonts w:cs="Times New Roman"/>
        </w:rPr>
        <w:t xml:space="preserve">impacts </w:t>
      </w:r>
      <w:r w:rsidR="000B3CF0" w:rsidRPr="00770477">
        <w:rPr>
          <w:rFonts w:cs="Times New Roman"/>
        </w:rPr>
        <w:lastRenderedPageBreak/>
        <w:t xml:space="preserve">of </w:t>
      </w:r>
      <w:r w:rsidR="00710615" w:rsidRPr="00770477">
        <w:rPr>
          <w:rFonts w:cs="Times New Roman"/>
        </w:rPr>
        <w:t xml:space="preserve">media interactions with the treated solution (mostly precipitation) would need to be monitored to </w:t>
      </w:r>
      <w:r w:rsidR="007B6D79" w:rsidRPr="00770477">
        <w:rPr>
          <w:rFonts w:cs="Times New Roman"/>
        </w:rPr>
        <w:t xml:space="preserve">assess the impacts to bioretention hydraulics. </w:t>
      </w:r>
      <w:r w:rsidR="001238AA" w:rsidRPr="00770477">
        <w:rPr>
          <w:rFonts w:cs="Times New Roman"/>
        </w:rPr>
        <w:t xml:space="preserve"> </w:t>
      </w:r>
      <w:r w:rsidR="000D230F" w:rsidRPr="00770477">
        <w:rPr>
          <w:rFonts w:cs="Times New Roman"/>
        </w:rPr>
        <w:br w:type="page"/>
      </w:r>
    </w:p>
    <w:p w14:paraId="10CB7BF6" w14:textId="36D9DFDB" w:rsidR="00E46783" w:rsidRPr="00770477" w:rsidRDefault="00E46783" w:rsidP="00E46783">
      <w:pPr>
        <w:pStyle w:val="Heading1"/>
        <w:rPr>
          <w:rFonts w:cs="Times New Roman"/>
        </w:rPr>
      </w:pPr>
      <w:bookmarkStart w:id="172" w:name="_Toc121496037"/>
      <w:r w:rsidRPr="00770477">
        <w:rPr>
          <w:rFonts w:cs="Times New Roman"/>
        </w:rPr>
        <w:lastRenderedPageBreak/>
        <w:t>Future Studies</w:t>
      </w:r>
      <w:bookmarkEnd w:id="172"/>
    </w:p>
    <w:p w14:paraId="5F6DA9AD" w14:textId="7E97B4ED" w:rsidR="006939B2" w:rsidRPr="00770477" w:rsidRDefault="00D15642" w:rsidP="006A7D6B">
      <w:pPr>
        <w:ind w:firstLine="720"/>
        <w:rPr>
          <w:rFonts w:cs="Times New Roman"/>
        </w:rPr>
      </w:pPr>
      <w:r w:rsidRPr="00770477">
        <w:rPr>
          <w:rFonts w:cs="Times New Roman"/>
        </w:rPr>
        <w:t xml:space="preserve">This thesis has highlighted many areas where the proof of concept </w:t>
      </w:r>
      <w:r w:rsidR="002D0B2D" w:rsidRPr="00770477">
        <w:rPr>
          <w:rFonts w:cs="Times New Roman"/>
        </w:rPr>
        <w:t xml:space="preserve">from this study could be expanded upon to </w:t>
      </w:r>
      <w:r w:rsidR="00A026AA" w:rsidRPr="00770477">
        <w:rPr>
          <w:rFonts w:cs="Times New Roman"/>
        </w:rPr>
        <w:t xml:space="preserve">maximize LID design </w:t>
      </w:r>
      <w:r w:rsidR="00494D6A" w:rsidRPr="00770477">
        <w:rPr>
          <w:rFonts w:cs="Times New Roman"/>
        </w:rPr>
        <w:t xml:space="preserve">and to </w:t>
      </w:r>
      <w:r w:rsidR="002D0B2D" w:rsidRPr="00770477">
        <w:rPr>
          <w:rFonts w:cs="Times New Roman"/>
        </w:rPr>
        <w:t xml:space="preserve">further understand the mechanisms </w:t>
      </w:r>
      <w:r w:rsidR="001B69CC" w:rsidRPr="00770477">
        <w:rPr>
          <w:rFonts w:cs="Times New Roman"/>
        </w:rPr>
        <w:t>in aqueous contaminant removal</w:t>
      </w:r>
      <w:r w:rsidR="00A026AA" w:rsidRPr="00770477">
        <w:rPr>
          <w:rFonts w:cs="Times New Roman"/>
        </w:rPr>
        <w:t xml:space="preserve">. </w:t>
      </w:r>
    </w:p>
    <w:p w14:paraId="7F20773A" w14:textId="06B373B8" w:rsidR="00A026AA" w:rsidRPr="00770477" w:rsidRDefault="00A026AA" w:rsidP="006A7D6B">
      <w:pPr>
        <w:ind w:firstLine="720"/>
        <w:rPr>
          <w:rFonts w:cs="Times New Roman"/>
        </w:rPr>
      </w:pPr>
      <w:r w:rsidRPr="00770477">
        <w:rPr>
          <w:rFonts w:cs="Times New Roman"/>
        </w:rPr>
        <w:t xml:space="preserve">One such </w:t>
      </w:r>
      <w:r w:rsidR="00144920" w:rsidRPr="00770477">
        <w:rPr>
          <w:rFonts w:cs="Times New Roman"/>
        </w:rPr>
        <w:t>approach</w:t>
      </w:r>
      <w:r w:rsidRPr="00770477">
        <w:rPr>
          <w:rFonts w:cs="Times New Roman"/>
        </w:rPr>
        <w:t xml:space="preserve"> is aqueous geochemical modeling</w:t>
      </w:r>
      <w:r w:rsidR="00984015" w:rsidRPr="00770477">
        <w:rPr>
          <w:rFonts w:cs="Times New Roman"/>
        </w:rPr>
        <w:t xml:space="preserve"> (AGM)</w:t>
      </w:r>
      <w:r w:rsidR="006D572C" w:rsidRPr="00770477">
        <w:rPr>
          <w:rFonts w:cs="Times New Roman"/>
        </w:rPr>
        <w:t xml:space="preserve"> to better understand what specific geochemical processes are factoring into changes in component concentrations</w:t>
      </w:r>
      <w:r w:rsidRPr="00770477">
        <w:rPr>
          <w:rFonts w:cs="Times New Roman"/>
        </w:rPr>
        <w:t xml:space="preserve">. </w:t>
      </w:r>
      <w:r w:rsidR="00C969B3" w:rsidRPr="00770477">
        <w:rPr>
          <w:rFonts w:cs="Times New Roman"/>
        </w:rPr>
        <w:t xml:space="preserve">For instance, </w:t>
      </w:r>
      <w:r w:rsidR="00712548" w:rsidRPr="00770477">
        <w:rPr>
          <w:rFonts w:cs="Times New Roman"/>
        </w:rPr>
        <w:t xml:space="preserve">the SSW solution could be modeled based on measured sample concentrations. This AGM </w:t>
      </w:r>
      <w:r w:rsidR="00865E93" w:rsidRPr="00770477">
        <w:rPr>
          <w:rFonts w:cs="Times New Roman"/>
        </w:rPr>
        <w:t xml:space="preserve">would help in understanding the equilibrium state of the influent solution to </w:t>
      </w:r>
      <w:r w:rsidR="006F6FDB" w:rsidRPr="00770477">
        <w:rPr>
          <w:rFonts w:cs="Times New Roman"/>
        </w:rPr>
        <w:t>predict the contaminant phase (dissolved</w:t>
      </w:r>
      <w:r w:rsidR="00B566A0" w:rsidRPr="00770477">
        <w:rPr>
          <w:rFonts w:cs="Times New Roman"/>
        </w:rPr>
        <w:t xml:space="preserve"> or complexed) as well as what elements are under or over saturated. Based on the properties of the media used in this study, </w:t>
      </w:r>
      <w:r w:rsidR="00E90840" w:rsidRPr="00770477">
        <w:rPr>
          <w:rFonts w:cs="Times New Roman"/>
        </w:rPr>
        <w:t xml:space="preserve">transport modeling would allow a model to predict the precipitation or dissolution of </w:t>
      </w:r>
      <w:r w:rsidR="00491FB3" w:rsidRPr="00770477">
        <w:rPr>
          <w:rFonts w:cs="Times New Roman"/>
        </w:rPr>
        <w:t xml:space="preserve">various components as well as likely sorption (physical or chemical) of different contaminants. </w:t>
      </w:r>
      <w:r w:rsidR="007A5BEA" w:rsidRPr="00770477">
        <w:rPr>
          <w:rFonts w:cs="Times New Roman"/>
        </w:rPr>
        <w:t xml:space="preserve">Model results could then be compared to </w:t>
      </w:r>
      <w:r w:rsidR="00005C72" w:rsidRPr="00770477">
        <w:rPr>
          <w:rFonts w:cs="Times New Roman"/>
        </w:rPr>
        <w:t xml:space="preserve">measured results to determine any discrepancies between the measured and </w:t>
      </w:r>
      <w:r w:rsidR="00280204" w:rsidRPr="00770477">
        <w:rPr>
          <w:rFonts w:cs="Times New Roman"/>
        </w:rPr>
        <w:t xml:space="preserve">thermodynamically preferred concentrations/states. </w:t>
      </w:r>
      <w:r w:rsidR="00216920" w:rsidRPr="00770477">
        <w:rPr>
          <w:rFonts w:cs="Times New Roman"/>
        </w:rPr>
        <w:t xml:space="preserve">With known influent and effluent chemistries, inverse modeling would also provide insight to the likely </w:t>
      </w:r>
      <w:r w:rsidR="00C124E7" w:rsidRPr="00770477">
        <w:rPr>
          <w:rFonts w:cs="Times New Roman"/>
        </w:rPr>
        <w:t>reactions taking place within the sample column itself.</w:t>
      </w:r>
    </w:p>
    <w:p w14:paraId="79B8FCFF" w14:textId="298D288F" w:rsidR="0096225A" w:rsidRPr="00770477" w:rsidRDefault="009559B0" w:rsidP="0096225A">
      <w:pPr>
        <w:ind w:firstLine="720"/>
        <w:rPr>
          <w:rFonts w:cs="Times New Roman"/>
        </w:rPr>
      </w:pPr>
      <w:r w:rsidRPr="00770477">
        <w:rPr>
          <w:rFonts w:cs="Times New Roman"/>
        </w:rPr>
        <w:t>T</w:t>
      </w:r>
      <w:r w:rsidR="00731380" w:rsidRPr="00770477">
        <w:rPr>
          <w:rFonts w:cs="Times New Roman"/>
        </w:rPr>
        <w:t xml:space="preserve">he Oklahoma Water Survey has ongoing research </w:t>
      </w:r>
      <w:r w:rsidR="00F7223B" w:rsidRPr="00770477">
        <w:rPr>
          <w:rFonts w:cs="Times New Roman"/>
        </w:rPr>
        <w:t xml:space="preserve">whose goal it is to scale up the research from this thesis and to apply on a real-life scale. </w:t>
      </w:r>
      <w:r w:rsidR="00194807" w:rsidRPr="00770477">
        <w:rPr>
          <w:rFonts w:cs="Times New Roman"/>
        </w:rPr>
        <w:t xml:space="preserve">Experimental bioretention cells at the Grand Lake Dam Authority (GRDA) in Langley, OK, USA </w:t>
      </w:r>
      <w:r w:rsidR="00740112" w:rsidRPr="00770477">
        <w:rPr>
          <w:rFonts w:cs="Times New Roman"/>
        </w:rPr>
        <w:t xml:space="preserve">are outfitted such that both influent and effluent water (quantity and quality) can be controlled as well as the </w:t>
      </w:r>
      <w:r w:rsidR="00297F75" w:rsidRPr="00770477">
        <w:rPr>
          <w:rFonts w:cs="Times New Roman"/>
        </w:rPr>
        <w:t xml:space="preserve">variables within the cells themselves. An initial scaling up has been conducted using the media from this study </w:t>
      </w:r>
      <w:r w:rsidR="00833C4B" w:rsidRPr="00770477">
        <w:rPr>
          <w:rFonts w:cs="Times New Roman"/>
        </w:rPr>
        <w:t xml:space="preserve">in columns attached to the underdrains of these cells. Results from this study are outside the scope of this </w:t>
      </w:r>
      <w:r w:rsidR="00ED3EDD" w:rsidRPr="00770477">
        <w:rPr>
          <w:rFonts w:cs="Times New Roman"/>
        </w:rPr>
        <w:t>thesis but</w:t>
      </w:r>
      <w:r w:rsidR="00833C4B" w:rsidRPr="00770477">
        <w:rPr>
          <w:rFonts w:cs="Times New Roman"/>
        </w:rPr>
        <w:t xml:space="preserve"> will illuminate the representativeness of this study </w:t>
      </w:r>
      <w:r w:rsidR="00ED3EDD" w:rsidRPr="00770477">
        <w:rPr>
          <w:rFonts w:cs="Times New Roman"/>
        </w:rPr>
        <w:t xml:space="preserve">to a </w:t>
      </w:r>
      <w:r w:rsidR="00C35EA4" w:rsidRPr="00770477">
        <w:rPr>
          <w:rFonts w:cs="Times New Roman"/>
        </w:rPr>
        <w:t>scaled-up</w:t>
      </w:r>
      <w:r w:rsidR="00ED3EDD" w:rsidRPr="00770477">
        <w:rPr>
          <w:rFonts w:cs="Times New Roman"/>
        </w:rPr>
        <w:t xml:space="preserve"> version which could have implications for further use. </w:t>
      </w:r>
    </w:p>
    <w:p w14:paraId="4B3F424F" w14:textId="0FD9D078" w:rsidR="00A31B5B" w:rsidRPr="00770477" w:rsidRDefault="00C94A7D" w:rsidP="0096225A">
      <w:pPr>
        <w:ind w:firstLine="720"/>
        <w:rPr>
          <w:rFonts w:cs="Times New Roman"/>
        </w:rPr>
      </w:pPr>
      <w:r w:rsidRPr="00770477">
        <w:rPr>
          <w:rFonts w:cs="Times New Roman"/>
        </w:rPr>
        <w:lastRenderedPageBreak/>
        <w:t>T</w:t>
      </w:r>
      <w:r w:rsidR="00A31B5B" w:rsidRPr="00770477">
        <w:rPr>
          <w:rFonts w:cs="Times New Roman"/>
        </w:rPr>
        <w:t xml:space="preserve">his study </w:t>
      </w:r>
      <w:r w:rsidR="00E55864" w:rsidRPr="00770477">
        <w:rPr>
          <w:rFonts w:cs="Times New Roman"/>
        </w:rPr>
        <w:t>as a proof of concept</w:t>
      </w:r>
      <w:r w:rsidRPr="00770477">
        <w:rPr>
          <w:rFonts w:cs="Times New Roman"/>
        </w:rPr>
        <w:t xml:space="preserve"> has helped to</w:t>
      </w:r>
      <w:r w:rsidR="000C0CBC" w:rsidRPr="00770477">
        <w:rPr>
          <w:rFonts w:cs="Times New Roman"/>
        </w:rPr>
        <w:t xml:space="preserve"> broadly identify the applicability of these media in water quality LID and has helped</w:t>
      </w:r>
      <w:r w:rsidRPr="00770477">
        <w:rPr>
          <w:rFonts w:cs="Times New Roman"/>
        </w:rPr>
        <w:t xml:space="preserve"> identify potential future areas of study</w:t>
      </w:r>
      <w:r w:rsidR="000C0CBC" w:rsidRPr="00770477">
        <w:rPr>
          <w:rFonts w:cs="Times New Roman"/>
        </w:rPr>
        <w:t xml:space="preserve"> in</w:t>
      </w:r>
      <w:r w:rsidR="00E55864" w:rsidRPr="00770477">
        <w:rPr>
          <w:rFonts w:cs="Times New Roman"/>
        </w:rPr>
        <w:t xml:space="preserve"> terms of the overall sorptive capacity </w:t>
      </w:r>
      <w:r w:rsidR="006A55C3" w:rsidRPr="00770477">
        <w:rPr>
          <w:rFonts w:cs="Times New Roman"/>
        </w:rPr>
        <w:t xml:space="preserve">for the contaminants that were </w:t>
      </w:r>
      <w:r w:rsidR="000C0CBC" w:rsidRPr="00770477">
        <w:rPr>
          <w:rFonts w:cs="Times New Roman"/>
        </w:rPr>
        <w:t>used</w:t>
      </w:r>
      <w:r w:rsidR="006A55C3" w:rsidRPr="00770477">
        <w:rPr>
          <w:rFonts w:cs="Times New Roman"/>
        </w:rPr>
        <w:t>. Beaker experiments would be more appropriate to determine the mass</w:t>
      </w:r>
      <w:r w:rsidR="00CB6AAE" w:rsidRPr="00770477">
        <w:rPr>
          <w:rFonts w:cs="Times New Roman"/>
        </w:rPr>
        <w:t xml:space="preserve"> and the rate of sorption of these contaminants onto these treatment media. Furthermore, this would allow for the </w:t>
      </w:r>
      <w:proofErr w:type="spellStart"/>
      <w:r w:rsidR="00CB6AAE" w:rsidRPr="00770477">
        <w:rPr>
          <w:rFonts w:cs="Times New Roman"/>
        </w:rPr>
        <w:t>Langmiur</w:t>
      </w:r>
      <w:proofErr w:type="spellEnd"/>
      <w:r w:rsidR="00CB6AAE" w:rsidRPr="00770477">
        <w:rPr>
          <w:rFonts w:cs="Times New Roman"/>
        </w:rPr>
        <w:t xml:space="preserve"> isotherm to </w:t>
      </w:r>
      <w:r w:rsidR="00360426" w:rsidRPr="00770477">
        <w:rPr>
          <w:rFonts w:cs="Times New Roman"/>
        </w:rPr>
        <w:t>apply which is a better statistical model to determine sorption rates and media exhaustion points</w:t>
      </w:r>
      <w:r w:rsidR="006913D7" w:rsidRPr="00770477">
        <w:rPr>
          <w:rFonts w:cs="Times New Roman"/>
        </w:rPr>
        <w:t xml:space="preserve"> </w:t>
      </w:r>
      <w:r w:rsidR="006913D7" w:rsidRPr="00770477">
        <w:rPr>
          <w:rFonts w:cs="Times New Roman"/>
        </w:rPr>
        <w:fldChar w:fldCharType="begin"/>
      </w:r>
      <w:r w:rsidR="002074AD">
        <w:rPr>
          <w:rFonts w:cs="Times New Roman"/>
        </w:rPr>
        <w:instrText xml:space="preserve"> ADDIN ZOTERO_ITEM CSL_CITATION {"citationID":"NQ836OsW","properties":{"formattedCitation":"(W. Zhang et al., 2008)","plainCitation":"(W. Zhang et al., 2008)","noteIndex":0},"citationItems":[{"id":85,"uris":["http://zotero.org/users/8423188/items/DFEUEDT5"],"itemData":{"id":85,"type":"article-journal","container-title":"Water Environment Research","DOI":"10.2175/106143008X266823","ISSN":"10614303","issue":"6","journalAbbreviation":"Water Environment Research","language":"en","page":"507-516","source":"DOI.org (Crossref)","title":"Fly-Ash-Amended Sand as Filter Media in Bioretention Cells to Improve Phosphorus Removal","volume":"80","author":[{"family":"Zhang","given":"Wei"},{"family":"Brown","given":"Glenn O."},{"family":"Storm","given":"Daniel E."},{"family":"Zhang","given":"Hailin"}],"issued":{"date-parts":[["2008",6]]}}}],"schema":"https://github.com/citation-style-language/schema/raw/master/csl-citation.json"} </w:instrText>
      </w:r>
      <w:r w:rsidR="006913D7" w:rsidRPr="00770477">
        <w:rPr>
          <w:rFonts w:cs="Times New Roman"/>
        </w:rPr>
        <w:fldChar w:fldCharType="separate"/>
      </w:r>
      <w:r w:rsidR="006913D7" w:rsidRPr="00770477">
        <w:rPr>
          <w:rFonts w:cs="Times New Roman"/>
        </w:rPr>
        <w:t>(W. Zhang et al., 2008)</w:t>
      </w:r>
      <w:r w:rsidR="006913D7" w:rsidRPr="00770477">
        <w:rPr>
          <w:rFonts w:cs="Times New Roman"/>
        </w:rPr>
        <w:fldChar w:fldCharType="end"/>
      </w:r>
      <w:r w:rsidR="00360426" w:rsidRPr="00770477">
        <w:rPr>
          <w:rFonts w:cs="Times New Roman"/>
        </w:rPr>
        <w:t>.</w:t>
      </w:r>
      <w:r w:rsidR="00B208B2" w:rsidRPr="00770477">
        <w:rPr>
          <w:rFonts w:cs="Times New Roman"/>
        </w:rPr>
        <w:t xml:space="preserve"> By slowly building a more complex solution mixture, the impact of competitive sorption can also be studied by observing the decrease in sorption efficiency as the overall solution becomes more and more complex. This will also help to develop specific</w:t>
      </w:r>
      <w:r w:rsidR="00FA30C3" w:rsidRPr="00770477">
        <w:rPr>
          <w:rFonts w:cs="Times New Roman"/>
        </w:rPr>
        <w:t xml:space="preserve"> sorption coefficient</w:t>
      </w:r>
      <w:r w:rsidR="00B208B2" w:rsidRPr="00770477">
        <w:rPr>
          <w:rFonts w:cs="Times New Roman"/>
        </w:rPr>
        <w:t xml:space="preserve"> </w:t>
      </w:r>
      <w:r w:rsidR="00FA30C3" w:rsidRPr="00770477">
        <w:rPr>
          <w:rFonts w:cs="Times New Roman"/>
        </w:rPr>
        <w:t>(</w:t>
      </w:r>
      <w:proofErr w:type="spellStart"/>
      <w:r w:rsidR="00B208B2" w:rsidRPr="00770477">
        <w:rPr>
          <w:rFonts w:cs="Times New Roman"/>
        </w:rPr>
        <w:t>K</w:t>
      </w:r>
      <w:r w:rsidR="00A4274C" w:rsidRPr="00770477">
        <w:rPr>
          <w:rFonts w:cs="Times New Roman"/>
          <w:vertAlign w:val="subscript"/>
        </w:rPr>
        <w:t>d</w:t>
      </w:r>
      <w:proofErr w:type="spellEnd"/>
      <w:r w:rsidR="002722A6" w:rsidRPr="00770477">
        <w:rPr>
          <w:rFonts w:cs="Times New Roman"/>
        </w:rPr>
        <w:t>)</w:t>
      </w:r>
      <w:r w:rsidR="00A4274C" w:rsidRPr="00770477">
        <w:rPr>
          <w:rFonts w:cs="Times New Roman"/>
          <w:vertAlign w:val="subscript"/>
        </w:rPr>
        <w:t xml:space="preserve"> </w:t>
      </w:r>
      <w:r w:rsidR="00B208B2" w:rsidRPr="00770477">
        <w:rPr>
          <w:rFonts w:cs="Times New Roman"/>
        </w:rPr>
        <w:t xml:space="preserve">values for </w:t>
      </w:r>
      <w:r w:rsidR="00D562F2" w:rsidRPr="00770477">
        <w:rPr>
          <w:rFonts w:cs="Times New Roman"/>
        </w:rPr>
        <w:t>each</w:t>
      </w:r>
      <w:r w:rsidR="00B208B2" w:rsidRPr="00770477">
        <w:rPr>
          <w:rFonts w:cs="Times New Roman"/>
        </w:rPr>
        <w:t xml:space="preserve"> neonicotinoid</w:t>
      </w:r>
      <w:r w:rsidR="00D562F2" w:rsidRPr="00770477">
        <w:rPr>
          <w:rFonts w:cs="Times New Roman"/>
        </w:rPr>
        <w:t xml:space="preserve"> and medium combination</w:t>
      </w:r>
      <w:r w:rsidR="00D20C92" w:rsidRPr="00770477">
        <w:rPr>
          <w:rFonts w:cs="Times New Roman"/>
        </w:rPr>
        <w:t xml:space="preserve"> which could be useful for applications outside of LID improvement. </w:t>
      </w:r>
    </w:p>
    <w:p w14:paraId="3FD30DD0" w14:textId="3A84E1A6" w:rsidR="006260B9" w:rsidRPr="00770477" w:rsidRDefault="006260B9" w:rsidP="00F2614D">
      <w:pPr>
        <w:ind w:firstLine="720"/>
        <w:rPr>
          <w:rFonts w:cs="Times New Roman"/>
        </w:rPr>
      </w:pPr>
      <w:r w:rsidRPr="00770477">
        <w:rPr>
          <w:rFonts w:cs="Times New Roman"/>
        </w:rPr>
        <w:t xml:space="preserve">The final suggested </w:t>
      </w:r>
      <w:r w:rsidR="007A1FA2" w:rsidRPr="00770477">
        <w:rPr>
          <w:rFonts w:cs="Times New Roman"/>
        </w:rPr>
        <w:t xml:space="preserve">future study would be to investigate the media to confirm the sorbed </w:t>
      </w:r>
      <w:r w:rsidR="00A114A7" w:rsidRPr="00770477">
        <w:rPr>
          <w:rFonts w:cs="Times New Roman"/>
        </w:rPr>
        <w:t xml:space="preserve">contaminants and to determine the structures that are formed during said sorption. This can be accomplished by performing digestions on the media after </w:t>
      </w:r>
      <w:r w:rsidR="005B1499" w:rsidRPr="00770477">
        <w:rPr>
          <w:rFonts w:cs="Times New Roman"/>
        </w:rPr>
        <w:t xml:space="preserve">it has been used to remove contaminants from solution. </w:t>
      </w:r>
      <w:r w:rsidR="009337A7" w:rsidRPr="00770477">
        <w:rPr>
          <w:rFonts w:cs="Times New Roman"/>
        </w:rPr>
        <w:t xml:space="preserve">If previous leaching studies have been performed on the media as was suggested, then digestions would </w:t>
      </w:r>
      <w:r w:rsidR="004E2A1A" w:rsidRPr="00770477">
        <w:rPr>
          <w:rFonts w:cs="Times New Roman"/>
        </w:rPr>
        <w:t xml:space="preserve">further confirm the sorbed partition of contaminants to the media in the column experiments. To determine the specific structure that is formed during sorption, </w:t>
      </w:r>
      <w:r w:rsidR="00FF61A0" w:rsidRPr="00770477">
        <w:rPr>
          <w:rFonts w:cs="Times New Roman"/>
        </w:rPr>
        <w:t xml:space="preserve">x-ray diffraction or as </w:t>
      </w:r>
      <w:r w:rsidR="00F87FA6" w:rsidRPr="00770477">
        <w:rPr>
          <w:rFonts w:cs="Times New Roman"/>
        </w:rPr>
        <w:fldChar w:fldCharType="begin"/>
      </w:r>
      <w:r w:rsidR="002074AD">
        <w:rPr>
          <w:rFonts w:cs="Times New Roman"/>
        </w:rPr>
        <w:instrText xml:space="preserve"> ADDIN ZOTERO_ITEM CSL_CITATION {"citationID":"8kEX9qQu","properties":{"formattedCitation":"(Qin et al., 2018)","plainCitation":"(Qin et al., 2018)","dontUpdate":true,"noteIndex":0},"citationItems":[{"id":250,"uris":["http://zotero.org/users/8423188/items/L2UI4H3R"],"itemData":{"id":250,"type":"article-journal","abstract":"Stormwater filters are a structural best management practice designed to reduce dissolved P losses from runoff. Various industrial byproducts are suitable for use as P sorbing materials (PSMs) for the treatment of drainage water; P sorption by PSMs varies with material physical and chemical properties. Previously, P removal capacity by PSMs was estimated using chemical extractions. We determined the speciation of P when reacted with various PSMs using X-ray absorption near edge structure (XANES) spectroscopy. Twelve PSMs were reacted with P solution in the laboratory under batch or flow-through conditions. In addition, three slag materials were collected from working stormwater filtration structures. Phosphorus K-edge XANES spectra were collected on each reacted PSM and compared with spectra of 22 known P standards using linear combination fitting in Athena. We found evidence of formation of a variety of Ca-, Al-, and/or Fe-phosphate minerals and sorbed phases on the reacted PSMs, with the exact speciation influenced by the chemical properties of the original unreacted PSMs. We grouped PSMs into three general categories based on the dominant P removal mechanism: (i) Fe- and Al-mediated removal [i.e., adsorption of P to Fe- or Al-(hydro-)oxide minerals and/or precipitation of Fe- or Alphosphate minerals]; (ii) Ca-mediated removal (i.e., precipitation of Ca-phosphate mineral); and (iii) both mechanisms. We recommend the use of Fe/Al sorbing PSMs for use in stormwater filtration structures where stormwater retention time is limited because reaction of P with Fe or Al generally occurs more quickly than Ca-P precipitation.","container-title":"Journal of Environmental Quality","DOI":"10.2134/jeq2018.02.0064","ISSN":"0047-2425, 1537-2537","issue":"5","journalAbbreviation":"J. environ. qual.","language":"en","page":"1232-1241","source":"DOI.org (Crossref)","title":"Mechanisms of Phosphorus Removal by Phosphorus Sorbing Materials","volume":"47","author":[{"family":"Qin","given":"Zhixuan"},{"family":"Shober","given":"Amy L."},{"family":"Scheckel","given":"Kirk G."},{"family":"Penn","given":"Chad J."},{"family":"Turner","given":"Kathryn C."}],"issued":{"date-parts":[["2018",9]]}}}],"schema":"https://github.com/citation-style-language/schema/raw/master/csl-citation.json"} </w:instrText>
      </w:r>
      <w:r w:rsidR="00F87FA6" w:rsidRPr="00770477">
        <w:rPr>
          <w:rFonts w:cs="Times New Roman"/>
        </w:rPr>
        <w:fldChar w:fldCharType="separate"/>
      </w:r>
      <w:r w:rsidR="00F87FA6" w:rsidRPr="00770477">
        <w:rPr>
          <w:rFonts w:cs="Times New Roman"/>
        </w:rPr>
        <w:t xml:space="preserve">Qin et al. </w:t>
      </w:r>
      <w:r w:rsidR="000A66DC" w:rsidRPr="00770477">
        <w:rPr>
          <w:rFonts w:cs="Times New Roman"/>
        </w:rPr>
        <w:t>(</w:t>
      </w:r>
      <w:r w:rsidR="00F87FA6" w:rsidRPr="00770477">
        <w:rPr>
          <w:rFonts w:cs="Times New Roman"/>
        </w:rPr>
        <w:t>2018)</w:t>
      </w:r>
      <w:r w:rsidR="00F87FA6" w:rsidRPr="00770477">
        <w:rPr>
          <w:rFonts w:cs="Times New Roman"/>
        </w:rPr>
        <w:fldChar w:fldCharType="end"/>
      </w:r>
      <w:r w:rsidR="000A66DC" w:rsidRPr="00770477">
        <w:rPr>
          <w:rFonts w:cs="Times New Roman"/>
        </w:rPr>
        <w:t xml:space="preserve"> used, K-edge X-ray absorption near-edge structure (XANES) analysis. </w:t>
      </w:r>
      <w:r w:rsidR="00E253A4" w:rsidRPr="00770477">
        <w:rPr>
          <w:rFonts w:cs="Times New Roman"/>
        </w:rPr>
        <w:t xml:space="preserve">This would give further insight to the mechanism of removal and </w:t>
      </w:r>
      <w:r w:rsidR="00F04087" w:rsidRPr="00770477">
        <w:rPr>
          <w:rFonts w:cs="Times New Roman"/>
        </w:rPr>
        <w:t xml:space="preserve">further understanding of the mobility of contaminants once retained in a treatment system. For instance, some </w:t>
      </w:r>
      <w:r w:rsidR="00697512" w:rsidRPr="00770477">
        <w:rPr>
          <w:rFonts w:cs="Times New Roman"/>
        </w:rPr>
        <w:t xml:space="preserve">sorbed or precipitated molecules can aggregate and form more stable mineral species, where others are amorphous and are easily re-dissolved. </w:t>
      </w:r>
      <w:r w:rsidR="00B1288E" w:rsidRPr="00770477">
        <w:rPr>
          <w:rFonts w:cs="Times New Roman"/>
        </w:rPr>
        <w:t xml:space="preserve">This evaluation would help to determine the longevity and long-lasting impacts of these media </w:t>
      </w:r>
      <w:r w:rsidR="00CD6CC7" w:rsidRPr="00770477">
        <w:rPr>
          <w:rFonts w:cs="Times New Roman"/>
        </w:rPr>
        <w:t>as</w:t>
      </w:r>
      <w:r w:rsidR="00B1288E" w:rsidRPr="00770477">
        <w:rPr>
          <w:rFonts w:cs="Times New Roman"/>
        </w:rPr>
        <w:t xml:space="preserve"> LID enhancements. </w:t>
      </w:r>
      <w:r w:rsidR="006A7D6B" w:rsidRPr="00770477">
        <w:rPr>
          <w:rFonts w:cs="Times New Roman"/>
        </w:rPr>
        <w:br w:type="page"/>
      </w:r>
    </w:p>
    <w:p w14:paraId="3F6C4196" w14:textId="3003A796" w:rsidR="00E738CA" w:rsidRPr="00770477" w:rsidRDefault="00AB3875" w:rsidP="008948FC">
      <w:pPr>
        <w:pStyle w:val="Heading1"/>
        <w:rPr>
          <w:rFonts w:cs="Times New Roman"/>
        </w:rPr>
      </w:pPr>
      <w:bookmarkStart w:id="173" w:name="_Toc121496038"/>
      <w:r w:rsidRPr="00770477">
        <w:rPr>
          <w:rFonts w:cs="Times New Roman"/>
        </w:rPr>
        <w:lastRenderedPageBreak/>
        <w:t>Conclusions</w:t>
      </w:r>
      <w:bookmarkEnd w:id="173"/>
    </w:p>
    <w:p w14:paraId="6F69F97D" w14:textId="5CD55790" w:rsidR="008F5A3D" w:rsidRPr="00770477" w:rsidRDefault="005C1A2C" w:rsidP="004051A5">
      <w:pPr>
        <w:ind w:firstLine="360"/>
        <w:rPr>
          <w:rFonts w:cs="Times New Roman"/>
        </w:rPr>
      </w:pPr>
      <w:r w:rsidRPr="00770477">
        <w:rPr>
          <w:rFonts w:cs="Times New Roman"/>
        </w:rPr>
        <w:t>In vertical column experiments, media size appeared to</w:t>
      </w:r>
      <w:r w:rsidR="00807647" w:rsidRPr="00770477">
        <w:rPr>
          <w:rFonts w:cs="Times New Roman"/>
        </w:rPr>
        <w:t xml:space="preserve"> have varying </w:t>
      </w:r>
      <w:r w:rsidR="00E35813" w:rsidRPr="00770477">
        <w:rPr>
          <w:rFonts w:cs="Times New Roman"/>
        </w:rPr>
        <w:t>effects</w:t>
      </w:r>
      <w:r w:rsidR="00807647" w:rsidRPr="00770477">
        <w:rPr>
          <w:rFonts w:cs="Times New Roman"/>
        </w:rPr>
        <w:t xml:space="preserve"> on contaminant removal from solution. </w:t>
      </w:r>
      <w:r w:rsidR="00E96E3C" w:rsidRPr="00770477">
        <w:rPr>
          <w:rFonts w:cs="Times New Roman"/>
        </w:rPr>
        <w:t xml:space="preserve">With columns containing </w:t>
      </w:r>
      <w:r w:rsidR="006A6137">
        <w:rPr>
          <w:rFonts w:cs="Times New Roman"/>
        </w:rPr>
        <w:t>aggregated fly ash</w:t>
      </w:r>
      <w:r w:rsidR="00E96E3C" w:rsidRPr="00770477">
        <w:rPr>
          <w:rFonts w:cs="Times New Roman"/>
        </w:rPr>
        <w:t xml:space="preserve">, seemingly no </w:t>
      </w:r>
      <w:r w:rsidR="006023F3">
        <w:rPr>
          <w:rFonts w:cs="Times New Roman"/>
        </w:rPr>
        <w:t>meaningful</w:t>
      </w:r>
      <w:r w:rsidR="00E96E3C" w:rsidRPr="00770477">
        <w:rPr>
          <w:rFonts w:cs="Times New Roman"/>
        </w:rPr>
        <w:t xml:space="preserve"> affect was seen between the large and small fractions. </w:t>
      </w:r>
      <w:r w:rsidR="00784D5C" w:rsidRPr="00770477">
        <w:rPr>
          <w:rFonts w:cs="Times New Roman"/>
        </w:rPr>
        <w:t>In</w:t>
      </w:r>
      <w:r w:rsidR="00E96E3C" w:rsidRPr="00770477">
        <w:rPr>
          <w:rFonts w:cs="Times New Roman"/>
        </w:rPr>
        <w:t xml:space="preserve"> fact, some instances saw </w:t>
      </w:r>
      <w:proofErr w:type="gramStart"/>
      <w:r w:rsidR="00E96E3C" w:rsidRPr="00770477">
        <w:rPr>
          <w:rFonts w:cs="Times New Roman"/>
        </w:rPr>
        <w:t xml:space="preserve">large </w:t>
      </w:r>
      <w:r w:rsidR="006A6137">
        <w:rPr>
          <w:rFonts w:cs="Times New Roman"/>
        </w:rPr>
        <w:t>aggregated</w:t>
      </w:r>
      <w:proofErr w:type="gramEnd"/>
      <w:r w:rsidR="006A6137">
        <w:rPr>
          <w:rFonts w:cs="Times New Roman"/>
        </w:rPr>
        <w:t xml:space="preserve"> fly ash</w:t>
      </w:r>
      <w:r w:rsidR="00E96E3C" w:rsidRPr="00770477">
        <w:rPr>
          <w:rFonts w:cs="Times New Roman"/>
        </w:rPr>
        <w:t xml:space="preserve"> performing better than </w:t>
      </w:r>
      <w:r w:rsidR="00246B81" w:rsidRPr="00770477">
        <w:rPr>
          <w:rFonts w:cs="Times New Roman"/>
        </w:rPr>
        <w:t xml:space="preserve">the small fraction. Steel slag, however, saw a </w:t>
      </w:r>
      <w:r w:rsidR="002D4D90">
        <w:rPr>
          <w:rFonts w:cs="Times New Roman"/>
        </w:rPr>
        <w:t>major</w:t>
      </w:r>
      <w:r w:rsidR="00246B81" w:rsidRPr="00770477">
        <w:rPr>
          <w:rFonts w:cs="Times New Roman"/>
        </w:rPr>
        <w:t xml:space="preserve"> impact </w:t>
      </w:r>
      <w:r w:rsidR="00FD5325" w:rsidRPr="00770477">
        <w:rPr>
          <w:rFonts w:cs="Times New Roman"/>
        </w:rPr>
        <w:t xml:space="preserve">between the small and large fractions with the smaller size performing better than the large portion. This relationship was so extreme that in several cases, large steel slag was the least efficient of the media combinations with small steel slag being the most efficient. </w:t>
      </w:r>
      <w:r w:rsidR="00F93504" w:rsidRPr="00770477">
        <w:rPr>
          <w:rFonts w:cs="Times New Roman"/>
        </w:rPr>
        <w:t>Biochar</w:t>
      </w:r>
      <w:r w:rsidR="00B1009D" w:rsidRPr="00770477">
        <w:rPr>
          <w:rFonts w:cs="Times New Roman"/>
        </w:rPr>
        <w:t xml:space="preserve"> showed m</w:t>
      </w:r>
      <w:r w:rsidR="007C5191" w:rsidRPr="00770477">
        <w:rPr>
          <w:rFonts w:cs="Times New Roman"/>
        </w:rPr>
        <w:t xml:space="preserve">ixed results with some contaminants being removed equally between the large and small fraction. However, where a separation was </w:t>
      </w:r>
      <w:r w:rsidR="008F5A3D" w:rsidRPr="00770477">
        <w:rPr>
          <w:rFonts w:cs="Times New Roman"/>
        </w:rPr>
        <w:t xml:space="preserve">observed, the smaller fraction was always the more efficient. </w:t>
      </w:r>
    </w:p>
    <w:p w14:paraId="1A450DFA" w14:textId="41B76D8B" w:rsidR="00A168E5" w:rsidRPr="00770477" w:rsidRDefault="0090608E" w:rsidP="004051A5">
      <w:pPr>
        <w:ind w:firstLine="360"/>
        <w:rPr>
          <w:rFonts w:cs="Times New Roman"/>
        </w:rPr>
      </w:pPr>
      <w:r w:rsidRPr="00770477">
        <w:rPr>
          <w:rFonts w:cs="Times New Roman"/>
        </w:rPr>
        <w:t xml:space="preserve">Overall, </w:t>
      </w:r>
      <w:r w:rsidR="00A67E20" w:rsidRPr="00770477">
        <w:rPr>
          <w:rFonts w:cs="Times New Roman"/>
        </w:rPr>
        <w:t xml:space="preserve">where removal was seen, </w:t>
      </w:r>
      <w:r w:rsidRPr="00770477">
        <w:rPr>
          <w:rFonts w:cs="Times New Roman"/>
        </w:rPr>
        <w:t xml:space="preserve">small steel slag was the </w:t>
      </w:r>
      <w:r w:rsidR="0001012B" w:rsidRPr="00770477">
        <w:rPr>
          <w:rFonts w:cs="Times New Roman"/>
        </w:rPr>
        <w:t xml:space="preserve">best performer in vertical column experiments. </w:t>
      </w:r>
      <w:r w:rsidR="00573368" w:rsidRPr="00770477">
        <w:rPr>
          <w:rFonts w:cs="Times New Roman"/>
        </w:rPr>
        <w:t xml:space="preserve">However, where the media was shown to be leaching a contaminant, steel slag was often </w:t>
      </w:r>
      <w:r w:rsidR="00496785" w:rsidRPr="00770477">
        <w:rPr>
          <w:rFonts w:cs="Times New Roman"/>
        </w:rPr>
        <w:t xml:space="preserve">a, if not, </w:t>
      </w:r>
      <w:r w:rsidR="00496785" w:rsidRPr="00770477">
        <w:rPr>
          <w:rFonts w:cs="Times New Roman"/>
          <w:i/>
          <w:iCs/>
        </w:rPr>
        <w:t xml:space="preserve">the </w:t>
      </w:r>
      <w:r w:rsidR="00496785" w:rsidRPr="00770477">
        <w:rPr>
          <w:rFonts w:cs="Times New Roman"/>
        </w:rPr>
        <w:t xml:space="preserve">culprit of leaching. </w:t>
      </w:r>
      <w:r w:rsidR="00EC6188" w:rsidRPr="00770477">
        <w:rPr>
          <w:rFonts w:cs="Times New Roman"/>
        </w:rPr>
        <w:t xml:space="preserve">Small steel slag was notably the best performer in removing P from solution </w:t>
      </w:r>
      <w:proofErr w:type="gramStart"/>
      <w:r w:rsidR="00EC6188" w:rsidRPr="00770477">
        <w:rPr>
          <w:rFonts w:cs="Times New Roman"/>
        </w:rPr>
        <w:t>and also</w:t>
      </w:r>
      <w:proofErr w:type="gramEnd"/>
      <w:r w:rsidR="00EC6188" w:rsidRPr="00770477">
        <w:rPr>
          <w:rFonts w:cs="Times New Roman"/>
        </w:rPr>
        <w:t xml:space="preserve"> performed well at removing </w:t>
      </w:r>
      <w:r w:rsidR="0048066B" w:rsidRPr="00770477">
        <w:rPr>
          <w:rFonts w:cs="Times New Roman"/>
        </w:rPr>
        <w:t xml:space="preserve">acetamiprid and imidacloprid. </w:t>
      </w:r>
    </w:p>
    <w:p w14:paraId="1740FC7D" w14:textId="09D3638A" w:rsidR="005C1A2C" w:rsidRPr="00770477" w:rsidRDefault="00A168E5" w:rsidP="004051A5">
      <w:pPr>
        <w:ind w:firstLine="360"/>
        <w:rPr>
          <w:rFonts w:cs="Times New Roman"/>
        </w:rPr>
      </w:pPr>
      <w:r w:rsidRPr="00770477">
        <w:rPr>
          <w:rFonts w:cs="Times New Roman"/>
        </w:rPr>
        <w:t xml:space="preserve">After small steel slag, </w:t>
      </w:r>
      <w:r w:rsidR="001B2DDD" w:rsidRPr="00770477">
        <w:rPr>
          <w:rFonts w:cs="Times New Roman"/>
        </w:rPr>
        <w:t xml:space="preserve">no distinctive ordering of media emerged with biochars, </w:t>
      </w:r>
      <w:r w:rsidR="006A6137">
        <w:rPr>
          <w:rFonts w:cs="Times New Roman"/>
        </w:rPr>
        <w:t>aggregated fly ash</w:t>
      </w:r>
      <w:r w:rsidR="001B2DDD" w:rsidRPr="00770477">
        <w:rPr>
          <w:rFonts w:cs="Times New Roman"/>
        </w:rPr>
        <w:t xml:space="preserve">es, and </w:t>
      </w:r>
      <w:r w:rsidR="00984E15" w:rsidRPr="00770477">
        <w:rPr>
          <w:rFonts w:cs="Times New Roman"/>
        </w:rPr>
        <w:t>large steel slag ordering differently when treating different contaminants</w:t>
      </w:r>
      <w:r w:rsidR="00691C2C" w:rsidRPr="00770477">
        <w:rPr>
          <w:rFonts w:cs="Times New Roman"/>
        </w:rPr>
        <w:t>. W</w:t>
      </w:r>
      <w:r w:rsidR="00FC5602" w:rsidRPr="00770477">
        <w:rPr>
          <w:rFonts w:cs="Times New Roman"/>
        </w:rPr>
        <w:t xml:space="preserve">here contaminants were leached from </w:t>
      </w:r>
      <w:r w:rsidR="002B6A30">
        <w:rPr>
          <w:rFonts w:cs="Times New Roman"/>
        </w:rPr>
        <w:t>aggregated fly ash</w:t>
      </w:r>
      <w:r w:rsidR="00FC5602" w:rsidRPr="00770477">
        <w:rPr>
          <w:rFonts w:cs="Times New Roman"/>
        </w:rPr>
        <w:t xml:space="preserve"> and steel slag, biochar either </w:t>
      </w:r>
      <w:r w:rsidR="00E6323C" w:rsidRPr="00770477">
        <w:rPr>
          <w:rFonts w:cs="Times New Roman"/>
        </w:rPr>
        <w:t xml:space="preserve">leached less of the contaminant, didn’t leach at all, or </w:t>
      </w:r>
      <w:proofErr w:type="gramStart"/>
      <w:r w:rsidR="00E6323C" w:rsidRPr="00770477">
        <w:rPr>
          <w:rFonts w:cs="Times New Roman"/>
        </w:rPr>
        <w:t>actually removed</w:t>
      </w:r>
      <w:proofErr w:type="gramEnd"/>
      <w:r w:rsidR="00E6323C" w:rsidRPr="00770477">
        <w:rPr>
          <w:rFonts w:cs="Times New Roman"/>
        </w:rPr>
        <w:t xml:space="preserve"> some of the contaminant. </w:t>
      </w:r>
    </w:p>
    <w:p w14:paraId="2A896D02" w14:textId="5C1CE8CE" w:rsidR="00DF4A6E" w:rsidRPr="00770477" w:rsidRDefault="001C0232" w:rsidP="004051A5">
      <w:pPr>
        <w:ind w:firstLine="360"/>
        <w:rPr>
          <w:rFonts w:cs="Times New Roman"/>
        </w:rPr>
      </w:pPr>
      <w:r w:rsidRPr="00770477">
        <w:rPr>
          <w:rFonts w:cs="Times New Roman"/>
        </w:rPr>
        <w:t>In ho</w:t>
      </w:r>
      <w:r w:rsidR="00E678A6" w:rsidRPr="00770477">
        <w:rPr>
          <w:rFonts w:cs="Times New Roman"/>
        </w:rPr>
        <w:t xml:space="preserve">rizontal column experiments </w:t>
      </w:r>
      <w:r w:rsidRPr="00770477">
        <w:rPr>
          <w:rFonts w:cs="Times New Roman"/>
        </w:rPr>
        <w:t xml:space="preserve">small steel </w:t>
      </w:r>
      <w:r w:rsidR="00590B22" w:rsidRPr="00770477">
        <w:rPr>
          <w:rFonts w:cs="Times New Roman"/>
        </w:rPr>
        <w:t xml:space="preserve">slag yet again performed best for </w:t>
      </w:r>
      <w:proofErr w:type="gramStart"/>
      <w:r w:rsidR="00355EB9">
        <w:rPr>
          <w:rFonts w:cs="Times New Roman"/>
        </w:rPr>
        <w:t>As</w:t>
      </w:r>
      <w:proofErr w:type="gramEnd"/>
      <w:r w:rsidR="00355EB9" w:rsidRPr="009E5089">
        <w:rPr>
          <w:rFonts w:cs="Times New Roman"/>
          <w:vertAlign w:val="superscript"/>
        </w:rPr>
        <w:t>+5</w:t>
      </w:r>
      <w:r w:rsidR="00590B22" w:rsidRPr="00770477">
        <w:rPr>
          <w:rFonts w:cs="Times New Roman"/>
        </w:rPr>
        <w:t xml:space="preserve"> </w:t>
      </w:r>
      <w:r w:rsidRPr="00770477">
        <w:rPr>
          <w:rFonts w:cs="Times New Roman"/>
        </w:rPr>
        <w:t>removal</w:t>
      </w:r>
      <w:r w:rsidR="00017673" w:rsidRPr="00770477">
        <w:rPr>
          <w:rFonts w:cs="Times New Roman"/>
        </w:rPr>
        <w:t>.</w:t>
      </w:r>
      <w:r w:rsidR="00585593" w:rsidRPr="00770477">
        <w:rPr>
          <w:rFonts w:cs="Times New Roman"/>
        </w:rPr>
        <w:t xml:space="preserve"> </w:t>
      </w:r>
      <w:r w:rsidR="00B37C44" w:rsidRPr="00770477">
        <w:rPr>
          <w:rFonts w:cs="Times New Roman"/>
        </w:rPr>
        <w:t xml:space="preserve">Moreover, steel slag removed P from solution that no exhaustion point could be </w:t>
      </w:r>
      <w:r w:rsidR="00D11964" w:rsidRPr="00770477">
        <w:rPr>
          <w:rFonts w:cs="Times New Roman"/>
        </w:rPr>
        <w:t>interpolate</w:t>
      </w:r>
      <w:r w:rsidR="00B37C44" w:rsidRPr="00770477">
        <w:rPr>
          <w:rFonts w:cs="Times New Roman"/>
        </w:rPr>
        <w:t xml:space="preserve">d within the bounds of the </w:t>
      </w:r>
      <w:r w:rsidR="007C6C32" w:rsidRPr="00770477">
        <w:rPr>
          <w:rFonts w:cs="Times New Roman"/>
        </w:rPr>
        <w:t>experiments.</w:t>
      </w:r>
      <w:r w:rsidR="00017673" w:rsidRPr="00770477">
        <w:rPr>
          <w:rFonts w:cs="Times New Roman"/>
        </w:rPr>
        <w:t xml:space="preserve"> </w:t>
      </w:r>
      <w:r w:rsidR="007C6C32" w:rsidRPr="00770477">
        <w:rPr>
          <w:rFonts w:cs="Times New Roman"/>
        </w:rPr>
        <w:t>I</w:t>
      </w:r>
      <w:r w:rsidR="00017673" w:rsidRPr="00770477">
        <w:rPr>
          <w:rFonts w:cs="Times New Roman"/>
        </w:rPr>
        <w:t xml:space="preserve">n the case of elements that were leached into the effluent, </w:t>
      </w:r>
      <w:r w:rsidR="002B6A30">
        <w:rPr>
          <w:rFonts w:cs="Times New Roman"/>
        </w:rPr>
        <w:t>aggregated fly ash</w:t>
      </w:r>
      <w:r w:rsidR="00656E0A" w:rsidRPr="00770477">
        <w:rPr>
          <w:rFonts w:cs="Times New Roman"/>
        </w:rPr>
        <w:t xml:space="preserve"> and steel slag were most commonly the culprits</w:t>
      </w:r>
      <w:r w:rsidR="00594540" w:rsidRPr="00770477">
        <w:rPr>
          <w:rFonts w:cs="Times New Roman"/>
        </w:rPr>
        <w:t xml:space="preserve"> due to metal-oxide dissolution.</w:t>
      </w:r>
    </w:p>
    <w:p w14:paraId="463AAF5C" w14:textId="421A3CE7" w:rsidR="004A478A" w:rsidRPr="00770477" w:rsidRDefault="00344E04" w:rsidP="004051A5">
      <w:pPr>
        <w:ind w:firstLine="360"/>
        <w:rPr>
          <w:rFonts w:cs="Times New Roman"/>
        </w:rPr>
      </w:pPr>
      <w:r w:rsidRPr="00770477">
        <w:rPr>
          <w:rFonts w:cs="Times New Roman"/>
        </w:rPr>
        <w:lastRenderedPageBreak/>
        <w:t xml:space="preserve">The most </w:t>
      </w:r>
      <w:r w:rsidR="00B17E98" w:rsidRPr="00770477">
        <w:rPr>
          <w:rFonts w:cs="Times New Roman"/>
        </w:rPr>
        <w:t>impactful</w:t>
      </w:r>
      <w:r w:rsidRPr="00770477">
        <w:rPr>
          <w:rFonts w:cs="Times New Roman"/>
        </w:rPr>
        <w:t xml:space="preserve"> </w:t>
      </w:r>
      <w:r w:rsidR="00AF4294" w:rsidRPr="00770477">
        <w:rPr>
          <w:rFonts w:cs="Times New Roman"/>
        </w:rPr>
        <w:t xml:space="preserve">results from horizontal column experiments came </w:t>
      </w:r>
      <w:r w:rsidR="00854EDF" w:rsidRPr="00770477">
        <w:rPr>
          <w:rFonts w:cs="Times New Roman"/>
        </w:rPr>
        <w:t xml:space="preserve">in the neonicotinoid results. Both </w:t>
      </w:r>
      <w:r w:rsidR="002B6A30">
        <w:rPr>
          <w:rFonts w:cs="Times New Roman"/>
        </w:rPr>
        <w:t>aggregated fly ash</w:t>
      </w:r>
      <w:r w:rsidR="00854EDF" w:rsidRPr="00770477">
        <w:rPr>
          <w:rFonts w:cs="Times New Roman"/>
        </w:rPr>
        <w:t xml:space="preserve"> and steel slag were not </w:t>
      </w:r>
      <w:r w:rsidR="000E4C5E" w:rsidRPr="00770477">
        <w:rPr>
          <w:rFonts w:cs="Times New Roman"/>
        </w:rPr>
        <w:t>far enough</w:t>
      </w:r>
      <w:r w:rsidR="00854EDF" w:rsidRPr="00770477">
        <w:rPr>
          <w:rFonts w:cs="Times New Roman"/>
        </w:rPr>
        <w:t xml:space="preserve"> removed from the control column for </w:t>
      </w:r>
      <w:r w:rsidR="004D3016" w:rsidRPr="00770477">
        <w:rPr>
          <w:rFonts w:cs="Times New Roman"/>
        </w:rPr>
        <w:t>them to be suggested as a treatment for neonicotinoids in bioretention effluent. However, biochar</w:t>
      </w:r>
      <w:r w:rsidR="00A57A99" w:rsidRPr="00770477">
        <w:rPr>
          <w:rFonts w:cs="Times New Roman"/>
        </w:rPr>
        <w:t xml:space="preserve"> proved to be the ideal treatment removing most, if not all of neonicotinoids from solution. </w:t>
      </w:r>
    </w:p>
    <w:p w14:paraId="29DEDC2C" w14:textId="5EE13347" w:rsidR="007F02E8" w:rsidRPr="00770477" w:rsidRDefault="004A478A" w:rsidP="004051A5">
      <w:pPr>
        <w:ind w:firstLine="360"/>
        <w:rPr>
          <w:rFonts w:cs="Times New Roman"/>
        </w:rPr>
      </w:pPr>
      <w:r w:rsidRPr="00770477">
        <w:rPr>
          <w:rFonts w:cs="Times New Roman"/>
        </w:rPr>
        <w:t xml:space="preserve">Overall, media selection for a bioretention underdrain amendment would largely be dependent on </w:t>
      </w:r>
      <w:r w:rsidR="00F26654" w:rsidRPr="00770477">
        <w:rPr>
          <w:rFonts w:cs="Times New Roman"/>
        </w:rPr>
        <w:t xml:space="preserve">what the primary contaminant of concern is for the user and what the environmental conditions are for application. </w:t>
      </w:r>
      <w:r w:rsidR="007F02E8" w:rsidRPr="00770477">
        <w:rPr>
          <w:rFonts w:cs="Times New Roman"/>
        </w:rPr>
        <w:t>Highly acidic environments such as acid mine drainage may not be applicable due to fly ash and steel slag’s ability to leach heavy metals</w:t>
      </w:r>
      <w:r w:rsidR="00197BB2" w:rsidRPr="00770477">
        <w:rPr>
          <w:rFonts w:cs="Times New Roman"/>
        </w:rPr>
        <w:t xml:space="preserve">. Furthermore, waters with high dissolved solids may not favor fly ash and steel slag due to </w:t>
      </w:r>
      <w:r w:rsidR="00AD47FC" w:rsidRPr="00770477">
        <w:rPr>
          <w:rFonts w:cs="Times New Roman"/>
        </w:rPr>
        <w:t xml:space="preserve">their further contribution to solution total solids as well as the media’s reliance on the metal-oxide dissolution as a potential mechanism of contaminant removal. </w:t>
      </w:r>
      <w:r w:rsidR="00881298" w:rsidRPr="00770477">
        <w:rPr>
          <w:rFonts w:cs="Times New Roman"/>
        </w:rPr>
        <w:t xml:space="preserve">However, under the proper conditions, </w:t>
      </w:r>
      <w:r w:rsidR="00DB729C" w:rsidRPr="00770477">
        <w:rPr>
          <w:rFonts w:cs="Times New Roman"/>
        </w:rPr>
        <w:t xml:space="preserve">if phosphorus or metals are of primary concern, small steel slag appears to be the best choice. However, if organic contaminants, specifically neonicotinoid pesticides, are the primary concern, small biochar is </w:t>
      </w:r>
      <w:r w:rsidR="006521EB" w:rsidRPr="00770477">
        <w:rPr>
          <w:rFonts w:cs="Times New Roman"/>
        </w:rPr>
        <w:t>the standout choice.</w:t>
      </w:r>
    </w:p>
    <w:p w14:paraId="236AE341" w14:textId="3E2814ED" w:rsidR="00306E2F" w:rsidRPr="00770477" w:rsidRDefault="00E672B0" w:rsidP="008D757F">
      <w:pPr>
        <w:ind w:firstLine="360"/>
        <w:rPr>
          <w:rFonts w:cs="Times New Roman"/>
        </w:rPr>
      </w:pPr>
      <w:r w:rsidRPr="00770477">
        <w:rPr>
          <w:rFonts w:cs="Times New Roman"/>
        </w:rPr>
        <w:tab/>
      </w:r>
      <w:r w:rsidR="00DB7ECE" w:rsidRPr="00770477">
        <w:rPr>
          <w:rFonts w:cs="Times New Roman"/>
        </w:rPr>
        <w:t>Each experiment was run only once per media/contaminant/</w:t>
      </w:r>
      <w:r w:rsidR="00506D29" w:rsidRPr="00770477">
        <w:rPr>
          <w:rFonts w:cs="Times New Roman"/>
        </w:rPr>
        <w:t xml:space="preserve">orientation combination. For this reason, the experiments conducted in this thesis should strictly </w:t>
      </w:r>
      <w:r w:rsidR="00F011BB" w:rsidRPr="00770477">
        <w:rPr>
          <w:rFonts w:cs="Times New Roman"/>
        </w:rPr>
        <w:t xml:space="preserve">speak for themselves and not </w:t>
      </w:r>
      <w:r w:rsidR="00CE6E82" w:rsidRPr="00770477">
        <w:rPr>
          <w:rFonts w:cs="Times New Roman"/>
        </w:rPr>
        <w:t xml:space="preserve">represent </w:t>
      </w:r>
      <w:r w:rsidR="00844402" w:rsidRPr="00770477">
        <w:rPr>
          <w:rFonts w:cs="Times New Roman"/>
        </w:rPr>
        <w:t xml:space="preserve">a statistical correlation </w:t>
      </w:r>
      <w:r w:rsidR="009F230E" w:rsidRPr="00770477">
        <w:rPr>
          <w:rFonts w:cs="Times New Roman"/>
        </w:rPr>
        <w:t xml:space="preserve">between the various combinations. This data is intended as a catalyst for other studies to </w:t>
      </w:r>
      <w:r w:rsidR="003320EF" w:rsidRPr="00770477">
        <w:rPr>
          <w:rFonts w:cs="Times New Roman"/>
        </w:rPr>
        <w:t xml:space="preserve">draw from </w:t>
      </w:r>
      <w:r w:rsidR="005809F7" w:rsidRPr="00770477">
        <w:rPr>
          <w:rFonts w:cs="Times New Roman"/>
        </w:rPr>
        <w:t xml:space="preserve">to provide more statistically robust results to inform </w:t>
      </w:r>
      <w:r w:rsidR="00F97E7C" w:rsidRPr="00770477">
        <w:rPr>
          <w:rFonts w:cs="Times New Roman"/>
        </w:rPr>
        <w:t xml:space="preserve">the use of these media </w:t>
      </w:r>
      <w:r w:rsidR="00306E2F" w:rsidRPr="00770477">
        <w:rPr>
          <w:rFonts w:cs="Times New Roman"/>
        </w:rPr>
        <w:t xml:space="preserve">for environmental purposes. Such studies would </w:t>
      </w:r>
      <w:r w:rsidR="007A21D5" w:rsidRPr="00770477">
        <w:rPr>
          <w:rFonts w:cs="Times New Roman"/>
        </w:rPr>
        <w:t>include</w:t>
      </w:r>
      <w:r w:rsidR="00306E2F" w:rsidRPr="00770477">
        <w:rPr>
          <w:rFonts w:cs="Times New Roman"/>
        </w:rPr>
        <w:t xml:space="preserve"> repeating this study to confirm original results, scaling up this research </w:t>
      </w:r>
      <w:r w:rsidR="00B708EB" w:rsidRPr="00770477">
        <w:rPr>
          <w:rFonts w:cs="Times New Roman"/>
        </w:rPr>
        <w:t xml:space="preserve">to a field scale, and further examining the sorption and precipitation mechanisms. </w:t>
      </w:r>
      <w:r w:rsidR="00880508" w:rsidRPr="00770477">
        <w:rPr>
          <w:rFonts w:cs="Times New Roman"/>
        </w:rPr>
        <w:t xml:space="preserve">The latter </w:t>
      </w:r>
      <w:r w:rsidR="007A21D5" w:rsidRPr="00770477">
        <w:rPr>
          <w:rFonts w:cs="Times New Roman"/>
        </w:rPr>
        <w:t xml:space="preserve">can be investigated via beaker studies, </w:t>
      </w:r>
      <w:r w:rsidR="00115A4A" w:rsidRPr="00770477">
        <w:rPr>
          <w:rFonts w:cs="Times New Roman"/>
        </w:rPr>
        <w:t xml:space="preserve">leaching studies (pre- and post-media use), and XRD or XANES analysis. </w:t>
      </w:r>
      <w:r w:rsidR="00A0284C" w:rsidRPr="00770477">
        <w:rPr>
          <w:rFonts w:cs="Times New Roman"/>
        </w:rPr>
        <w:t xml:space="preserve">Likewise, </w:t>
      </w:r>
      <w:r w:rsidR="00F61B5E" w:rsidRPr="00770477">
        <w:rPr>
          <w:rFonts w:cs="Times New Roman"/>
        </w:rPr>
        <w:t xml:space="preserve">AGM </w:t>
      </w:r>
      <w:r w:rsidR="00092F09" w:rsidRPr="00770477">
        <w:rPr>
          <w:rFonts w:cs="Times New Roman"/>
        </w:rPr>
        <w:t xml:space="preserve">of </w:t>
      </w:r>
      <w:r w:rsidR="00F61B5E" w:rsidRPr="00770477">
        <w:rPr>
          <w:rFonts w:cs="Times New Roman"/>
        </w:rPr>
        <w:t xml:space="preserve">this study and future </w:t>
      </w:r>
      <w:r w:rsidR="00F61B5E" w:rsidRPr="00770477">
        <w:rPr>
          <w:rFonts w:cs="Times New Roman"/>
        </w:rPr>
        <w:lastRenderedPageBreak/>
        <w:t xml:space="preserve">studies would help to understand </w:t>
      </w:r>
      <w:r w:rsidR="00CE2743" w:rsidRPr="00770477">
        <w:rPr>
          <w:rFonts w:cs="Times New Roman"/>
        </w:rPr>
        <w:t xml:space="preserve">the thermodynamically predicted results and could help identify </w:t>
      </w:r>
      <w:r w:rsidR="00CC3BB7" w:rsidRPr="00770477">
        <w:rPr>
          <w:rFonts w:cs="Times New Roman"/>
        </w:rPr>
        <w:t xml:space="preserve">mechanisms that affect any departure from the modeled results.  </w:t>
      </w:r>
      <w:r w:rsidR="006A7D6B" w:rsidRPr="00770477">
        <w:rPr>
          <w:rFonts w:cs="Times New Roman"/>
        </w:rPr>
        <w:br w:type="page"/>
      </w:r>
    </w:p>
    <w:p w14:paraId="1F4D073B" w14:textId="4A7F687F" w:rsidR="00AB3875" w:rsidRPr="00770477" w:rsidRDefault="00AB3875" w:rsidP="00AB3875">
      <w:pPr>
        <w:pStyle w:val="Heading1"/>
        <w:rPr>
          <w:rFonts w:cs="Times New Roman"/>
        </w:rPr>
      </w:pPr>
      <w:bookmarkStart w:id="174" w:name="_Toc121496039"/>
      <w:r w:rsidRPr="00770477">
        <w:rPr>
          <w:rFonts w:cs="Times New Roman"/>
        </w:rPr>
        <w:lastRenderedPageBreak/>
        <w:t>Acknowledgements</w:t>
      </w:r>
      <w:bookmarkEnd w:id="174"/>
    </w:p>
    <w:p w14:paraId="6223E2E1" w14:textId="77777777" w:rsidR="00E105D3" w:rsidRPr="00770477" w:rsidRDefault="00B80082" w:rsidP="00CE45E4">
      <w:pPr>
        <w:rPr>
          <w:rFonts w:cs="Times New Roman"/>
        </w:rPr>
      </w:pPr>
      <w:r w:rsidRPr="00770477">
        <w:rPr>
          <w:rFonts w:cs="Times New Roman"/>
        </w:rPr>
        <w:tab/>
        <w:t xml:space="preserve">This </w:t>
      </w:r>
      <w:r w:rsidR="00A66B41" w:rsidRPr="00770477">
        <w:rPr>
          <w:rFonts w:cs="Times New Roman"/>
        </w:rPr>
        <w:t xml:space="preserve">material is based on work supported by the National Science Foundation under Grant No. OIA-1946093. Any opinions, findings, and conclusions or recommendations expressed in this material are those of the author(s) and do not necessarily reflect the views of the National Science Foundation or Oklahoma State Regents for Higher Education. </w:t>
      </w:r>
    </w:p>
    <w:p w14:paraId="7DCD9F83" w14:textId="39050400" w:rsidR="00B80082" w:rsidRPr="00770477" w:rsidRDefault="00E105D3" w:rsidP="00CE45E4">
      <w:pPr>
        <w:rPr>
          <w:rFonts w:cs="Times New Roman"/>
        </w:rPr>
      </w:pPr>
      <w:r w:rsidRPr="00770477">
        <w:rPr>
          <w:rFonts w:cs="Times New Roman"/>
        </w:rPr>
        <w:tab/>
        <w:t>This grant was awarded through the Oklahoma Established Program to Stimulate Competitive Research (EPSCOR)</w:t>
      </w:r>
      <w:r w:rsidR="0065523C" w:rsidRPr="00770477">
        <w:rPr>
          <w:rFonts w:cs="Times New Roman"/>
        </w:rPr>
        <w:t xml:space="preserve"> under the </w:t>
      </w:r>
      <w:r w:rsidR="0011785F" w:rsidRPr="00770477">
        <w:rPr>
          <w:rFonts w:cs="Times New Roman"/>
        </w:rPr>
        <w:t xml:space="preserve">“Variable and Marginal Quality Water Supplies” focus area. </w:t>
      </w:r>
      <w:r w:rsidR="00DE15D9" w:rsidRPr="00770477">
        <w:rPr>
          <w:rFonts w:cs="Times New Roman"/>
        </w:rPr>
        <w:t xml:space="preserve">This grant was supported and facilitated by the Oklahoma Water Survey (OWS), a </w:t>
      </w:r>
      <w:r w:rsidR="000217BB" w:rsidRPr="00770477">
        <w:rPr>
          <w:rFonts w:cs="Times New Roman"/>
        </w:rPr>
        <w:t xml:space="preserve">research consortium as a part of the University of Oklahoma. </w:t>
      </w:r>
    </w:p>
    <w:p w14:paraId="14D8BCC9" w14:textId="33F7CB96" w:rsidR="00CE45E4" w:rsidRPr="00770477" w:rsidRDefault="001C48F9" w:rsidP="0011785F">
      <w:pPr>
        <w:ind w:firstLine="720"/>
        <w:rPr>
          <w:rFonts w:cs="Times New Roman"/>
        </w:rPr>
      </w:pPr>
      <w:r w:rsidRPr="00770477">
        <w:rPr>
          <w:rFonts w:cs="Times New Roman"/>
        </w:rPr>
        <w:t>Special thanks to my committee</w:t>
      </w:r>
      <w:r w:rsidR="00B7240E" w:rsidRPr="00770477">
        <w:rPr>
          <w:rFonts w:cs="Times New Roman"/>
        </w:rPr>
        <w:t xml:space="preserve">, Dr. Jason Vogel, Dr. Kato Dee, and Dr. Caitlin Hodges, as well as non-committee advisors, Grant </w:t>
      </w:r>
      <w:proofErr w:type="gramStart"/>
      <w:r w:rsidR="00B7240E" w:rsidRPr="00770477">
        <w:rPr>
          <w:rFonts w:cs="Times New Roman"/>
        </w:rPr>
        <w:t>Graves</w:t>
      </w:r>
      <w:proofErr w:type="gramEnd"/>
      <w:r w:rsidR="00B7240E" w:rsidRPr="00770477">
        <w:rPr>
          <w:rFonts w:cs="Times New Roman"/>
        </w:rPr>
        <w:t xml:space="preserve"> and Rishabh Shukla </w:t>
      </w:r>
      <w:r w:rsidR="00B569B3" w:rsidRPr="00770477">
        <w:rPr>
          <w:rFonts w:cs="Times New Roman"/>
        </w:rPr>
        <w:t xml:space="preserve">for their countless hours of </w:t>
      </w:r>
      <w:r w:rsidR="00B163AB" w:rsidRPr="00770477">
        <w:rPr>
          <w:rFonts w:cs="Times New Roman"/>
        </w:rPr>
        <w:t xml:space="preserve">help, support, and advice in making this project possible. Additionally, </w:t>
      </w:r>
      <w:r w:rsidR="00DE15D9" w:rsidRPr="00770477">
        <w:rPr>
          <w:rFonts w:cs="Times New Roman"/>
        </w:rPr>
        <w:t xml:space="preserve">thanks to the </w:t>
      </w:r>
      <w:r w:rsidR="000217BB" w:rsidRPr="00770477">
        <w:rPr>
          <w:rFonts w:cs="Times New Roman"/>
        </w:rPr>
        <w:t xml:space="preserve">OWS student staff for their assistance in </w:t>
      </w:r>
      <w:r w:rsidR="002B782A" w:rsidRPr="00770477">
        <w:rPr>
          <w:rFonts w:cs="Times New Roman"/>
        </w:rPr>
        <w:t>preparing experiments</w:t>
      </w:r>
      <w:r w:rsidR="00011B1F" w:rsidRPr="00770477">
        <w:rPr>
          <w:rFonts w:cs="Times New Roman"/>
        </w:rPr>
        <w:t xml:space="preserve"> and</w:t>
      </w:r>
      <w:r w:rsidR="002B782A" w:rsidRPr="00770477">
        <w:rPr>
          <w:rFonts w:cs="Times New Roman"/>
        </w:rPr>
        <w:t xml:space="preserve"> collecting and processing samples. </w:t>
      </w:r>
      <w:r w:rsidR="00DE15D9" w:rsidRPr="00770477">
        <w:rPr>
          <w:rFonts w:cs="Times New Roman"/>
        </w:rPr>
        <w:t xml:space="preserve"> </w:t>
      </w:r>
    </w:p>
    <w:p w14:paraId="2542AC19" w14:textId="5E5284ED" w:rsidR="00154AF7" w:rsidRPr="00770477" w:rsidRDefault="00B02AAE" w:rsidP="00BC75AD">
      <w:pPr>
        <w:rPr>
          <w:rFonts w:cs="Times New Roman"/>
        </w:rPr>
      </w:pPr>
      <w:r w:rsidRPr="00770477">
        <w:rPr>
          <w:rFonts w:cs="Times New Roman"/>
        </w:rPr>
        <w:tab/>
      </w:r>
      <w:r w:rsidR="00011B1F" w:rsidRPr="00770477">
        <w:rPr>
          <w:rFonts w:cs="Times New Roman"/>
        </w:rPr>
        <w:t xml:space="preserve">Steel slag used in this research was provided by </w:t>
      </w:r>
      <w:r w:rsidR="002D1B13" w:rsidRPr="00770477">
        <w:rPr>
          <w:rFonts w:cs="Times New Roman"/>
        </w:rPr>
        <w:t>Michael Wood</w:t>
      </w:r>
      <w:r w:rsidR="00011B1F" w:rsidRPr="00770477">
        <w:rPr>
          <w:rFonts w:cs="Times New Roman"/>
        </w:rPr>
        <w:t xml:space="preserve">, </w:t>
      </w:r>
      <w:r w:rsidR="002D1B13" w:rsidRPr="00770477">
        <w:rPr>
          <w:rFonts w:cs="Times New Roman"/>
        </w:rPr>
        <w:t>TMS International Corporation</w:t>
      </w:r>
      <w:r w:rsidR="002D1B13" w:rsidRPr="00770477">
        <w:rPr>
          <w:rFonts w:cs="Times New Roman"/>
          <w:vertAlign w:val="superscript"/>
        </w:rPr>
        <w:t>©</w:t>
      </w:r>
      <w:r w:rsidR="00011B1F" w:rsidRPr="00770477">
        <w:rPr>
          <w:rFonts w:cs="Times New Roman"/>
        </w:rPr>
        <w:t>.</w:t>
      </w:r>
      <w:r w:rsidR="00C318BE" w:rsidRPr="00770477">
        <w:rPr>
          <w:rFonts w:cs="Times New Roman"/>
        </w:rPr>
        <w:t xml:space="preserve"> Biochar was purchased </w:t>
      </w:r>
      <w:r w:rsidR="00EC0F7F" w:rsidRPr="00770477">
        <w:rPr>
          <w:rFonts w:cs="Times New Roman"/>
        </w:rPr>
        <w:t xml:space="preserve">from Biochar Now. </w:t>
      </w:r>
      <w:r w:rsidR="00E31A46" w:rsidRPr="00770477">
        <w:rPr>
          <w:rFonts w:cs="Times New Roman"/>
        </w:rPr>
        <w:t xml:space="preserve">Supplies, procurement, and research advice was </w:t>
      </w:r>
      <w:r w:rsidR="00050BCA" w:rsidRPr="00770477">
        <w:rPr>
          <w:rFonts w:cs="Times New Roman"/>
        </w:rPr>
        <w:t>provided by the staff at the University of Oklahoma Chemistry Stockroom, DeAnn</w:t>
      </w:r>
      <w:r w:rsidR="0085686E" w:rsidRPr="00770477">
        <w:rPr>
          <w:rFonts w:cs="Times New Roman"/>
        </w:rPr>
        <w:t>a</w:t>
      </w:r>
      <w:r w:rsidR="00050BCA" w:rsidRPr="00770477">
        <w:rPr>
          <w:rFonts w:cs="Times New Roman"/>
        </w:rPr>
        <w:t xml:space="preserve"> Stone and </w:t>
      </w:r>
      <w:r w:rsidR="0074108E" w:rsidRPr="00770477">
        <w:rPr>
          <w:rFonts w:cs="Times New Roman"/>
        </w:rPr>
        <w:t>Krissy</w:t>
      </w:r>
      <w:r w:rsidR="00264F44" w:rsidRPr="00770477">
        <w:rPr>
          <w:rFonts w:cs="Times New Roman"/>
        </w:rPr>
        <w:t xml:space="preserve"> Griffin</w:t>
      </w:r>
      <w:r w:rsidR="00050BCA" w:rsidRPr="00770477">
        <w:rPr>
          <w:rFonts w:cs="Times New Roman"/>
        </w:rPr>
        <w:t>.</w:t>
      </w:r>
    </w:p>
    <w:p w14:paraId="7B611237" w14:textId="7F0E8D39" w:rsidR="006A7D6B" w:rsidRPr="00770477" w:rsidRDefault="0085686E" w:rsidP="00AB3875">
      <w:pPr>
        <w:rPr>
          <w:rFonts w:cs="Times New Roman"/>
        </w:rPr>
      </w:pPr>
      <w:r w:rsidRPr="00770477">
        <w:rPr>
          <w:rFonts w:cs="Times New Roman"/>
        </w:rPr>
        <w:tab/>
        <w:t xml:space="preserve">Help on </w:t>
      </w:r>
      <w:r w:rsidR="00FF07A8" w:rsidRPr="00770477">
        <w:rPr>
          <w:rFonts w:cs="Times New Roman"/>
        </w:rPr>
        <w:t>curve fitting in R was provided by Dr. Claire Curry (</w:t>
      </w:r>
      <w:r w:rsidR="00CE6372" w:rsidRPr="00770477">
        <w:rPr>
          <w:rFonts w:cs="Times New Roman"/>
        </w:rPr>
        <w:t>University of Oklahoma</w:t>
      </w:r>
      <w:r w:rsidR="00FF07A8" w:rsidRPr="00770477">
        <w:rPr>
          <w:rFonts w:cs="Times New Roman"/>
        </w:rPr>
        <w:t xml:space="preserve"> Science Librarian) and Dr. We</w:t>
      </w:r>
      <w:r w:rsidR="001D6DC6" w:rsidRPr="00770477">
        <w:rPr>
          <w:rFonts w:cs="Times New Roman"/>
        </w:rPr>
        <w:t>sley Honeycutt (</w:t>
      </w:r>
      <w:r w:rsidR="00CE6372" w:rsidRPr="00770477">
        <w:rPr>
          <w:rFonts w:cs="Times New Roman"/>
        </w:rPr>
        <w:t>transdisciplinary Postdoctoral Research Associate).</w:t>
      </w:r>
    </w:p>
    <w:p w14:paraId="6C4CCB54" w14:textId="77777777" w:rsidR="006A7D6B" w:rsidRPr="00770477" w:rsidRDefault="006A7D6B">
      <w:pPr>
        <w:spacing w:line="240" w:lineRule="auto"/>
        <w:rPr>
          <w:rFonts w:cs="Times New Roman"/>
        </w:rPr>
      </w:pPr>
      <w:r w:rsidRPr="00770477">
        <w:rPr>
          <w:rFonts w:cs="Times New Roman"/>
        </w:rPr>
        <w:br w:type="page"/>
      </w:r>
    </w:p>
    <w:p w14:paraId="10D0DF50" w14:textId="1913CE5A" w:rsidR="00C055A8" w:rsidRDefault="00AB3875" w:rsidP="003B6E2D">
      <w:pPr>
        <w:pStyle w:val="Heading1"/>
        <w:rPr>
          <w:rFonts w:cs="Times New Roman"/>
        </w:rPr>
      </w:pPr>
      <w:bookmarkStart w:id="175" w:name="_Toc121496040"/>
      <w:r w:rsidRPr="00770477">
        <w:rPr>
          <w:rFonts w:cs="Times New Roman"/>
        </w:rPr>
        <w:lastRenderedPageBreak/>
        <w:t>Sources</w:t>
      </w:r>
      <w:bookmarkEnd w:id="175"/>
    </w:p>
    <w:p w14:paraId="570AE991" w14:textId="77777777" w:rsidR="003B6E2D" w:rsidRPr="003B6E2D" w:rsidRDefault="003B6E2D" w:rsidP="003B6E2D">
      <w:pPr>
        <w:pStyle w:val="Bibliography"/>
        <w:rPr>
          <w:rFonts w:cs="Times New Roman"/>
        </w:rPr>
      </w:pPr>
      <w:r>
        <w:fldChar w:fldCharType="begin"/>
      </w:r>
      <w:r>
        <w:instrText xml:space="preserve"> ADDIN ZOTERO_BIBL {"uncited":[],"omitted":[],"custom":[]} CSL_BIBLIOGRAPHY </w:instrText>
      </w:r>
      <w:r>
        <w:fldChar w:fldCharType="separate"/>
      </w:r>
      <w:r w:rsidRPr="003B6E2D">
        <w:rPr>
          <w:rFonts w:cs="Times New Roman"/>
        </w:rPr>
        <w:t xml:space="preserve">Agyei, N. M., Strydom, C. A., &amp; Potgieter, J. H. (2002). The removal of phosphate ions from aqueous solution by fly ash, slag, ordinary Portland cement and related blends. </w:t>
      </w:r>
      <w:r w:rsidRPr="003B6E2D">
        <w:rPr>
          <w:rFonts w:cs="Times New Roman"/>
          <w:i/>
          <w:iCs/>
        </w:rPr>
        <w:t>Cement and Concrete Research</w:t>
      </w:r>
      <w:r w:rsidRPr="003B6E2D">
        <w:rPr>
          <w:rFonts w:cs="Times New Roman"/>
        </w:rPr>
        <w:t xml:space="preserve">, </w:t>
      </w:r>
      <w:r w:rsidRPr="003B6E2D">
        <w:rPr>
          <w:rFonts w:cs="Times New Roman"/>
          <w:i/>
          <w:iCs/>
        </w:rPr>
        <w:t>32</w:t>
      </w:r>
      <w:r w:rsidRPr="003B6E2D">
        <w:rPr>
          <w:rFonts w:cs="Times New Roman"/>
        </w:rPr>
        <w:t>(12), 1889–1897. https://doi.org/10.1016/S0008-8846(02)00888-8</w:t>
      </w:r>
    </w:p>
    <w:p w14:paraId="58AF53BD" w14:textId="77777777" w:rsidR="003B6E2D" w:rsidRPr="003B6E2D" w:rsidRDefault="003B6E2D" w:rsidP="003B6E2D">
      <w:pPr>
        <w:pStyle w:val="Bibliography"/>
        <w:rPr>
          <w:rFonts w:cs="Times New Roman"/>
        </w:rPr>
      </w:pPr>
      <w:r w:rsidRPr="003B6E2D">
        <w:rPr>
          <w:rFonts w:cs="Times New Roman"/>
        </w:rPr>
        <w:t xml:space="preserve">Ahmad Zubairi, N. A., Takaijudin, H., Ab Ghani, A., Goh, H. W., &amp; Day, W. A. (2022). Assessment of imidacloprid removal from agricultural runoff by the bioretention treatment train system. </w:t>
      </w:r>
      <w:r w:rsidRPr="003B6E2D">
        <w:rPr>
          <w:rFonts w:cs="Times New Roman"/>
          <w:i/>
          <w:iCs/>
        </w:rPr>
        <w:t>Environmental Advances</w:t>
      </w:r>
      <w:r w:rsidRPr="003B6E2D">
        <w:rPr>
          <w:rFonts w:cs="Times New Roman"/>
        </w:rPr>
        <w:t xml:space="preserve">, </w:t>
      </w:r>
      <w:r w:rsidRPr="003B6E2D">
        <w:rPr>
          <w:rFonts w:cs="Times New Roman"/>
          <w:i/>
          <w:iCs/>
        </w:rPr>
        <w:t>7</w:t>
      </w:r>
      <w:r w:rsidRPr="003B6E2D">
        <w:rPr>
          <w:rFonts w:cs="Times New Roman"/>
        </w:rPr>
        <w:t>, 100156. https://doi.org/10.1016/j.envadv.2021.100156</w:t>
      </w:r>
    </w:p>
    <w:p w14:paraId="592C615C" w14:textId="77777777" w:rsidR="003B6E2D" w:rsidRPr="003B6E2D" w:rsidRDefault="003B6E2D" w:rsidP="003B6E2D">
      <w:pPr>
        <w:pStyle w:val="Bibliography"/>
        <w:rPr>
          <w:rFonts w:cs="Times New Roman"/>
        </w:rPr>
      </w:pPr>
      <w:r w:rsidRPr="003B6E2D">
        <w:rPr>
          <w:rFonts w:cs="Times New Roman"/>
        </w:rPr>
        <w:t xml:space="preserve">Ahmaruzzaman, M. (2010). A review on the utilization of fly ash. </w:t>
      </w:r>
      <w:r w:rsidRPr="003B6E2D">
        <w:rPr>
          <w:rFonts w:cs="Times New Roman"/>
          <w:i/>
          <w:iCs/>
        </w:rPr>
        <w:t>Progress in Energy and Combustion Science</w:t>
      </w:r>
      <w:r w:rsidRPr="003B6E2D">
        <w:rPr>
          <w:rFonts w:cs="Times New Roman"/>
        </w:rPr>
        <w:t xml:space="preserve">, </w:t>
      </w:r>
      <w:r w:rsidRPr="003B6E2D">
        <w:rPr>
          <w:rFonts w:cs="Times New Roman"/>
          <w:i/>
          <w:iCs/>
        </w:rPr>
        <w:t>36</w:t>
      </w:r>
      <w:r w:rsidRPr="003B6E2D">
        <w:rPr>
          <w:rFonts w:cs="Times New Roman"/>
        </w:rPr>
        <w:t>(3), 327–363. https://doi.org/10.1016/j.pecs.2009.11.003</w:t>
      </w:r>
    </w:p>
    <w:p w14:paraId="169FEF40" w14:textId="77777777" w:rsidR="003B6E2D" w:rsidRPr="003B6E2D" w:rsidRDefault="003B6E2D" w:rsidP="003B6E2D">
      <w:pPr>
        <w:pStyle w:val="Bibliography"/>
        <w:rPr>
          <w:rFonts w:cs="Times New Roman"/>
        </w:rPr>
      </w:pPr>
      <w:r w:rsidRPr="003B6E2D">
        <w:rPr>
          <w:rFonts w:cs="Times New Roman"/>
        </w:rPr>
        <w:t xml:space="preserve">Akter, K. F., Owens, G., Davey, D. E., &amp; Naidu, R. (2005). Arsenic Speciation and Toxicity in Biological Systems. In G. W. Ware, L. A. Albert, D. G. Crosby, P. de Voogt, O. Hutzinger, J. B. Knaak, F. L. Mayer, D. P. Morgan, D. L. Park, R. S. Tjeerdema, D. M. Whitacre, R. S. H. Yang, &amp; F. A. Gunther (Eds.), </w:t>
      </w:r>
      <w:r w:rsidRPr="003B6E2D">
        <w:rPr>
          <w:rFonts w:cs="Times New Roman"/>
          <w:i/>
          <w:iCs/>
        </w:rPr>
        <w:t>Reviews of Environmental Contamination and Toxicology</w:t>
      </w:r>
      <w:r w:rsidRPr="003B6E2D">
        <w:rPr>
          <w:rFonts w:cs="Times New Roman"/>
        </w:rPr>
        <w:t xml:space="preserve"> (Vol. 184, pp. 97–149). Springer New York. https://doi.org/10.1007/0-387-27565-7_3</w:t>
      </w:r>
    </w:p>
    <w:p w14:paraId="10AA2226" w14:textId="77777777" w:rsidR="003B6E2D" w:rsidRPr="003B6E2D" w:rsidRDefault="003B6E2D" w:rsidP="003B6E2D">
      <w:pPr>
        <w:pStyle w:val="Bibliography"/>
        <w:rPr>
          <w:rFonts w:cs="Times New Roman"/>
        </w:rPr>
      </w:pPr>
      <w:r w:rsidRPr="003B6E2D">
        <w:rPr>
          <w:rFonts w:cs="Times New Roman"/>
        </w:rPr>
        <w:t xml:space="preserve">Ali, M. T., &amp; Shahram, S. H. (2007). </w:t>
      </w:r>
      <w:r w:rsidRPr="003B6E2D">
        <w:rPr>
          <w:rFonts w:cs="Times New Roman"/>
          <w:i/>
          <w:iCs/>
        </w:rPr>
        <w:t>Converter Slag as a Liming Agent in the Amelioration of Acidic Soils</w:t>
      </w:r>
      <w:r w:rsidRPr="003B6E2D">
        <w:rPr>
          <w:rFonts w:cs="Times New Roman"/>
        </w:rPr>
        <w:t xml:space="preserve">. </w:t>
      </w:r>
      <w:r w:rsidRPr="003B6E2D">
        <w:rPr>
          <w:rFonts w:cs="Times New Roman"/>
          <w:i/>
          <w:iCs/>
        </w:rPr>
        <w:t>9</w:t>
      </w:r>
      <w:r w:rsidRPr="003B6E2D">
        <w:rPr>
          <w:rFonts w:cs="Times New Roman"/>
        </w:rPr>
        <w:t>(5), 7.</w:t>
      </w:r>
    </w:p>
    <w:p w14:paraId="69ECD29C" w14:textId="77777777" w:rsidR="003B6E2D" w:rsidRPr="003B6E2D" w:rsidRDefault="003B6E2D" w:rsidP="003B6E2D">
      <w:pPr>
        <w:pStyle w:val="Bibliography"/>
        <w:rPr>
          <w:rFonts w:cs="Times New Roman"/>
        </w:rPr>
      </w:pPr>
      <w:r w:rsidRPr="003B6E2D">
        <w:rPr>
          <w:rFonts w:cs="Times New Roman"/>
        </w:rPr>
        <w:t xml:space="preserve">Al-Wabel, M. I., Al-Omran, A., El-Naggar, A. H., Nadeem, M., &amp; Usman, A. R. A. (2013). Pyrolysis temperature induced changes in characteristics and chemical composition of biochar produced from conocarpus wastes. </w:t>
      </w:r>
      <w:r w:rsidRPr="003B6E2D">
        <w:rPr>
          <w:rFonts w:cs="Times New Roman"/>
          <w:i/>
          <w:iCs/>
        </w:rPr>
        <w:t>Bioresource Technology</w:t>
      </w:r>
      <w:r w:rsidRPr="003B6E2D">
        <w:rPr>
          <w:rFonts w:cs="Times New Roman"/>
        </w:rPr>
        <w:t xml:space="preserve">, </w:t>
      </w:r>
      <w:r w:rsidRPr="003B6E2D">
        <w:rPr>
          <w:rFonts w:cs="Times New Roman"/>
          <w:i/>
          <w:iCs/>
        </w:rPr>
        <w:t>131</w:t>
      </w:r>
      <w:r w:rsidRPr="003B6E2D">
        <w:rPr>
          <w:rFonts w:cs="Times New Roman"/>
        </w:rPr>
        <w:t>, 374–379. https://doi.org/10.1016/j.biortech.2012.12.165</w:t>
      </w:r>
    </w:p>
    <w:p w14:paraId="3D589D76" w14:textId="77777777" w:rsidR="003B6E2D" w:rsidRPr="003B6E2D" w:rsidRDefault="003B6E2D" w:rsidP="003B6E2D">
      <w:pPr>
        <w:pStyle w:val="Bibliography"/>
        <w:rPr>
          <w:rFonts w:cs="Times New Roman"/>
        </w:rPr>
      </w:pPr>
      <w:r w:rsidRPr="003B6E2D">
        <w:rPr>
          <w:rFonts w:cs="Times New Roman"/>
        </w:rPr>
        <w:lastRenderedPageBreak/>
        <w:t xml:space="preserve">Apak, R., Tütem, E., Hügül, M., &amp; Hizal, J. (1998). Heavy metal cation retention by unconventional sorbents (red muds and fly ashes). </w:t>
      </w:r>
      <w:r w:rsidRPr="003B6E2D">
        <w:rPr>
          <w:rFonts w:cs="Times New Roman"/>
          <w:i/>
          <w:iCs/>
        </w:rPr>
        <w:t>Water Research</w:t>
      </w:r>
      <w:r w:rsidRPr="003B6E2D">
        <w:rPr>
          <w:rFonts w:cs="Times New Roman"/>
        </w:rPr>
        <w:t xml:space="preserve">, </w:t>
      </w:r>
      <w:r w:rsidRPr="003B6E2D">
        <w:rPr>
          <w:rFonts w:cs="Times New Roman"/>
          <w:i/>
          <w:iCs/>
        </w:rPr>
        <w:t>32</w:t>
      </w:r>
      <w:r w:rsidRPr="003B6E2D">
        <w:rPr>
          <w:rFonts w:cs="Times New Roman"/>
        </w:rPr>
        <w:t>(2), 430–440. https://doi.org/10.1016/S0043-1354(97)00204-2</w:t>
      </w:r>
    </w:p>
    <w:p w14:paraId="0B9D9C33" w14:textId="77777777" w:rsidR="003B6E2D" w:rsidRPr="003B6E2D" w:rsidRDefault="003B6E2D" w:rsidP="003B6E2D">
      <w:pPr>
        <w:pStyle w:val="Bibliography"/>
        <w:rPr>
          <w:rFonts w:cs="Times New Roman"/>
        </w:rPr>
      </w:pPr>
      <w:r w:rsidRPr="003B6E2D">
        <w:rPr>
          <w:rFonts w:cs="Times New Roman"/>
        </w:rPr>
        <w:t xml:space="preserve">Arias, C. A., Del Bubba, M., &amp; Brix, H. (2001). Phosphorus removal by sands for use as media in subsurface flow constructed reed beds. </w:t>
      </w:r>
      <w:r w:rsidRPr="003B6E2D">
        <w:rPr>
          <w:rFonts w:cs="Times New Roman"/>
          <w:i/>
          <w:iCs/>
        </w:rPr>
        <w:t>Water Research</w:t>
      </w:r>
      <w:r w:rsidRPr="003B6E2D">
        <w:rPr>
          <w:rFonts w:cs="Times New Roman"/>
        </w:rPr>
        <w:t xml:space="preserve">, </w:t>
      </w:r>
      <w:r w:rsidRPr="003B6E2D">
        <w:rPr>
          <w:rFonts w:cs="Times New Roman"/>
          <w:i/>
          <w:iCs/>
        </w:rPr>
        <w:t>35</w:t>
      </w:r>
      <w:r w:rsidRPr="003B6E2D">
        <w:rPr>
          <w:rFonts w:cs="Times New Roman"/>
        </w:rPr>
        <w:t>(5), 1159–1168. https://doi.org/10.1016/S0043-1354(00)00368-7</w:t>
      </w:r>
    </w:p>
    <w:p w14:paraId="387E0C52" w14:textId="77777777" w:rsidR="003B6E2D" w:rsidRPr="003B6E2D" w:rsidRDefault="003B6E2D" w:rsidP="003B6E2D">
      <w:pPr>
        <w:pStyle w:val="Bibliography"/>
        <w:rPr>
          <w:rFonts w:cs="Times New Roman"/>
        </w:rPr>
      </w:pPr>
      <w:r w:rsidRPr="003B6E2D">
        <w:rPr>
          <w:rFonts w:cs="Times New Roman"/>
        </w:rPr>
        <w:t xml:space="preserve">Armbrust, K. L., &amp; Peeler, H. B. (2002). Effects of formulation on the run-off of imidacloprid from turf. </w:t>
      </w:r>
      <w:r w:rsidRPr="003B6E2D">
        <w:rPr>
          <w:rFonts w:cs="Times New Roman"/>
          <w:i/>
          <w:iCs/>
        </w:rPr>
        <w:t>Pest Management Science</w:t>
      </w:r>
      <w:r w:rsidRPr="003B6E2D">
        <w:rPr>
          <w:rFonts w:cs="Times New Roman"/>
        </w:rPr>
        <w:t xml:space="preserve">, </w:t>
      </w:r>
      <w:r w:rsidRPr="003B6E2D">
        <w:rPr>
          <w:rFonts w:cs="Times New Roman"/>
          <w:i/>
          <w:iCs/>
        </w:rPr>
        <w:t>58</w:t>
      </w:r>
      <w:r w:rsidRPr="003B6E2D">
        <w:rPr>
          <w:rFonts w:cs="Times New Roman"/>
        </w:rPr>
        <w:t>(7), 702–706. https://doi.org/10.1002/ps.518</w:t>
      </w:r>
    </w:p>
    <w:p w14:paraId="56AB7DAE" w14:textId="77777777" w:rsidR="003B6E2D" w:rsidRPr="003B6E2D" w:rsidRDefault="003B6E2D" w:rsidP="003B6E2D">
      <w:pPr>
        <w:pStyle w:val="Bibliography"/>
        <w:rPr>
          <w:rFonts w:cs="Times New Roman"/>
        </w:rPr>
      </w:pPr>
      <w:r w:rsidRPr="003B6E2D">
        <w:rPr>
          <w:rFonts w:cs="Times New Roman"/>
        </w:rPr>
        <w:t xml:space="preserve">Ashoori, N., Teixido, M., Spahr, S., LeFevre, G. H., Sedlak, D. L., &amp; Luthy, R. G. (2019). Evaluation of pilot-scale biochar-amended woodchip bioreactors to remove nitrate, metals, and trace organic contaminants from urban stormwater runoff. </w:t>
      </w:r>
      <w:r w:rsidRPr="003B6E2D">
        <w:rPr>
          <w:rFonts w:cs="Times New Roman"/>
          <w:i/>
          <w:iCs/>
        </w:rPr>
        <w:t>Water Research</w:t>
      </w:r>
      <w:r w:rsidRPr="003B6E2D">
        <w:rPr>
          <w:rFonts w:cs="Times New Roman"/>
        </w:rPr>
        <w:t xml:space="preserve">, </w:t>
      </w:r>
      <w:r w:rsidRPr="003B6E2D">
        <w:rPr>
          <w:rFonts w:cs="Times New Roman"/>
          <w:i/>
          <w:iCs/>
        </w:rPr>
        <w:t>154</w:t>
      </w:r>
      <w:r w:rsidRPr="003B6E2D">
        <w:rPr>
          <w:rFonts w:cs="Times New Roman"/>
        </w:rPr>
        <w:t>, 1–11. https://doi.org/10.1016/j.watres.2019.01.040</w:t>
      </w:r>
    </w:p>
    <w:p w14:paraId="0C015887" w14:textId="77777777" w:rsidR="003B6E2D" w:rsidRPr="003B6E2D" w:rsidRDefault="003B6E2D" w:rsidP="003B6E2D">
      <w:pPr>
        <w:pStyle w:val="Bibliography"/>
        <w:rPr>
          <w:rFonts w:cs="Times New Roman"/>
        </w:rPr>
      </w:pPr>
      <w:r w:rsidRPr="003B6E2D">
        <w:rPr>
          <w:rFonts w:cs="Times New Roman"/>
          <w:i/>
          <w:iCs/>
        </w:rPr>
        <w:t>ASTM standard specification for coal fly ash and raw or calcined natural pozzolan for use in concrete</w:t>
      </w:r>
      <w:r w:rsidRPr="003B6E2D">
        <w:rPr>
          <w:rFonts w:cs="Times New Roman"/>
        </w:rPr>
        <w:t xml:space="preserve"> (No. C618-05; Annual Book of ASTM Standards, Concrete and Aggregates). (2005). American Society for Testing Materials.</w:t>
      </w:r>
    </w:p>
    <w:p w14:paraId="2AADDE21" w14:textId="77777777" w:rsidR="003B6E2D" w:rsidRPr="003B6E2D" w:rsidRDefault="003B6E2D" w:rsidP="003B6E2D">
      <w:pPr>
        <w:pStyle w:val="Bibliography"/>
        <w:rPr>
          <w:rFonts w:cs="Times New Roman"/>
        </w:rPr>
      </w:pPr>
      <w:r w:rsidRPr="003B6E2D">
        <w:rPr>
          <w:rFonts w:cs="Times New Roman"/>
        </w:rPr>
        <w:t xml:space="preserve">Attard, G., &amp; Barnes, C. (1998). </w:t>
      </w:r>
      <w:r w:rsidRPr="003B6E2D">
        <w:rPr>
          <w:rFonts w:cs="Times New Roman"/>
          <w:i/>
          <w:iCs/>
        </w:rPr>
        <w:t>Surfaces</w:t>
      </w:r>
      <w:r w:rsidRPr="003B6E2D">
        <w:rPr>
          <w:rFonts w:cs="Times New Roman"/>
        </w:rPr>
        <w:t>. Oxford University Press.</w:t>
      </w:r>
    </w:p>
    <w:p w14:paraId="6B2F5C78" w14:textId="77777777" w:rsidR="003B6E2D" w:rsidRPr="003B6E2D" w:rsidRDefault="003B6E2D" w:rsidP="003B6E2D">
      <w:pPr>
        <w:pStyle w:val="Bibliography"/>
        <w:rPr>
          <w:rFonts w:cs="Times New Roman"/>
        </w:rPr>
      </w:pPr>
      <w:r w:rsidRPr="003B6E2D">
        <w:rPr>
          <w:rFonts w:cs="Times New Roman"/>
        </w:rPr>
        <w:t xml:space="preserve">Ayala, J., Blanco, F., García, P., Rodriguez, P., &amp; Sancho, J. (1998). Asturian fly ash as a heavy metals removal material. </w:t>
      </w:r>
      <w:r w:rsidRPr="003B6E2D">
        <w:rPr>
          <w:rFonts w:cs="Times New Roman"/>
          <w:i/>
          <w:iCs/>
        </w:rPr>
        <w:t>Fuel</w:t>
      </w:r>
      <w:r w:rsidRPr="003B6E2D">
        <w:rPr>
          <w:rFonts w:cs="Times New Roman"/>
        </w:rPr>
        <w:t xml:space="preserve">, </w:t>
      </w:r>
      <w:r w:rsidRPr="003B6E2D">
        <w:rPr>
          <w:rFonts w:cs="Times New Roman"/>
          <w:i/>
          <w:iCs/>
        </w:rPr>
        <w:t>77</w:t>
      </w:r>
      <w:r w:rsidRPr="003B6E2D">
        <w:rPr>
          <w:rFonts w:cs="Times New Roman"/>
        </w:rPr>
        <w:t>(11), 1147–1154. https://doi.org/10.1016/S0016-2361(98)00027-1</w:t>
      </w:r>
    </w:p>
    <w:p w14:paraId="12FB688C" w14:textId="77777777" w:rsidR="003B6E2D" w:rsidRPr="003B6E2D" w:rsidRDefault="003B6E2D" w:rsidP="003B6E2D">
      <w:pPr>
        <w:pStyle w:val="Bibliography"/>
        <w:rPr>
          <w:rFonts w:cs="Times New Roman"/>
        </w:rPr>
      </w:pPr>
      <w:r w:rsidRPr="003B6E2D">
        <w:rPr>
          <w:rFonts w:cs="Times New Roman"/>
        </w:rPr>
        <w:t xml:space="preserve">Baby, J., Raj, J., Biby, E., Sankarganesh, P., Jeevitha, M., Ajisha, S., &amp; Rajan, S. (2011). Toxic effect of heavy metals on aquatic environment. </w:t>
      </w:r>
      <w:r w:rsidRPr="003B6E2D">
        <w:rPr>
          <w:rFonts w:cs="Times New Roman"/>
          <w:i/>
          <w:iCs/>
        </w:rPr>
        <w:t>International Journal of Biological and Chemical Sciences</w:t>
      </w:r>
      <w:r w:rsidRPr="003B6E2D">
        <w:rPr>
          <w:rFonts w:cs="Times New Roman"/>
        </w:rPr>
        <w:t xml:space="preserve">, </w:t>
      </w:r>
      <w:r w:rsidRPr="003B6E2D">
        <w:rPr>
          <w:rFonts w:cs="Times New Roman"/>
          <w:i/>
          <w:iCs/>
        </w:rPr>
        <w:t>4</w:t>
      </w:r>
      <w:r w:rsidRPr="003B6E2D">
        <w:rPr>
          <w:rFonts w:cs="Times New Roman"/>
        </w:rPr>
        <w:t>(4). https://doi.org/10.4314/ijbcs.v4i4.62976</w:t>
      </w:r>
    </w:p>
    <w:p w14:paraId="51E68D90" w14:textId="77777777" w:rsidR="003B6E2D" w:rsidRPr="003B6E2D" w:rsidRDefault="003B6E2D" w:rsidP="003B6E2D">
      <w:pPr>
        <w:pStyle w:val="Bibliography"/>
        <w:rPr>
          <w:rFonts w:cs="Times New Roman"/>
        </w:rPr>
      </w:pPr>
      <w:r w:rsidRPr="003B6E2D">
        <w:rPr>
          <w:rFonts w:cs="Times New Roman"/>
        </w:rPr>
        <w:lastRenderedPageBreak/>
        <w:t xml:space="preserve">Baciocchi, R., Costa, G., Polettini, A., &amp; Pomi, R. (2015). Effects of thin-film accelerated carbonation on steel slag leaching. </w:t>
      </w:r>
      <w:r w:rsidRPr="003B6E2D">
        <w:rPr>
          <w:rFonts w:cs="Times New Roman"/>
          <w:i/>
          <w:iCs/>
        </w:rPr>
        <w:t>Journal of Hazardous Materials</w:t>
      </w:r>
      <w:r w:rsidRPr="003B6E2D">
        <w:rPr>
          <w:rFonts w:cs="Times New Roman"/>
        </w:rPr>
        <w:t xml:space="preserve">, </w:t>
      </w:r>
      <w:r w:rsidRPr="003B6E2D">
        <w:rPr>
          <w:rFonts w:cs="Times New Roman"/>
          <w:i/>
          <w:iCs/>
        </w:rPr>
        <w:t>286</w:t>
      </w:r>
      <w:r w:rsidRPr="003B6E2D">
        <w:rPr>
          <w:rFonts w:cs="Times New Roman"/>
        </w:rPr>
        <w:t>, 369–378. https://doi.org/10.1016/j.jhazmat.2014.12.059</w:t>
      </w:r>
    </w:p>
    <w:p w14:paraId="14D1AAD3" w14:textId="77777777" w:rsidR="003B6E2D" w:rsidRPr="003B6E2D" w:rsidRDefault="003B6E2D" w:rsidP="003B6E2D">
      <w:pPr>
        <w:pStyle w:val="Bibliography"/>
        <w:rPr>
          <w:rFonts w:cs="Times New Roman"/>
        </w:rPr>
      </w:pPr>
      <w:r w:rsidRPr="003B6E2D">
        <w:rPr>
          <w:rFonts w:cs="Times New Roman"/>
        </w:rPr>
        <w:t xml:space="preserve">Bal, R., Türk, G., Tuzcu, M., Yilmaz, O., Kuloglu, T., Gundogdu, R., Gür, S., Agca, A., Ulas, M., Çambay, Z., Tuzcu, Z., Gencoglu, H., Guvenc, M., Ozsahin, A. D., Kocaman, N., Aslan, A., &amp; Etem, E. (2012). Assessment of imidacloprid toxicity on reproductive organ system of adult male rats. </w:t>
      </w:r>
      <w:r w:rsidRPr="003B6E2D">
        <w:rPr>
          <w:rFonts w:cs="Times New Roman"/>
          <w:i/>
          <w:iCs/>
        </w:rPr>
        <w:t>Journal of Environmental Science and Health, Part B</w:t>
      </w:r>
      <w:r w:rsidRPr="003B6E2D">
        <w:rPr>
          <w:rFonts w:cs="Times New Roman"/>
        </w:rPr>
        <w:t xml:space="preserve">, </w:t>
      </w:r>
      <w:r w:rsidRPr="003B6E2D">
        <w:rPr>
          <w:rFonts w:cs="Times New Roman"/>
          <w:i/>
          <w:iCs/>
        </w:rPr>
        <w:t>47</w:t>
      </w:r>
      <w:r w:rsidRPr="003B6E2D">
        <w:rPr>
          <w:rFonts w:cs="Times New Roman"/>
        </w:rPr>
        <w:t>(5), 434–444. https://doi.org/10.1080/03601234.2012.663311</w:t>
      </w:r>
    </w:p>
    <w:p w14:paraId="4A932E81" w14:textId="77777777" w:rsidR="003B6E2D" w:rsidRPr="003B6E2D" w:rsidRDefault="003B6E2D" w:rsidP="003B6E2D">
      <w:pPr>
        <w:pStyle w:val="Bibliography"/>
        <w:rPr>
          <w:rFonts w:cs="Times New Roman"/>
        </w:rPr>
      </w:pPr>
      <w:r w:rsidRPr="003B6E2D">
        <w:rPr>
          <w:rFonts w:cs="Times New Roman"/>
        </w:rPr>
        <w:t xml:space="preserve">Barrett, M. E. (2003). Performance, Cost, and Maintenance Requirements of Austin Sand Filters. </w:t>
      </w:r>
      <w:r w:rsidRPr="003B6E2D">
        <w:rPr>
          <w:rFonts w:cs="Times New Roman"/>
          <w:i/>
          <w:iCs/>
        </w:rPr>
        <w:t>Journal of Water Resources Planning and Management</w:t>
      </w:r>
      <w:r w:rsidRPr="003B6E2D">
        <w:rPr>
          <w:rFonts w:cs="Times New Roman"/>
        </w:rPr>
        <w:t xml:space="preserve">, </w:t>
      </w:r>
      <w:r w:rsidRPr="003B6E2D">
        <w:rPr>
          <w:rFonts w:cs="Times New Roman"/>
          <w:i/>
          <w:iCs/>
        </w:rPr>
        <w:t>129</w:t>
      </w:r>
      <w:r w:rsidRPr="003B6E2D">
        <w:rPr>
          <w:rFonts w:cs="Times New Roman"/>
        </w:rPr>
        <w:t>(3), 234–242. https://doi.org/10.1061/(ASCE)0733-9496(2003)129:3(234)</w:t>
      </w:r>
    </w:p>
    <w:p w14:paraId="0B6BDA24" w14:textId="77777777" w:rsidR="003B6E2D" w:rsidRPr="003B6E2D" w:rsidRDefault="003B6E2D" w:rsidP="003B6E2D">
      <w:pPr>
        <w:pStyle w:val="Bibliography"/>
        <w:rPr>
          <w:rFonts w:cs="Times New Roman"/>
        </w:rPr>
      </w:pPr>
      <w:r w:rsidRPr="003B6E2D">
        <w:rPr>
          <w:rFonts w:cs="Times New Roman"/>
        </w:rPr>
        <w:t xml:space="preserve">Bayat, B. (2002a). Combined Removal of Zinc (II) and Cadmium (II) from Aqueous Solutions by Adsorption onto High-Calcium Turkish Fly Ash. </w:t>
      </w:r>
      <w:r w:rsidRPr="003B6E2D">
        <w:rPr>
          <w:rFonts w:cs="Times New Roman"/>
          <w:i/>
          <w:iCs/>
        </w:rPr>
        <w:t>Water, Air and Soil Pollution</w:t>
      </w:r>
      <w:r w:rsidRPr="003B6E2D">
        <w:rPr>
          <w:rFonts w:cs="Times New Roman"/>
        </w:rPr>
        <w:t xml:space="preserve">, </w:t>
      </w:r>
      <w:r w:rsidRPr="003B6E2D">
        <w:rPr>
          <w:rFonts w:cs="Times New Roman"/>
          <w:i/>
          <w:iCs/>
        </w:rPr>
        <w:t>136</w:t>
      </w:r>
      <w:r w:rsidRPr="003B6E2D">
        <w:rPr>
          <w:rFonts w:cs="Times New Roman"/>
        </w:rPr>
        <w:t>, 69–92.</w:t>
      </w:r>
    </w:p>
    <w:p w14:paraId="439C514C" w14:textId="77777777" w:rsidR="003B6E2D" w:rsidRPr="003B6E2D" w:rsidRDefault="003B6E2D" w:rsidP="003B6E2D">
      <w:pPr>
        <w:pStyle w:val="Bibliography"/>
        <w:rPr>
          <w:rFonts w:cs="Times New Roman"/>
        </w:rPr>
      </w:pPr>
      <w:r w:rsidRPr="003B6E2D">
        <w:rPr>
          <w:rFonts w:cs="Times New Roman"/>
        </w:rPr>
        <w:t xml:space="preserve">Bayat, B. (2002b). Comparative study of adsorption properties of Turkish fly ashes. </w:t>
      </w:r>
      <w:r w:rsidRPr="003B6E2D">
        <w:rPr>
          <w:rFonts w:cs="Times New Roman"/>
          <w:i/>
          <w:iCs/>
        </w:rPr>
        <w:t>Journal of Hazardous Materials</w:t>
      </w:r>
      <w:r w:rsidRPr="003B6E2D">
        <w:rPr>
          <w:rFonts w:cs="Times New Roman"/>
        </w:rPr>
        <w:t xml:space="preserve">, </w:t>
      </w:r>
      <w:r w:rsidRPr="003B6E2D">
        <w:rPr>
          <w:rFonts w:cs="Times New Roman"/>
          <w:i/>
          <w:iCs/>
        </w:rPr>
        <w:t>95</w:t>
      </w:r>
      <w:r w:rsidRPr="003B6E2D">
        <w:rPr>
          <w:rFonts w:cs="Times New Roman"/>
        </w:rPr>
        <w:t>(3), 275–290. https://doi.org/10.1016/S0304-3894(02)00141-3</w:t>
      </w:r>
    </w:p>
    <w:p w14:paraId="5EE7AF9E" w14:textId="77777777" w:rsidR="003B6E2D" w:rsidRPr="003B6E2D" w:rsidRDefault="003B6E2D" w:rsidP="003B6E2D">
      <w:pPr>
        <w:pStyle w:val="Bibliography"/>
        <w:rPr>
          <w:rFonts w:cs="Times New Roman"/>
        </w:rPr>
      </w:pPr>
      <w:r w:rsidRPr="003B6E2D">
        <w:rPr>
          <w:rFonts w:cs="Times New Roman"/>
        </w:rPr>
        <w:t xml:space="preserve">Biskri, Y., Achoura, D., Chelghoum, N., &amp; Mouret, M. (2017). Mechanical and durability characteristics of High Performance Concrete containing steel slag and crystalized slag as aggregates. </w:t>
      </w:r>
      <w:r w:rsidRPr="003B6E2D">
        <w:rPr>
          <w:rFonts w:cs="Times New Roman"/>
          <w:i/>
          <w:iCs/>
        </w:rPr>
        <w:t>Construction and Building Materials</w:t>
      </w:r>
      <w:r w:rsidRPr="003B6E2D">
        <w:rPr>
          <w:rFonts w:cs="Times New Roman"/>
        </w:rPr>
        <w:t xml:space="preserve">, </w:t>
      </w:r>
      <w:r w:rsidRPr="003B6E2D">
        <w:rPr>
          <w:rFonts w:cs="Times New Roman"/>
          <w:i/>
          <w:iCs/>
        </w:rPr>
        <w:t>150</w:t>
      </w:r>
      <w:r w:rsidRPr="003B6E2D">
        <w:rPr>
          <w:rFonts w:cs="Times New Roman"/>
        </w:rPr>
        <w:t>, 167–178. https://doi.org/10.1016/j.conbuildmat.2017.05.083</w:t>
      </w:r>
    </w:p>
    <w:p w14:paraId="79492686" w14:textId="77777777" w:rsidR="003B6E2D" w:rsidRPr="003B6E2D" w:rsidRDefault="003B6E2D" w:rsidP="003B6E2D">
      <w:pPr>
        <w:pStyle w:val="Bibliography"/>
        <w:rPr>
          <w:rFonts w:cs="Times New Roman"/>
        </w:rPr>
      </w:pPr>
      <w:r w:rsidRPr="003B6E2D">
        <w:rPr>
          <w:rFonts w:cs="Times New Roman"/>
          <w:i/>
          <w:iCs/>
        </w:rPr>
        <w:t>BMP Statistical Analysis Tool</w:t>
      </w:r>
      <w:r w:rsidRPr="003B6E2D">
        <w:rPr>
          <w:rFonts w:cs="Times New Roman"/>
        </w:rPr>
        <w:t>. (n.d.). INT’L STORMWATER BMP DBASE. Retrieved November 18, 2021, from https://bmpdatabase.org/bmp-statistical-analysis-tool</w:t>
      </w:r>
    </w:p>
    <w:p w14:paraId="0657D2A0" w14:textId="77777777" w:rsidR="003B6E2D" w:rsidRPr="003B6E2D" w:rsidRDefault="003B6E2D" w:rsidP="003B6E2D">
      <w:pPr>
        <w:pStyle w:val="Bibliography"/>
        <w:rPr>
          <w:rFonts w:cs="Times New Roman"/>
        </w:rPr>
      </w:pPr>
      <w:r w:rsidRPr="003B6E2D">
        <w:rPr>
          <w:rFonts w:cs="Times New Roman"/>
        </w:rPr>
        <w:lastRenderedPageBreak/>
        <w:t xml:space="preserve">Borsuah, J. F., Messer, T. L., Snow, D. D., Comfort, S. D., &amp; Mittelstet, A. R. (2020). Literature Review: Global Neonicotinoid Insecticide Occurrence in Aquatic Environments. </w:t>
      </w:r>
      <w:r w:rsidRPr="003B6E2D">
        <w:rPr>
          <w:rFonts w:cs="Times New Roman"/>
          <w:i/>
          <w:iCs/>
        </w:rPr>
        <w:t>Water</w:t>
      </w:r>
      <w:r w:rsidRPr="003B6E2D">
        <w:rPr>
          <w:rFonts w:cs="Times New Roman"/>
        </w:rPr>
        <w:t xml:space="preserve">, </w:t>
      </w:r>
      <w:r w:rsidRPr="003B6E2D">
        <w:rPr>
          <w:rFonts w:cs="Times New Roman"/>
          <w:i/>
          <w:iCs/>
        </w:rPr>
        <w:t>12</w:t>
      </w:r>
      <w:r w:rsidRPr="003B6E2D">
        <w:rPr>
          <w:rFonts w:cs="Times New Roman"/>
        </w:rPr>
        <w:t>(12), 3388. https://doi.org/10.3390/w12123388</w:t>
      </w:r>
    </w:p>
    <w:p w14:paraId="723805FC" w14:textId="77777777" w:rsidR="003B6E2D" w:rsidRPr="003B6E2D" w:rsidRDefault="003B6E2D" w:rsidP="003B6E2D">
      <w:pPr>
        <w:pStyle w:val="Bibliography"/>
        <w:rPr>
          <w:rFonts w:cs="Times New Roman"/>
        </w:rPr>
      </w:pPr>
      <w:r w:rsidRPr="003B6E2D">
        <w:rPr>
          <w:rFonts w:cs="Times New Roman"/>
        </w:rPr>
        <w:t xml:space="preserve">Bowden, L. I., Jarvis, A. P., Younger, P. L., &amp; Johnson, K. L. (2009). Phosphorus Removal from Waste Waters Using Basic Oxygen Steel Slag. </w:t>
      </w:r>
      <w:r w:rsidRPr="003B6E2D">
        <w:rPr>
          <w:rFonts w:cs="Times New Roman"/>
          <w:i/>
          <w:iCs/>
        </w:rPr>
        <w:t>Environmental Science &amp; Technology</w:t>
      </w:r>
      <w:r w:rsidRPr="003B6E2D">
        <w:rPr>
          <w:rFonts w:cs="Times New Roman"/>
        </w:rPr>
        <w:t xml:space="preserve">, </w:t>
      </w:r>
      <w:r w:rsidRPr="003B6E2D">
        <w:rPr>
          <w:rFonts w:cs="Times New Roman"/>
          <w:i/>
          <w:iCs/>
        </w:rPr>
        <w:t>43</w:t>
      </w:r>
      <w:r w:rsidRPr="003B6E2D">
        <w:rPr>
          <w:rFonts w:cs="Times New Roman"/>
        </w:rPr>
        <w:t>(7), 2476–2481. https://doi.org/10.1021/es801626d</w:t>
      </w:r>
    </w:p>
    <w:p w14:paraId="6A4A87C9" w14:textId="77777777" w:rsidR="003B6E2D" w:rsidRPr="003B6E2D" w:rsidRDefault="003B6E2D" w:rsidP="003B6E2D">
      <w:pPr>
        <w:pStyle w:val="Bibliography"/>
        <w:rPr>
          <w:rFonts w:cs="Times New Roman"/>
        </w:rPr>
      </w:pPr>
      <w:r w:rsidRPr="003B6E2D">
        <w:rPr>
          <w:rFonts w:cs="Times New Roman"/>
        </w:rPr>
        <w:t xml:space="preserve">Bowen, D. (2021). </w:t>
      </w:r>
      <w:r w:rsidRPr="003B6E2D">
        <w:rPr>
          <w:rFonts w:cs="Times New Roman"/>
          <w:i/>
          <w:iCs/>
        </w:rPr>
        <w:t>Steel Slag TCLP</w:t>
      </w:r>
      <w:r w:rsidRPr="003B6E2D">
        <w:rPr>
          <w:rFonts w:cs="Times New Roman"/>
        </w:rPr>
        <w:t xml:space="preserve"> (Analytical Report No. 180-118695–1). Eurofins.</w:t>
      </w:r>
    </w:p>
    <w:p w14:paraId="484811F2" w14:textId="77777777" w:rsidR="003B6E2D" w:rsidRPr="003B6E2D" w:rsidRDefault="003B6E2D" w:rsidP="003B6E2D">
      <w:pPr>
        <w:pStyle w:val="Bibliography"/>
        <w:rPr>
          <w:rFonts w:cs="Times New Roman"/>
        </w:rPr>
      </w:pPr>
      <w:r w:rsidRPr="003B6E2D">
        <w:rPr>
          <w:rFonts w:cs="Times New Roman"/>
        </w:rPr>
        <w:t xml:space="preserve">Brown, G. (2017). </w:t>
      </w:r>
      <w:r w:rsidRPr="003B6E2D">
        <w:rPr>
          <w:rFonts w:cs="Times New Roman"/>
          <w:i/>
          <w:iCs/>
        </w:rPr>
        <w:t>The Application of Fly Ash to Treat Stormwater around Poultry Houses</w:t>
      </w:r>
      <w:r w:rsidRPr="003B6E2D">
        <w:rPr>
          <w:rFonts w:cs="Times New Roman"/>
        </w:rPr>
        <w:t>. Oklahoma State University.</w:t>
      </w:r>
    </w:p>
    <w:p w14:paraId="0FE54849" w14:textId="77777777" w:rsidR="003B6E2D" w:rsidRPr="003B6E2D" w:rsidRDefault="003B6E2D" w:rsidP="003B6E2D">
      <w:pPr>
        <w:pStyle w:val="Bibliography"/>
        <w:rPr>
          <w:rFonts w:cs="Times New Roman"/>
        </w:rPr>
      </w:pPr>
      <w:r w:rsidRPr="003B6E2D">
        <w:rPr>
          <w:rFonts w:cs="Times New Roman"/>
        </w:rPr>
        <w:t xml:space="preserve">Cairns, S., Robertson, I., Holliman, P., &amp; Street-Perrott, A. (2022). Treatments of wood ash amended biochar to reduce nutrient leaching and immobilise lead, copper, zinc and cadmium in aqueous solution: Column experiments. </w:t>
      </w:r>
      <w:r w:rsidRPr="003B6E2D">
        <w:rPr>
          <w:rFonts w:cs="Times New Roman"/>
          <w:i/>
          <w:iCs/>
        </w:rPr>
        <w:t>Environmental Science: Water Research &amp; Technology</w:t>
      </w:r>
      <w:r w:rsidRPr="003B6E2D">
        <w:rPr>
          <w:rFonts w:cs="Times New Roman"/>
        </w:rPr>
        <w:t>, 10.1039.D1EW00962A. https://doi.org/10.1039/D1EW00962A</w:t>
      </w:r>
    </w:p>
    <w:p w14:paraId="6A12C40D" w14:textId="77777777" w:rsidR="003B6E2D" w:rsidRPr="003B6E2D" w:rsidRDefault="003B6E2D" w:rsidP="003B6E2D">
      <w:pPr>
        <w:pStyle w:val="Bibliography"/>
        <w:rPr>
          <w:rFonts w:cs="Times New Roman"/>
        </w:rPr>
      </w:pPr>
      <w:r w:rsidRPr="003B6E2D">
        <w:rPr>
          <w:rFonts w:cs="Times New Roman"/>
        </w:rPr>
        <w:t xml:space="preserve">Canadian Council of Ministers of the Environment. (2007). </w:t>
      </w:r>
      <w:r w:rsidRPr="003B6E2D">
        <w:rPr>
          <w:rFonts w:cs="Times New Roman"/>
          <w:i/>
          <w:iCs/>
        </w:rPr>
        <w:t>Canadian water quality guidelines: Imidacloprid scientific supporting document</w:t>
      </w:r>
      <w:r w:rsidRPr="003B6E2D">
        <w:rPr>
          <w:rFonts w:cs="Times New Roman"/>
        </w:rPr>
        <w:t>. Canadian Council of Ministers of the Environment. https://www.deslibris.ca/ID/251252</w:t>
      </w:r>
    </w:p>
    <w:p w14:paraId="6CF81504" w14:textId="77777777" w:rsidR="003B6E2D" w:rsidRPr="003B6E2D" w:rsidRDefault="003B6E2D" w:rsidP="003B6E2D">
      <w:pPr>
        <w:pStyle w:val="Bibliography"/>
        <w:rPr>
          <w:rFonts w:cs="Times New Roman"/>
        </w:rPr>
      </w:pPr>
      <w:r w:rsidRPr="003B6E2D">
        <w:rPr>
          <w:rFonts w:cs="Times New Roman"/>
        </w:rPr>
        <w:t xml:space="preserve">Carleton, J. N., Grizzard, T. J., Godrej, A. N., &amp; Post, H. E. (2001). Factors affecting the performance of stormwater treatment wetlands. </w:t>
      </w:r>
      <w:r w:rsidRPr="003B6E2D">
        <w:rPr>
          <w:rFonts w:cs="Times New Roman"/>
          <w:i/>
          <w:iCs/>
        </w:rPr>
        <w:t>Water Research</w:t>
      </w:r>
      <w:r w:rsidRPr="003B6E2D">
        <w:rPr>
          <w:rFonts w:cs="Times New Roman"/>
        </w:rPr>
        <w:t xml:space="preserve">, </w:t>
      </w:r>
      <w:r w:rsidRPr="003B6E2D">
        <w:rPr>
          <w:rFonts w:cs="Times New Roman"/>
          <w:i/>
          <w:iCs/>
        </w:rPr>
        <w:t>35</w:t>
      </w:r>
      <w:r w:rsidRPr="003B6E2D">
        <w:rPr>
          <w:rFonts w:cs="Times New Roman"/>
        </w:rPr>
        <w:t>(6), 1552–1562. https://doi.org/10.1016/S0043-1354(00)00416-4</w:t>
      </w:r>
    </w:p>
    <w:p w14:paraId="044B22AF" w14:textId="77777777" w:rsidR="003B6E2D" w:rsidRPr="003B6E2D" w:rsidRDefault="003B6E2D" w:rsidP="003B6E2D">
      <w:pPr>
        <w:pStyle w:val="Bibliography"/>
        <w:rPr>
          <w:rFonts w:cs="Times New Roman"/>
        </w:rPr>
      </w:pPr>
      <w:r w:rsidRPr="003B6E2D">
        <w:rPr>
          <w:rFonts w:cs="Times New Roman"/>
        </w:rPr>
        <w:t xml:space="preserve">Chandra Srivastava, V., Deo Mall, I., &amp; Mani Mishra, I. (2006). Modelling Individual and Competitive Adsorption of Cadmium(II) and Zinc(II) Metal Ions from Aqueous Solution onto Bagasse Fly Ash. </w:t>
      </w:r>
      <w:r w:rsidRPr="003B6E2D">
        <w:rPr>
          <w:rFonts w:cs="Times New Roman"/>
          <w:i/>
          <w:iCs/>
        </w:rPr>
        <w:t>Separation Science and Technology</w:t>
      </w:r>
      <w:r w:rsidRPr="003B6E2D">
        <w:rPr>
          <w:rFonts w:cs="Times New Roman"/>
        </w:rPr>
        <w:t xml:space="preserve">, </w:t>
      </w:r>
      <w:r w:rsidRPr="003B6E2D">
        <w:rPr>
          <w:rFonts w:cs="Times New Roman"/>
          <w:i/>
          <w:iCs/>
        </w:rPr>
        <w:t>41</w:t>
      </w:r>
      <w:r w:rsidRPr="003B6E2D">
        <w:rPr>
          <w:rFonts w:cs="Times New Roman"/>
        </w:rPr>
        <w:t>(12), 2685–2710. https://doi.org/10.1080/01496390600725687</w:t>
      </w:r>
    </w:p>
    <w:p w14:paraId="517E3A29" w14:textId="77777777" w:rsidR="003B6E2D" w:rsidRPr="003B6E2D" w:rsidRDefault="003B6E2D" w:rsidP="003B6E2D">
      <w:pPr>
        <w:pStyle w:val="Bibliography"/>
        <w:rPr>
          <w:rFonts w:cs="Times New Roman"/>
        </w:rPr>
      </w:pPr>
      <w:r w:rsidRPr="003B6E2D">
        <w:rPr>
          <w:rFonts w:cs="Times New Roman"/>
          <w:i/>
          <w:iCs/>
        </w:rPr>
        <w:lastRenderedPageBreak/>
        <w:t>Characterization of Solutions by pH and Eh</w:t>
      </w:r>
      <w:r w:rsidRPr="003B6E2D">
        <w:rPr>
          <w:rFonts w:cs="Times New Roman"/>
        </w:rPr>
        <w:t>. (2006, October). Railsback’s Some Fundaments of Mineralogy and Geochemistry. http://railsback.org/Fundamentals/8150RedoxPlot07LS.pdf</w:t>
      </w:r>
    </w:p>
    <w:p w14:paraId="728A25A3" w14:textId="77777777" w:rsidR="003B6E2D" w:rsidRPr="003B6E2D" w:rsidRDefault="003B6E2D" w:rsidP="003B6E2D">
      <w:pPr>
        <w:pStyle w:val="Bibliography"/>
        <w:rPr>
          <w:rFonts w:cs="Times New Roman"/>
        </w:rPr>
      </w:pPr>
      <w:r w:rsidRPr="003B6E2D">
        <w:rPr>
          <w:rFonts w:cs="Times New Roman"/>
        </w:rPr>
        <w:t xml:space="preserve">Chen, J., Kong, H., Wu, D., Chen, X., Zhang, D., &amp; Sun, Z. (2007). Phosphate immobilization from aqueous solution by fly ashes in relation to their composition. </w:t>
      </w:r>
      <w:r w:rsidRPr="003B6E2D">
        <w:rPr>
          <w:rFonts w:cs="Times New Roman"/>
          <w:i/>
          <w:iCs/>
        </w:rPr>
        <w:t>Journal of Hazardous Materials</w:t>
      </w:r>
      <w:r w:rsidRPr="003B6E2D">
        <w:rPr>
          <w:rFonts w:cs="Times New Roman"/>
        </w:rPr>
        <w:t xml:space="preserve">, </w:t>
      </w:r>
      <w:r w:rsidRPr="003B6E2D">
        <w:rPr>
          <w:rFonts w:cs="Times New Roman"/>
          <w:i/>
          <w:iCs/>
        </w:rPr>
        <w:t>139</w:t>
      </w:r>
      <w:r w:rsidRPr="003B6E2D">
        <w:rPr>
          <w:rFonts w:cs="Times New Roman"/>
        </w:rPr>
        <w:t>(2), 293–300. https://doi.org/10.1016/j.jhazmat.2006.06.034</w:t>
      </w:r>
    </w:p>
    <w:p w14:paraId="38D2C9E3" w14:textId="77777777" w:rsidR="003B6E2D" w:rsidRPr="003B6E2D" w:rsidRDefault="003B6E2D" w:rsidP="003B6E2D">
      <w:pPr>
        <w:pStyle w:val="Bibliography"/>
        <w:rPr>
          <w:rFonts w:cs="Times New Roman"/>
        </w:rPr>
      </w:pPr>
      <w:r w:rsidRPr="003B6E2D">
        <w:rPr>
          <w:rFonts w:cs="Times New Roman"/>
        </w:rPr>
        <w:t xml:space="preserve">Cheung, K. C., &amp; Venkitachalam, T. H. (2000). Improving phosphate removal of sand infiltration system using alkaline fly ash. </w:t>
      </w:r>
      <w:r w:rsidRPr="003B6E2D">
        <w:rPr>
          <w:rFonts w:cs="Times New Roman"/>
          <w:i/>
          <w:iCs/>
        </w:rPr>
        <w:t>Chemosphere</w:t>
      </w:r>
      <w:r w:rsidRPr="003B6E2D">
        <w:rPr>
          <w:rFonts w:cs="Times New Roman"/>
        </w:rPr>
        <w:t xml:space="preserve">, </w:t>
      </w:r>
      <w:r w:rsidRPr="003B6E2D">
        <w:rPr>
          <w:rFonts w:cs="Times New Roman"/>
          <w:i/>
          <w:iCs/>
        </w:rPr>
        <w:t>41</w:t>
      </w:r>
      <w:r w:rsidRPr="003B6E2D">
        <w:rPr>
          <w:rFonts w:cs="Times New Roman"/>
        </w:rPr>
        <w:t>(1–2), 243–249. https://doi.org/10.1016/S0045-6535(99)00417-8</w:t>
      </w:r>
    </w:p>
    <w:p w14:paraId="0997E40F" w14:textId="77777777" w:rsidR="003B6E2D" w:rsidRPr="003B6E2D" w:rsidRDefault="003B6E2D" w:rsidP="003B6E2D">
      <w:pPr>
        <w:pStyle w:val="Bibliography"/>
        <w:rPr>
          <w:rFonts w:cs="Times New Roman"/>
        </w:rPr>
      </w:pPr>
      <w:r w:rsidRPr="003B6E2D">
        <w:rPr>
          <w:rFonts w:cs="Times New Roman"/>
        </w:rPr>
        <w:t xml:space="preserve">Cheung, K. C., Venkitachalam, T. H., &amp; Scott, W. D. (1994). Selecting soil amendment materials for removal of phosphorus. </w:t>
      </w:r>
      <w:r w:rsidRPr="003B6E2D">
        <w:rPr>
          <w:rFonts w:cs="Times New Roman"/>
          <w:i/>
          <w:iCs/>
        </w:rPr>
        <w:t>Water Science and Technology</w:t>
      </w:r>
      <w:r w:rsidRPr="003B6E2D">
        <w:rPr>
          <w:rFonts w:cs="Times New Roman"/>
        </w:rPr>
        <w:t xml:space="preserve">, </w:t>
      </w:r>
      <w:r w:rsidRPr="003B6E2D">
        <w:rPr>
          <w:rFonts w:cs="Times New Roman"/>
          <w:i/>
          <w:iCs/>
        </w:rPr>
        <w:t>30</w:t>
      </w:r>
      <w:r w:rsidRPr="003B6E2D">
        <w:rPr>
          <w:rFonts w:cs="Times New Roman"/>
        </w:rPr>
        <w:t>(6), 247–256. https://doi.org/10.2166/wst.1994.0275</w:t>
      </w:r>
    </w:p>
    <w:p w14:paraId="2314B7B7" w14:textId="77777777" w:rsidR="003B6E2D" w:rsidRPr="003B6E2D" w:rsidRDefault="003B6E2D" w:rsidP="003B6E2D">
      <w:pPr>
        <w:pStyle w:val="Bibliography"/>
        <w:rPr>
          <w:rFonts w:cs="Times New Roman"/>
        </w:rPr>
      </w:pPr>
      <w:r w:rsidRPr="003B6E2D">
        <w:rPr>
          <w:rFonts w:cs="Times New Roman"/>
        </w:rPr>
        <w:t xml:space="preserve">Chu, K. H. (2020). Fitting the Gompertz equation to asymmetric breakthrough curves. </w:t>
      </w:r>
      <w:r w:rsidRPr="003B6E2D">
        <w:rPr>
          <w:rFonts w:cs="Times New Roman"/>
          <w:i/>
          <w:iCs/>
        </w:rPr>
        <w:t>Journal of Environmental Chemical Engineering</w:t>
      </w:r>
      <w:r w:rsidRPr="003B6E2D">
        <w:rPr>
          <w:rFonts w:cs="Times New Roman"/>
        </w:rPr>
        <w:t xml:space="preserve">, </w:t>
      </w:r>
      <w:r w:rsidRPr="003B6E2D">
        <w:rPr>
          <w:rFonts w:cs="Times New Roman"/>
          <w:i/>
          <w:iCs/>
        </w:rPr>
        <w:t>8</w:t>
      </w:r>
      <w:r w:rsidRPr="003B6E2D">
        <w:rPr>
          <w:rFonts w:cs="Times New Roman"/>
        </w:rPr>
        <w:t>(3), 103713. https://doi.org/10.1016/j.jece.2020.103713</w:t>
      </w:r>
    </w:p>
    <w:p w14:paraId="6CD8BE05" w14:textId="77777777" w:rsidR="003B6E2D" w:rsidRPr="003B6E2D" w:rsidRDefault="003B6E2D" w:rsidP="003B6E2D">
      <w:pPr>
        <w:pStyle w:val="Bibliography"/>
        <w:rPr>
          <w:rFonts w:cs="Times New Roman"/>
        </w:rPr>
      </w:pPr>
      <w:r w:rsidRPr="003B6E2D">
        <w:rPr>
          <w:rFonts w:cs="Times New Roman"/>
        </w:rPr>
        <w:t xml:space="preserve">Cosgrove, S., Jefferson, B., &amp; Jarvis, P. (2019). Pesticide removal from drinking water sources by adsorption: A review. </w:t>
      </w:r>
      <w:r w:rsidRPr="003B6E2D">
        <w:rPr>
          <w:rFonts w:cs="Times New Roman"/>
          <w:i/>
          <w:iCs/>
        </w:rPr>
        <w:t>Environmental Technology Reviews</w:t>
      </w:r>
      <w:r w:rsidRPr="003B6E2D">
        <w:rPr>
          <w:rFonts w:cs="Times New Roman"/>
        </w:rPr>
        <w:t xml:space="preserve">, </w:t>
      </w:r>
      <w:r w:rsidRPr="003B6E2D">
        <w:rPr>
          <w:rFonts w:cs="Times New Roman"/>
          <w:i/>
          <w:iCs/>
        </w:rPr>
        <w:t>8</w:t>
      </w:r>
      <w:r w:rsidRPr="003B6E2D">
        <w:rPr>
          <w:rFonts w:cs="Times New Roman"/>
        </w:rPr>
        <w:t>(1), 1–24. https://doi.org/10.1080/21622515.2019.1593514</w:t>
      </w:r>
    </w:p>
    <w:p w14:paraId="51FEBE27" w14:textId="77777777" w:rsidR="003B6E2D" w:rsidRPr="003B6E2D" w:rsidRDefault="003B6E2D" w:rsidP="003B6E2D">
      <w:pPr>
        <w:pStyle w:val="Bibliography"/>
        <w:rPr>
          <w:rFonts w:cs="Times New Roman"/>
        </w:rPr>
      </w:pPr>
      <w:r w:rsidRPr="003B6E2D">
        <w:rPr>
          <w:rFonts w:cs="Times New Roman"/>
        </w:rPr>
        <w:t xml:space="preserve">Cox, L., Hermosin, M. C., Koskinen, W. C., &amp; Cornejo, J. (2000). </w:t>
      </w:r>
      <w:r w:rsidRPr="003B6E2D">
        <w:rPr>
          <w:rFonts w:cs="Times New Roman"/>
          <w:i/>
          <w:iCs/>
        </w:rPr>
        <w:t>Interactions of imidacloprid with organicand inorganic-exchanged smectites</w:t>
      </w:r>
      <w:r w:rsidRPr="003B6E2D">
        <w:rPr>
          <w:rFonts w:cs="Times New Roman"/>
        </w:rPr>
        <w:t>. 8.</w:t>
      </w:r>
    </w:p>
    <w:p w14:paraId="34D1AD38" w14:textId="77777777" w:rsidR="003B6E2D" w:rsidRPr="003B6E2D" w:rsidRDefault="003B6E2D" w:rsidP="003B6E2D">
      <w:pPr>
        <w:pStyle w:val="Bibliography"/>
        <w:rPr>
          <w:rFonts w:cs="Times New Roman"/>
        </w:rPr>
      </w:pPr>
      <w:r w:rsidRPr="003B6E2D">
        <w:rPr>
          <w:rFonts w:cs="Times New Roman"/>
        </w:rPr>
        <w:t xml:space="preserve">Davis, A. P., Shokouhian, M., Sharma, H., &amp; Minami, C. (2001). Laboratory Study of Biological Retention for Urban Stormwater Management. </w:t>
      </w:r>
      <w:r w:rsidRPr="003B6E2D">
        <w:rPr>
          <w:rFonts w:cs="Times New Roman"/>
          <w:i/>
          <w:iCs/>
        </w:rPr>
        <w:t>Water Environment Research</w:t>
      </w:r>
      <w:r w:rsidRPr="003B6E2D">
        <w:rPr>
          <w:rFonts w:cs="Times New Roman"/>
        </w:rPr>
        <w:t xml:space="preserve">, </w:t>
      </w:r>
      <w:r w:rsidRPr="003B6E2D">
        <w:rPr>
          <w:rFonts w:cs="Times New Roman"/>
          <w:i/>
          <w:iCs/>
        </w:rPr>
        <w:t>73</w:t>
      </w:r>
      <w:r w:rsidRPr="003B6E2D">
        <w:rPr>
          <w:rFonts w:cs="Times New Roman"/>
        </w:rPr>
        <w:t>(1), 5–14. https://doi.org/10.2175/106143001X138624</w:t>
      </w:r>
    </w:p>
    <w:p w14:paraId="6AEF0905" w14:textId="77777777" w:rsidR="003B6E2D" w:rsidRPr="003B6E2D" w:rsidRDefault="003B6E2D" w:rsidP="003B6E2D">
      <w:pPr>
        <w:pStyle w:val="Bibliography"/>
        <w:rPr>
          <w:rFonts w:cs="Times New Roman"/>
        </w:rPr>
      </w:pPr>
      <w:r w:rsidRPr="003B6E2D">
        <w:rPr>
          <w:rFonts w:cs="Times New Roman"/>
        </w:rPr>
        <w:lastRenderedPageBreak/>
        <w:t xml:space="preserve">Davis, A. P., Shokouhian, M., Sharma, H., &amp; Minami, C. (2006). Water Quality Improvement through Bioretention Media: Nitrogen and Phosphorus Removal. </w:t>
      </w:r>
      <w:r w:rsidRPr="003B6E2D">
        <w:rPr>
          <w:rFonts w:cs="Times New Roman"/>
          <w:i/>
          <w:iCs/>
        </w:rPr>
        <w:t>Water Environment Research</w:t>
      </w:r>
      <w:r w:rsidRPr="003B6E2D">
        <w:rPr>
          <w:rFonts w:cs="Times New Roman"/>
        </w:rPr>
        <w:t xml:space="preserve">, </w:t>
      </w:r>
      <w:r w:rsidRPr="003B6E2D">
        <w:rPr>
          <w:rFonts w:cs="Times New Roman"/>
          <w:i/>
          <w:iCs/>
        </w:rPr>
        <w:t>78</w:t>
      </w:r>
      <w:r w:rsidRPr="003B6E2D">
        <w:rPr>
          <w:rFonts w:cs="Times New Roman"/>
        </w:rPr>
        <w:t>(3), 284–293. https://doi.org/10.2175/106143005X94376</w:t>
      </w:r>
    </w:p>
    <w:p w14:paraId="6F39F030" w14:textId="77777777" w:rsidR="003B6E2D" w:rsidRPr="003B6E2D" w:rsidRDefault="003B6E2D" w:rsidP="003B6E2D">
      <w:pPr>
        <w:pStyle w:val="Bibliography"/>
        <w:rPr>
          <w:rFonts w:cs="Times New Roman"/>
        </w:rPr>
      </w:pPr>
      <w:r w:rsidRPr="003B6E2D">
        <w:rPr>
          <w:rFonts w:cs="Times New Roman"/>
        </w:rPr>
        <w:t xml:space="preserve">December 2021 crude steel production and 2021 global crude steel production totals. (n.d.). </w:t>
      </w:r>
      <w:r w:rsidRPr="003B6E2D">
        <w:rPr>
          <w:rFonts w:cs="Times New Roman"/>
          <w:i/>
          <w:iCs/>
        </w:rPr>
        <w:t>Worldsteel.Org</w:t>
      </w:r>
      <w:r w:rsidRPr="003B6E2D">
        <w:rPr>
          <w:rFonts w:cs="Times New Roman"/>
        </w:rPr>
        <w:t>. Retrieved September 1, 2022, from https://worldsteel.org/media-centre/press-releases/2022/december-2021-crude-steel-production-and-2021-global-totals/</w:t>
      </w:r>
    </w:p>
    <w:p w14:paraId="1CC04685" w14:textId="77777777" w:rsidR="003B6E2D" w:rsidRPr="003B6E2D" w:rsidRDefault="003B6E2D" w:rsidP="003B6E2D">
      <w:pPr>
        <w:pStyle w:val="Bibliography"/>
        <w:rPr>
          <w:rFonts w:cs="Times New Roman"/>
        </w:rPr>
      </w:pPr>
      <w:r w:rsidRPr="003B6E2D">
        <w:rPr>
          <w:rFonts w:cs="Times New Roman"/>
        </w:rPr>
        <w:t xml:space="preserve">Diamadopoulos, E., Ioannidis, S., &amp; Sakellaropoulos, G. P. (1993). As(V) removal from aqueous solutions by fly ash. </w:t>
      </w:r>
      <w:r w:rsidRPr="003B6E2D">
        <w:rPr>
          <w:rFonts w:cs="Times New Roman"/>
          <w:i/>
          <w:iCs/>
        </w:rPr>
        <w:t>Water Research</w:t>
      </w:r>
      <w:r w:rsidRPr="003B6E2D">
        <w:rPr>
          <w:rFonts w:cs="Times New Roman"/>
        </w:rPr>
        <w:t xml:space="preserve">, </w:t>
      </w:r>
      <w:r w:rsidRPr="003B6E2D">
        <w:rPr>
          <w:rFonts w:cs="Times New Roman"/>
          <w:i/>
          <w:iCs/>
        </w:rPr>
        <w:t>27</w:t>
      </w:r>
      <w:r w:rsidRPr="003B6E2D">
        <w:rPr>
          <w:rFonts w:cs="Times New Roman"/>
        </w:rPr>
        <w:t>(12), 1773–1777. https://doi.org/10.1016/0043-1354(93)90116-Y</w:t>
      </w:r>
    </w:p>
    <w:p w14:paraId="175E1125" w14:textId="77777777" w:rsidR="003B6E2D" w:rsidRPr="003B6E2D" w:rsidRDefault="003B6E2D" w:rsidP="003B6E2D">
      <w:pPr>
        <w:pStyle w:val="Bibliography"/>
        <w:rPr>
          <w:rFonts w:cs="Times New Roman"/>
        </w:rPr>
      </w:pPr>
      <w:r w:rsidRPr="003B6E2D">
        <w:rPr>
          <w:rFonts w:cs="Times New Roman"/>
        </w:rPr>
        <w:t xml:space="preserve">Ding, Z., Hu, X., Wan, Y., Wang, S., &amp; Gao, B. (2016). Removal of lead, copper, cadmium, zinc, and nickel from aqueous solutions by alkali-modified biochar: Batch and column tests. </w:t>
      </w:r>
      <w:r w:rsidRPr="003B6E2D">
        <w:rPr>
          <w:rFonts w:cs="Times New Roman"/>
          <w:i/>
          <w:iCs/>
        </w:rPr>
        <w:t>Journal of Industrial and Engineering Chemistry</w:t>
      </w:r>
      <w:r w:rsidRPr="003B6E2D">
        <w:rPr>
          <w:rFonts w:cs="Times New Roman"/>
        </w:rPr>
        <w:t xml:space="preserve">, </w:t>
      </w:r>
      <w:r w:rsidRPr="003B6E2D">
        <w:rPr>
          <w:rFonts w:cs="Times New Roman"/>
          <w:i/>
          <w:iCs/>
        </w:rPr>
        <w:t>33</w:t>
      </w:r>
      <w:r w:rsidRPr="003B6E2D">
        <w:rPr>
          <w:rFonts w:cs="Times New Roman"/>
        </w:rPr>
        <w:t>, 239–245. https://doi.org/10.1016/j.jiec.2015.10.007</w:t>
      </w:r>
    </w:p>
    <w:p w14:paraId="0EC46E18" w14:textId="77777777" w:rsidR="003B6E2D" w:rsidRPr="003B6E2D" w:rsidRDefault="003B6E2D" w:rsidP="003B6E2D">
      <w:pPr>
        <w:pStyle w:val="Bibliography"/>
        <w:rPr>
          <w:rFonts w:cs="Times New Roman"/>
        </w:rPr>
      </w:pPr>
      <w:r w:rsidRPr="003B6E2D">
        <w:rPr>
          <w:rFonts w:cs="Times New Roman"/>
        </w:rPr>
        <w:t xml:space="preserve">Drizo, A., Forget, C., Chapuis, R. P., &amp; Comeau, Y. (2006). Phosphorus removal by electric arc furnace steel slag and serpentinite. </w:t>
      </w:r>
      <w:r w:rsidRPr="003B6E2D">
        <w:rPr>
          <w:rFonts w:cs="Times New Roman"/>
          <w:i/>
          <w:iCs/>
        </w:rPr>
        <w:t>Water Research</w:t>
      </w:r>
      <w:r w:rsidRPr="003B6E2D">
        <w:rPr>
          <w:rFonts w:cs="Times New Roman"/>
        </w:rPr>
        <w:t xml:space="preserve">, </w:t>
      </w:r>
      <w:r w:rsidRPr="003B6E2D">
        <w:rPr>
          <w:rFonts w:cs="Times New Roman"/>
          <w:i/>
          <w:iCs/>
        </w:rPr>
        <w:t>40</w:t>
      </w:r>
      <w:r w:rsidRPr="003B6E2D">
        <w:rPr>
          <w:rFonts w:cs="Times New Roman"/>
        </w:rPr>
        <w:t>(8), 1547–1554. https://doi.org/10.1016/j.watres.2006.02.001</w:t>
      </w:r>
    </w:p>
    <w:p w14:paraId="20C0444B" w14:textId="77777777" w:rsidR="003B6E2D" w:rsidRPr="003B6E2D" w:rsidRDefault="003B6E2D" w:rsidP="003B6E2D">
      <w:pPr>
        <w:pStyle w:val="Bibliography"/>
        <w:rPr>
          <w:rFonts w:cs="Times New Roman"/>
        </w:rPr>
      </w:pPr>
      <w:r w:rsidRPr="003B6E2D">
        <w:rPr>
          <w:rFonts w:cs="Times New Roman"/>
        </w:rPr>
        <w:t xml:space="preserve">Dzombak, D. A., &amp; Morel, F. M. M. (1990). </w:t>
      </w:r>
      <w:r w:rsidRPr="003B6E2D">
        <w:rPr>
          <w:rFonts w:cs="Times New Roman"/>
          <w:i/>
          <w:iCs/>
        </w:rPr>
        <w:t>Surface complexation modeling: Hydrous ferric oxide</w:t>
      </w:r>
      <w:r w:rsidRPr="003B6E2D">
        <w:rPr>
          <w:rFonts w:cs="Times New Roman"/>
        </w:rPr>
        <w:t>. Wiley.</w:t>
      </w:r>
    </w:p>
    <w:p w14:paraId="0B08C638" w14:textId="77777777" w:rsidR="003B6E2D" w:rsidRPr="003B6E2D" w:rsidRDefault="003B6E2D" w:rsidP="003B6E2D">
      <w:pPr>
        <w:pStyle w:val="Bibliography"/>
        <w:rPr>
          <w:rFonts w:cs="Times New Roman"/>
        </w:rPr>
      </w:pPr>
      <w:r w:rsidRPr="003B6E2D">
        <w:rPr>
          <w:rFonts w:cs="Times New Roman"/>
        </w:rPr>
        <w:t xml:space="preserve">European Food Safety Authority (EFSA). (2008). Conclusion regarding the peer review of the pesticide risk assessment of the active substance imidacloprid. </w:t>
      </w:r>
      <w:r w:rsidRPr="003B6E2D">
        <w:rPr>
          <w:rFonts w:cs="Times New Roman"/>
          <w:i/>
          <w:iCs/>
        </w:rPr>
        <w:t>EFSA Journal</w:t>
      </w:r>
      <w:r w:rsidRPr="003B6E2D">
        <w:rPr>
          <w:rFonts w:cs="Times New Roman"/>
        </w:rPr>
        <w:t xml:space="preserve">, </w:t>
      </w:r>
      <w:r w:rsidRPr="003B6E2D">
        <w:rPr>
          <w:rFonts w:cs="Times New Roman"/>
          <w:i/>
          <w:iCs/>
        </w:rPr>
        <w:t>6</w:t>
      </w:r>
      <w:r w:rsidRPr="003B6E2D">
        <w:rPr>
          <w:rFonts w:cs="Times New Roman"/>
        </w:rPr>
        <w:t>(7). https://doi.org/10.2903/j.efsa.2008.148r</w:t>
      </w:r>
    </w:p>
    <w:p w14:paraId="6AA90511" w14:textId="77777777" w:rsidR="003B6E2D" w:rsidRPr="003B6E2D" w:rsidRDefault="003B6E2D" w:rsidP="003B6E2D">
      <w:pPr>
        <w:pStyle w:val="Bibliography"/>
        <w:rPr>
          <w:rFonts w:cs="Times New Roman"/>
        </w:rPr>
      </w:pPr>
      <w:r w:rsidRPr="003B6E2D">
        <w:rPr>
          <w:rFonts w:cs="Times New Roman"/>
        </w:rPr>
        <w:lastRenderedPageBreak/>
        <w:t xml:space="preserve">Ferreira, V. J., Sáez-De-Guinoa Vilaplana, A., García-Armingol, T., Aranda-Usón, A., Lausín-González, C., López-Sabirón, A. M., &amp; Ferreira, G. (2016). Evaluation of the steel slag incorporation as coarse aggregate for road construction: Technical requirements and environmental impact assessment. </w:t>
      </w:r>
      <w:r w:rsidRPr="003B6E2D">
        <w:rPr>
          <w:rFonts w:cs="Times New Roman"/>
          <w:i/>
          <w:iCs/>
        </w:rPr>
        <w:t>Journal of Cleaner Production</w:t>
      </w:r>
      <w:r w:rsidRPr="003B6E2D">
        <w:rPr>
          <w:rFonts w:cs="Times New Roman"/>
        </w:rPr>
        <w:t xml:space="preserve">, </w:t>
      </w:r>
      <w:r w:rsidRPr="003B6E2D">
        <w:rPr>
          <w:rFonts w:cs="Times New Roman"/>
          <w:i/>
          <w:iCs/>
        </w:rPr>
        <w:t>130</w:t>
      </w:r>
      <w:r w:rsidRPr="003B6E2D">
        <w:rPr>
          <w:rFonts w:cs="Times New Roman"/>
        </w:rPr>
        <w:t>, 175–186. https://doi.org/10.1016/j.jclepro.2015.08.094</w:t>
      </w:r>
    </w:p>
    <w:p w14:paraId="71345C40" w14:textId="77777777" w:rsidR="003B6E2D" w:rsidRPr="003B6E2D" w:rsidRDefault="003B6E2D" w:rsidP="003B6E2D">
      <w:pPr>
        <w:pStyle w:val="Bibliography"/>
        <w:rPr>
          <w:rFonts w:cs="Times New Roman"/>
        </w:rPr>
      </w:pPr>
      <w:r w:rsidRPr="003B6E2D">
        <w:rPr>
          <w:rFonts w:cs="Times New Roman"/>
        </w:rPr>
        <w:t xml:space="preserve">Gabelich, C. J., Gerringer, F. W., Lee, C. C., &amp; Knocke, W. R. (2006). Sequential Manganese Desorption and Sequestration in Anthracite Coal and Silica Sand Filter Media. </w:t>
      </w:r>
      <w:r w:rsidRPr="003B6E2D">
        <w:rPr>
          <w:rFonts w:cs="Times New Roman"/>
          <w:i/>
          <w:iCs/>
        </w:rPr>
        <w:t>Journal - American Water Works Association</w:t>
      </w:r>
      <w:r w:rsidRPr="003B6E2D">
        <w:rPr>
          <w:rFonts w:cs="Times New Roman"/>
        </w:rPr>
        <w:t xml:space="preserve">, </w:t>
      </w:r>
      <w:r w:rsidRPr="003B6E2D">
        <w:rPr>
          <w:rFonts w:cs="Times New Roman"/>
          <w:i/>
          <w:iCs/>
        </w:rPr>
        <w:t>98</w:t>
      </w:r>
      <w:r w:rsidRPr="003B6E2D">
        <w:rPr>
          <w:rFonts w:cs="Times New Roman"/>
        </w:rPr>
        <w:t>(5), 116–127. https://doi.org/10.1002/j.1551-8833.2006.tb07665.x</w:t>
      </w:r>
    </w:p>
    <w:p w14:paraId="00C405DB" w14:textId="77777777" w:rsidR="003B6E2D" w:rsidRPr="003B6E2D" w:rsidRDefault="003B6E2D" w:rsidP="003B6E2D">
      <w:pPr>
        <w:pStyle w:val="Bibliography"/>
        <w:rPr>
          <w:rFonts w:cs="Times New Roman"/>
        </w:rPr>
      </w:pPr>
      <w:r w:rsidRPr="003B6E2D">
        <w:rPr>
          <w:rFonts w:cs="Times New Roman"/>
        </w:rPr>
        <w:t xml:space="preserve">Gaspard, J. (2022, October 10). </w:t>
      </w:r>
      <w:r w:rsidRPr="003B6E2D">
        <w:rPr>
          <w:rFonts w:cs="Times New Roman"/>
          <w:i/>
          <w:iCs/>
        </w:rPr>
        <w:t>Personal Communications</w:t>
      </w:r>
      <w:r w:rsidRPr="003B6E2D">
        <w:rPr>
          <w:rFonts w:cs="Times New Roman"/>
        </w:rPr>
        <w:t xml:space="preserve"> [Phone Call].</w:t>
      </w:r>
    </w:p>
    <w:p w14:paraId="7B2146BF" w14:textId="77777777" w:rsidR="003B6E2D" w:rsidRPr="003B6E2D" w:rsidRDefault="003B6E2D" w:rsidP="003B6E2D">
      <w:pPr>
        <w:pStyle w:val="Bibliography"/>
        <w:rPr>
          <w:rFonts w:cs="Times New Roman"/>
        </w:rPr>
      </w:pPr>
      <w:r w:rsidRPr="003B6E2D">
        <w:rPr>
          <w:rFonts w:cs="Times New Roman"/>
        </w:rPr>
        <w:t xml:space="preserve">Genç-Fuhrman, H., Mikkelsen, P. S., &amp; Ledin, A. (2007). Simultaneous removal of As, Cd, Cr, Cu, Ni and Zn from stormwater: Experimental comparison of 11 different sorbents. </w:t>
      </w:r>
      <w:r w:rsidRPr="003B6E2D">
        <w:rPr>
          <w:rFonts w:cs="Times New Roman"/>
          <w:i/>
          <w:iCs/>
        </w:rPr>
        <w:t>Water Research</w:t>
      </w:r>
      <w:r w:rsidRPr="003B6E2D">
        <w:rPr>
          <w:rFonts w:cs="Times New Roman"/>
        </w:rPr>
        <w:t xml:space="preserve">, </w:t>
      </w:r>
      <w:r w:rsidRPr="003B6E2D">
        <w:rPr>
          <w:rFonts w:cs="Times New Roman"/>
          <w:i/>
          <w:iCs/>
        </w:rPr>
        <w:t>41</w:t>
      </w:r>
      <w:r w:rsidRPr="003B6E2D">
        <w:rPr>
          <w:rFonts w:cs="Times New Roman"/>
        </w:rPr>
        <w:t>(3), 591–602. https://doi.org/10.1016/j.watres.2006.10.024</w:t>
      </w:r>
    </w:p>
    <w:p w14:paraId="46A40353" w14:textId="77777777" w:rsidR="003B6E2D" w:rsidRPr="003B6E2D" w:rsidRDefault="003B6E2D" w:rsidP="003B6E2D">
      <w:pPr>
        <w:pStyle w:val="Bibliography"/>
        <w:rPr>
          <w:rFonts w:cs="Times New Roman"/>
        </w:rPr>
      </w:pPr>
      <w:r w:rsidRPr="003B6E2D">
        <w:rPr>
          <w:rFonts w:cs="Times New Roman"/>
        </w:rPr>
        <w:t xml:space="preserve">Goetz, E. R., &amp; Riefler, R. G. (2014). Performance of steel slag leach beds in acid mine drainage treatment. </w:t>
      </w:r>
      <w:r w:rsidRPr="003B6E2D">
        <w:rPr>
          <w:rFonts w:cs="Times New Roman"/>
          <w:i/>
          <w:iCs/>
        </w:rPr>
        <w:t>Chemical Engineering Journal</w:t>
      </w:r>
      <w:r w:rsidRPr="003B6E2D">
        <w:rPr>
          <w:rFonts w:cs="Times New Roman"/>
        </w:rPr>
        <w:t xml:space="preserve">, </w:t>
      </w:r>
      <w:r w:rsidRPr="003B6E2D">
        <w:rPr>
          <w:rFonts w:cs="Times New Roman"/>
          <w:i/>
          <w:iCs/>
        </w:rPr>
        <w:t>240</w:t>
      </w:r>
      <w:r w:rsidRPr="003B6E2D">
        <w:rPr>
          <w:rFonts w:cs="Times New Roman"/>
        </w:rPr>
        <w:t>, 579–588. https://doi.org/10.1016/j.cej.2013.10.080</w:t>
      </w:r>
    </w:p>
    <w:p w14:paraId="1D2068C9" w14:textId="77777777" w:rsidR="003B6E2D" w:rsidRPr="003B6E2D" w:rsidRDefault="003B6E2D" w:rsidP="003B6E2D">
      <w:pPr>
        <w:pStyle w:val="Bibliography"/>
        <w:rPr>
          <w:rFonts w:cs="Times New Roman"/>
        </w:rPr>
      </w:pPr>
      <w:r w:rsidRPr="003B6E2D">
        <w:rPr>
          <w:rFonts w:cs="Times New Roman"/>
        </w:rPr>
        <w:t xml:space="preserve">Gomes, J. F. P., &amp; Pinto, C. G. (2006). Leaching of heavy metals from steelmaking slags. </w:t>
      </w:r>
      <w:r w:rsidRPr="003B6E2D">
        <w:rPr>
          <w:rFonts w:cs="Times New Roman"/>
          <w:i/>
          <w:iCs/>
        </w:rPr>
        <w:t>Revista de Metalurgia</w:t>
      </w:r>
      <w:r w:rsidRPr="003B6E2D">
        <w:rPr>
          <w:rFonts w:cs="Times New Roman"/>
        </w:rPr>
        <w:t xml:space="preserve">, </w:t>
      </w:r>
      <w:r w:rsidRPr="003B6E2D">
        <w:rPr>
          <w:rFonts w:cs="Times New Roman"/>
          <w:i/>
          <w:iCs/>
        </w:rPr>
        <w:t>42</w:t>
      </w:r>
      <w:r w:rsidRPr="003B6E2D">
        <w:rPr>
          <w:rFonts w:cs="Times New Roman"/>
        </w:rPr>
        <w:t>(6), 409–416. https://doi.org/10.3989/revmetalm.2006.v42.i6.39</w:t>
      </w:r>
    </w:p>
    <w:p w14:paraId="7F60B47E" w14:textId="77777777" w:rsidR="003B6E2D" w:rsidRPr="003B6E2D" w:rsidRDefault="003B6E2D" w:rsidP="003B6E2D">
      <w:pPr>
        <w:pStyle w:val="Bibliography"/>
        <w:rPr>
          <w:rFonts w:cs="Times New Roman"/>
        </w:rPr>
      </w:pPr>
      <w:r w:rsidRPr="003B6E2D">
        <w:rPr>
          <w:rFonts w:cs="Times New Roman"/>
        </w:rPr>
        <w:t xml:space="preserve">Gonzalez, J. M., Shipitalo, M. J., Smith, D. R., Warnemuende-Pappas, E., &amp; Livingston, S. J. (2016). Atrazine Sorption by Biochar, Tire Chips, and Steel Slag as Media for Blind Inlets: A Kinetic and Isotherm Sorption Approach. </w:t>
      </w:r>
      <w:r w:rsidRPr="003B6E2D">
        <w:rPr>
          <w:rFonts w:cs="Times New Roman"/>
          <w:i/>
          <w:iCs/>
        </w:rPr>
        <w:t>Journal of Water Resource and Protection</w:t>
      </w:r>
      <w:r w:rsidRPr="003B6E2D">
        <w:rPr>
          <w:rFonts w:cs="Times New Roman"/>
        </w:rPr>
        <w:t xml:space="preserve">, </w:t>
      </w:r>
      <w:r w:rsidRPr="003B6E2D">
        <w:rPr>
          <w:rFonts w:cs="Times New Roman"/>
          <w:i/>
          <w:iCs/>
        </w:rPr>
        <w:t>08</w:t>
      </w:r>
      <w:r w:rsidRPr="003B6E2D">
        <w:rPr>
          <w:rFonts w:cs="Times New Roman"/>
        </w:rPr>
        <w:t>(13), 1266–1282. https://doi.org/10.4236/jwarp.2016.813097</w:t>
      </w:r>
    </w:p>
    <w:p w14:paraId="3BF93EEF" w14:textId="77777777" w:rsidR="003B6E2D" w:rsidRPr="003B6E2D" w:rsidRDefault="003B6E2D" w:rsidP="003B6E2D">
      <w:pPr>
        <w:pStyle w:val="Bibliography"/>
        <w:rPr>
          <w:rFonts w:cs="Times New Roman"/>
        </w:rPr>
      </w:pPr>
      <w:r w:rsidRPr="003B6E2D">
        <w:rPr>
          <w:rFonts w:cs="Times New Roman"/>
        </w:rPr>
        <w:lastRenderedPageBreak/>
        <w:t xml:space="preserve">González-Pradas, E., Villafranca-Sánchez, M., Socías-Viciana, M., Fernández-Pérez, M., &amp; Ureña-Amate, M. D. (1999). Preliminary studies in removing atrazine, isoproturon and imidacloprid from water by natural sepiolite. </w:t>
      </w:r>
      <w:r w:rsidRPr="003B6E2D">
        <w:rPr>
          <w:rFonts w:cs="Times New Roman"/>
          <w:i/>
          <w:iCs/>
        </w:rPr>
        <w:t>Journal of Chemical Technology &amp; Biotechnology</w:t>
      </w:r>
      <w:r w:rsidRPr="003B6E2D">
        <w:rPr>
          <w:rFonts w:cs="Times New Roman"/>
        </w:rPr>
        <w:t xml:space="preserve">, </w:t>
      </w:r>
      <w:r w:rsidRPr="003B6E2D">
        <w:rPr>
          <w:rFonts w:cs="Times New Roman"/>
          <w:i/>
          <w:iCs/>
        </w:rPr>
        <w:t>74</w:t>
      </w:r>
      <w:r w:rsidRPr="003B6E2D">
        <w:rPr>
          <w:rFonts w:cs="Times New Roman"/>
        </w:rPr>
        <w:t>(5), 417–422. https://doi.org/10.1002/(SICI)1097-4660(199905)74:5&lt;417::AID-JCTB58&gt;3.0.CO;2-Q</w:t>
      </w:r>
    </w:p>
    <w:p w14:paraId="63F025B9" w14:textId="77777777" w:rsidR="003B6E2D" w:rsidRPr="003B6E2D" w:rsidRDefault="003B6E2D" w:rsidP="003B6E2D">
      <w:pPr>
        <w:pStyle w:val="Bibliography"/>
        <w:rPr>
          <w:rFonts w:cs="Times New Roman"/>
        </w:rPr>
      </w:pPr>
      <w:r w:rsidRPr="003B6E2D">
        <w:rPr>
          <w:rFonts w:cs="Times New Roman"/>
        </w:rPr>
        <w:t xml:space="preserve">Grosjean, P. (2022). </w:t>
      </w:r>
      <w:r w:rsidRPr="003B6E2D">
        <w:rPr>
          <w:rFonts w:cs="Times New Roman"/>
          <w:i/>
          <w:iCs/>
        </w:rPr>
        <w:t>SciViews-R</w:t>
      </w:r>
      <w:r w:rsidRPr="003B6E2D">
        <w:rPr>
          <w:rFonts w:cs="Times New Roman"/>
        </w:rPr>
        <w:t>. UMONS. http://www.sciviews.org/SciViews-R</w:t>
      </w:r>
    </w:p>
    <w:p w14:paraId="0EE40E51" w14:textId="77777777" w:rsidR="003B6E2D" w:rsidRPr="003B6E2D" w:rsidRDefault="003B6E2D" w:rsidP="003B6E2D">
      <w:pPr>
        <w:pStyle w:val="Bibliography"/>
        <w:rPr>
          <w:rFonts w:cs="Times New Roman"/>
        </w:rPr>
      </w:pPr>
      <w:r w:rsidRPr="003B6E2D">
        <w:rPr>
          <w:rFonts w:cs="Times New Roman"/>
        </w:rPr>
        <w:t xml:space="preserve">Gunawardana, C., Egodawatta, P., &amp; Goonetilleke, A. (2015). Adsorption and mobility of metals in build-up on road surfaces. </w:t>
      </w:r>
      <w:r w:rsidRPr="003B6E2D">
        <w:rPr>
          <w:rFonts w:cs="Times New Roman"/>
          <w:i/>
          <w:iCs/>
        </w:rPr>
        <w:t>Chemosphere</w:t>
      </w:r>
      <w:r w:rsidRPr="003B6E2D">
        <w:rPr>
          <w:rFonts w:cs="Times New Roman"/>
        </w:rPr>
        <w:t xml:space="preserve">, </w:t>
      </w:r>
      <w:r w:rsidRPr="003B6E2D">
        <w:rPr>
          <w:rFonts w:cs="Times New Roman"/>
          <w:i/>
          <w:iCs/>
        </w:rPr>
        <w:t>119</w:t>
      </w:r>
      <w:r w:rsidRPr="003B6E2D">
        <w:rPr>
          <w:rFonts w:cs="Times New Roman"/>
        </w:rPr>
        <w:t>, 1391–1398. https://doi.org/10.1016/j.chemosphere.2014.02.048</w:t>
      </w:r>
    </w:p>
    <w:p w14:paraId="5E05E050" w14:textId="77777777" w:rsidR="003B6E2D" w:rsidRPr="003B6E2D" w:rsidRDefault="003B6E2D" w:rsidP="003B6E2D">
      <w:pPr>
        <w:pStyle w:val="Bibliography"/>
        <w:rPr>
          <w:rFonts w:cs="Times New Roman"/>
        </w:rPr>
      </w:pPr>
      <w:r w:rsidRPr="003B6E2D">
        <w:rPr>
          <w:rFonts w:cs="Times New Roman"/>
        </w:rPr>
        <w:t xml:space="preserve">Guppy, C. N., Menzies, N. W., Blamey, F. P. C., &amp; Moody, P. W. (2005). Do Decomposing Organic Matter Residues Reduce Phosphorus Sorption in Highly Weathered Soils? </w:t>
      </w:r>
      <w:r w:rsidRPr="003B6E2D">
        <w:rPr>
          <w:rFonts w:cs="Times New Roman"/>
          <w:i/>
          <w:iCs/>
        </w:rPr>
        <w:t>Soil Science Society of America Journal</w:t>
      </w:r>
      <w:r w:rsidRPr="003B6E2D">
        <w:rPr>
          <w:rFonts w:cs="Times New Roman"/>
        </w:rPr>
        <w:t xml:space="preserve">, </w:t>
      </w:r>
      <w:r w:rsidRPr="003B6E2D">
        <w:rPr>
          <w:rFonts w:cs="Times New Roman"/>
          <w:i/>
          <w:iCs/>
        </w:rPr>
        <w:t>69</w:t>
      </w:r>
      <w:r w:rsidRPr="003B6E2D">
        <w:rPr>
          <w:rFonts w:cs="Times New Roman"/>
        </w:rPr>
        <w:t>(5), 1405–1411. https://doi.org/10.2136/sssaj2004.0266</w:t>
      </w:r>
    </w:p>
    <w:p w14:paraId="227B4152" w14:textId="77777777" w:rsidR="003B6E2D" w:rsidRPr="003B6E2D" w:rsidRDefault="003B6E2D" w:rsidP="003B6E2D">
      <w:pPr>
        <w:pStyle w:val="Bibliography"/>
        <w:rPr>
          <w:rFonts w:cs="Times New Roman"/>
        </w:rPr>
      </w:pPr>
      <w:r w:rsidRPr="003B6E2D">
        <w:rPr>
          <w:rFonts w:cs="Times New Roman"/>
        </w:rPr>
        <w:t xml:space="preserve">Gupta, G., &amp; Torres, N. (1998). Use of fly ash in reducing toxicity of and heavy metals in wastewater effluent. </w:t>
      </w:r>
      <w:r w:rsidRPr="003B6E2D">
        <w:rPr>
          <w:rFonts w:cs="Times New Roman"/>
          <w:i/>
          <w:iCs/>
        </w:rPr>
        <w:t>Journal of Hazardous Materials</w:t>
      </w:r>
      <w:r w:rsidRPr="003B6E2D">
        <w:rPr>
          <w:rFonts w:cs="Times New Roman"/>
        </w:rPr>
        <w:t xml:space="preserve">, </w:t>
      </w:r>
      <w:r w:rsidRPr="003B6E2D">
        <w:rPr>
          <w:rFonts w:cs="Times New Roman"/>
          <w:i/>
          <w:iCs/>
        </w:rPr>
        <w:t>57</w:t>
      </w:r>
      <w:r w:rsidRPr="003B6E2D">
        <w:rPr>
          <w:rFonts w:cs="Times New Roman"/>
        </w:rPr>
        <w:t>(1–3), 243–248. https://doi.org/10.1016/S0304-3894(97)00093-9</w:t>
      </w:r>
    </w:p>
    <w:p w14:paraId="6D859B9C" w14:textId="77777777" w:rsidR="003B6E2D" w:rsidRPr="003B6E2D" w:rsidRDefault="003B6E2D" w:rsidP="003B6E2D">
      <w:pPr>
        <w:pStyle w:val="Bibliography"/>
        <w:rPr>
          <w:rFonts w:cs="Times New Roman"/>
        </w:rPr>
      </w:pPr>
      <w:r w:rsidRPr="003B6E2D">
        <w:rPr>
          <w:rFonts w:cs="Times New Roman"/>
        </w:rPr>
        <w:t xml:space="preserve">Gupta, V., Jain, C. K., Ali, I., Chandra, S., &amp; Agarwal, S. (2002). Removal of lindane and malathion from wastewater using bagasse fly ash—A sugar industry waste. </w:t>
      </w:r>
      <w:r w:rsidRPr="003B6E2D">
        <w:rPr>
          <w:rFonts w:cs="Times New Roman"/>
          <w:i/>
          <w:iCs/>
        </w:rPr>
        <w:t>Water Research</w:t>
      </w:r>
      <w:r w:rsidRPr="003B6E2D">
        <w:rPr>
          <w:rFonts w:cs="Times New Roman"/>
        </w:rPr>
        <w:t xml:space="preserve">, </w:t>
      </w:r>
      <w:r w:rsidRPr="003B6E2D">
        <w:rPr>
          <w:rFonts w:cs="Times New Roman"/>
          <w:i/>
          <w:iCs/>
        </w:rPr>
        <w:t>36</w:t>
      </w:r>
      <w:r w:rsidRPr="003B6E2D">
        <w:rPr>
          <w:rFonts w:cs="Times New Roman"/>
        </w:rPr>
        <w:t>(10), 2483–2490. https://doi.org/10.1016/S0043-1354(01)00474-2</w:t>
      </w:r>
    </w:p>
    <w:p w14:paraId="39AFB20C" w14:textId="77777777" w:rsidR="003B6E2D" w:rsidRPr="003B6E2D" w:rsidRDefault="003B6E2D" w:rsidP="003B6E2D">
      <w:pPr>
        <w:pStyle w:val="Bibliography"/>
        <w:rPr>
          <w:rFonts w:cs="Times New Roman"/>
        </w:rPr>
      </w:pPr>
      <w:r w:rsidRPr="003B6E2D">
        <w:rPr>
          <w:rFonts w:cs="Times New Roman"/>
        </w:rPr>
        <w:t xml:space="preserve">Gupta, V. K., &amp; Ali, I. (2000). Utilisation of bagasse fly ash (a sugar industry waste) for the removal of copper and zinc from wastewater. </w:t>
      </w:r>
      <w:r w:rsidRPr="003B6E2D">
        <w:rPr>
          <w:rFonts w:cs="Times New Roman"/>
          <w:i/>
          <w:iCs/>
        </w:rPr>
        <w:t>Separation and Purification Technology</w:t>
      </w:r>
      <w:r w:rsidRPr="003B6E2D">
        <w:rPr>
          <w:rFonts w:cs="Times New Roman"/>
        </w:rPr>
        <w:t xml:space="preserve">, </w:t>
      </w:r>
      <w:r w:rsidRPr="003B6E2D">
        <w:rPr>
          <w:rFonts w:cs="Times New Roman"/>
          <w:i/>
          <w:iCs/>
        </w:rPr>
        <w:t>18</w:t>
      </w:r>
      <w:r w:rsidRPr="003B6E2D">
        <w:rPr>
          <w:rFonts w:cs="Times New Roman"/>
        </w:rPr>
        <w:t>(2), 131–140. https://doi.org/10.1016/S1383-5866(99)00058-1</w:t>
      </w:r>
    </w:p>
    <w:p w14:paraId="244E524C" w14:textId="77777777" w:rsidR="003B6E2D" w:rsidRPr="003B6E2D" w:rsidRDefault="003B6E2D" w:rsidP="003B6E2D">
      <w:pPr>
        <w:pStyle w:val="Bibliography"/>
        <w:rPr>
          <w:rFonts w:cs="Times New Roman"/>
        </w:rPr>
      </w:pPr>
      <w:r w:rsidRPr="003B6E2D">
        <w:rPr>
          <w:rFonts w:cs="Times New Roman"/>
        </w:rPr>
        <w:lastRenderedPageBreak/>
        <w:t xml:space="preserve">Gupta, V. K., &amp; Ali, I. (2001). Removal of DDD and DDE from wastewater using bagasse fly ash, a sugar industry waste. </w:t>
      </w:r>
      <w:r w:rsidRPr="003B6E2D">
        <w:rPr>
          <w:rFonts w:cs="Times New Roman"/>
          <w:i/>
          <w:iCs/>
        </w:rPr>
        <w:t>Water Research</w:t>
      </w:r>
      <w:r w:rsidRPr="003B6E2D">
        <w:rPr>
          <w:rFonts w:cs="Times New Roman"/>
        </w:rPr>
        <w:t xml:space="preserve">, </w:t>
      </w:r>
      <w:r w:rsidRPr="003B6E2D">
        <w:rPr>
          <w:rFonts w:cs="Times New Roman"/>
          <w:i/>
          <w:iCs/>
        </w:rPr>
        <w:t>35</w:t>
      </w:r>
      <w:r w:rsidRPr="003B6E2D">
        <w:rPr>
          <w:rFonts w:cs="Times New Roman"/>
        </w:rPr>
        <w:t>(1), 33–40. https://doi.org/10.1016/S0043-1354(00)00232-3</w:t>
      </w:r>
    </w:p>
    <w:p w14:paraId="6BB80293" w14:textId="77777777" w:rsidR="003B6E2D" w:rsidRPr="003B6E2D" w:rsidRDefault="003B6E2D" w:rsidP="003B6E2D">
      <w:pPr>
        <w:pStyle w:val="Bibliography"/>
        <w:rPr>
          <w:rFonts w:cs="Times New Roman"/>
        </w:rPr>
      </w:pPr>
      <w:r w:rsidRPr="003B6E2D">
        <w:rPr>
          <w:rFonts w:cs="Times New Roman"/>
        </w:rPr>
        <w:t xml:space="preserve">Gupta, V. K., &amp; Ali, I. (2004). Removal of lead and chromium from wastewater using bagasse fly ash—A sugar industry waste. </w:t>
      </w:r>
      <w:r w:rsidRPr="003B6E2D">
        <w:rPr>
          <w:rFonts w:cs="Times New Roman"/>
          <w:i/>
          <w:iCs/>
        </w:rPr>
        <w:t>Journal of Colloid and Interface Science</w:t>
      </w:r>
      <w:r w:rsidRPr="003B6E2D">
        <w:rPr>
          <w:rFonts w:cs="Times New Roman"/>
        </w:rPr>
        <w:t xml:space="preserve">, </w:t>
      </w:r>
      <w:r w:rsidRPr="003B6E2D">
        <w:rPr>
          <w:rFonts w:cs="Times New Roman"/>
          <w:i/>
          <w:iCs/>
        </w:rPr>
        <w:t>271</w:t>
      </w:r>
      <w:r w:rsidRPr="003B6E2D">
        <w:rPr>
          <w:rFonts w:cs="Times New Roman"/>
        </w:rPr>
        <w:t>(2), 321–328. https://doi.org/10.1016/j.jcis.2003.11.007</w:t>
      </w:r>
    </w:p>
    <w:p w14:paraId="0D47C0DC" w14:textId="77777777" w:rsidR="003B6E2D" w:rsidRPr="003B6E2D" w:rsidRDefault="003B6E2D" w:rsidP="003B6E2D">
      <w:pPr>
        <w:pStyle w:val="Bibliography"/>
        <w:rPr>
          <w:rFonts w:cs="Times New Roman"/>
        </w:rPr>
      </w:pPr>
      <w:r w:rsidRPr="003B6E2D">
        <w:rPr>
          <w:rFonts w:cs="Times New Roman"/>
        </w:rPr>
        <w:t xml:space="preserve">Gupta, V. K., Ali, I., Suhas, &amp; Saini, V. K. (2006). Adsorption of 2,4-D and carbofuran pesticides using fertilizer and steel industry wastes. </w:t>
      </w:r>
      <w:r w:rsidRPr="003B6E2D">
        <w:rPr>
          <w:rFonts w:cs="Times New Roman"/>
          <w:i/>
          <w:iCs/>
        </w:rPr>
        <w:t>Journal of Colloid and Interface Science</w:t>
      </w:r>
      <w:r w:rsidRPr="003B6E2D">
        <w:rPr>
          <w:rFonts w:cs="Times New Roman"/>
        </w:rPr>
        <w:t xml:space="preserve">, </w:t>
      </w:r>
      <w:r w:rsidRPr="003B6E2D">
        <w:rPr>
          <w:rFonts w:cs="Times New Roman"/>
          <w:i/>
          <w:iCs/>
        </w:rPr>
        <w:t>299</w:t>
      </w:r>
      <w:r w:rsidRPr="003B6E2D">
        <w:rPr>
          <w:rFonts w:cs="Times New Roman"/>
        </w:rPr>
        <w:t>(2), 556–563. https://doi.org/10.1016/j.jcis.2006.02.017</w:t>
      </w:r>
    </w:p>
    <w:p w14:paraId="14BE6A5A" w14:textId="77777777" w:rsidR="003B6E2D" w:rsidRPr="003B6E2D" w:rsidRDefault="003B6E2D" w:rsidP="003B6E2D">
      <w:pPr>
        <w:pStyle w:val="Bibliography"/>
        <w:rPr>
          <w:rFonts w:cs="Times New Roman"/>
        </w:rPr>
      </w:pPr>
      <w:r w:rsidRPr="003B6E2D">
        <w:rPr>
          <w:rFonts w:cs="Times New Roman"/>
        </w:rPr>
        <w:t xml:space="preserve">Gupta, V. K., Jain, C. K., Ali, I., Sharma, M., &amp; Saini, V. K. (2003). Removal of cadmium and nickel from wastewater using bagasse fly ash—A sugar industry waste. </w:t>
      </w:r>
      <w:r w:rsidRPr="003B6E2D">
        <w:rPr>
          <w:rFonts w:cs="Times New Roman"/>
          <w:i/>
          <w:iCs/>
        </w:rPr>
        <w:t>Water Research</w:t>
      </w:r>
      <w:r w:rsidRPr="003B6E2D">
        <w:rPr>
          <w:rFonts w:cs="Times New Roman"/>
        </w:rPr>
        <w:t xml:space="preserve">, </w:t>
      </w:r>
      <w:r w:rsidRPr="003B6E2D">
        <w:rPr>
          <w:rFonts w:cs="Times New Roman"/>
          <w:i/>
          <w:iCs/>
        </w:rPr>
        <w:t>37</w:t>
      </w:r>
      <w:r w:rsidRPr="003B6E2D">
        <w:rPr>
          <w:rFonts w:cs="Times New Roman"/>
        </w:rPr>
        <w:t>(16), 4038–4044. https://doi.org/10.1016/S0043-1354(03)00292-6</w:t>
      </w:r>
    </w:p>
    <w:p w14:paraId="6802BB89" w14:textId="77777777" w:rsidR="003B6E2D" w:rsidRPr="003B6E2D" w:rsidRDefault="003B6E2D" w:rsidP="003B6E2D">
      <w:pPr>
        <w:pStyle w:val="Bibliography"/>
        <w:rPr>
          <w:rFonts w:cs="Times New Roman"/>
        </w:rPr>
      </w:pPr>
      <w:r w:rsidRPr="003B6E2D">
        <w:rPr>
          <w:rFonts w:cs="Times New Roman"/>
        </w:rPr>
        <w:t xml:space="preserve">Gupta, V. K., Mohan, D., Sharma, S., &amp; Park, K. T. (1998). Removal of chromium(VI) from electroplating industry wastewater using bagasse fly ash—A sugar industry waste material. </w:t>
      </w:r>
      <w:r w:rsidRPr="003B6E2D">
        <w:rPr>
          <w:rFonts w:cs="Times New Roman"/>
          <w:i/>
          <w:iCs/>
        </w:rPr>
        <w:t>The Environmentalist</w:t>
      </w:r>
      <w:r w:rsidRPr="003B6E2D">
        <w:rPr>
          <w:rFonts w:cs="Times New Roman"/>
        </w:rPr>
        <w:t xml:space="preserve">, </w:t>
      </w:r>
      <w:r w:rsidRPr="003B6E2D">
        <w:rPr>
          <w:rFonts w:cs="Times New Roman"/>
          <w:i/>
          <w:iCs/>
        </w:rPr>
        <w:t>19</w:t>
      </w:r>
      <w:r w:rsidRPr="003B6E2D">
        <w:rPr>
          <w:rFonts w:cs="Times New Roman"/>
        </w:rPr>
        <w:t>(2), 129–136. https://doi.org/10.1023/A:1006693017711</w:t>
      </w:r>
    </w:p>
    <w:p w14:paraId="4BE1637D" w14:textId="77777777" w:rsidR="003B6E2D" w:rsidRPr="003B6E2D" w:rsidRDefault="003B6E2D" w:rsidP="003B6E2D">
      <w:pPr>
        <w:pStyle w:val="Bibliography"/>
        <w:rPr>
          <w:rFonts w:cs="Times New Roman"/>
        </w:rPr>
      </w:pPr>
      <w:r w:rsidRPr="003B6E2D">
        <w:rPr>
          <w:rFonts w:cs="Times New Roman"/>
        </w:rPr>
        <w:t xml:space="preserve">Gupta, V. K., &amp; Sharma, S. (2003). Removal of Zinc from Aqueous Solutions Using Bagasse Fly Ash − a Low Cost Adsorbent. </w:t>
      </w:r>
      <w:r w:rsidRPr="003B6E2D">
        <w:rPr>
          <w:rFonts w:cs="Times New Roman"/>
          <w:i/>
          <w:iCs/>
        </w:rPr>
        <w:t>Industrial &amp; Engineering Chemistry Research</w:t>
      </w:r>
      <w:r w:rsidRPr="003B6E2D">
        <w:rPr>
          <w:rFonts w:cs="Times New Roman"/>
        </w:rPr>
        <w:t xml:space="preserve">, </w:t>
      </w:r>
      <w:r w:rsidRPr="003B6E2D">
        <w:rPr>
          <w:rFonts w:cs="Times New Roman"/>
          <w:i/>
          <w:iCs/>
        </w:rPr>
        <w:t>42</w:t>
      </w:r>
      <w:r w:rsidRPr="003B6E2D">
        <w:rPr>
          <w:rFonts w:cs="Times New Roman"/>
        </w:rPr>
        <w:t>(25), 6619–6624. https://doi.org/10.1021/ie0303146</w:t>
      </w:r>
    </w:p>
    <w:p w14:paraId="20B2A1C1" w14:textId="77777777" w:rsidR="003B6E2D" w:rsidRPr="003B6E2D" w:rsidRDefault="003B6E2D" w:rsidP="003B6E2D">
      <w:pPr>
        <w:pStyle w:val="Bibliography"/>
        <w:rPr>
          <w:rFonts w:cs="Times New Roman"/>
        </w:rPr>
      </w:pPr>
      <w:r w:rsidRPr="003B6E2D">
        <w:rPr>
          <w:rFonts w:cs="Times New Roman"/>
        </w:rPr>
        <w:t xml:space="preserve">Gwenzi, W., Chaukura, N., Noubactep, C., &amp; Mukome, F. N. D. (2017). Biochar-based water treatment systems as a potential low-cost and sustainable technology for clean water provision. </w:t>
      </w:r>
      <w:r w:rsidRPr="003B6E2D">
        <w:rPr>
          <w:rFonts w:cs="Times New Roman"/>
          <w:i/>
          <w:iCs/>
        </w:rPr>
        <w:t>Journal of Environmental Management</w:t>
      </w:r>
      <w:r w:rsidRPr="003B6E2D">
        <w:rPr>
          <w:rFonts w:cs="Times New Roman"/>
        </w:rPr>
        <w:t xml:space="preserve">, </w:t>
      </w:r>
      <w:r w:rsidRPr="003B6E2D">
        <w:rPr>
          <w:rFonts w:cs="Times New Roman"/>
          <w:i/>
          <w:iCs/>
        </w:rPr>
        <w:t>197</w:t>
      </w:r>
      <w:r w:rsidRPr="003B6E2D">
        <w:rPr>
          <w:rFonts w:cs="Times New Roman"/>
        </w:rPr>
        <w:t>, 732–749. https://doi.org/10.1016/j.jenvman.2017.03.087</w:t>
      </w:r>
    </w:p>
    <w:p w14:paraId="7FF43FCD" w14:textId="77777777" w:rsidR="003B6E2D" w:rsidRPr="003B6E2D" w:rsidRDefault="003B6E2D" w:rsidP="003B6E2D">
      <w:pPr>
        <w:pStyle w:val="Bibliography"/>
        <w:rPr>
          <w:rFonts w:cs="Times New Roman"/>
        </w:rPr>
      </w:pPr>
      <w:r w:rsidRPr="003B6E2D">
        <w:rPr>
          <w:rFonts w:cs="Times New Roman"/>
        </w:rPr>
        <w:lastRenderedPageBreak/>
        <w:t xml:space="preserve">Han, W., Tian, Y., &amp; Shen, X. (2018). Human exposure to neonicotinoid insecticides and the evaluation of their potential toxicity: An overview. </w:t>
      </w:r>
      <w:r w:rsidRPr="003B6E2D">
        <w:rPr>
          <w:rFonts w:cs="Times New Roman"/>
          <w:i/>
          <w:iCs/>
        </w:rPr>
        <w:t>Chemosphere</w:t>
      </w:r>
      <w:r w:rsidRPr="003B6E2D">
        <w:rPr>
          <w:rFonts w:cs="Times New Roman"/>
        </w:rPr>
        <w:t xml:space="preserve">, </w:t>
      </w:r>
      <w:r w:rsidRPr="003B6E2D">
        <w:rPr>
          <w:rFonts w:cs="Times New Roman"/>
          <w:i/>
          <w:iCs/>
        </w:rPr>
        <w:t>192</w:t>
      </w:r>
      <w:r w:rsidRPr="003B6E2D">
        <w:rPr>
          <w:rFonts w:cs="Times New Roman"/>
        </w:rPr>
        <w:t>, 59–65. https://doi.org/10.1016/j.chemosphere.2017.10.149</w:t>
      </w:r>
    </w:p>
    <w:p w14:paraId="5840A1BE" w14:textId="77777777" w:rsidR="003B6E2D" w:rsidRPr="003B6E2D" w:rsidRDefault="003B6E2D" w:rsidP="003B6E2D">
      <w:pPr>
        <w:pStyle w:val="Bibliography"/>
        <w:rPr>
          <w:rFonts w:cs="Times New Roman"/>
        </w:rPr>
      </w:pPr>
      <w:r w:rsidRPr="003B6E2D">
        <w:rPr>
          <w:rFonts w:cs="Times New Roman"/>
        </w:rPr>
        <w:t xml:space="preserve">Hladik, M. L., &amp; Kolpin, D. W. (2016). First national-scale reconnaissance of neonicotinoid insecticides in streams across the USA. </w:t>
      </w:r>
      <w:r w:rsidRPr="003B6E2D">
        <w:rPr>
          <w:rFonts w:cs="Times New Roman"/>
          <w:i/>
          <w:iCs/>
        </w:rPr>
        <w:t>Environmental Chemistry</w:t>
      </w:r>
      <w:r w:rsidRPr="003B6E2D">
        <w:rPr>
          <w:rFonts w:cs="Times New Roman"/>
        </w:rPr>
        <w:t xml:space="preserve">, </w:t>
      </w:r>
      <w:r w:rsidRPr="003B6E2D">
        <w:rPr>
          <w:rFonts w:cs="Times New Roman"/>
          <w:i/>
          <w:iCs/>
        </w:rPr>
        <w:t>13</w:t>
      </w:r>
      <w:r w:rsidRPr="003B6E2D">
        <w:rPr>
          <w:rFonts w:cs="Times New Roman"/>
        </w:rPr>
        <w:t>(1), 12. https://doi.org/10.1071/EN15061</w:t>
      </w:r>
    </w:p>
    <w:p w14:paraId="4289E30B" w14:textId="77777777" w:rsidR="003B6E2D" w:rsidRPr="003B6E2D" w:rsidRDefault="003B6E2D" w:rsidP="003B6E2D">
      <w:pPr>
        <w:pStyle w:val="Bibliography"/>
        <w:rPr>
          <w:rFonts w:cs="Times New Roman"/>
        </w:rPr>
      </w:pPr>
      <w:r w:rsidRPr="003B6E2D">
        <w:rPr>
          <w:rFonts w:cs="Times New Roman"/>
        </w:rPr>
        <w:t xml:space="preserve">Hladik, M. L., Kolpin, D. W., &amp; Kuivila, K. M. (2014). Widespread occurrence of neonicotinoid insecticides in streams in a high corn and soybean producing region, USA. </w:t>
      </w:r>
      <w:r w:rsidRPr="003B6E2D">
        <w:rPr>
          <w:rFonts w:cs="Times New Roman"/>
          <w:i/>
          <w:iCs/>
        </w:rPr>
        <w:t>Environmental Pollution</w:t>
      </w:r>
      <w:r w:rsidRPr="003B6E2D">
        <w:rPr>
          <w:rFonts w:cs="Times New Roman"/>
        </w:rPr>
        <w:t xml:space="preserve">, </w:t>
      </w:r>
      <w:r w:rsidRPr="003B6E2D">
        <w:rPr>
          <w:rFonts w:cs="Times New Roman"/>
          <w:i/>
          <w:iCs/>
        </w:rPr>
        <w:t>193</w:t>
      </w:r>
      <w:r w:rsidRPr="003B6E2D">
        <w:rPr>
          <w:rFonts w:cs="Times New Roman"/>
        </w:rPr>
        <w:t>, 189–196. https://doi.org/10.1016/j.envpol.2014.06.033</w:t>
      </w:r>
    </w:p>
    <w:p w14:paraId="3ED801DA" w14:textId="77777777" w:rsidR="003B6E2D" w:rsidRPr="003B6E2D" w:rsidRDefault="003B6E2D" w:rsidP="003B6E2D">
      <w:pPr>
        <w:pStyle w:val="Bibliography"/>
        <w:rPr>
          <w:rFonts w:cs="Times New Roman"/>
        </w:rPr>
      </w:pPr>
      <w:r w:rsidRPr="003B6E2D">
        <w:rPr>
          <w:rFonts w:cs="Times New Roman"/>
        </w:rPr>
        <w:t xml:space="preserve">Hsieh, C., Davis, A. P., &amp; Needelman, B. A. (2007). Bioretention Column Studies of Phosphorus Removal from Urban Stormwater Runoff. </w:t>
      </w:r>
      <w:r w:rsidRPr="003B6E2D">
        <w:rPr>
          <w:rFonts w:cs="Times New Roman"/>
          <w:i/>
          <w:iCs/>
        </w:rPr>
        <w:t>Water Environment Research</w:t>
      </w:r>
      <w:r w:rsidRPr="003B6E2D">
        <w:rPr>
          <w:rFonts w:cs="Times New Roman"/>
        </w:rPr>
        <w:t xml:space="preserve">, </w:t>
      </w:r>
      <w:r w:rsidRPr="003B6E2D">
        <w:rPr>
          <w:rFonts w:cs="Times New Roman"/>
          <w:i/>
          <w:iCs/>
        </w:rPr>
        <w:t>79</w:t>
      </w:r>
      <w:r w:rsidRPr="003B6E2D">
        <w:rPr>
          <w:rFonts w:cs="Times New Roman"/>
        </w:rPr>
        <w:t>(2), 177–184. https://doi.org/10.2175/106143006X111745</w:t>
      </w:r>
    </w:p>
    <w:p w14:paraId="7FCBCE66" w14:textId="77777777" w:rsidR="003B6E2D" w:rsidRPr="003B6E2D" w:rsidRDefault="003B6E2D" w:rsidP="003B6E2D">
      <w:pPr>
        <w:pStyle w:val="Bibliography"/>
        <w:rPr>
          <w:rFonts w:cs="Times New Roman"/>
        </w:rPr>
      </w:pPr>
      <w:r w:rsidRPr="003B6E2D">
        <w:rPr>
          <w:rFonts w:cs="Times New Roman"/>
        </w:rPr>
        <w:t xml:space="preserve">Hsu, T.-C., Yu, C.-C., &amp; Yeh, C.-M. (2008). Adsorption of Cu2+ from water using raw and modified coal fly ashes. </w:t>
      </w:r>
      <w:r w:rsidRPr="003B6E2D">
        <w:rPr>
          <w:rFonts w:cs="Times New Roman"/>
          <w:i/>
          <w:iCs/>
        </w:rPr>
        <w:t>Fuel</w:t>
      </w:r>
      <w:r w:rsidRPr="003B6E2D">
        <w:rPr>
          <w:rFonts w:cs="Times New Roman"/>
        </w:rPr>
        <w:t xml:space="preserve">, </w:t>
      </w:r>
      <w:r w:rsidRPr="003B6E2D">
        <w:rPr>
          <w:rFonts w:cs="Times New Roman"/>
          <w:i/>
          <w:iCs/>
        </w:rPr>
        <w:t>87</w:t>
      </w:r>
      <w:r w:rsidRPr="003B6E2D">
        <w:rPr>
          <w:rFonts w:cs="Times New Roman"/>
        </w:rPr>
        <w:t>(7), 1355–1359. https://doi.org/10.1016/j.fuel.2007.05.055</w:t>
      </w:r>
    </w:p>
    <w:p w14:paraId="48BA26D3" w14:textId="77777777" w:rsidR="003B6E2D" w:rsidRPr="003B6E2D" w:rsidRDefault="003B6E2D" w:rsidP="003B6E2D">
      <w:pPr>
        <w:pStyle w:val="Bibliography"/>
        <w:rPr>
          <w:rFonts w:cs="Times New Roman"/>
        </w:rPr>
      </w:pPr>
      <w:r w:rsidRPr="003B6E2D">
        <w:rPr>
          <w:rFonts w:cs="Times New Roman"/>
        </w:rPr>
        <w:t xml:space="preserve">Huber, M., Welker, A., &amp; Helmreich, B. (2016). Critical review of heavy metal pollution of traffic area runoff: Occurrence, influencing factors, and partitioning. </w:t>
      </w:r>
      <w:r w:rsidRPr="003B6E2D">
        <w:rPr>
          <w:rFonts w:cs="Times New Roman"/>
          <w:i/>
          <w:iCs/>
        </w:rPr>
        <w:t>Science of The Total Environment</w:t>
      </w:r>
      <w:r w:rsidRPr="003B6E2D">
        <w:rPr>
          <w:rFonts w:cs="Times New Roman"/>
        </w:rPr>
        <w:t xml:space="preserve">, </w:t>
      </w:r>
      <w:r w:rsidRPr="003B6E2D">
        <w:rPr>
          <w:rFonts w:cs="Times New Roman"/>
          <w:i/>
          <w:iCs/>
        </w:rPr>
        <w:t>541</w:t>
      </w:r>
      <w:r w:rsidRPr="003B6E2D">
        <w:rPr>
          <w:rFonts w:cs="Times New Roman"/>
        </w:rPr>
        <w:t>, 895–919. https://doi.org/10.1016/j.scitotenv.2015.09.033</w:t>
      </w:r>
    </w:p>
    <w:p w14:paraId="28704B97" w14:textId="77777777" w:rsidR="003B6E2D" w:rsidRPr="003B6E2D" w:rsidRDefault="003B6E2D" w:rsidP="003B6E2D">
      <w:pPr>
        <w:pStyle w:val="Bibliography"/>
        <w:rPr>
          <w:rFonts w:cs="Times New Roman"/>
        </w:rPr>
      </w:pPr>
      <w:r w:rsidRPr="003B6E2D">
        <w:rPr>
          <w:rFonts w:cs="Times New Roman"/>
          <w:i/>
          <w:iCs/>
        </w:rPr>
        <w:t>Imidacloprid Technical Fact Sheet</w:t>
      </w:r>
      <w:r w:rsidRPr="003B6E2D">
        <w:rPr>
          <w:rFonts w:cs="Times New Roman"/>
        </w:rPr>
        <w:t>. (n.d.). Retrieved October 17, 2022, from http://npic.orst.edu/factsheets/archive/imidacloprid.html</w:t>
      </w:r>
    </w:p>
    <w:p w14:paraId="771098A6" w14:textId="77777777" w:rsidR="003B6E2D" w:rsidRPr="003B6E2D" w:rsidRDefault="003B6E2D" w:rsidP="003B6E2D">
      <w:pPr>
        <w:pStyle w:val="Bibliography"/>
        <w:rPr>
          <w:rFonts w:cs="Times New Roman"/>
        </w:rPr>
      </w:pPr>
      <w:r w:rsidRPr="003B6E2D">
        <w:rPr>
          <w:rFonts w:cs="Times New Roman"/>
        </w:rPr>
        <w:t xml:space="preserve">Ippolito, J. A., Barbarick, K. A., Heil, D. M., Chandler, J. P., &amp; Redente, E. F. (2003). Phosphorus Retention Mechanisms of a Water Treatment Residual. </w:t>
      </w:r>
      <w:r w:rsidRPr="003B6E2D">
        <w:rPr>
          <w:rFonts w:cs="Times New Roman"/>
          <w:i/>
          <w:iCs/>
        </w:rPr>
        <w:t>Journal of Environmental Quality</w:t>
      </w:r>
      <w:r w:rsidRPr="003B6E2D">
        <w:rPr>
          <w:rFonts w:cs="Times New Roman"/>
        </w:rPr>
        <w:t xml:space="preserve">, </w:t>
      </w:r>
      <w:r w:rsidRPr="003B6E2D">
        <w:rPr>
          <w:rFonts w:cs="Times New Roman"/>
          <w:i/>
          <w:iCs/>
        </w:rPr>
        <w:t>32</w:t>
      </w:r>
      <w:r w:rsidRPr="003B6E2D">
        <w:rPr>
          <w:rFonts w:cs="Times New Roman"/>
        </w:rPr>
        <w:t>(5), 1857–1864. https://doi.org/10.2134/jeq2003.1857</w:t>
      </w:r>
    </w:p>
    <w:p w14:paraId="52BD0C5E" w14:textId="77777777" w:rsidR="003B6E2D" w:rsidRPr="003B6E2D" w:rsidRDefault="003B6E2D" w:rsidP="003B6E2D">
      <w:pPr>
        <w:pStyle w:val="Bibliography"/>
        <w:rPr>
          <w:rFonts w:cs="Times New Roman"/>
        </w:rPr>
      </w:pPr>
      <w:r w:rsidRPr="003B6E2D">
        <w:rPr>
          <w:rFonts w:cs="Times New Roman"/>
        </w:rPr>
        <w:lastRenderedPageBreak/>
        <w:t xml:space="preserve">Jain, S. K., Shakil, N. A., Dutta, A., Kumar, J., &amp; Saini, M. K. (2017). Sorption kinetics and isotherm modelling of imidacloprid on bentonite and organobentonites. </w:t>
      </w:r>
      <w:r w:rsidRPr="003B6E2D">
        <w:rPr>
          <w:rFonts w:cs="Times New Roman"/>
          <w:i/>
          <w:iCs/>
        </w:rPr>
        <w:t>Journal of Environmental Science and Health, Part B</w:t>
      </w:r>
      <w:r w:rsidRPr="003B6E2D">
        <w:rPr>
          <w:rFonts w:cs="Times New Roman"/>
        </w:rPr>
        <w:t xml:space="preserve">, </w:t>
      </w:r>
      <w:r w:rsidRPr="003B6E2D">
        <w:rPr>
          <w:rFonts w:cs="Times New Roman"/>
          <w:i/>
          <w:iCs/>
        </w:rPr>
        <w:t>52</w:t>
      </w:r>
      <w:r w:rsidRPr="003B6E2D">
        <w:rPr>
          <w:rFonts w:cs="Times New Roman"/>
        </w:rPr>
        <w:t>(5), 326–337. https://doi.org/10.1080/03601234.2017.1281653</w:t>
      </w:r>
    </w:p>
    <w:p w14:paraId="399059ED" w14:textId="77777777" w:rsidR="003B6E2D" w:rsidRPr="003B6E2D" w:rsidRDefault="003B6E2D" w:rsidP="003B6E2D">
      <w:pPr>
        <w:pStyle w:val="Bibliography"/>
        <w:rPr>
          <w:rFonts w:cs="Times New Roman"/>
        </w:rPr>
      </w:pPr>
      <w:r w:rsidRPr="003B6E2D">
        <w:rPr>
          <w:rFonts w:cs="Times New Roman"/>
        </w:rPr>
        <w:t xml:space="preserve">Jeschke, P., &amp; Nauen, R. (2008). Neonicotinoids—From zero to hero in insecticide chemistry. </w:t>
      </w:r>
      <w:r w:rsidRPr="003B6E2D">
        <w:rPr>
          <w:rFonts w:cs="Times New Roman"/>
          <w:i/>
          <w:iCs/>
        </w:rPr>
        <w:t>Pest Management Science</w:t>
      </w:r>
      <w:r w:rsidRPr="003B6E2D">
        <w:rPr>
          <w:rFonts w:cs="Times New Roman"/>
        </w:rPr>
        <w:t xml:space="preserve">, </w:t>
      </w:r>
      <w:r w:rsidRPr="003B6E2D">
        <w:rPr>
          <w:rFonts w:cs="Times New Roman"/>
          <w:i/>
          <w:iCs/>
        </w:rPr>
        <w:t>64</w:t>
      </w:r>
      <w:r w:rsidRPr="003B6E2D">
        <w:rPr>
          <w:rFonts w:cs="Times New Roman"/>
        </w:rPr>
        <w:t>(11), 1084–1098. https://doi.org/10.1002/ps.1631</w:t>
      </w:r>
    </w:p>
    <w:p w14:paraId="71D6A286" w14:textId="77777777" w:rsidR="003B6E2D" w:rsidRPr="003B6E2D" w:rsidRDefault="003B6E2D" w:rsidP="003B6E2D">
      <w:pPr>
        <w:pStyle w:val="Bibliography"/>
        <w:rPr>
          <w:rFonts w:cs="Times New Roman"/>
        </w:rPr>
      </w:pPr>
      <w:r w:rsidRPr="003B6E2D">
        <w:rPr>
          <w:rFonts w:cs="Times New Roman"/>
        </w:rPr>
        <w:t xml:space="preserve">Jeschke, P., Nauen, R., Schindler, M., &amp; Elbert, A. (2011). Overview of the Status and Global Strategy for Neonicotinoids. </w:t>
      </w:r>
      <w:r w:rsidRPr="003B6E2D">
        <w:rPr>
          <w:rFonts w:cs="Times New Roman"/>
          <w:i/>
          <w:iCs/>
        </w:rPr>
        <w:t>Journal of Agricultural and Food Chemistry</w:t>
      </w:r>
      <w:r w:rsidRPr="003B6E2D">
        <w:rPr>
          <w:rFonts w:cs="Times New Roman"/>
        </w:rPr>
        <w:t xml:space="preserve">, </w:t>
      </w:r>
      <w:r w:rsidRPr="003B6E2D">
        <w:rPr>
          <w:rFonts w:cs="Times New Roman"/>
          <w:i/>
          <w:iCs/>
        </w:rPr>
        <w:t>59</w:t>
      </w:r>
      <w:r w:rsidRPr="003B6E2D">
        <w:rPr>
          <w:rFonts w:cs="Times New Roman"/>
        </w:rPr>
        <w:t>(7), 2897–2908. https://doi.org/10.1021/jf101303g</w:t>
      </w:r>
    </w:p>
    <w:p w14:paraId="5225EF2E" w14:textId="77777777" w:rsidR="003B6E2D" w:rsidRPr="003B6E2D" w:rsidRDefault="003B6E2D" w:rsidP="003B6E2D">
      <w:pPr>
        <w:pStyle w:val="Bibliography"/>
        <w:rPr>
          <w:rFonts w:cs="Times New Roman"/>
        </w:rPr>
      </w:pPr>
      <w:r w:rsidRPr="003B6E2D">
        <w:rPr>
          <w:rFonts w:cs="Times New Roman"/>
        </w:rPr>
        <w:t xml:space="preserve">Kandel, S., Vogel, J., Penn, C., &amp; Brown, G. (2017). Phosphorus Retention by Fly Ash Amended Filter Media in Aged Bioretention Cells. </w:t>
      </w:r>
      <w:r w:rsidRPr="003B6E2D">
        <w:rPr>
          <w:rFonts w:cs="Times New Roman"/>
          <w:i/>
          <w:iCs/>
        </w:rPr>
        <w:t>Water</w:t>
      </w:r>
      <w:r w:rsidRPr="003B6E2D">
        <w:rPr>
          <w:rFonts w:cs="Times New Roman"/>
        </w:rPr>
        <w:t xml:space="preserve">, </w:t>
      </w:r>
      <w:r w:rsidRPr="003B6E2D">
        <w:rPr>
          <w:rFonts w:cs="Times New Roman"/>
          <w:i/>
          <w:iCs/>
        </w:rPr>
        <w:t>9</w:t>
      </w:r>
      <w:r w:rsidRPr="003B6E2D">
        <w:rPr>
          <w:rFonts w:cs="Times New Roman"/>
        </w:rPr>
        <w:t>(10), 746. https://doi.org/10.3390/w9100746</w:t>
      </w:r>
    </w:p>
    <w:p w14:paraId="1455A556" w14:textId="77777777" w:rsidR="003B6E2D" w:rsidRPr="003B6E2D" w:rsidRDefault="003B6E2D" w:rsidP="003B6E2D">
      <w:pPr>
        <w:pStyle w:val="Bibliography"/>
        <w:rPr>
          <w:rFonts w:cs="Times New Roman"/>
        </w:rPr>
      </w:pPr>
      <w:r w:rsidRPr="003B6E2D">
        <w:rPr>
          <w:rFonts w:cs="Times New Roman"/>
        </w:rPr>
        <w:t xml:space="preserve">Kayhanian, M., Fruchtman, B. D., Gulliver, J. S., Montanaro, C., Ranieri, E., &amp; Wuertz, S. (2012). Review of highway runoff characteristics: Comparative analysis and universal implications. </w:t>
      </w:r>
      <w:r w:rsidRPr="003B6E2D">
        <w:rPr>
          <w:rFonts w:cs="Times New Roman"/>
          <w:i/>
          <w:iCs/>
        </w:rPr>
        <w:t>Water Research</w:t>
      </w:r>
      <w:r w:rsidRPr="003B6E2D">
        <w:rPr>
          <w:rFonts w:cs="Times New Roman"/>
        </w:rPr>
        <w:t xml:space="preserve">, </w:t>
      </w:r>
      <w:r w:rsidRPr="003B6E2D">
        <w:rPr>
          <w:rFonts w:cs="Times New Roman"/>
          <w:i/>
          <w:iCs/>
        </w:rPr>
        <w:t>46</w:t>
      </w:r>
      <w:r w:rsidRPr="003B6E2D">
        <w:rPr>
          <w:rFonts w:cs="Times New Roman"/>
        </w:rPr>
        <w:t>(20), 6609–6624. https://doi.org/10.1016/j.watres.2012.07.026</w:t>
      </w:r>
    </w:p>
    <w:p w14:paraId="34B47DC1" w14:textId="77777777" w:rsidR="003B6E2D" w:rsidRPr="003B6E2D" w:rsidRDefault="003B6E2D" w:rsidP="003B6E2D">
      <w:pPr>
        <w:pStyle w:val="Bibliography"/>
        <w:rPr>
          <w:rFonts w:cs="Times New Roman"/>
        </w:rPr>
      </w:pPr>
      <w:r w:rsidRPr="003B6E2D">
        <w:rPr>
          <w:rFonts w:cs="Times New Roman"/>
        </w:rPr>
        <w:t xml:space="preserve">Kim, D.-H., Shin, M.-C., Choi, H.-D., Seo, C.-I., &amp; Baek, K. (2008). Removal mechanisms of copper using steel-making slag: Adsorption and precipitation. </w:t>
      </w:r>
      <w:r w:rsidRPr="003B6E2D">
        <w:rPr>
          <w:rFonts w:cs="Times New Roman"/>
          <w:i/>
          <w:iCs/>
        </w:rPr>
        <w:t>Desalination</w:t>
      </w:r>
      <w:r w:rsidRPr="003B6E2D">
        <w:rPr>
          <w:rFonts w:cs="Times New Roman"/>
        </w:rPr>
        <w:t xml:space="preserve">, </w:t>
      </w:r>
      <w:r w:rsidRPr="003B6E2D">
        <w:rPr>
          <w:rFonts w:cs="Times New Roman"/>
          <w:i/>
          <w:iCs/>
        </w:rPr>
        <w:t>223</w:t>
      </w:r>
      <w:r w:rsidRPr="003B6E2D">
        <w:rPr>
          <w:rFonts w:cs="Times New Roman"/>
        </w:rPr>
        <w:t>(1–3), 283–289. https://doi.org/10.1016/j.desal.2007.01.226</w:t>
      </w:r>
    </w:p>
    <w:p w14:paraId="0B4920B8" w14:textId="77777777" w:rsidR="003B6E2D" w:rsidRPr="003B6E2D" w:rsidRDefault="003B6E2D" w:rsidP="003B6E2D">
      <w:pPr>
        <w:pStyle w:val="Bibliography"/>
        <w:rPr>
          <w:rFonts w:cs="Times New Roman"/>
        </w:rPr>
      </w:pPr>
      <w:r w:rsidRPr="003B6E2D">
        <w:rPr>
          <w:rFonts w:cs="Times New Roman"/>
        </w:rPr>
        <w:t xml:space="preserve">Kimura-Kuroda, J., Komuta, Y., Kuroda, Y., Hayashi, M., &amp; Kawano, H. (2012). Nicotine-Like Effects of the Neonicotinoid Insecticides Acetamiprid and Imidacloprid on Cerebellar Neurons from Neonatal Rats. </w:t>
      </w:r>
      <w:r w:rsidRPr="003B6E2D">
        <w:rPr>
          <w:rFonts w:cs="Times New Roman"/>
          <w:i/>
          <w:iCs/>
        </w:rPr>
        <w:t>PLoS ONE</w:t>
      </w:r>
      <w:r w:rsidRPr="003B6E2D">
        <w:rPr>
          <w:rFonts w:cs="Times New Roman"/>
        </w:rPr>
        <w:t xml:space="preserve">, </w:t>
      </w:r>
      <w:r w:rsidRPr="003B6E2D">
        <w:rPr>
          <w:rFonts w:cs="Times New Roman"/>
          <w:i/>
          <w:iCs/>
        </w:rPr>
        <w:t>7</w:t>
      </w:r>
      <w:r w:rsidRPr="003B6E2D">
        <w:rPr>
          <w:rFonts w:cs="Times New Roman"/>
        </w:rPr>
        <w:t>(2), e32432. https://doi.org/10.1371/journal.pone.0032432</w:t>
      </w:r>
    </w:p>
    <w:p w14:paraId="0F78F0E3" w14:textId="77777777" w:rsidR="003B6E2D" w:rsidRPr="003B6E2D" w:rsidRDefault="003B6E2D" w:rsidP="003B6E2D">
      <w:pPr>
        <w:pStyle w:val="Bibliography"/>
        <w:rPr>
          <w:rFonts w:cs="Times New Roman"/>
        </w:rPr>
      </w:pPr>
      <w:r w:rsidRPr="003B6E2D">
        <w:rPr>
          <w:rFonts w:cs="Times New Roman"/>
        </w:rPr>
        <w:lastRenderedPageBreak/>
        <w:t xml:space="preserve">Klarich, K. L., Pflug, N. C., DeWald, E. M., Hladik, M. L., Kolpin, D. W., Cwiertny, D. M., &amp; LeFevre, G. H. (2017). Occurrence of Neonicotinoid Insecticides in Finished Drinking Water and Fate during Drinking Water Treatment. </w:t>
      </w:r>
      <w:r w:rsidRPr="003B6E2D">
        <w:rPr>
          <w:rFonts w:cs="Times New Roman"/>
          <w:i/>
          <w:iCs/>
        </w:rPr>
        <w:t>Environmental Science &amp; Technology Letters</w:t>
      </w:r>
      <w:r w:rsidRPr="003B6E2D">
        <w:rPr>
          <w:rFonts w:cs="Times New Roman"/>
        </w:rPr>
        <w:t xml:space="preserve">, </w:t>
      </w:r>
      <w:r w:rsidRPr="003B6E2D">
        <w:rPr>
          <w:rFonts w:cs="Times New Roman"/>
          <w:i/>
          <w:iCs/>
        </w:rPr>
        <w:t>4</w:t>
      </w:r>
      <w:r w:rsidRPr="003B6E2D">
        <w:rPr>
          <w:rFonts w:cs="Times New Roman"/>
        </w:rPr>
        <w:t>(5), 168–173. https://doi.org/10.1021/acs.estlett.7b00081</w:t>
      </w:r>
    </w:p>
    <w:p w14:paraId="2DBDF73A" w14:textId="77777777" w:rsidR="003B6E2D" w:rsidRPr="003B6E2D" w:rsidRDefault="003B6E2D" w:rsidP="003B6E2D">
      <w:pPr>
        <w:pStyle w:val="Bibliography"/>
        <w:rPr>
          <w:rFonts w:cs="Times New Roman"/>
        </w:rPr>
      </w:pPr>
      <w:r w:rsidRPr="003B6E2D">
        <w:rPr>
          <w:rFonts w:cs="Times New Roman"/>
        </w:rPr>
        <w:t xml:space="preserve">Kumari, K., Singh, R. P., &amp; Saxena, S. K. (1988). Adsorption thermodynamics of carbofuran on fly ash. </w:t>
      </w:r>
      <w:r w:rsidRPr="003B6E2D">
        <w:rPr>
          <w:rFonts w:cs="Times New Roman"/>
          <w:i/>
          <w:iCs/>
        </w:rPr>
        <w:t>Colloids and Surfaces</w:t>
      </w:r>
      <w:r w:rsidRPr="003B6E2D">
        <w:rPr>
          <w:rFonts w:cs="Times New Roman"/>
        </w:rPr>
        <w:t xml:space="preserve">, </w:t>
      </w:r>
      <w:r w:rsidRPr="003B6E2D">
        <w:rPr>
          <w:rFonts w:cs="Times New Roman"/>
          <w:i/>
          <w:iCs/>
        </w:rPr>
        <w:t>33</w:t>
      </w:r>
      <w:r w:rsidRPr="003B6E2D">
        <w:rPr>
          <w:rFonts w:cs="Times New Roman"/>
        </w:rPr>
        <w:t>, 55–61. https://doi.org/10.1016/0166-6622(88)80048-9</w:t>
      </w:r>
    </w:p>
    <w:p w14:paraId="6BC23FD6" w14:textId="77777777" w:rsidR="003B6E2D" w:rsidRPr="003B6E2D" w:rsidRDefault="003B6E2D" w:rsidP="003B6E2D">
      <w:pPr>
        <w:pStyle w:val="Bibliography"/>
        <w:rPr>
          <w:rFonts w:cs="Times New Roman"/>
        </w:rPr>
      </w:pPr>
      <w:r w:rsidRPr="003B6E2D">
        <w:rPr>
          <w:rFonts w:cs="Times New Roman"/>
        </w:rPr>
        <w:t xml:space="preserve">Lan, Y., Liu, Q., Meng, F., Niu, D., &amp; Zhao, H. (2017). Optimization of magnetic separation process for iron recovery from steel slag. </w:t>
      </w:r>
      <w:r w:rsidRPr="003B6E2D">
        <w:rPr>
          <w:rFonts w:cs="Times New Roman"/>
          <w:i/>
          <w:iCs/>
        </w:rPr>
        <w:t>Journal of Iron and Steel Research International</w:t>
      </w:r>
      <w:r w:rsidRPr="003B6E2D">
        <w:rPr>
          <w:rFonts w:cs="Times New Roman"/>
        </w:rPr>
        <w:t xml:space="preserve">, </w:t>
      </w:r>
      <w:r w:rsidRPr="003B6E2D">
        <w:rPr>
          <w:rFonts w:cs="Times New Roman"/>
          <w:i/>
          <w:iCs/>
        </w:rPr>
        <w:t>24</w:t>
      </w:r>
      <w:r w:rsidRPr="003B6E2D">
        <w:rPr>
          <w:rFonts w:cs="Times New Roman"/>
        </w:rPr>
        <w:t>(2), 165–170. https://doi.org/10.1016/S1006-706X(17)30023-7</w:t>
      </w:r>
    </w:p>
    <w:p w14:paraId="1617F7CB" w14:textId="77777777" w:rsidR="003B6E2D" w:rsidRPr="003B6E2D" w:rsidRDefault="003B6E2D" w:rsidP="003B6E2D">
      <w:pPr>
        <w:pStyle w:val="Bibliography"/>
        <w:rPr>
          <w:rFonts w:cs="Times New Roman"/>
        </w:rPr>
      </w:pPr>
      <w:r w:rsidRPr="003B6E2D">
        <w:rPr>
          <w:rFonts w:cs="Times New Roman"/>
        </w:rPr>
        <w:t xml:space="preserve">Langmuir, D., Chrostowski, P., Vigneault, B., &amp; Chaney, R. (2004). </w:t>
      </w:r>
      <w:r w:rsidRPr="003B6E2D">
        <w:rPr>
          <w:rFonts w:cs="Times New Roman"/>
          <w:i/>
          <w:iCs/>
        </w:rPr>
        <w:t>ISSUE PAPER ON THE ENVIRONMENTAL CHEMISTRY OF METALS</w:t>
      </w:r>
      <w:r w:rsidRPr="003B6E2D">
        <w:rPr>
          <w:rFonts w:cs="Times New Roman"/>
        </w:rPr>
        <w:t>. 113.</w:t>
      </w:r>
    </w:p>
    <w:p w14:paraId="3089F4BF" w14:textId="77777777" w:rsidR="003B6E2D" w:rsidRPr="003B6E2D" w:rsidRDefault="003B6E2D" w:rsidP="003B6E2D">
      <w:pPr>
        <w:pStyle w:val="Bibliography"/>
        <w:rPr>
          <w:rFonts w:cs="Times New Roman"/>
        </w:rPr>
      </w:pPr>
      <w:r w:rsidRPr="003B6E2D">
        <w:rPr>
          <w:rFonts w:cs="Times New Roman"/>
        </w:rPr>
        <w:t xml:space="preserve">Li, S., Cooke, R. A., Wang, L., Ma, F., &amp; Bhattarai, R. (2017). Characterization of fly ash ceramic pellet for phosphorus removal. </w:t>
      </w:r>
      <w:r w:rsidRPr="003B6E2D">
        <w:rPr>
          <w:rFonts w:cs="Times New Roman"/>
          <w:i/>
          <w:iCs/>
        </w:rPr>
        <w:t>Journal of Environmental Management</w:t>
      </w:r>
      <w:r w:rsidRPr="003B6E2D">
        <w:rPr>
          <w:rFonts w:cs="Times New Roman"/>
        </w:rPr>
        <w:t xml:space="preserve">, </w:t>
      </w:r>
      <w:r w:rsidRPr="003B6E2D">
        <w:rPr>
          <w:rFonts w:cs="Times New Roman"/>
          <w:i/>
          <w:iCs/>
        </w:rPr>
        <w:t>189</w:t>
      </w:r>
      <w:r w:rsidRPr="003B6E2D">
        <w:rPr>
          <w:rFonts w:cs="Times New Roman"/>
        </w:rPr>
        <w:t>, 67–74. https://doi.org/10.1016/j.jenvman.2016.12.042</w:t>
      </w:r>
    </w:p>
    <w:p w14:paraId="377F2099" w14:textId="77777777" w:rsidR="003B6E2D" w:rsidRPr="003B6E2D" w:rsidRDefault="003B6E2D" w:rsidP="003B6E2D">
      <w:pPr>
        <w:pStyle w:val="Bibliography"/>
        <w:rPr>
          <w:rFonts w:cs="Times New Roman"/>
        </w:rPr>
      </w:pPr>
      <w:r w:rsidRPr="003B6E2D">
        <w:rPr>
          <w:rFonts w:cs="Times New Roman"/>
        </w:rPr>
        <w:t xml:space="preserve">Li, Y., &amp; Dai, W.-B. (2018). Modifying hot slag and converting it into value-added materials: A review. </w:t>
      </w:r>
      <w:r w:rsidRPr="003B6E2D">
        <w:rPr>
          <w:rFonts w:cs="Times New Roman"/>
          <w:i/>
          <w:iCs/>
        </w:rPr>
        <w:t>Journal of Cleaner Production</w:t>
      </w:r>
      <w:r w:rsidRPr="003B6E2D">
        <w:rPr>
          <w:rFonts w:cs="Times New Roman"/>
        </w:rPr>
        <w:t xml:space="preserve">, </w:t>
      </w:r>
      <w:r w:rsidRPr="003B6E2D">
        <w:rPr>
          <w:rFonts w:cs="Times New Roman"/>
          <w:i/>
          <w:iCs/>
        </w:rPr>
        <w:t>175</w:t>
      </w:r>
      <w:r w:rsidRPr="003B6E2D">
        <w:rPr>
          <w:rFonts w:cs="Times New Roman"/>
        </w:rPr>
        <w:t>, 176–189. https://doi.org/10.1016/j.jclepro.2017.11.171</w:t>
      </w:r>
    </w:p>
    <w:p w14:paraId="231265ED" w14:textId="77777777" w:rsidR="003B6E2D" w:rsidRPr="003B6E2D" w:rsidRDefault="003B6E2D" w:rsidP="003B6E2D">
      <w:pPr>
        <w:pStyle w:val="Bibliography"/>
        <w:rPr>
          <w:rFonts w:cs="Times New Roman"/>
        </w:rPr>
      </w:pPr>
      <w:r w:rsidRPr="003B6E2D">
        <w:rPr>
          <w:rFonts w:cs="Times New Roman"/>
        </w:rPr>
        <w:t xml:space="preserve">Liem-Nguyen, V., Sjöberg, V., Dinh, N. P., Huy, D. H., &amp; Karlsson, S. (2020). Removal mechanism of arsenic (V) by stainless steel slags obtained from scrap metal recycling. </w:t>
      </w:r>
      <w:r w:rsidRPr="003B6E2D">
        <w:rPr>
          <w:rFonts w:cs="Times New Roman"/>
          <w:i/>
          <w:iCs/>
        </w:rPr>
        <w:t>Journal of Environmental Chemical Engineering</w:t>
      </w:r>
      <w:r w:rsidRPr="003B6E2D">
        <w:rPr>
          <w:rFonts w:cs="Times New Roman"/>
        </w:rPr>
        <w:t xml:space="preserve">, </w:t>
      </w:r>
      <w:r w:rsidRPr="003B6E2D">
        <w:rPr>
          <w:rFonts w:cs="Times New Roman"/>
          <w:i/>
          <w:iCs/>
        </w:rPr>
        <w:t>8</w:t>
      </w:r>
      <w:r w:rsidRPr="003B6E2D">
        <w:rPr>
          <w:rFonts w:cs="Times New Roman"/>
        </w:rPr>
        <w:t>(4), 103833. https://doi.org/10.1016/j.jece.2020.103833</w:t>
      </w:r>
    </w:p>
    <w:p w14:paraId="13DCEE7F" w14:textId="77777777" w:rsidR="003B6E2D" w:rsidRPr="003B6E2D" w:rsidRDefault="003B6E2D" w:rsidP="003B6E2D">
      <w:pPr>
        <w:pStyle w:val="Bibliography"/>
        <w:rPr>
          <w:rFonts w:cs="Times New Roman"/>
        </w:rPr>
      </w:pPr>
      <w:r w:rsidRPr="003B6E2D">
        <w:rPr>
          <w:rFonts w:cs="Times New Roman"/>
        </w:rPr>
        <w:lastRenderedPageBreak/>
        <w:t xml:space="preserve">Lin, C.-J., &amp; Chang, J.-E. (2001). Effect of fly ash characteristics on the removal of Cu(II) from aqueous solution. </w:t>
      </w:r>
      <w:r w:rsidRPr="003B6E2D">
        <w:rPr>
          <w:rFonts w:cs="Times New Roman"/>
          <w:i/>
          <w:iCs/>
        </w:rPr>
        <w:t>Chemosphere</w:t>
      </w:r>
      <w:r w:rsidRPr="003B6E2D">
        <w:rPr>
          <w:rFonts w:cs="Times New Roman"/>
        </w:rPr>
        <w:t xml:space="preserve">, </w:t>
      </w:r>
      <w:r w:rsidRPr="003B6E2D">
        <w:rPr>
          <w:rFonts w:cs="Times New Roman"/>
          <w:i/>
          <w:iCs/>
        </w:rPr>
        <w:t>44</w:t>
      </w:r>
      <w:r w:rsidRPr="003B6E2D">
        <w:rPr>
          <w:rFonts w:cs="Times New Roman"/>
        </w:rPr>
        <w:t>(5), 1185–1192. https://doi.org/10.1016/S0045-6535(00)00494-X</w:t>
      </w:r>
    </w:p>
    <w:p w14:paraId="1DB636DC" w14:textId="77777777" w:rsidR="003B6E2D" w:rsidRPr="003B6E2D" w:rsidRDefault="003B6E2D" w:rsidP="003B6E2D">
      <w:pPr>
        <w:pStyle w:val="Bibliography"/>
        <w:rPr>
          <w:rFonts w:cs="Times New Roman"/>
        </w:rPr>
      </w:pPr>
      <w:r w:rsidRPr="003B6E2D">
        <w:rPr>
          <w:rFonts w:cs="Times New Roman"/>
        </w:rPr>
        <w:t xml:space="preserve">Lobato, N. C. C., Villegas, E. A., &amp; Mansur, M. B. (2015). Management of solid wastes from steelmaking and galvanizing processes: A brief review. </w:t>
      </w:r>
      <w:r w:rsidRPr="003B6E2D">
        <w:rPr>
          <w:rFonts w:cs="Times New Roman"/>
          <w:i/>
          <w:iCs/>
        </w:rPr>
        <w:t>Resources, Conservation and Recycling</w:t>
      </w:r>
      <w:r w:rsidRPr="003B6E2D">
        <w:rPr>
          <w:rFonts w:cs="Times New Roman"/>
        </w:rPr>
        <w:t xml:space="preserve">, </w:t>
      </w:r>
      <w:r w:rsidRPr="003B6E2D">
        <w:rPr>
          <w:rFonts w:cs="Times New Roman"/>
          <w:i/>
          <w:iCs/>
        </w:rPr>
        <w:t>102</w:t>
      </w:r>
      <w:r w:rsidRPr="003B6E2D">
        <w:rPr>
          <w:rFonts w:cs="Times New Roman"/>
        </w:rPr>
        <w:t>, 49–57. https://doi.org/10.1016/j.resconrec.2015.05.025</w:t>
      </w:r>
    </w:p>
    <w:p w14:paraId="72635CA7" w14:textId="77777777" w:rsidR="003B6E2D" w:rsidRPr="003B6E2D" w:rsidRDefault="003B6E2D" w:rsidP="003B6E2D">
      <w:pPr>
        <w:pStyle w:val="Bibliography"/>
        <w:rPr>
          <w:rFonts w:cs="Times New Roman"/>
        </w:rPr>
      </w:pPr>
      <w:r w:rsidRPr="003B6E2D">
        <w:rPr>
          <w:rFonts w:cs="Times New Roman"/>
        </w:rPr>
        <w:t xml:space="preserve">Lyngsie, G., Borggaard, O. K., &amp; Hansen, H. C. B. (2014). A three-step test of phosphate sorption efficiency of potential agricultural drainage filter materials. </w:t>
      </w:r>
      <w:r w:rsidRPr="003B6E2D">
        <w:rPr>
          <w:rFonts w:cs="Times New Roman"/>
          <w:i/>
          <w:iCs/>
        </w:rPr>
        <w:t>Water Research</w:t>
      </w:r>
      <w:r w:rsidRPr="003B6E2D">
        <w:rPr>
          <w:rFonts w:cs="Times New Roman"/>
        </w:rPr>
        <w:t xml:space="preserve">, </w:t>
      </w:r>
      <w:r w:rsidRPr="003B6E2D">
        <w:rPr>
          <w:rFonts w:cs="Times New Roman"/>
          <w:i/>
          <w:iCs/>
        </w:rPr>
        <w:t>51</w:t>
      </w:r>
      <w:r w:rsidRPr="003B6E2D">
        <w:rPr>
          <w:rFonts w:cs="Times New Roman"/>
        </w:rPr>
        <w:t>, 256–265. https://doi.org/10.1016/j.watres.2013.10.061</w:t>
      </w:r>
    </w:p>
    <w:p w14:paraId="68E65E7D" w14:textId="77777777" w:rsidR="003B6E2D" w:rsidRPr="003B6E2D" w:rsidRDefault="003B6E2D" w:rsidP="003B6E2D">
      <w:pPr>
        <w:pStyle w:val="Bibliography"/>
        <w:rPr>
          <w:rFonts w:cs="Times New Roman"/>
        </w:rPr>
      </w:pPr>
      <w:r w:rsidRPr="003B6E2D">
        <w:rPr>
          <w:rFonts w:cs="Times New Roman"/>
        </w:rPr>
        <w:t xml:space="preserve">Magalhaes, L. C., Hunt, T. E., &amp; Siegfried, B. D. (2009). Efficacy of Neonicotinoid Seed Treatments to Reduce Soybean Aphid Populations Under Field and Controlled Conditions in Nebraska. </w:t>
      </w:r>
      <w:r w:rsidRPr="003B6E2D">
        <w:rPr>
          <w:rFonts w:cs="Times New Roman"/>
          <w:i/>
          <w:iCs/>
        </w:rPr>
        <w:t>Journal of Economic Entomology</w:t>
      </w:r>
      <w:r w:rsidRPr="003B6E2D">
        <w:rPr>
          <w:rFonts w:cs="Times New Roman"/>
        </w:rPr>
        <w:t xml:space="preserve">, </w:t>
      </w:r>
      <w:r w:rsidRPr="003B6E2D">
        <w:rPr>
          <w:rFonts w:cs="Times New Roman"/>
          <w:i/>
          <w:iCs/>
        </w:rPr>
        <w:t>102</w:t>
      </w:r>
      <w:r w:rsidRPr="003B6E2D">
        <w:rPr>
          <w:rFonts w:cs="Times New Roman"/>
        </w:rPr>
        <w:t>(1), 187–195. https://doi.org/10.1603/029.102.0127</w:t>
      </w:r>
    </w:p>
    <w:p w14:paraId="68C3C9EF" w14:textId="77777777" w:rsidR="003B6E2D" w:rsidRPr="003B6E2D" w:rsidRDefault="003B6E2D" w:rsidP="003B6E2D">
      <w:pPr>
        <w:pStyle w:val="Bibliography"/>
        <w:rPr>
          <w:rFonts w:cs="Times New Roman"/>
        </w:rPr>
      </w:pPr>
      <w:r w:rsidRPr="003B6E2D">
        <w:rPr>
          <w:rFonts w:cs="Times New Roman"/>
        </w:rPr>
        <w:t xml:space="preserve">Main, A. R., Headley, J. V., Peru, K. M., Michel, N. L., Cessna, A. J., &amp; Morrissey, C. A. (2014). Widespread Use and Frequent Detection of Neonicotinoid Insecticides in Wetlands of Canada’s Prairie Pothole Region. </w:t>
      </w:r>
      <w:r w:rsidRPr="003B6E2D">
        <w:rPr>
          <w:rFonts w:cs="Times New Roman"/>
          <w:i/>
          <w:iCs/>
        </w:rPr>
        <w:t>PLoS ONE</w:t>
      </w:r>
      <w:r w:rsidRPr="003B6E2D">
        <w:rPr>
          <w:rFonts w:cs="Times New Roman"/>
        </w:rPr>
        <w:t xml:space="preserve">, </w:t>
      </w:r>
      <w:r w:rsidRPr="003B6E2D">
        <w:rPr>
          <w:rFonts w:cs="Times New Roman"/>
          <w:i/>
          <w:iCs/>
        </w:rPr>
        <w:t>9</w:t>
      </w:r>
      <w:r w:rsidRPr="003B6E2D">
        <w:rPr>
          <w:rFonts w:cs="Times New Roman"/>
        </w:rPr>
        <w:t>(3), e92821. https://doi.org/10.1371/journal.pone.0092821</w:t>
      </w:r>
    </w:p>
    <w:p w14:paraId="3A26BE93" w14:textId="77777777" w:rsidR="003B6E2D" w:rsidRPr="003B6E2D" w:rsidRDefault="003B6E2D" w:rsidP="003B6E2D">
      <w:pPr>
        <w:pStyle w:val="Bibliography"/>
        <w:rPr>
          <w:rFonts w:cs="Times New Roman"/>
        </w:rPr>
      </w:pPr>
      <w:r w:rsidRPr="003B6E2D">
        <w:rPr>
          <w:rFonts w:cs="Times New Roman"/>
        </w:rPr>
        <w:t xml:space="preserve">Marsh, H., &amp; Reinoso, F. R. (2006). </w:t>
      </w:r>
      <w:r w:rsidRPr="003B6E2D">
        <w:rPr>
          <w:rFonts w:cs="Times New Roman"/>
          <w:i/>
          <w:iCs/>
        </w:rPr>
        <w:t>Activated Carbon</w:t>
      </w:r>
      <w:r w:rsidRPr="003B6E2D">
        <w:rPr>
          <w:rFonts w:cs="Times New Roman"/>
        </w:rPr>
        <w:t>. Elsevier.</w:t>
      </w:r>
    </w:p>
    <w:p w14:paraId="7B69E4B1" w14:textId="77777777" w:rsidR="003B6E2D" w:rsidRPr="003B6E2D" w:rsidRDefault="003B6E2D" w:rsidP="003B6E2D">
      <w:pPr>
        <w:pStyle w:val="Bibliography"/>
        <w:rPr>
          <w:rFonts w:cs="Times New Roman"/>
        </w:rPr>
      </w:pPr>
      <w:r w:rsidRPr="003B6E2D">
        <w:rPr>
          <w:rFonts w:cs="Times New Roman"/>
        </w:rPr>
        <w:t xml:space="preserve">Martin, T. D., Brockhoff, C. A., Creed, J. T., Kopp, J. F., Martin, E. R., &amp; EMMC Methods Work Group. (1996). </w:t>
      </w:r>
      <w:r w:rsidRPr="003B6E2D">
        <w:rPr>
          <w:rFonts w:cs="Times New Roman"/>
          <w:i/>
          <w:iCs/>
        </w:rPr>
        <w:t>DETERMINATION OF METALS AND TRACE ELEMENTS IN WATER AND WASTES BY INDUCTIVELY COUPLED PLASMA-ATOMIC EMISSION SPECTROMETRY</w:t>
      </w:r>
      <w:r w:rsidRPr="003B6E2D">
        <w:rPr>
          <w:rFonts w:cs="Times New Roman"/>
        </w:rPr>
        <w:t xml:space="preserve"> (Method 200.7). https://doi.org/10.1016/B978-0-8155-1398-8.50010-0</w:t>
      </w:r>
    </w:p>
    <w:p w14:paraId="28774B98" w14:textId="77777777" w:rsidR="003B6E2D" w:rsidRPr="003B6E2D" w:rsidRDefault="003B6E2D" w:rsidP="003B6E2D">
      <w:pPr>
        <w:pStyle w:val="Bibliography"/>
        <w:rPr>
          <w:rFonts w:cs="Times New Roman"/>
        </w:rPr>
      </w:pPr>
      <w:r w:rsidRPr="003B6E2D">
        <w:rPr>
          <w:rFonts w:cs="Times New Roman"/>
        </w:rPr>
        <w:lastRenderedPageBreak/>
        <w:t xml:space="preserve">Method 3120 B. (2005). </w:t>
      </w:r>
      <w:r w:rsidRPr="003B6E2D">
        <w:rPr>
          <w:rFonts w:cs="Times New Roman"/>
          <w:i/>
          <w:iCs/>
        </w:rPr>
        <w:t>Standard Methods for the Examination of Water and Wastewater</w:t>
      </w:r>
      <w:r w:rsidRPr="003B6E2D">
        <w:rPr>
          <w:rFonts w:cs="Times New Roman"/>
        </w:rPr>
        <w:t xml:space="preserve">, </w:t>
      </w:r>
      <w:r w:rsidRPr="003B6E2D">
        <w:rPr>
          <w:rFonts w:cs="Times New Roman"/>
          <w:i/>
          <w:iCs/>
        </w:rPr>
        <w:t>21th Edition</w:t>
      </w:r>
      <w:r w:rsidRPr="003B6E2D">
        <w:rPr>
          <w:rFonts w:cs="Times New Roman"/>
        </w:rPr>
        <w:t>, 3–39 to 3–44.</w:t>
      </w:r>
    </w:p>
    <w:p w14:paraId="039BD246" w14:textId="77777777" w:rsidR="003B6E2D" w:rsidRPr="003B6E2D" w:rsidRDefault="003B6E2D" w:rsidP="003B6E2D">
      <w:pPr>
        <w:pStyle w:val="Bibliography"/>
        <w:rPr>
          <w:rFonts w:cs="Times New Roman"/>
        </w:rPr>
      </w:pPr>
      <w:r w:rsidRPr="003B6E2D">
        <w:rPr>
          <w:rFonts w:cs="Times New Roman"/>
        </w:rPr>
        <w:t xml:space="preserve">Mineau, P., &amp; Palmer, C. (2013). </w:t>
      </w:r>
      <w:r w:rsidRPr="003B6E2D">
        <w:rPr>
          <w:rFonts w:cs="Times New Roman"/>
          <w:i/>
          <w:iCs/>
        </w:rPr>
        <w:t>The Impact of the Nation’s Most Windly used Insecticides on Birds</w:t>
      </w:r>
      <w:r w:rsidRPr="003B6E2D">
        <w:rPr>
          <w:rFonts w:cs="Times New Roman"/>
        </w:rPr>
        <w:t>. American Bird Conservancy.</w:t>
      </w:r>
    </w:p>
    <w:p w14:paraId="0BDE88EC" w14:textId="77777777" w:rsidR="003B6E2D" w:rsidRPr="003B6E2D" w:rsidRDefault="003B6E2D" w:rsidP="003B6E2D">
      <w:pPr>
        <w:pStyle w:val="Bibliography"/>
        <w:rPr>
          <w:rFonts w:cs="Times New Roman"/>
        </w:rPr>
      </w:pPr>
      <w:r w:rsidRPr="003B6E2D">
        <w:rPr>
          <w:rFonts w:cs="Times New Roman"/>
        </w:rPr>
        <w:t xml:space="preserve">Mohanty, S. K., Valenca, R., Berger, A. W., Yu, I. K. M., Xiong, X., Saunders, T. M., &amp; Tsang, D. C. W. (2018). Plenty of room for carbon on the ground: Potential applications of biochar for stormwater treatment. </w:t>
      </w:r>
      <w:r w:rsidRPr="003B6E2D">
        <w:rPr>
          <w:rFonts w:cs="Times New Roman"/>
          <w:i/>
          <w:iCs/>
        </w:rPr>
        <w:t>Science of The Total Environment</w:t>
      </w:r>
      <w:r w:rsidRPr="003B6E2D">
        <w:rPr>
          <w:rFonts w:cs="Times New Roman"/>
        </w:rPr>
        <w:t xml:space="preserve">, </w:t>
      </w:r>
      <w:r w:rsidRPr="003B6E2D">
        <w:rPr>
          <w:rFonts w:cs="Times New Roman"/>
          <w:i/>
          <w:iCs/>
        </w:rPr>
        <w:t>625</w:t>
      </w:r>
      <w:r w:rsidRPr="003B6E2D">
        <w:rPr>
          <w:rFonts w:cs="Times New Roman"/>
        </w:rPr>
        <w:t>, 1644–1658. https://doi.org/10.1016/j.scitotenv.2018.01.037</w:t>
      </w:r>
    </w:p>
    <w:p w14:paraId="73376FC4" w14:textId="77777777" w:rsidR="003B6E2D" w:rsidRPr="003B6E2D" w:rsidRDefault="003B6E2D" w:rsidP="003B6E2D">
      <w:pPr>
        <w:pStyle w:val="Bibliography"/>
        <w:rPr>
          <w:rFonts w:cs="Times New Roman"/>
        </w:rPr>
      </w:pPr>
      <w:r w:rsidRPr="003B6E2D">
        <w:rPr>
          <w:rFonts w:cs="Times New Roman"/>
        </w:rPr>
        <w:t xml:space="preserve">Moodley, I., Sheridan, C. M., Kappelmeyer, U., &amp; Akcil, A. (2018). Environmentally sustainable acid mine drainage remediation: Research developments with a focus on waste/by-products. </w:t>
      </w:r>
      <w:r w:rsidRPr="003B6E2D">
        <w:rPr>
          <w:rFonts w:cs="Times New Roman"/>
          <w:i/>
          <w:iCs/>
        </w:rPr>
        <w:t>Minerals Engineering</w:t>
      </w:r>
      <w:r w:rsidRPr="003B6E2D">
        <w:rPr>
          <w:rFonts w:cs="Times New Roman"/>
        </w:rPr>
        <w:t xml:space="preserve">, </w:t>
      </w:r>
      <w:r w:rsidRPr="003B6E2D">
        <w:rPr>
          <w:rFonts w:cs="Times New Roman"/>
          <w:i/>
          <w:iCs/>
        </w:rPr>
        <w:t>126</w:t>
      </w:r>
      <w:r w:rsidRPr="003B6E2D">
        <w:rPr>
          <w:rFonts w:cs="Times New Roman"/>
        </w:rPr>
        <w:t>, 207–220. https://doi.org/10.1016/j.mineng.2017.08.008</w:t>
      </w:r>
    </w:p>
    <w:p w14:paraId="30C7AE96" w14:textId="77777777" w:rsidR="003B6E2D" w:rsidRPr="003B6E2D" w:rsidRDefault="003B6E2D" w:rsidP="003B6E2D">
      <w:pPr>
        <w:pStyle w:val="Bibliography"/>
        <w:rPr>
          <w:rFonts w:cs="Times New Roman"/>
        </w:rPr>
      </w:pPr>
      <w:r w:rsidRPr="003B6E2D">
        <w:rPr>
          <w:rFonts w:cs="Times New Roman"/>
        </w:rPr>
        <w:t xml:space="preserve">Morrissey, C. A., Mineau, P., Devries, J. H., Sanchez-Bayo, F., Liess, M., Cavallaro, M. C., &amp; Liber, K. (2015). Neonicotinoid contamination of global surface waters and associated risk to aquatic invertebrates: A review. </w:t>
      </w:r>
      <w:r w:rsidRPr="003B6E2D">
        <w:rPr>
          <w:rFonts w:cs="Times New Roman"/>
          <w:i/>
          <w:iCs/>
        </w:rPr>
        <w:t>Environment International</w:t>
      </w:r>
      <w:r w:rsidRPr="003B6E2D">
        <w:rPr>
          <w:rFonts w:cs="Times New Roman"/>
        </w:rPr>
        <w:t xml:space="preserve">, </w:t>
      </w:r>
      <w:r w:rsidRPr="003B6E2D">
        <w:rPr>
          <w:rFonts w:cs="Times New Roman"/>
          <w:i/>
          <w:iCs/>
        </w:rPr>
        <w:t>74</w:t>
      </w:r>
      <w:r w:rsidRPr="003B6E2D">
        <w:rPr>
          <w:rFonts w:cs="Times New Roman"/>
        </w:rPr>
        <w:t>, 291–303. https://doi.org/10.1016/j.envint.2014.10.024</w:t>
      </w:r>
    </w:p>
    <w:p w14:paraId="7781780C" w14:textId="77777777" w:rsidR="003B6E2D" w:rsidRPr="003B6E2D" w:rsidRDefault="003B6E2D" w:rsidP="003B6E2D">
      <w:pPr>
        <w:pStyle w:val="Bibliography"/>
        <w:rPr>
          <w:rFonts w:cs="Times New Roman"/>
        </w:rPr>
      </w:pPr>
      <w:r w:rsidRPr="003B6E2D">
        <w:rPr>
          <w:rFonts w:cs="Times New Roman"/>
        </w:rPr>
        <w:t xml:space="preserve">Mukherjee, A., Zimmerman, A. R., &amp; Harris, W. (2011). Surface chemistry variations among a series of laboratory-produced biochars. </w:t>
      </w:r>
      <w:r w:rsidRPr="003B6E2D">
        <w:rPr>
          <w:rFonts w:cs="Times New Roman"/>
          <w:i/>
          <w:iCs/>
        </w:rPr>
        <w:t>Geoderma</w:t>
      </w:r>
      <w:r w:rsidRPr="003B6E2D">
        <w:rPr>
          <w:rFonts w:cs="Times New Roman"/>
        </w:rPr>
        <w:t xml:space="preserve">, </w:t>
      </w:r>
      <w:r w:rsidRPr="003B6E2D">
        <w:rPr>
          <w:rFonts w:cs="Times New Roman"/>
          <w:i/>
          <w:iCs/>
        </w:rPr>
        <w:t>163</w:t>
      </w:r>
      <w:r w:rsidRPr="003B6E2D">
        <w:rPr>
          <w:rFonts w:cs="Times New Roman"/>
        </w:rPr>
        <w:t>(3–4), 247–255. https://doi.org/10.1016/j.geoderma.2011.04.021</w:t>
      </w:r>
    </w:p>
    <w:p w14:paraId="3CE7501B" w14:textId="77777777" w:rsidR="003B6E2D" w:rsidRPr="003B6E2D" w:rsidRDefault="003B6E2D" w:rsidP="003B6E2D">
      <w:pPr>
        <w:pStyle w:val="Bibliography"/>
        <w:rPr>
          <w:rFonts w:cs="Times New Roman"/>
        </w:rPr>
      </w:pPr>
      <w:r w:rsidRPr="003B6E2D">
        <w:rPr>
          <w:rFonts w:cs="Times New Roman"/>
        </w:rPr>
        <w:t xml:space="preserve">Negro, C., Martínez Pérez-Cejuela, H., Simó-Alfonso, E. F., Herrero-Martínez, J. M., Bruno, R., Armentano, D., Ferrando-Soria, J., &amp; Pardo, E. (2021). Highly Efficient Removal of Neonicotinoid Insecticides by Thioether-Based (Multivariate) Metal–Organic </w:t>
      </w:r>
      <w:r w:rsidRPr="003B6E2D">
        <w:rPr>
          <w:rFonts w:cs="Times New Roman"/>
        </w:rPr>
        <w:lastRenderedPageBreak/>
        <w:t xml:space="preserve">Frameworks. </w:t>
      </w:r>
      <w:r w:rsidRPr="003B6E2D">
        <w:rPr>
          <w:rFonts w:cs="Times New Roman"/>
          <w:i/>
          <w:iCs/>
        </w:rPr>
        <w:t>ACS Applied Materials &amp; Interfaces</w:t>
      </w:r>
      <w:r w:rsidRPr="003B6E2D">
        <w:rPr>
          <w:rFonts w:cs="Times New Roman"/>
        </w:rPr>
        <w:t xml:space="preserve">, </w:t>
      </w:r>
      <w:r w:rsidRPr="003B6E2D">
        <w:rPr>
          <w:rFonts w:cs="Times New Roman"/>
          <w:i/>
          <w:iCs/>
        </w:rPr>
        <w:t>13</w:t>
      </w:r>
      <w:r w:rsidRPr="003B6E2D">
        <w:rPr>
          <w:rFonts w:cs="Times New Roman"/>
        </w:rPr>
        <w:t>(24), 28424–28432. https://doi.org/10.1021/acsami.1c08833</w:t>
      </w:r>
    </w:p>
    <w:p w14:paraId="10F8FD71" w14:textId="77777777" w:rsidR="003B6E2D" w:rsidRPr="003B6E2D" w:rsidRDefault="003B6E2D" w:rsidP="003B6E2D">
      <w:pPr>
        <w:pStyle w:val="Bibliography"/>
        <w:rPr>
          <w:rFonts w:cs="Times New Roman"/>
        </w:rPr>
      </w:pPr>
      <w:r w:rsidRPr="003B6E2D">
        <w:rPr>
          <w:rFonts w:cs="Times New Roman"/>
        </w:rPr>
        <w:t xml:space="preserve">Nollet, H., Roels, M., Lutgen, P., Van der Meeren, P., &amp; Verstraete, W. (2003). Removal of PCBs from wastewater using fly ash. </w:t>
      </w:r>
      <w:r w:rsidRPr="003B6E2D">
        <w:rPr>
          <w:rFonts w:cs="Times New Roman"/>
          <w:i/>
          <w:iCs/>
        </w:rPr>
        <w:t>Chemosphere</w:t>
      </w:r>
      <w:r w:rsidRPr="003B6E2D">
        <w:rPr>
          <w:rFonts w:cs="Times New Roman"/>
        </w:rPr>
        <w:t xml:space="preserve">, </w:t>
      </w:r>
      <w:r w:rsidRPr="003B6E2D">
        <w:rPr>
          <w:rFonts w:cs="Times New Roman"/>
          <w:i/>
          <w:iCs/>
        </w:rPr>
        <w:t>53</w:t>
      </w:r>
      <w:r w:rsidRPr="003B6E2D">
        <w:rPr>
          <w:rFonts w:cs="Times New Roman"/>
        </w:rPr>
        <w:t>(6), 655–665. https://doi.org/10.1016/S0045-6535(03)00517-4</w:t>
      </w:r>
    </w:p>
    <w:p w14:paraId="3B1FA587" w14:textId="77777777" w:rsidR="003B6E2D" w:rsidRPr="003B6E2D" w:rsidRDefault="003B6E2D" w:rsidP="003B6E2D">
      <w:pPr>
        <w:pStyle w:val="Bibliography"/>
        <w:rPr>
          <w:rFonts w:cs="Times New Roman"/>
        </w:rPr>
      </w:pPr>
      <w:r w:rsidRPr="003B6E2D">
        <w:rPr>
          <w:rFonts w:cs="Times New Roman"/>
        </w:rPr>
        <w:t xml:space="preserve">Norton, G. A. (2004). </w:t>
      </w:r>
      <w:r w:rsidRPr="003B6E2D">
        <w:rPr>
          <w:rFonts w:cs="Times New Roman"/>
          <w:i/>
          <w:iCs/>
        </w:rPr>
        <w:t>Cleaning of Equipment for Water Sampling</w:t>
      </w:r>
      <w:r w:rsidRPr="003B6E2D">
        <w:rPr>
          <w:rFonts w:cs="Times New Roman"/>
        </w:rPr>
        <w:t xml:space="preserve"> (Manual Book 9, Chapter A3; National Field Manual for the Collection of Water-Quality Data, p. 83). U.S. Geologic Survey.</w:t>
      </w:r>
    </w:p>
    <w:p w14:paraId="481DFED7" w14:textId="77777777" w:rsidR="003B6E2D" w:rsidRPr="003B6E2D" w:rsidRDefault="003B6E2D" w:rsidP="003B6E2D">
      <w:pPr>
        <w:pStyle w:val="Bibliography"/>
        <w:rPr>
          <w:rFonts w:cs="Times New Roman"/>
        </w:rPr>
      </w:pPr>
      <w:r w:rsidRPr="003B6E2D">
        <w:rPr>
          <w:rFonts w:cs="Times New Roman"/>
        </w:rPr>
        <w:t xml:space="preserve">Okochi, N. C., &amp; McMartin, D. W. (2012). A Laboratory Study of the Treatability of Synthetic Stormwater Under Varying Conditions Using Electric Arc Furnace Steel Slag. </w:t>
      </w:r>
      <w:r w:rsidRPr="003B6E2D">
        <w:rPr>
          <w:rFonts w:cs="Times New Roman"/>
          <w:i/>
          <w:iCs/>
        </w:rPr>
        <w:t>Water</w:t>
      </w:r>
      <w:r w:rsidRPr="003B6E2D">
        <w:rPr>
          <w:rFonts w:cs="Times New Roman"/>
        </w:rPr>
        <w:t xml:space="preserve">, </w:t>
      </w:r>
      <w:r w:rsidRPr="003B6E2D">
        <w:rPr>
          <w:rFonts w:cs="Times New Roman"/>
          <w:i/>
          <w:iCs/>
        </w:rPr>
        <w:t>4</w:t>
      </w:r>
      <w:r w:rsidRPr="003B6E2D">
        <w:rPr>
          <w:rFonts w:cs="Times New Roman"/>
        </w:rPr>
        <w:t>(2), 321–344. https://doi.org/10.3390/w4020321</w:t>
      </w:r>
    </w:p>
    <w:p w14:paraId="41C64CEE" w14:textId="77777777" w:rsidR="003B6E2D" w:rsidRPr="003B6E2D" w:rsidRDefault="003B6E2D" w:rsidP="003B6E2D">
      <w:pPr>
        <w:pStyle w:val="Bibliography"/>
        <w:rPr>
          <w:rFonts w:cs="Times New Roman"/>
        </w:rPr>
      </w:pPr>
      <w:r w:rsidRPr="003B6E2D">
        <w:rPr>
          <w:rFonts w:cs="Times New Roman"/>
        </w:rPr>
        <w:t xml:space="preserve">OSHA. (2004). </w:t>
      </w:r>
      <w:r w:rsidRPr="003B6E2D">
        <w:rPr>
          <w:rFonts w:cs="Times New Roman"/>
          <w:i/>
          <w:iCs/>
        </w:rPr>
        <w:t>Toxic Metals—Overview | Occupational Safety and Health Administration</w:t>
      </w:r>
      <w:r w:rsidRPr="003B6E2D">
        <w:rPr>
          <w:rFonts w:cs="Times New Roman"/>
        </w:rPr>
        <w:t>. https://www.osha.gov/toxic-metals</w:t>
      </w:r>
    </w:p>
    <w:p w14:paraId="6F822398" w14:textId="77777777" w:rsidR="003B6E2D" w:rsidRPr="003B6E2D" w:rsidRDefault="003B6E2D" w:rsidP="003B6E2D">
      <w:pPr>
        <w:pStyle w:val="Bibliography"/>
        <w:rPr>
          <w:rFonts w:cs="Times New Roman"/>
        </w:rPr>
      </w:pPr>
      <w:r w:rsidRPr="003B6E2D">
        <w:rPr>
          <w:rFonts w:cs="Times New Roman"/>
        </w:rPr>
        <w:t xml:space="preserve">Pan, S.-C., Lin, C.-C., &amp; Tseng, D.-H. (2003). Reusing sewage sludge ash as adsorbent for copper removal from wastewater. </w:t>
      </w:r>
      <w:r w:rsidRPr="003B6E2D">
        <w:rPr>
          <w:rFonts w:cs="Times New Roman"/>
          <w:i/>
          <w:iCs/>
        </w:rPr>
        <w:t>Resources, Conservation and Recycling</w:t>
      </w:r>
      <w:r w:rsidRPr="003B6E2D">
        <w:rPr>
          <w:rFonts w:cs="Times New Roman"/>
        </w:rPr>
        <w:t xml:space="preserve">, </w:t>
      </w:r>
      <w:r w:rsidRPr="003B6E2D">
        <w:rPr>
          <w:rFonts w:cs="Times New Roman"/>
          <w:i/>
          <w:iCs/>
        </w:rPr>
        <w:t>39</w:t>
      </w:r>
      <w:r w:rsidRPr="003B6E2D">
        <w:rPr>
          <w:rFonts w:cs="Times New Roman"/>
        </w:rPr>
        <w:t>(1), 79–90. https://doi.org/10.1016/S0921-3449(02)00122-2</w:t>
      </w:r>
    </w:p>
    <w:p w14:paraId="6E9C75F4" w14:textId="77777777" w:rsidR="003B6E2D" w:rsidRPr="003B6E2D" w:rsidRDefault="003B6E2D" w:rsidP="003B6E2D">
      <w:pPr>
        <w:pStyle w:val="Bibliography"/>
        <w:rPr>
          <w:rFonts w:cs="Times New Roman"/>
        </w:rPr>
      </w:pPr>
      <w:r w:rsidRPr="003B6E2D">
        <w:rPr>
          <w:rFonts w:cs="Times New Roman"/>
        </w:rPr>
        <w:t xml:space="preserve">Pan, S.-Y., Adhikari, R., Chen, Y.-H., Li, P., &amp; Chiang, P.-C. (2016). Integrated and innovative steel slag utilization for iron reclamation, green material production and CO2 fixation via accelerated carbonation. </w:t>
      </w:r>
      <w:r w:rsidRPr="003B6E2D">
        <w:rPr>
          <w:rFonts w:cs="Times New Roman"/>
          <w:i/>
          <w:iCs/>
        </w:rPr>
        <w:t>Journal of Cleaner Production</w:t>
      </w:r>
      <w:r w:rsidRPr="003B6E2D">
        <w:rPr>
          <w:rFonts w:cs="Times New Roman"/>
        </w:rPr>
        <w:t xml:space="preserve">, </w:t>
      </w:r>
      <w:r w:rsidRPr="003B6E2D">
        <w:rPr>
          <w:rFonts w:cs="Times New Roman"/>
          <w:i/>
          <w:iCs/>
        </w:rPr>
        <w:t>137</w:t>
      </w:r>
      <w:r w:rsidRPr="003B6E2D">
        <w:rPr>
          <w:rFonts w:cs="Times New Roman"/>
        </w:rPr>
        <w:t>, 617–631. https://doi.org/10.1016/j.jclepro.2016.07.112</w:t>
      </w:r>
    </w:p>
    <w:p w14:paraId="0365F5AD" w14:textId="77777777" w:rsidR="003B6E2D" w:rsidRPr="003B6E2D" w:rsidRDefault="003B6E2D" w:rsidP="003B6E2D">
      <w:pPr>
        <w:pStyle w:val="Bibliography"/>
        <w:rPr>
          <w:rFonts w:cs="Times New Roman"/>
        </w:rPr>
      </w:pPr>
      <w:r w:rsidRPr="003B6E2D">
        <w:rPr>
          <w:rFonts w:cs="Times New Roman"/>
        </w:rPr>
        <w:t xml:space="preserve">Panday, K. K., Prasad, G., &amp; Singh, V. N. (1985). Copper(II) removal from aqueous solutions by fly ash. </w:t>
      </w:r>
      <w:r w:rsidRPr="003B6E2D">
        <w:rPr>
          <w:rFonts w:cs="Times New Roman"/>
          <w:i/>
          <w:iCs/>
        </w:rPr>
        <w:t>Water Research</w:t>
      </w:r>
      <w:r w:rsidRPr="003B6E2D">
        <w:rPr>
          <w:rFonts w:cs="Times New Roman"/>
        </w:rPr>
        <w:t xml:space="preserve">, </w:t>
      </w:r>
      <w:r w:rsidRPr="003B6E2D">
        <w:rPr>
          <w:rFonts w:cs="Times New Roman"/>
          <w:i/>
          <w:iCs/>
        </w:rPr>
        <w:t>19</w:t>
      </w:r>
      <w:r w:rsidRPr="003B6E2D">
        <w:rPr>
          <w:rFonts w:cs="Times New Roman"/>
        </w:rPr>
        <w:t>(7), 869–873. https://doi.org/10.1016/0043-1354(85)90145-9</w:t>
      </w:r>
    </w:p>
    <w:p w14:paraId="798E8DD7" w14:textId="77777777" w:rsidR="003B6E2D" w:rsidRPr="003B6E2D" w:rsidRDefault="003B6E2D" w:rsidP="003B6E2D">
      <w:pPr>
        <w:pStyle w:val="Bibliography"/>
        <w:rPr>
          <w:rFonts w:cs="Times New Roman"/>
        </w:rPr>
      </w:pPr>
      <w:r w:rsidRPr="003B6E2D">
        <w:rPr>
          <w:rFonts w:cs="Times New Roman"/>
        </w:rPr>
        <w:lastRenderedPageBreak/>
        <w:t xml:space="preserve">Pasetto, M., Baliello, A., Giacomello, G., &amp; Pasquini, E. (2017). Sustainable solutions for road pavements: A multi-scale characterization of warm mix asphalts containing steel slags. </w:t>
      </w:r>
      <w:r w:rsidRPr="003B6E2D">
        <w:rPr>
          <w:rFonts w:cs="Times New Roman"/>
          <w:i/>
          <w:iCs/>
        </w:rPr>
        <w:t>Journal of Cleaner Production</w:t>
      </w:r>
      <w:r w:rsidRPr="003B6E2D">
        <w:rPr>
          <w:rFonts w:cs="Times New Roman"/>
        </w:rPr>
        <w:t xml:space="preserve">, </w:t>
      </w:r>
      <w:r w:rsidRPr="003B6E2D">
        <w:rPr>
          <w:rFonts w:cs="Times New Roman"/>
          <w:i/>
          <w:iCs/>
        </w:rPr>
        <w:t>166</w:t>
      </w:r>
      <w:r w:rsidRPr="003B6E2D">
        <w:rPr>
          <w:rFonts w:cs="Times New Roman"/>
        </w:rPr>
        <w:t>, 835–843. https://doi.org/10.1016/j.jclepro.2017.07.212</w:t>
      </w:r>
    </w:p>
    <w:p w14:paraId="6CE46072" w14:textId="77777777" w:rsidR="003B6E2D" w:rsidRPr="003B6E2D" w:rsidRDefault="003B6E2D" w:rsidP="003B6E2D">
      <w:pPr>
        <w:pStyle w:val="Bibliography"/>
        <w:rPr>
          <w:rFonts w:cs="Times New Roman"/>
        </w:rPr>
      </w:pPr>
      <w:r w:rsidRPr="003B6E2D">
        <w:rPr>
          <w:rFonts w:cs="Times New Roman"/>
        </w:rPr>
        <w:t xml:space="preserve">Paus, K. H., Morgan, J., Gulliver, J. S., &amp; Hozalski, R. M. (2014). Effects of Bioretention Media Compost Volume Fraction on Toxic Metals Removal, Hydraulic Conductivity, and Phosphorous Release. </w:t>
      </w:r>
      <w:r w:rsidRPr="003B6E2D">
        <w:rPr>
          <w:rFonts w:cs="Times New Roman"/>
          <w:i/>
          <w:iCs/>
        </w:rPr>
        <w:t>Journal of Environmental Engineering</w:t>
      </w:r>
      <w:r w:rsidRPr="003B6E2D">
        <w:rPr>
          <w:rFonts w:cs="Times New Roman"/>
        </w:rPr>
        <w:t xml:space="preserve">, </w:t>
      </w:r>
      <w:r w:rsidRPr="003B6E2D">
        <w:rPr>
          <w:rFonts w:cs="Times New Roman"/>
          <w:i/>
          <w:iCs/>
        </w:rPr>
        <w:t>140</w:t>
      </w:r>
      <w:r w:rsidRPr="003B6E2D">
        <w:rPr>
          <w:rFonts w:cs="Times New Roman"/>
        </w:rPr>
        <w:t>(10), 04014033. https://doi.org/10.1061/(ASCE)EE.1943-7870.0000846</w:t>
      </w:r>
    </w:p>
    <w:p w14:paraId="1054F29F" w14:textId="77777777" w:rsidR="003B6E2D" w:rsidRPr="003B6E2D" w:rsidRDefault="003B6E2D" w:rsidP="003B6E2D">
      <w:pPr>
        <w:pStyle w:val="Bibliography"/>
        <w:rPr>
          <w:rFonts w:cs="Times New Roman"/>
        </w:rPr>
      </w:pPr>
      <w:r w:rsidRPr="003B6E2D">
        <w:rPr>
          <w:rFonts w:cs="Times New Roman"/>
          <w:i/>
          <w:iCs/>
        </w:rPr>
        <w:t>Pesticide Fact Sheet: Acetamiprid</w:t>
      </w:r>
      <w:r w:rsidRPr="003B6E2D">
        <w:rPr>
          <w:rFonts w:cs="Times New Roman"/>
        </w:rPr>
        <w:t>. (2002). US EPA.</w:t>
      </w:r>
    </w:p>
    <w:p w14:paraId="25EC8552" w14:textId="77777777" w:rsidR="003B6E2D" w:rsidRPr="003B6E2D" w:rsidRDefault="003B6E2D" w:rsidP="003B6E2D">
      <w:pPr>
        <w:pStyle w:val="Bibliography"/>
        <w:rPr>
          <w:rFonts w:cs="Times New Roman"/>
        </w:rPr>
      </w:pPr>
      <w:r w:rsidRPr="003B6E2D">
        <w:rPr>
          <w:rFonts w:cs="Times New Roman"/>
          <w:i/>
          <w:iCs/>
        </w:rPr>
        <w:t>Pesticide Fact Sheet: Dinotefuran</w:t>
      </w:r>
      <w:r w:rsidRPr="003B6E2D">
        <w:rPr>
          <w:rFonts w:cs="Times New Roman"/>
        </w:rPr>
        <w:t>. (2004). US EPA.</w:t>
      </w:r>
    </w:p>
    <w:p w14:paraId="7DC3602B" w14:textId="77777777" w:rsidR="003B6E2D" w:rsidRPr="003B6E2D" w:rsidRDefault="003B6E2D" w:rsidP="003B6E2D">
      <w:pPr>
        <w:pStyle w:val="Bibliography"/>
        <w:rPr>
          <w:rFonts w:cs="Times New Roman"/>
        </w:rPr>
      </w:pPr>
      <w:r w:rsidRPr="003B6E2D">
        <w:rPr>
          <w:rFonts w:cs="Times New Roman"/>
        </w:rPr>
        <w:t xml:space="preserve">Piatak, Ii, Hoppe, Green, &amp; Buszka. (2019). Geochemical Characterization of Iron and Steel Slag and Its Potential to Remove Phosphate and Neutralize Acid. </w:t>
      </w:r>
      <w:r w:rsidRPr="003B6E2D">
        <w:rPr>
          <w:rFonts w:cs="Times New Roman"/>
          <w:i/>
          <w:iCs/>
        </w:rPr>
        <w:t>Minerals</w:t>
      </w:r>
      <w:r w:rsidRPr="003B6E2D">
        <w:rPr>
          <w:rFonts w:cs="Times New Roman"/>
        </w:rPr>
        <w:t xml:space="preserve">, </w:t>
      </w:r>
      <w:r w:rsidRPr="003B6E2D">
        <w:rPr>
          <w:rFonts w:cs="Times New Roman"/>
          <w:i/>
          <w:iCs/>
        </w:rPr>
        <w:t>9</w:t>
      </w:r>
      <w:r w:rsidRPr="003B6E2D">
        <w:rPr>
          <w:rFonts w:cs="Times New Roman"/>
        </w:rPr>
        <w:t>(8), 468. https://doi.org/10.3390/min9080468</w:t>
      </w:r>
    </w:p>
    <w:p w14:paraId="4B4D5977" w14:textId="77777777" w:rsidR="003B6E2D" w:rsidRPr="003B6E2D" w:rsidRDefault="003B6E2D" w:rsidP="003B6E2D">
      <w:pPr>
        <w:pStyle w:val="Bibliography"/>
        <w:rPr>
          <w:rFonts w:cs="Times New Roman"/>
        </w:rPr>
      </w:pPr>
      <w:r w:rsidRPr="003B6E2D">
        <w:rPr>
          <w:rFonts w:cs="Times New Roman"/>
        </w:rPr>
        <w:t xml:space="preserve">Posthuma-Doodeman, C. J. A. M. (2008). </w:t>
      </w:r>
      <w:r w:rsidRPr="003B6E2D">
        <w:rPr>
          <w:rFonts w:cs="Times New Roman"/>
          <w:i/>
          <w:iCs/>
        </w:rPr>
        <w:t>Environmental risk limits for imidacloprid</w:t>
      </w:r>
      <w:r w:rsidRPr="003B6E2D">
        <w:rPr>
          <w:rFonts w:cs="Times New Roman"/>
        </w:rPr>
        <w:t xml:space="preserve"> (No. 601716018/2008). National Institute for Public Health and the Environment (RIVM).</w:t>
      </w:r>
    </w:p>
    <w:p w14:paraId="716E1035" w14:textId="77777777" w:rsidR="003B6E2D" w:rsidRPr="003B6E2D" w:rsidRDefault="003B6E2D" w:rsidP="003B6E2D">
      <w:pPr>
        <w:pStyle w:val="Bibliography"/>
        <w:rPr>
          <w:rFonts w:cs="Times New Roman"/>
        </w:rPr>
      </w:pPr>
      <w:r w:rsidRPr="003B6E2D">
        <w:rPr>
          <w:rFonts w:cs="Times New Roman"/>
          <w:i/>
          <w:iCs/>
        </w:rPr>
        <w:t>Procedures Used by OSU Soil, Water, and Forage Analytical Laboratory—Oklahoma State University</w:t>
      </w:r>
      <w:r w:rsidRPr="003B6E2D">
        <w:rPr>
          <w:rFonts w:cs="Times New Roman"/>
        </w:rPr>
        <w:t>. (2018, May 1). https://extension.okstate.edu/fact-sheets/procedures-used-by-osu-soil-water-and-forage-analytical-laboratory.html</w:t>
      </w:r>
    </w:p>
    <w:p w14:paraId="2670A343" w14:textId="77777777" w:rsidR="003B6E2D" w:rsidRPr="003B6E2D" w:rsidRDefault="003B6E2D" w:rsidP="003B6E2D">
      <w:pPr>
        <w:pStyle w:val="Bibliography"/>
        <w:rPr>
          <w:rFonts w:cs="Times New Roman"/>
        </w:rPr>
      </w:pPr>
      <w:r w:rsidRPr="003B6E2D">
        <w:rPr>
          <w:rFonts w:cs="Times New Roman"/>
        </w:rPr>
        <w:t xml:space="preserve">Qin, Z., Shober, A. L., Scheckel, K. G., Penn, C. J., &amp; Turner, K. C. (2018). Mechanisms of Phosphorus Removal by Phosphorus Sorbing Materials. </w:t>
      </w:r>
      <w:r w:rsidRPr="003B6E2D">
        <w:rPr>
          <w:rFonts w:cs="Times New Roman"/>
          <w:i/>
          <w:iCs/>
        </w:rPr>
        <w:t>Journal of Environmental Quality</w:t>
      </w:r>
      <w:r w:rsidRPr="003B6E2D">
        <w:rPr>
          <w:rFonts w:cs="Times New Roman"/>
        </w:rPr>
        <w:t xml:space="preserve">, </w:t>
      </w:r>
      <w:r w:rsidRPr="003B6E2D">
        <w:rPr>
          <w:rFonts w:cs="Times New Roman"/>
          <w:i/>
          <w:iCs/>
        </w:rPr>
        <w:t>47</w:t>
      </w:r>
      <w:r w:rsidRPr="003B6E2D">
        <w:rPr>
          <w:rFonts w:cs="Times New Roman"/>
        </w:rPr>
        <w:t>(5), 1232–1241. https://doi.org/10.2134/jeq2018.02.0064</w:t>
      </w:r>
    </w:p>
    <w:p w14:paraId="4A340B4B" w14:textId="77777777" w:rsidR="003B6E2D" w:rsidRPr="003B6E2D" w:rsidRDefault="003B6E2D" w:rsidP="003B6E2D">
      <w:pPr>
        <w:pStyle w:val="Bibliography"/>
        <w:rPr>
          <w:rFonts w:cs="Times New Roman"/>
        </w:rPr>
      </w:pPr>
      <w:r w:rsidRPr="003B6E2D">
        <w:rPr>
          <w:rFonts w:cs="Times New Roman"/>
        </w:rPr>
        <w:t xml:space="preserve">R Core Team. (2022). </w:t>
      </w:r>
      <w:r w:rsidRPr="003B6E2D">
        <w:rPr>
          <w:rFonts w:cs="Times New Roman"/>
          <w:i/>
          <w:iCs/>
        </w:rPr>
        <w:t>R: A language and environment for statistical computing.</w:t>
      </w:r>
      <w:r w:rsidRPr="003B6E2D">
        <w:rPr>
          <w:rFonts w:cs="Times New Roman"/>
        </w:rPr>
        <w:t xml:space="preserve"> (4.2.1) [R]. R Foundation for Statistical Computing. https://R-project.org/</w:t>
      </w:r>
    </w:p>
    <w:p w14:paraId="49A220CD" w14:textId="77777777" w:rsidR="003B6E2D" w:rsidRPr="003B6E2D" w:rsidRDefault="003B6E2D" w:rsidP="003B6E2D">
      <w:pPr>
        <w:pStyle w:val="Bibliography"/>
        <w:rPr>
          <w:rFonts w:cs="Times New Roman"/>
        </w:rPr>
      </w:pPr>
      <w:r w:rsidRPr="003B6E2D">
        <w:rPr>
          <w:rFonts w:cs="Times New Roman"/>
        </w:rPr>
        <w:lastRenderedPageBreak/>
        <w:t xml:space="preserve">Rao, M., Parwate, A. V., Kadu, P. A., &amp; Bhole, A. G. (2003). Performance of low-cost adsorbents for the removal of copper and lead. </w:t>
      </w:r>
      <w:r w:rsidRPr="003B6E2D">
        <w:rPr>
          <w:rFonts w:cs="Times New Roman"/>
          <w:i/>
          <w:iCs/>
        </w:rPr>
        <w:t>Journal of Water Supply: Research and Technology-Aqua</w:t>
      </w:r>
      <w:r w:rsidRPr="003B6E2D">
        <w:rPr>
          <w:rFonts w:cs="Times New Roman"/>
        </w:rPr>
        <w:t xml:space="preserve">, </w:t>
      </w:r>
      <w:r w:rsidRPr="003B6E2D">
        <w:rPr>
          <w:rFonts w:cs="Times New Roman"/>
          <w:i/>
          <w:iCs/>
        </w:rPr>
        <w:t>52</w:t>
      </w:r>
      <w:r w:rsidRPr="003B6E2D">
        <w:rPr>
          <w:rFonts w:cs="Times New Roman"/>
        </w:rPr>
        <w:t>(1), 49–58. https://doi.org/10.2166/aqua.2003.0005</w:t>
      </w:r>
    </w:p>
    <w:p w14:paraId="6BD1292B" w14:textId="77777777" w:rsidR="003B6E2D" w:rsidRPr="003B6E2D" w:rsidRDefault="003B6E2D" w:rsidP="003B6E2D">
      <w:pPr>
        <w:pStyle w:val="Bibliography"/>
        <w:rPr>
          <w:rFonts w:cs="Times New Roman"/>
        </w:rPr>
      </w:pPr>
      <w:r w:rsidRPr="003B6E2D">
        <w:rPr>
          <w:rFonts w:cs="Times New Roman"/>
        </w:rPr>
        <w:t xml:space="preserve">Rebek, Dr. E. (2021, September 13). </w:t>
      </w:r>
      <w:r w:rsidRPr="003B6E2D">
        <w:rPr>
          <w:rFonts w:cs="Times New Roman"/>
          <w:i/>
          <w:iCs/>
        </w:rPr>
        <w:t>Personal Communications</w:t>
      </w:r>
      <w:r w:rsidRPr="003B6E2D">
        <w:rPr>
          <w:rFonts w:cs="Times New Roman"/>
        </w:rPr>
        <w:t xml:space="preserve"> [Phone Call].</w:t>
      </w:r>
    </w:p>
    <w:p w14:paraId="52254883" w14:textId="77777777" w:rsidR="003B6E2D" w:rsidRPr="003B6E2D" w:rsidRDefault="003B6E2D" w:rsidP="003B6E2D">
      <w:pPr>
        <w:pStyle w:val="Bibliography"/>
        <w:rPr>
          <w:rFonts w:cs="Times New Roman"/>
        </w:rPr>
      </w:pPr>
      <w:r w:rsidRPr="003B6E2D">
        <w:rPr>
          <w:rFonts w:cs="Times New Roman"/>
        </w:rPr>
        <w:t xml:space="preserve">Reddy, K. R., Xie, T., &amp; Dastgheibi, S. (2014a). Removal of heavy metals from urban stormwater runoff using different filter materials. </w:t>
      </w:r>
      <w:r w:rsidRPr="003B6E2D">
        <w:rPr>
          <w:rFonts w:cs="Times New Roman"/>
          <w:i/>
          <w:iCs/>
        </w:rPr>
        <w:t>Journal of Environmental Chemical Engineering</w:t>
      </w:r>
      <w:r w:rsidRPr="003B6E2D">
        <w:rPr>
          <w:rFonts w:cs="Times New Roman"/>
        </w:rPr>
        <w:t xml:space="preserve">, </w:t>
      </w:r>
      <w:r w:rsidRPr="003B6E2D">
        <w:rPr>
          <w:rFonts w:cs="Times New Roman"/>
          <w:i/>
          <w:iCs/>
        </w:rPr>
        <w:t>2</w:t>
      </w:r>
      <w:r w:rsidRPr="003B6E2D">
        <w:rPr>
          <w:rFonts w:cs="Times New Roman"/>
        </w:rPr>
        <w:t>(1), 282–292. https://doi.org/10.1016/j.jece.2013.12.020</w:t>
      </w:r>
    </w:p>
    <w:p w14:paraId="7B5BA706" w14:textId="77777777" w:rsidR="003B6E2D" w:rsidRPr="003B6E2D" w:rsidRDefault="003B6E2D" w:rsidP="003B6E2D">
      <w:pPr>
        <w:pStyle w:val="Bibliography"/>
        <w:rPr>
          <w:rFonts w:cs="Times New Roman"/>
        </w:rPr>
      </w:pPr>
      <w:r w:rsidRPr="003B6E2D">
        <w:rPr>
          <w:rFonts w:cs="Times New Roman"/>
        </w:rPr>
        <w:t xml:space="preserve">Reddy, K. R., Xie, T., &amp; Dastgheibi, S. (2014b). Evaluation of Biochar as a Potential Filter Media for the Removal of Mixed Contaminants from Urban Storm Water Runoff. </w:t>
      </w:r>
      <w:r w:rsidRPr="003B6E2D">
        <w:rPr>
          <w:rFonts w:cs="Times New Roman"/>
          <w:i/>
          <w:iCs/>
        </w:rPr>
        <w:t>Journal of Environmental Engineering</w:t>
      </w:r>
      <w:r w:rsidRPr="003B6E2D">
        <w:rPr>
          <w:rFonts w:cs="Times New Roman"/>
        </w:rPr>
        <w:t xml:space="preserve">, </w:t>
      </w:r>
      <w:r w:rsidRPr="003B6E2D">
        <w:rPr>
          <w:rFonts w:cs="Times New Roman"/>
          <w:i/>
          <w:iCs/>
        </w:rPr>
        <w:t>140</w:t>
      </w:r>
      <w:r w:rsidRPr="003B6E2D">
        <w:rPr>
          <w:rFonts w:cs="Times New Roman"/>
        </w:rPr>
        <w:t>(12), 04014043. https://doi.org/10.1061/(ASCE)EE.1943-7870.0000872</w:t>
      </w:r>
    </w:p>
    <w:p w14:paraId="06237E6E" w14:textId="77777777" w:rsidR="003B6E2D" w:rsidRPr="003B6E2D" w:rsidRDefault="003B6E2D" w:rsidP="003B6E2D">
      <w:pPr>
        <w:pStyle w:val="Bibliography"/>
        <w:rPr>
          <w:rFonts w:cs="Times New Roman"/>
        </w:rPr>
      </w:pPr>
      <w:r w:rsidRPr="003B6E2D">
        <w:rPr>
          <w:rFonts w:cs="Times New Roman"/>
          <w:i/>
          <w:iCs/>
        </w:rPr>
        <w:t>Results for the Spring 2022 Inter-laboratory Comparison Study</w:t>
      </w:r>
      <w:r w:rsidRPr="003B6E2D">
        <w:rPr>
          <w:rFonts w:cs="Times New Roman"/>
        </w:rPr>
        <w:t>. (n.d.). Standard Reference Sample Project. Retrieved December 8, 2022, from https://bqs.usgs.gov/srs_study/reports/round_details.php?fy=2022&amp;season=1</w:t>
      </w:r>
    </w:p>
    <w:p w14:paraId="1AB5EF25" w14:textId="77777777" w:rsidR="003B6E2D" w:rsidRPr="003B6E2D" w:rsidRDefault="003B6E2D" w:rsidP="003B6E2D">
      <w:pPr>
        <w:pStyle w:val="Bibliography"/>
        <w:rPr>
          <w:rFonts w:cs="Times New Roman"/>
        </w:rPr>
      </w:pPr>
      <w:r w:rsidRPr="003B6E2D">
        <w:rPr>
          <w:rFonts w:cs="Times New Roman"/>
        </w:rPr>
        <w:t xml:space="preserve">Ricci, M., Vos, E. de, &amp; Oostra, A. (2010). </w:t>
      </w:r>
      <w:r w:rsidRPr="003B6E2D">
        <w:rPr>
          <w:rFonts w:cs="Times New Roman"/>
          <w:i/>
          <w:iCs/>
        </w:rPr>
        <w:t>Certification of the mass concentrations of ammonium, chloride, fluoride, magnesium, nitrate, ortho-phosphate, sulfate, and of pH and conductivity in simulated rainwater: Certified reference material ERM-CA408</w:t>
      </w:r>
      <w:r w:rsidRPr="003B6E2D">
        <w:rPr>
          <w:rFonts w:cs="Times New Roman"/>
        </w:rPr>
        <w:t>. Publications Office. https://data.europa.eu/doi/10.2787/28626</w:t>
      </w:r>
    </w:p>
    <w:p w14:paraId="50A42639" w14:textId="77777777" w:rsidR="003B6E2D" w:rsidRPr="003B6E2D" w:rsidRDefault="003B6E2D" w:rsidP="003B6E2D">
      <w:pPr>
        <w:pStyle w:val="Bibliography"/>
        <w:rPr>
          <w:rFonts w:cs="Times New Roman"/>
        </w:rPr>
      </w:pPr>
      <w:r w:rsidRPr="003B6E2D">
        <w:rPr>
          <w:rFonts w:cs="Times New Roman"/>
        </w:rPr>
        <w:t xml:space="preserve">Ricou, P., Lecuyer, I., &amp; Le Cloirec, P. (1999). </w:t>
      </w:r>
      <w:r w:rsidRPr="003B6E2D">
        <w:rPr>
          <w:rFonts w:cs="Times New Roman"/>
          <w:i/>
          <w:iCs/>
        </w:rPr>
        <w:t>Removal of Cu2+, Zn2+ and Pb2+ by Adsorption Onto Fly Ash and Fly Ash/Lime Mixing</w:t>
      </w:r>
      <w:r w:rsidRPr="003B6E2D">
        <w:rPr>
          <w:rFonts w:cs="Times New Roman"/>
        </w:rPr>
        <w:t xml:space="preserve">. </w:t>
      </w:r>
      <w:r w:rsidRPr="003B6E2D">
        <w:rPr>
          <w:rFonts w:cs="Times New Roman"/>
          <w:i/>
          <w:iCs/>
        </w:rPr>
        <w:t>39</w:t>
      </w:r>
      <w:r w:rsidRPr="003B6E2D">
        <w:rPr>
          <w:rFonts w:cs="Times New Roman"/>
        </w:rPr>
        <w:t>(10–11), 239–247.</w:t>
      </w:r>
    </w:p>
    <w:p w14:paraId="445B32FF" w14:textId="77777777" w:rsidR="003B6E2D" w:rsidRPr="003B6E2D" w:rsidRDefault="003B6E2D" w:rsidP="003B6E2D">
      <w:pPr>
        <w:pStyle w:val="Bibliography"/>
        <w:rPr>
          <w:rFonts w:cs="Times New Roman"/>
        </w:rPr>
      </w:pPr>
      <w:r w:rsidRPr="003B6E2D">
        <w:rPr>
          <w:rFonts w:cs="Times New Roman"/>
        </w:rPr>
        <w:t xml:space="preserve">Rio, S., Delebarre, A., Héquet, V., Cloirec, P. L., &amp; Blondin, J. (2002). Metallic ion removal from aqueous solutions by fly ashes: Multicomponent studies: Metallic ion removal from </w:t>
      </w:r>
      <w:r w:rsidRPr="003B6E2D">
        <w:rPr>
          <w:rFonts w:cs="Times New Roman"/>
        </w:rPr>
        <w:lastRenderedPageBreak/>
        <w:t xml:space="preserve">aqueous solutions by fly ashes. </w:t>
      </w:r>
      <w:r w:rsidRPr="003B6E2D">
        <w:rPr>
          <w:rFonts w:cs="Times New Roman"/>
          <w:i/>
          <w:iCs/>
        </w:rPr>
        <w:t>Journal of Chemical Technology &amp; Biotechnology</w:t>
      </w:r>
      <w:r w:rsidRPr="003B6E2D">
        <w:rPr>
          <w:rFonts w:cs="Times New Roman"/>
        </w:rPr>
        <w:t xml:space="preserve">, </w:t>
      </w:r>
      <w:r w:rsidRPr="003B6E2D">
        <w:rPr>
          <w:rFonts w:cs="Times New Roman"/>
          <w:i/>
          <w:iCs/>
        </w:rPr>
        <w:t>77</w:t>
      </w:r>
      <w:r w:rsidRPr="003B6E2D">
        <w:rPr>
          <w:rFonts w:cs="Times New Roman"/>
        </w:rPr>
        <w:t>(3), 382–388. https://doi.org/10.1002/jctb.573</w:t>
      </w:r>
    </w:p>
    <w:p w14:paraId="79C035C1" w14:textId="77777777" w:rsidR="003B6E2D" w:rsidRPr="003B6E2D" w:rsidRDefault="003B6E2D" w:rsidP="003B6E2D">
      <w:pPr>
        <w:pStyle w:val="Bibliography"/>
        <w:rPr>
          <w:rFonts w:cs="Times New Roman"/>
        </w:rPr>
      </w:pPr>
      <w:r w:rsidRPr="003B6E2D">
        <w:rPr>
          <w:rFonts w:cs="Times New Roman"/>
        </w:rPr>
        <w:t xml:space="preserve">Ritz, C., Baty, F., Streibig, J. C., &amp; Gerhard, D. (2015). Dose-Response Analysis Using R. </w:t>
      </w:r>
      <w:r w:rsidRPr="003B6E2D">
        <w:rPr>
          <w:rFonts w:cs="Times New Roman"/>
          <w:i/>
          <w:iCs/>
        </w:rPr>
        <w:t>PLOS ONE</w:t>
      </w:r>
      <w:r w:rsidRPr="003B6E2D">
        <w:rPr>
          <w:rFonts w:cs="Times New Roman"/>
        </w:rPr>
        <w:t xml:space="preserve">, </w:t>
      </w:r>
      <w:r w:rsidRPr="003B6E2D">
        <w:rPr>
          <w:rFonts w:cs="Times New Roman"/>
          <w:i/>
          <w:iCs/>
        </w:rPr>
        <w:t>10</w:t>
      </w:r>
      <w:r w:rsidRPr="003B6E2D">
        <w:rPr>
          <w:rFonts w:cs="Times New Roman"/>
        </w:rPr>
        <w:t>(12), e0146021. https://doi.org/10.1371/journal.pone.0146021</w:t>
      </w:r>
    </w:p>
    <w:p w14:paraId="5DDB1423" w14:textId="77777777" w:rsidR="003B6E2D" w:rsidRPr="003B6E2D" w:rsidRDefault="003B6E2D" w:rsidP="003B6E2D">
      <w:pPr>
        <w:pStyle w:val="Bibliography"/>
        <w:rPr>
          <w:rFonts w:cs="Times New Roman"/>
        </w:rPr>
      </w:pPr>
      <w:r w:rsidRPr="003B6E2D">
        <w:rPr>
          <w:rFonts w:cs="Times New Roman"/>
        </w:rPr>
        <w:t xml:space="preserve">Roccamante, M., Miralles-Cuevas, S., Cabrera-Reina, A., Oller, I., &amp; Malato, S. (2022). Evaluation of commercial zerovalent iron sources in combination with solar energy to remove microcontaminants from natural water at circumneutral pH. </w:t>
      </w:r>
      <w:r w:rsidRPr="003B6E2D">
        <w:rPr>
          <w:rFonts w:cs="Times New Roman"/>
          <w:i/>
          <w:iCs/>
        </w:rPr>
        <w:t>Chemosphere</w:t>
      </w:r>
      <w:r w:rsidRPr="003B6E2D">
        <w:rPr>
          <w:rFonts w:cs="Times New Roman"/>
        </w:rPr>
        <w:t xml:space="preserve">, </w:t>
      </w:r>
      <w:r w:rsidRPr="003B6E2D">
        <w:rPr>
          <w:rFonts w:cs="Times New Roman"/>
          <w:i/>
          <w:iCs/>
        </w:rPr>
        <w:t>286</w:t>
      </w:r>
      <w:r w:rsidRPr="003B6E2D">
        <w:rPr>
          <w:rFonts w:cs="Times New Roman"/>
        </w:rPr>
        <w:t>, 131557. https://doi.org/10.1016/j.chemosphere.2021.131557</w:t>
      </w:r>
    </w:p>
    <w:p w14:paraId="38A079A0" w14:textId="77777777" w:rsidR="003B6E2D" w:rsidRPr="003B6E2D" w:rsidRDefault="003B6E2D" w:rsidP="003B6E2D">
      <w:pPr>
        <w:pStyle w:val="Bibliography"/>
        <w:rPr>
          <w:rFonts w:cs="Times New Roman"/>
        </w:rPr>
      </w:pPr>
      <w:r w:rsidRPr="003B6E2D">
        <w:rPr>
          <w:rFonts w:cs="Times New Roman"/>
        </w:rPr>
        <w:t xml:space="preserve">Rommel, S. H., Stinshoff, P., &amp; Helmreich, B. (2021). Sequential extraction of heavy metals from sorptive filter media and sediments trapped in stormwater quality improvement devices for road runoff. </w:t>
      </w:r>
      <w:r w:rsidRPr="003B6E2D">
        <w:rPr>
          <w:rFonts w:cs="Times New Roman"/>
          <w:i/>
          <w:iCs/>
        </w:rPr>
        <w:t>Science of The Total Environment</w:t>
      </w:r>
      <w:r w:rsidRPr="003B6E2D">
        <w:rPr>
          <w:rFonts w:cs="Times New Roman"/>
        </w:rPr>
        <w:t xml:space="preserve">, </w:t>
      </w:r>
      <w:r w:rsidRPr="003B6E2D">
        <w:rPr>
          <w:rFonts w:cs="Times New Roman"/>
          <w:i/>
          <w:iCs/>
        </w:rPr>
        <w:t>782</w:t>
      </w:r>
      <w:r w:rsidRPr="003B6E2D">
        <w:rPr>
          <w:rFonts w:cs="Times New Roman"/>
        </w:rPr>
        <w:t>, 146875. https://doi.org/10.1016/j.scitotenv.2021.146875</w:t>
      </w:r>
    </w:p>
    <w:p w14:paraId="7F66D313" w14:textId="77777777" w:rsidR="003B6E2D" w:rsidRPr="003B6E2D" w:rsidRDefault="003B6E2D" w:rsidP="003B6E2D">
      <w:pPr>
        <w:pStyle w:val="Bibliography"/>
        <w:rPr>
          <w:rFonts w:cs="Times New Roman"/>
        </w:rPr>
      </w:pPr>
      <w:r w:rsidRPr="003B6E2D">
        <w:rPr>
          <w:rFonts w:cs="Times New Roman"/>
        </w:rPr>
        <w:t xml:space="preserve">Samson-Robert, O., Labrie, G., Chagnon, M., &amp; Fournier, V. (2014). Neonicotinoid-Contaminated Puddles of Water Represent a Risk of Intoxication for Honey Bees. </w:t>
      </w:r>
      <w:r w:rsidRPr="003B6E2D">
        <w:rPr>
          <w:rFonts w:cs="Times New Roman"/>
          <w:i/>
          <w:iCs/>
        </w:rPr>
        <w:t>PLoS ONE</w:t>
      </w:r>
      <w:r w:rsidRPr="003B6E2D">
        <w:rPr>
          <w:rFonts w:cs="Times New Roman"/>
        </w:rPr>
        <w:t xml:space="preserve">, </w:t>
      </w:r>
      <w:r w:rsidRPr="003B6E2D">
        <w:rPr>
          <w:rFonts w:cs="Times New Roman"/>
          <w:i/>
          <w:iCs/>
        </w:rPr>
        <w:t>9</w:t>
      </w:r>
      <w:r w:rsidRPr="003B6E2D">
        <w:rPr>
          <w:rFonts w:cs="Times New Roman"/>
        </w:rPr>
        <w:t>(12), e108443. https://doi.org/10.1371/journal.pone.0108443</w:t>
      </w:r>
    </w:p>
    <w:p w14:paraId="26BC8BF2" w14:textId="77777777" w:rsidR="003B6E2D" w:rsidRPr="003B6E2D" w:rsidRDefault="003B6E2D" w:rsidP="003B6E2D">
      <w:pPr>
        <w:pStyle w:val="Bibliography"/>
        <w:rPr>
          <w:rFonts w:cs="Times New Roman"/>
        </w:rPr>
      </w:pPr>
      <w:r w:rsidRPr="003B6E2D">
        <w:rPr>
          <w:rFonts w:cs="Times New Roman"/>
        </w:rPr>
        <w:t xml:space="preserve">Sánchez-Bayo, F., Goka, K., &amp; Hayasaka, D. (2016). Contamination of the Aquatic Environment with Neonicotinoids and its Implication for Ecosystems. </w:t>
      </w:r>
      <w:r w:rsidRPr="003B6E2D">
        <w:rPr>
          <w:rFonts w:cs="Times New Roman"/>
          <w:i/>
          <w:iCs/>
        </w:rPr>
        <w:t>Frontiers in Environmental Science</w:t>
      </w:r>
      <w:r w:rsidRPr="003B6E2D">
        <w:rPr>
          <w:rFonts w:cs="Times New Roman"/>
        </w:rPr>
        <w:t xml:space="preserve">, </w:t>
      </w:r>
      <w:r w:rsidRPr="003B6E2D">
        <w:rPr>
          <w:rFonts w:cs="Times New Roman"/>
          <w:i/>
          <w:iCs/>
        </w:rPr>
        <w:t>4</w:t>
      </w:r>
      <w:r w:rsidRPr="003B6E2D">
        <w:rPr>
          <w:rFonts w:cs="Times New Roman"/>
        </w:rPr>
        <w:t>, 71. https://doi.org/10.3389/fenvs.2016.00071</w:t>
      </w:r>
    </w:p>
    <w:p w14:paraId="2A518920" w14:textId="77777777" w:rsidR="003B6E2D" w:rsidRPr="003B6E2D" w:rsidRDefault="003B6E2D" w:rsidP="003B6E2D">
      <w:pPr>
        <w:pStyle w:val="Bibliography"/>
        <w:rPr>
          <w:rFonts w:cs="Times New Roman"/>
        </w:rPr>
      </w:pPr>
      <w:r w:rsidRPr="003B6E2D">
        <w:rPr>
          <w:rFonts w:cs="Times New Roman"/>
        </w:rPr>
        <w:t xml:space="preserve">Sánchez-Bayo, F., &amp; Hyne, R. V. (2014). Detection and analysis of neonicotinoids in river waters – Development of a passive sampler for three commonly used insecticides. </w:t>
      </w:r>
      <w:r w:rsidRPr="003B6E2D">
        <w:rPr>
          <w:rFonts w:cs="Times New Roman"/>
          <w:i/>
          <w:iCs/>
        </w:rPr>
        <w:t>Chemosphere</w:t>
      </w:r>
      <w:r w:rsidRPr="003B6E2D">
        <w:rPr>
          <w:rFonts w:cs="Times New Roman"/>
        </w:rPr>
        <w:t xml:space="preserve">, </w:t>
      </w:r>
      <w:r w:rsidRPr="003B6E2D">
        <w:rPr>
          <w:rFonts w:cs="Times New Roman"/>
          <w:i/>
          <w:iCs/>
        </w:rPr>
        <w:t>99</w:t>
      </w:r>
      <w:r w:rsidRPr="003B6E2D">
        <w:rPr>
          <w:rFonts w:cs="Times New Roman"/>
        </w:rPr>
        <w:t>, 143–151. https://doi.org/10.1016/j.chemosphere.2013.10.051</w:t>
      </w:r>
    </w:p>
    <w:p w14:paraId="15064BAC" w14:textId="77777777" w:rsidR="003B6E2D" w:rsidRPr="003B6E2D" w:rsidRDefault="003B6E2D" w:rsidP="003B6E2D">
      <w:pPr>
        <w:pStyle w:val="Bibliography"/>
        <w:rPr>
          <w:rFonts w:cs="Times New Roman"/>
        </w:rPr>
      </w:pPr>
      <w:r w:rsidRPr="003B6E2D">
        <w:rPr>
          <w:rFonts w:cs="Times New Roman"/>
        </w:rPr>
        <w:lastRenderedPageBreak/>
        <w:t xml:space="preserve">Sarkhot, D. V., Ghezzehei, T. A., &amp; Berhe, A. A. (2013). Effectiveness of Biochar for Sorption of Ammonium and Phosphate from Dairy Effluent. </w:t>
      </w:r>
      <w:r w:rsidRPr="003B6E2D">
        <w:rPr>
          <w:rFonts w:cs="Times New Roman"/>
          <w:i/>
          <w:iCs/>
        </w:rPr>
        <w:t>Journal of Environmental Quality</w:t>
      </w:r>
      <w:r w:rsidRPr="003B6E2D">
        <w:rPr>
          <w:rFonts w:cs="Times New Roman"/>
        </w:rPr>
        <w:t xml:space="preserve">, </w:t>
      </w:r>
      <w:r w:rsidRPr="003B6E2D">
        <w:rPr>
          <w:rFonts w:cs="Times New Roman"/>
          <w:i/>
          <w:iCs/>
        </w:rPr>
        <w:t>42</w:t>
      </w:r>
      <w:r w:rsidRPr="003B6E2D">
        <w:rPr>
          <w:rFonts w:cs="Times New Roman"/>
        </w:rPr>
        <w:t>(5), 1545–1554. https://doi.org/10.2134/jeq2012.0482</w:t>
      </w:r>
    </w:p>
    <w:p w14:paraId="2D91BE0F" w14:textId="77777777" w:rsidR="003B6E2D" w:rsidRPr="003B6E2D" w:rsidRDefault="003B6E2D" w:rsidP="003B6E2D">
      <w:pPr>
        <w:pStyle w:val="Bibliography"/>
        <w:rPr>
          <w:rFonts w:cs="Times New Roman"/>
        </w:rPr>
      </w:pPr>
      <w:r w:rsidRPr="003B6E2D">
        <w:rPr>
          <w:rFonts w:cs="Times New Roman"/>
        </w:rPr>
        <w:t xml:space="preserve">Schlesinger, W. H., &amp; Bernhardt, E. S. (2013). Biogeochemistry: An Analysis of Global Change. In </w:t>
      </w:r>
      <w:r w:rsidRPr="003B6E2D">
        <w:rPr>
          <w:rFonts w:cs="Times New Roman"/>
          <w:i/>
          <w:iCs/>
        </w:rPr>
        <w:t>Biogeochemistry</w:t>
      </w:r>
      <w:r w:rsidRPr="003B6E2D">
        <w:rPr>
          <w:rFonts w:cs="Times New Roman"/>
        </w:rPr>
        <w:t xml:space="preserve"> (3rd ed.). Elsevier. https://doi.org/10.1016/B978-0-12-385874-0.09985-4</w:t>
      </w:r>
    </w:p>
    <w:p w14:paraId="4B34FE3F" w14:textId="77777777" w:rsidR="003B6E2D" w:rsidRPr="003B6E2D" w:rsidRDefault="003B6E2D" w:rsidP="003B6E2D">
      <w:pPr>
        <w:pStyle w:val="Bibliography"/>
        <w:rPr>
          <w:rFonts w:cs="Times New Roman"/>
        </w:rPr>
      </w:pPr>
      <w:r w:rsidRPr="003B6E2D">
        <w:rPr>
          <w:rFonts w:cs="Times New Roman"/>
        </w:rPr>
        <w:t xml:space="preserve">Scott, I. S. P. C., &amp; Penn, C. J. (2021). Estimating the variability of steel slag properties and their influence in phosphorus removal ability. </w:t>
      </w:r>
      <w:r w:rsidRPr="003B6E2D">
        <w:rPr>
          <w:rFonts w:cs="Times New Roman"/>
          <w:i/>
          <w:iCs/>
        </w:rPr>
        <w:t>Chemosphere</w:t>
      </w:r>
      <w:r w:rsidRPr="003B6E2D">
        <w:rPr>
          <w:rFonts w:cs="Times New Roman"/>
        </w:rPr>
        <w:t xml:space="preserve">, </w:t>
      </w:r>
      <w:r w:rsidRPr="003B6E2D">
        <w:rPr>
          <w:rFonts w:cs="Times New Roman"/>
          <w:i/>
          <w:iCs/>
        </w:rPr>
        <w:t>276</w:t>
      </w:r>
      <w:r w:rsidRPr="003B6E2D">
        <w:rPr>
          <w:rFonts w:cs="Times New Roman"/>
        </w:rPr>
        <w:t>, 130205. https://doi.org/10.1016/j.chemosphere.2021.130205</w:t>
      </w:r>
    </w:p>
    <w:p w14:paraId="4B0A8496" w14:textId="77777777" w:rsidR="003B6E2D" w:rsidRPr="003B6E2D" w:rsidRDefault="003B6E2D" w:rsidP="003B6E2D">
      <w:pPr>
        <w:pStyle w:val="Bibliography"/>
        <w:rPr>
          <w:rFonts w:cs="Times New Roman"/>
        </w:rPr>
      </w:pPr>
      <w:r w:rsidRPr="003B6E2D">
        <w:rPr>
          <w:rFonts w:cs="Times New Roman"/>
        </w:rPr>
        <w:t xml:space="preserve">Shi, Y., Wang, S., Xu, M., Yan, X., Huang, J., &amp; Wang, H. (2022). Removal of neonicotinoid pesticides by adsorption on modified Tenebrio molitor frass biochar: Kinetics and mechanism. </w:t>
      </w:r>
      <w:r w:rsidRPr="003B6E2D">
        <w:rPr>
          <w:rFonts w:cs="Times New Roman"/>
          <w:i/>
          <w:iCs/>
        </w:rPr>
        <w:t>Separation and Purification Technology</w:t>
      </w:r>
      <w:r w:rsidRPr="003B6E2D">
        <w:rPr>
          <w:rFonts w:cs="Times New Roman"/>
        </w:rPr>
        <w:t>, 12.</w:t>
      </w:r>
    </w:p>
    <w:p w14:paraId="6D8D5631" w14:textId="77777777" w:rsidR="003B6E2D" w:rsidRPr="003B6E2D" w:rsidRDefault="003B6E2D" w:rsidP="003B6E2D">
      <w:pPr>
        <w:pStyle w:val="Bibliography"/>
        <w:rPr>
          <w:rFonts w:cs="Times New Roman"/>
        </w:rPr>
      </w:pPr>
      <w:r w:rsidRPr="003B6E2D">
        <w:rPr>
          <w:rFonts w:cs="Times New Roman"/>
        </w:rPr>
        <w:t xml:space="preserve">Smit, C. E. (2014). </w:t>
      </w:r>
      <w:r w:rsidRPr="003B6E2D">
        <w:rPr>
          <w:rFonts w:cs="Times New Roman"/>
          <w:i/>
          <w:iCs/>
        </w:rPr>
        <w:t>Water quality standards for imidacloprid</w:t>
      </w:r>
      <w:r w:rsidRPr="003B6E2D">
        <w:rPr>
          <w:rFonts w:cs="Times New Roman"/>
        </w:rPr>
        <w:t>. 94.</w:t>
      </w:r>
    </w:p>
    <w:p w14:paraId="62307EA0" w14:textId="77777777" w:rsidR="003B6E2D" w:rsidRPr="003B6E2D" w:rsidRDefault="003B6E2D" w:rsidP="003B6E2D">
      <w:pPr>
        <w:pStyle w:val="Bibliography"/>
        <w:rPr>
          <w:rFonts w:cs="Times New Roman"/>
        </w:rPr>
      </w:pPr>
      <w:r w:rsidRPr="003B6E2D">
        <w:rPr>
          <w:rFonts w:cs="Times New Roman"/>
        </w:rPr>
        <w:t xml:space="preserve">Socías-Viciana, M., González-Pradas, E., Saifi, M., Ureña-Amate, M., Flores-Céspedes, F., &amp; Fernández-Pérez, M. (2003). The potential removal of imidacloprid from water by heat-treated kerolites: Removal of imidacloprid from water using kerolites. </w:t>
      </w:r>
      <w:r w:rsidRPr="003B6E2D">
        <w:rPr>
          <w:rFonts w:cs="Times New Roman"/>
          <w:i/>
          <w:iCs/>
        </w:rPr>
        <w:t>Pest Management Science</w:t>
      </w:r>
      <w:r w:rsidRPr="003B6E2D">
        <w:rPr>
          <w:rFonts w:cs="Times New Roman"/>
        </w:rPr>
        <w:t xml:space="preserve">, </w:t>
      </w:r>
      <w:r w:rsidRPr="003B6E2D">
        <w:rPr>
          <w:rFonts w:cs="Times New Roman"/>
          <w:i/>
          <w:iCs/>
        </w:rPr>
        <w:t>59</w:t>
      </w:r>
      <w:r w:rsidRPr="003B6E2D">
        <w:rPr>
          <w:rFonts w:cs="Times New Roman"/>
        </w:rPr>
        <w:t>(10), 1162–1168. https://doi.org/10.1002/ps.745</w:t>
      </w:r>
    </w:p>
    <w:p w14:paraId="79769E75" w14:textId="77777777" w:rsidR="003B6E2D" w:rsidRPr="003B6E2D" w:rsidRDefault="003B6E2D" w:rsidP="003B6E2D">
      <w:pPr>
        <w:pStyle w:val="Bibliography"/>
        <w:rPr>
          <w:rFonts w:cs="Times New Roman"/>
        </w:rPr>
      </w:pPr>
      <w:r w:rsidRPr="003B6E2D">
        <w:rPr>
          <w:rFonts w:cs="Times New Roman"/>
        </w:rPr>
        <w:t xml:space="preserve">Starner, K., &amp; Goh, K. S. (2012). Detections of the Neonicotinoid Insecticide Imidacloprid in Surface Waters of Three Agricultural Regions of California, USA, 2010–2011. </w:t>
      </w:r>
      <w:r w:rsidRPr="003B6E2D">
        <w:rPr>
          <w:rFonts w:cs="Times New Roman"/>
          <w:i/>
          <w:iCs/>
        </w:rPr>
        <w:t>Bulletin of Environmental Contamination and Toxicology</w:t>
      </w:r>
      <w:r w:rsidRPr="003B6E2D">
        <w:rPr>
          <w:rFonts w:cs="Times New Roman"/>
        </w:rPr>
        <w:t xml:space="preserve">, </w:t>
      </w:r>
      <w:r w:rsidRPr="003B6E2D">
        <w:rPr>
          <w:rFonts w:cs="Times New Roman"/>
          <w:i/>
          <w:iCs/>
        </w:rPr>
        <w:t>88</w:t>
      </w:r>
      <w:r w:rsidRPr="003B6E2D">
        <w:rPr>
          <w:rFonts w:cs="Times New Roman"/>
        </w:rPr>
        <w:t>(3), 316–321. https://doi.org/10.1007/s00128-011-0515-5</w:t>
      </w:r>
    </w:p>
    <w:p w14:paraId="56A9E2A4" w14:textId="77777777" w:rsidR="003B6E2D" w:rsidRPr="003B6E2D" w:rsidRDefault="003B6E2D" w:rsidP="003B6E2D">
      <w:pPr>
        <w:pStyle w:val="Bibliography"/>
        <w:rPr>
          <w:rFonts w:cs="Times New Roman"/>
        </w:rPr>
      </w:pPr>
      <w:r w:rsidRPr="003B6E2D">
        <w:rPr>
          <w:rFonts w:cs="Times New Roman"/>
        </w:rPr>
        <w:t xml:space="preserve">Struger, J., Grabuski, J., Cagampan, S., Sverko, E., McGoldrick, D., &amp; Marvin, C. H. (2017). Factors influencing the occurrence and distribution of neonicotinoid insecticides in surface </w:t>
      </w:r>
      <w:r w:rsidRPr="003B6E2D">
        <w:rPr>
          <w:rFonts w:cs="Times New Roman"/>
        </w:rPr>
        <w:lastRenderedPageBreak/>
        <w:t xml:space="preserve">waters of southern Ontario, Canada. </w:t>
      </w:r>
      <w:r w:rsidRPr="003B6E2D">
        <w:rPr>
          <w:rFonts w:cs="Times New Roman"/>
          <w:i/>
          <w:iCs/>
        </w:rPr>
        <w:t>Chemosphere</w:t>
      </w:r>
      <w:r w:rsidRPr="003B6E2D">
        <w:rPr>
          <w:rFonts w:cs="Times New Roman"/>
        </w:rPr>
        <w:t xml:space="preserve">, </w:t>
      </w:r>
      <w:r w:rsidRPr="003B6E2D">
        <w:rPr>
          <w:rFonts w:cs="Times New Roman"/>
          <w:i/>
          <w:iCs/>
        </w:rPr>
        <w:t>169</w:t>
      </w:r>
      <w:r w:rsidRPr="003B6E2D">
        <w:rPr>
          <w:rFonts w:cs="Times New Roman"/>
        </w:rPr>
        <w:t>, 516–523. https://doi.org/10.1016/j.chemosphere.2016.11.036</w:t>
      </w:r>
    </w:p>
    <w:p w14:paraId="4E689C66" w14:textId="77777777" w:rsidR="003B6E2D" w:rsidRPr="003B6E2D" w:rsidRDefault="003B6E2D" w:rsidP="003B6E2D">
      <w:pPr>
        <w:pStyle w:val="Bibliography"/>
        <w:rPr>
          <w:rFonts w:cs="Times New Roman"/>
        </w:rPr>
      </w:pPr>
      <w:r w:rsidRPr="003B6E2D">
        <w:rPr>
          <w:rFonts w:cs="Times New Roman"/>
        </w:rPr>
        <w:t xml:space="preserve">Suliman, W., Harsh, J. B., Fortuna, A.-M., Garcia-Pérez, M., &amp; Abu-Lail, N. I. (2017). Quantitative Effects of Biochar Oxidation and Pyrolysis Temperature on the Transport of Pathogenic and Nonpathogenic </w:t>
      </w:r>
      <w:r w:rsidRPr="003B6E2D">
        <w:rPr>
          <w:rFonts w:cs="Times New Roman"/>
          <w:i/>
          <w:iCs/>
        </w:rPr>
        <w:t>Escherichia coli</w:t>
      </w:r>
      <w:r w:rsidRPr="003B6E2D">
        <w:rPr>
          <w:rFonts w:cs="Times New Roman"/>
        </w:rPr>
        <w:t xml:space="preserve"> in Biochar-Amended Sand Columns. </w:t>
      </w:r>
      <w:r w:rsidRPr="003B6E2D">
        <w:rPr>
          <w:rFonts w:cs="Times New Roman"/>
          <w:i/>
          <w:iCs/>
        </w:rPr>
        <w:t>Environmental Science &amp; Technology</w:t>
      </w:r>
      <w:r w:rsidRPr="003B6E2D">
        <w:rPr>
          <w:rFonts w:cs="Times New Roman"/>
        </w:rPr>
        <w:t xml:space="preserve">, </w:t>
      </w:r>
      <w:r w:rsidRPr="003B6E2D">
        <w:rPr>
          <w:rFonts w:cs="Times New Roman"/>
          <w:i/>
          <w:iCs/>
        </w:rPr>
        <w:t>51</w:t>
      </w:r>
      <w:r w:rsidRPr="003B6E2D">
        <w:rPr>
          <w:rFonts w:cs="Times New Roman"/>
        </w:rPr>
        <w:t>(9), 5071–5081. https://doi.org/10.1021/acs.est.6b04535</w:t>
      </w:r>
    </w:p>
    <w:p w14:paraId="1E44C156" w14:textId="77777777" w:rsidR="003B6E2D" w:rsidRPr="003B6E2D" w:rsidRDefault="003B6E2D" w:rsidP="003B6E2D">
      <w:pPr>
        <w:pStyle w:val="Bibliography"/>
        <w:rPr>
          <w:rFonts w:cs="Times New Roman"/>
        </w:rPr>
      </w:pPr>
      <w:r w:rsidRPr="003B6E2D">
        <w:rPr>
          <w:rFonts w:cs="Times New Roman"/>
        </w:rPr>
        <w:t xml:space="preserve">Tan, G., Sun, W., Xu, Y., Wang, H., &amp; Xu, N. (2016). Sorption of mercury (II) and atrazine by biochar, modified biochars and biochar based activated carbon in aqueous solution. </w:t>
      </w:r>
      <w:r w:rsidRPr="003B6E2D">
        <w:rPr>
          <w:rFonts w:cs="Times New Roman"/>
          <w:i/>
          <w:iCs/>
        </w:rPr>
        <w:t>Bioresource Technology</w:t>
      </w:r>
      <w:r w:rsidRPr="003B6E2D">
        <w:rPr>
          <w:rFonts w:cs="Times New Roman"/>
        </w:rPr>
        <w:t xml:space="preserve">, </w:t>
      </w:r>
      <w:r w:rsidRPr="003B6E2D">
        <w:rPr>
          <w:rFonts w:cs="Times New Roman"/>
          <w:i/>
          <w:iCs/>
        </w:rPr>
        <w:t>211</w:t>
      </w:r>
      <w:r w:rsidRPr="003B6E2D">
        <w:rPr>
          <w:rFonts w:cs="Times New Roman"/>
        </w:rPr>
        <w:t>, 727–735. https://doi.org/10.1016/j.biortech.2016.03.147</w:t>
      </w:r>
    </w:p>
    <w:p w14:paraId="4EB9B045" w14:textId="77777777" w:rsidR="003B6E2D" w:rsidRPr="003B6E2D" w:rsidRDefault="003B6E2D" w:rsidP="003B6E2D">
      <w:pPr>
        <w:pStyle w:val="Bibliography"/>
        <w:rPr>
          <w:rFonts w:cs="Times New Roman"/>
        </w:rPr>
      </w:pPr>
      <w:r w:rsidRPr="003B6E2D">
        <w:rPr>
          <w:rFonts w:cs="Times New Roman"/>
        </w:rPr>
        <w:t xml:space="preserve">Tang, Z., &amp; Nairn, R. W. (2021). Recovered mine drainage passive treatment residuals address legacy sediment pollution: A field mesocosm study at Grand Lake o’ the Cherokees, Oklahoma. </w:t>
      </w:r>
      <w:r w:rsidRPr="003B6E2D">
        <w:rPr>
          <w:rFonts w:cs="Times New Roman"/>
          <w:i/>
          <w:iCs/>
        </w:rPr>
        <w:t>Ecological Engineering</w:t>
      </w:r>
      <w:r w:rsidRPr="003B6E2D">
        <w:rPr>
          <w:rFonts w:cs="Times New Roman"/>
        </w:rPr>
        <w:t xml:space="preserve">, </w:t>
      </w:r>
      <w:r w:rsidRPr="003B6E2D">
        <w:rPr>
          <w:rFonts w:cs="Times New Roman"/>
          <w:i/>
          <w:iCs/>
        </w:rPr>
        <w:t>170</w:t>
      </w:r>
      <w:r w:rsidRPr="003B6E2D">
        <w:rPr>
          <w:rFonts w:cs="Times New Roman"/>
        </w:rPr>
        <w:t>, 106358. https://doi.org/10.1016/j.ecoleng.2021.106358</w:t>
      </w:r>
    </w:p>
    <w:p w14:paraId="44AC3177" w14:textId="77777777" w:rsidR="003B6E2D" w:rsidRPr="003B6E2D" w:rsidRDefault="003B6E2D" w:rsidP="003B6E2D">
      <w:pPr>
        <w:pStyle w:val="Bibliography"/>
        <w:rPr>
          <w:rFonts w:cs="Times New Roman"/>
        </w:rPr>
      </w:pPr>
      <w:r w:rsidRPr="003B6E2D">
        <w:rPr>
          <w:rFonts w:cs="Times New Roman"/>
        </w:rPr>
        <w:t xml:space="preserve">Tokarčíková, M., Motyka, O., Peikertová, P., Gabor, R., &amp; Seidlerová, J. (2021). Magnetically Modified Biosorbent for Rapid Beryllium Elimination from the Aqueous Environment. </w:t>
      </w:r>
      <w:r w:rsidRPr="003B6E2D">
        <w:rPr>
          <w:rFonts w:cs="Times New Roman"/>
          <w:i/>
          <w:iCs/>
        </w:rPr>
        <w:t>Materials</w:t>
      </w:r>
      <w:r w:rsidRPr="003B6E2D">
        <w:rPr>
          <w:rFonts w:cs="Times New Roman"/>
        </w:rPr>
        <w:t xml:space="preserve">, </w:t>
      </w:r>
      <w:r w:rsidRPr="003B6E2D">
        <w:rPr>
          <w:rFonts w:cs="Times New Roman"/>
          <w:i/>
          <w:iCs/>
        </w:rPr>
        <w:t>14</w:t>
      </w:r>
      <w:r w:rsidRPr="003B6E2D">
        <w:rPr>
          <w:rFonts w:cs="Times New Roman"/>
        </w:rPr>
        <w:t>(21), 6610. https://doi.org/10.3390/ma14216610</w:t>
      </w:r>
    </w:p>
    <w:p w14:paraId="1CF27960" w14:textId="77777777" w:rsidR="003B6E2D" w:rsidRPr="003B6E2D" w:rsidRDefault="003B6E2D" w:rsidP="003B6E2D">
      <w:pPr>
        <w:pStyle w:val="Bibliography"/>
        <w:rPr>
          <w:rFonts w:cs="Times New Roman"/>
        </w:rPr>
      </w:pPr>
      <w:r w:rsidRPr="003B6E2D">
        <w:rPr>
          <w:rFonts w:cs="Times New Roman"/>
          <w:i/>
          <w:iCs/>
        </w:rPr>
        <w:t>Trace Metals ICP Calibration/Quality Control Standard Certificate</w:t>
      </w:r>
      <w:r w:rsidRPr="003B6E2D">
        <w:rPr>
          <w:rFonts w:cs="Times New Roman"/>
        </w:rPr>
        <w:t>. (n.d.). Inorganic Ventures. https://www.inorganicventures.com/icp-cal-std-trace-metals-125ml</w:t>
      </w:r>
    </w:p>
    <w:p w14:paraId="1D2714DE" w14:textId="77777777" w:rsidR="003B6E2D" w:rsidRPr="003B6E2D" w:rsidRDefault="003B6E2D" w:rsidP="003B6E2D">
      <w:pPr>
        <w:pStyle w:val="Bibliography"/>
        <w:rPr>
          <w:rFonts w:cs="Times New Roman"/>
        </w:rPr>
      </w:pPr>
      <w:r w:rsidRPr="003B6E2D">
        <w:rPr>
          <w:rFonts w:cs="Times New Roman"/>
        </w:rPr>
        <w:t xml:space="preserve">Trenouth, W. R., &amp; Gharabaghi, B. (2015). Soil amendments for heavy metals removal from stormwater runoff discharging to environmentally sensitive areas. </w:t>
      </w:r>
      <w:r w:rsidRPr="003B6E2D">
        <w:rPr>
          <w:rFonts w:cs="Times New Roman"/>
          <w:i/>
          <w:iCs/>
        </w:rPr>
        <w:t>Journal of Hydrology</w:t>
      </w:r>
      <w:r w:rsidRPr="003B6E2D">
        <w:rPr>
          <w:rFonts w:cs="Times New Roman"/>
        </w:rPr>
        <w:t xml:space="preserve">, </w:t>
      </w:r>
      <w:r w:rsidRPr="003B6E2D">
        <w:rPr>
          <w:rFonts w:cs="Times New Roman"/>
          <w:i/>
          <w:iCs/>
        </w:rPr>
        <w:t>529</w:t>
      </w:r>
      <w:r w:rsidRPr="003B6E2D">
        <w:rPr>
          <w:rFonts w:cs="Times New Roman"/>
        </w:rPr>
        <w:t>, 1478–1487. https://doi.org/10.1016/j.jhydrol.2015.08.034</w:t>
      </w:r>
    </w:p>
    <w:p w14:paraId="7F585CF0" w14:textId="77777777" w:rsidR="003B6E2D" w:rsidRPr="003B6E2D" w:rsidRDefault="003B6E2D" w:rsidP="003B6E2D">
      <w:pPr>
        <w:pStyle w:val="Bibliography"/>
        <w:rPr>
          <w:rFonts w:cs="Times New Roman"/>
        </w:rPr>
      </w:pPr>
      <w:r w:rsidRPr="003B6E2D">
        <w:rPr>
          <w:rFonts w:cs="Times New Roman"/>
        </w:rPr>
        <w:lastRenderedPageBreak/>
        <w:t xml:space="preserve">Tsitouridou, R., &amp; Georgiou, J. (1988). A contribution to the study of phosphate sorption by three Greek fly ashes. </w:t>
      </w:r>
      <w:r w:rsidRPr="003B6E2D">
        <w:rPr>
          <w:rFonts w:cs="Times New Roman"/>
          <w:i/>
          <w:iCs/>
        </w:rPr>
        <w:t>Toxicological &amp; Environmental Chemistry</w:t>
      </w:r>
      <w:r w:rsidRPr="003B6E2D">
        <w:rPr>
          <w:rFonts w:cs="Times New Roman"/>
        </w:rPr>
        <w:t xml:space="preserve">, </w:t>
      </w:r>
      <w:r w:rsidRPr="003B6E2D">
        <w:rPr>
          <w:rFonts w:cs="Times New Roman"/>
          <w:i/>
          <w:iCs/>
        </w:rPr>
        <w:t>17</w:t>
      </w:r>
      <w:r w:rsidRPr="003B6E2D">
        <w:rPr>
          <w:rFonts w:cs="Times New Roman"/>
        </w:rPr>
        <w:t>(2), 129–138. https://doi.org/10.1080/02772248809357285</w:t>
      </w:r>
    </w:p>
    <w:p w14:paraId="7BF270A6" w14:textId="77777777" w:rsidR="003B6E2D" w:rsidRPr="003B6E2D" w:rsidRDefault="003B6E2D" w:rsidP="003B6E2D">
      <w:pPr>
        <w:pStyle w:val="Bibliography"/>
        <w:rPr>
          <w:rFonts w:cs="Times New Roman"/>
        </w:rPr>
      </w:pPr>
      <w:r w:rsidRPr="003B6E2D">
        <w:rPr>
          <w:rFonts w:cs="Times New Roman"/>
        </w:rPr>
        <w:t xml:space="preserve">Ugurlu, A., &amp; Salam, B. (1998). Phosphorus removal by fly ash. </w:t>
      </w:r>
      <w:r w:rsidRPr="003B6E2D">
        <w:rPr>
          <w:rFonts w:cs="Times New Roman"/>
          <w:i/>
          <w:iCs/>
        </w:rPr>
        <w:t>Environment International</w:t>
      </w:r>
      <w:r w:rsidRPr="003B6E2D">
        <w:rPr>
          <w:rFonts w:cs="Times New Roman"/>
        </w:rPr>
        <w:t xml:space="preserve">, </w:t>
      </w:r>
      <w:r w:rsidRPr="003B6E2D">
        <w:rPr>
          <w:rFonts w:cs="Times New Roman"/>
          <w:i/>
          <w:iCs/>
        </w:rPr>
        <w:t>24</w:t>
      </w:r>
      <w:r w:rsidRPr="003B6E2D">
        <w:rPr>
          <w:rFonts w:cs="Times New Roman"/>
        </w:rPr>
        <w:t>(8), 911–918. https://doi.org/10.1016/S0160-4120(98)00079-8</w:t>
      </w:r>
    </w:p>
    <w:p w14:paraId="1ED88E1D" w14:textId="77777777" w:rsidR="003B6E2D" w:rsidRPr="003B6E2D" w:rsidRDefault="003B6E2D" w:rsidP="003B6E2D">
      <w:pPr>
        <w:pStyle w:val="Bibliography"/>
        <w:rPr>
          <w:rFonts w:cs="Times New Roman"/>
        </w:rPr>
      </w:pPr>
      <w:r w:rsidRPr="003B6E2D">
        <w:rPr>
          <w:rFonts w:cs="Times New Roman"/>
        </w:rPr>
        <w:t xml:space="preserve">Ulén, B., Bechmann, M., Fölster, J., Jarvie, H. P., &amp; Tunney, H. (2007). Agriculture as a phosphorus source for eutrophication in the north-west European countries, Norway, Sweden, United Kingdom and Ireland: A review. </w:t>
      </w:r>
      <w:r w:rsidRPr="003B6E2D">
        <w:rPr>
          <w:rFonts w:cs="Times New Roman"/>
          <w:i/>
          <w:iCs/>
        </w:rPr>
        <w:t>Soil Use and Management</w:t>
      </w:r>
      <w:r w:rsidRPr="003B6E2D">
        <w:rPr>
          <w:rFonts w:cs="Times New Roman"/>
        </w:rPr>
        <w:t xml:space="preserve">, </w:t>
      </w:r>
      <w:r w:rsidRPr="003B6E2D">
        <w:rPr>
          <w:rFonts w:cs="Times New Roman"/>
          <w:i/>
          <w:iCs/>
        </w:rPr>
        <w:t>23</w:t>
      </w:r>
      <w:r w:rsidRPr="003B6E2D">
        <w:rPr>
          <w:rFonts w:cs="Times New Roman"/>
        </w:rPr>
        <w:t>(s1), 5–15. https://doi.org/10.1111/j.1475-2743.2007.00115.x</w:t>
      </w:r>
    </w:p>
    <w:p w14:paraId="74D0A11C" w14:textId="77777777" w:rsidR="003B6E2D" w:rsidRPr="003B6E2D" w:rsidRDefault="003B6E2D" w:rsidP="003B6E2D">
      <w:pPr>
        <w:pStyle w:val="Bibliography"/>
        <w:rPr>
          <w:rFonts w:cs="Times New Roman"/>
        </w:rPr>
      </w:pPr>
      <w:r w:rsidRPr="003B6E2D">
        <w:rPr>
          <w:rFonts w:cs="Times New Roman"/>
        </w:rPr>
        <w:t xml:space="preserve">US EPA, O. (2013, February 1). </w:t>
      </w:r>
      <w:r w:rsidRPr="003B6E2D">
        <w:rPr>
          <w:rFonts w:cs="Times New Roman"/>
          <w:i/>
          <w:iCs/>
        </w:rPr>
        <w:t>Nutrient Pollution Policy and Data</w:t>
      </w:r>
      <w:r w:rsidRPr="003B6E2D">
        <w:rPr>
          <w:rFonts w:cs="Times New Roman"/>
        </w:rPr>
        <w:t xml:space="preserve"> [Collections and Lists]. https://www.epa.gov/nutrient-policy-data</w:t>
      </w:r>
    </w:p>
    <w:p w14:paraId="02C1A051" w14:textId="77777777" w:rsidR="003B6E2D" w:rsidRPr="003B6E2D" w:rsidRDefault="003B6E2D" w:rsidP="003B6E2D">
      <w:pPr>
        <w:pStyle w:val="Bibliography"/>
        <w:rPr>
          <w:rFonts w:cs="Times New Roman"/>
        </w:rPr>
      </w:pPr>
      <w:r w:rsidRPr="003B6E2D">
        <w:rPr>
          <w:rFonts w:cs="Times New Roman"/>
        </w:rPr>
        <w:t xml:space="preserve">US EPA, O. (2015a, April 13). </w:t>
      </w:r>
      <w:r w:rsidRPr="003B6E2D">
        <w:rPr>
          <w:rFonts w:cs="Times New Roman"/>
          <w:i/>
          <w:iCs/>
        </w:rPr>
        <w:t>Aquatic Life Benchmarks and Ecological Risk Assessments for Registered Pesticides</w:t>
      </w:r>
      <w:r w:rsidRPr="003B6E2D">
        <w:rPr>
          <w:rFonts w:cs="Times New Roman"/>
        </w:rPr>
        <w:t xml:space="preserve"> [Data and Tools]. https://www.epa.gov/pesticide-science-and-assessing-pesticide-risks/aquatic-life-benchmarks-and-ecological-risk</w:t>
      </w:r>
    </w:p>
    <w:p w14:paraId="593001B1" w14:textId="77777777" w:rsidR="003B6E2D" w:rsidRPr="003B6E2D" w:rsidRDefault="003B6E2D" w:rsidP="003B6E2D">
      <w:pPr>
        <w:pStyle w:val="Bibliography"/>
        <w:rPr>
          <w:rFonts w:cs="Times New Roman"/>
        </w:rPr>
      </w:pPr>
      <w:r w:rsidRPr="003B6E2D">
        <w:rPr>
          <w:rFonts w:cs="Times New Roman"/>
        </w:rPr>
        <w:t xml:space="preserve">US EPA, O. (2015b, September 3). </w:t>
      </w:r>
      <w:r w:rsidRPr="003B6E2D">
        <w:rPr>
          <w:rFonts w:cs="Times New Roman"/>
          <w:i/>
          <w:iCs/>
        </w:rPr>
        <w:t>National Recommended Water Quality Criteria—Aquatic Life Criteria Table</w:t>
      </w:r>
      <w:r w:rsidRPr="003B6E2D">
        <w:rPr>
          <w:rFonts w:cs="Times New Roman"/>
        </w:rPr>
        <w:t xml:space="preserve"> [Data and Tools]. https://www.epa.gov/wqc/national-recommended-water-quality-criteria-aquatic-life-criteria-table</w:t>
      </w:r>
    </w:p>
    <w:p w14:paraId="21BDBAF9" w14:textId="77777777" w:rsidR="003B6E2D" w:rsidRPr="003B6E2D" w:rsidRDefault="003B6E2D" w:rsidP="003B6E2D">
      <w:pPr>
        <w:pStyle w:val="Bibliography"/>
        <w:rPr>
          <w:rFonts w:cs="Times New Roman"/>
        </w:rPr>
      </w:pPr>
      <w:r w:rsidRPr="003B6E2D">
        <w:rPr>
          <w:rFonts w:cs="Times New Roman"/>
        </w:rPr>
        <w:t xml:space="preserve">US EPA, O. (2015c, November 4). </w:t>
      </w:r>
      <w:r w:rsidRPr="003B6E2D">
        <w:rPr>
          <w:rFonts w:cs="Times New Roman"/>
          <w:i/>
          <w:iCs/>
        </w:rPr>
        <w:t>Metals</w:t>
      </w:r>
      <w:r w:rsidRPr="003B6E2D">
        <w:rPr>
          <w:rFonts w:cs="Times New Roman"/>
        </w:rPr>
        <w:t xml:space="preserve"> [Data and Tools]. https://www.epa.gov/caddis-vol2/metals</w:t>
      </w:r>
    </w:p>
    <w:p w14:paraId="06BA9A82" w14:textId="77777777" w:rsidR="003B6E2D" w:rsidRPr="003B6E2D" w:rsidRDefault="003B6E2D" w:rsidP="003B6E2D">
      <w:pPr>
        <w:pStyle w:val="Bibliography"/>
        <w:rPr>
          <w:rFonts w:cs="Times New Roman"/>
        </w:rPr>
      </w:pPr>
      <w:r w:rsidRPr="003B6E2D">
        <w:rPr>
          <w:rFonts w:cs="Times New Roman"/>
        </w:rPr>
        <w:t xml:space="preserve">US EPA, O. (2015d, November 4). </w:t>
      </w:r>
      <w:r w:rsidRPr="003B6E2D">
        <w:rPr>
          <w:rFonts w:cs="Times New Roman"/>
          <w:i/>
          <w:iCs/>
        </w:rPr>
        <w:t>Nutrients</w:t>
      </w:r>
      <w:r w:rsidRPr="003B6E2D">
        <w:rPr>
          <w:rFonts w:cs="Times New Roman"/>
        </w:rPr>
        <w:t xml:space="preserve"> [Data and Tools]. https://www.epa.gov/caddis-vol2/nutrients</w:t>
      </w:r>
    </w:p>
    <w:p w14:paraId="3FC61B9C" w14:textId="77777777" w:rsidR="003B6E2D" w:rsidRPr="003B6E2D" w:rsidRDefault="003B6E2D" w:rsidP="003B6E2D">
      <w:pPr>
        <w:pStyle w:val="Bibliography"/>
        <w:rPr>
          <w:rFonts w:cs="Times New Roman"/>
        </w:rPr>
      </w:pPr>
      <w:r w:rsidRPr="003B6E2D">
        <w:rPr>
          <w:rFonts w:cs="Times New Roman"/>
        </w:rPr>
        <w:lastRenderedPageBreak/>
        <w:t xml:space="preserve">Van Dijk, T. C., Van Staalduinen, M. A., &amp; Van der Sluijs, J. P. (2013). Macro-Invertebrate Decline in Surface Water Polluted with Imidacloprid. </w:t>
      </w:r>
      <w:r w:rsidRPr="003B6E2D">
        <w:rPr>
          <w:rFonts w:cs="Times New Roman"/>
          <w:i/>
          <w:iCs/>
        </w:rPr>
        <w:t>PLoS ONE</w:t>
      </w:r>
      <w:r w:rsidRPr="003B6E2D">
        <w:rPr>
          <w:rFonts w:cs="Times New Roman"/>
        </w:rPr>
        <w:t xml:space="preserve">, </w:t>
      </w:r>
      <w:r w:rsidRPr="003B6E2D">
        <w:rPr>
          <w:rFonts w:cs="Times New Roman"/>
          <w:i/>
          <w:iCs/>
        </w:rPr>
        <w:t>8</w:t>
      </w:r>
      <w:r w:rsidRPr="003B6E2D">
        <w:rPr>
          <w:rFonts w:cs="Times New Roman"/>
        </w:rPr>
        <w:t>(5), e62374. https://doi.org/10.1371/journal.pone.0062374</w:t>
      </w:r>
    </w:p>
    <w:p w14:paraId="2E1DF3DC" w14:textId="77777777" w:rsidR="003B6E2D" w:rsidRPr="003B6E2D" w:rsidRDefault="003B6E2D" w:rsidP="003B6E2D">
      <w:pPr>
        <w:pStyle w:val="Bibliography"/>
        <w:rPr>
          <w:rFonts w:cs="Times New Roman"/>
        </w:rPr>
      </w:pPr>
      <w:r w:rsidRPr="003B6E2D">
        <w:rPr>
          <w:rFonts w:cs="Times New Roman"/>
        </w:rPr>
        <w:t xml:space="preserve">Vijayaraghavan, J., Jude, A. B., &amp; Thivya, J. (2017). Effect of copper slag, iron slag and recycled concrete aggregate on the mechanical properties of concrete. </w:t>
      </w:r>
      <w:r w:rsidRPr="003B6E2D">
        <w:rPr>
          <w:rFonts w:cs="Times New Roman"/>
          <w:i/>
          <w:iCs/>
        </w:rPr>
        <w:t>Resources Policy</w:t>
      </w:r>
      <w:r w:rsidRPr="003B6E2D">
        <w:rPr>
          <w:rFonts w:cs="Times New Roman"/>
        </w:rPr>
        <w:t xml:space="preserve">, </w:t>
      </w:r>
      <w:r w:rsidRPr="003B6E2D">
        <w:rPr>
          <w:rFonts w:cs="Times New Roman"/>
          <w:i/>
          <w:iCs/>
        </w:rPr>
        <w:t>53</w:t>
      </w:r>
      <w:r w:rsidRPr="003B6E2D">
        <w:rPr>
          <w:rFonts w:cs="Times New Roman"/>
        </w:rPr>
        <w:t>, 219–225. https://doi.org/10.1016/j.resourpol.2017.06.012</w:t>
      </w:r>
    </w:p>
    <w:p w14:paraId="4E20FDA3" w14:textId="77777777" w:rsidR="003B6E2D" w:rsidRPr="003B6E2D" w:rsidRDefault="003B6E2D" w:rsidP="003B6E2D">
      <w:pPr>
        <w:pStyle w:val="Bibliography"/>
        <w:rPr>
          <w:rFonts w:cs="Times New Roman"/>
        </w:rPr>
      </w:pPr>
      <w:r w:rsidRPr="003B6E2D">
        <w:rPr>
          <w:rFonts w:cs="Times New Roman"/>
        </w:rPr>
        <w:t xml:space="preserve">Vogel, J. (2022, February). </w:t>
      </w:r>
      <w:r w:rsidRPr="003B6E2D">
        <w:rPr>
          <w:rFonts w:cs="Times New Roman"/>
          <w:i/>
          <w:iCs/>
        </w:rPr>
        <w:t>Bioretention</w:t>
      </w:r>
      <w:r w:rsidRPr="003B6E2D">
        <w:rPr>
          <w:rFonts w:cs="Times New Roman"/>
        </w:rPr>
        <w:t xml:space="preserve"> [Lecture].</w:t>
      </w:r>
    </w:p>
    <w:p w14:paraId="62AF3153" w14:textId="77777777" w:rsidR="003B6E2D" w:rsidRPr="003B6E2D" w:rsidRDefault="003B6E2D" w:rsidP="003B6E2D">
      <w:pPr>
        <w:pStyle w:val="Bibliography"/>
        <w:rPr>
          <w:rFonts w:cs="Times New Roman"/>
        </w:rPr>
      </w:pPr>
      <w:r w:rsidRPr="003B6E2D">
        <w:rPr>
          <w:rFonts w:cs="Times New Roman"/>
        </w:rPr>
        <w:t xml:space="preserve">von Wandruszka, R. (2006). Phosphorus retention in calcareous soils and the effect of organic matter on its mobility. </w:t>
      </w:r>
      <w:r w:rsidRPr="003B6E2D">
        <w:rPr>
          <w:rFonts w:cs="Times New Roman"/>
          <w:i/>
          <w:iCs/>
        </w:rPr>
        <w:t>Geochemical Transactions</w:t>
      </w:r>
      <w:r w:rsidRPr="003B6E2D">
        <w:rPr>
          <w:rFonts w:cs="Times New Roman"/>
        </w:rPr>
        <w:t xml:space="preserve">, </w:t>
      </w:r>
      <w:r w:rsidRPr="003B6E2D">
        <w:rPr>
          <w:rFonts w:cs="Times New Roman"/>
          <w:i/>
          <w:iCs/>
        </w:rPr>
        <w:t>7</w:t>
      </w:r>
      <w:r w:rsidRPr="003B6E2D">
        <w:rPr>
          <w:rFonts w:cs="Times New Roman"/>
        </w:rPr>
        <w:t>(1), 6. https://doi.org/10.1186/1467-4866-7-6</w:t>
      </w:r>
    </w:p>
    <w:p w14:paraId="7604388E" w14:textId="77777777" w:rsidR="003B6E2D" w:rsidRPr="003B6E2D" w:rsidRDefault="003B6E2D" w:rsidP="003B6E2D">
      <w:pPr>
        <w:pStyle w:val="Bibliography"/>
        <w:rPr>
          <w:rFonts w:cs="Times New Roman"/>
        </w:rPr>
      </w:pPr>
      <w:r w:rsidRPr="003B6E2D">
        <w:rPr>
          <w:rFonts w:cs="Times New Roman"/>
        </w:rPr>
        <w:t xml:space="preserve">Voorhees, J. P., Anderson, B. S., Phillips, B. M., &amp; Tjeerdema, R. S. (2017). Carbon Treatment as a Method to Remove Imidacloprid from Agriculture Runoff. </w:t>
      </w:r>
      <w:r w:rsidRPr="003B6E2D">
        <w:rPr>
          <w:rFonts w:cs="Times New Roman"/>
          <w:i/>
          <w:iCs/>
        </w:rPr>
        <w:t>Bulletin of Environmental Contamination and Toxicology</w:t>
      </w:r>
      <w:r w:rsidRPr="003B6E2D">
        <w:rPr>
          <w:rFonts w:cs="Times New Roman"/>
        </w:rPr>
        <w:t xml:space="preserve">, </w:t>
      </w:r>
      <w:r w:rsidRPr="003B6E2D">
        <w:rPr>
          <w:rFonts w:cs="Times New Roman"/>
          <w:i/>
          <w:iCs/>
        </w:rPr>
        <w:t>99</w:t>
      </w:r>
      <w:r w:rsidRPr="003B6E2D">
        <w:rPr>
          <w:rFonts w:cs="Times New Roman"/>
        </w:rPr>
        <w:t>(2), 200–202. https://doi.org/10.1007/s00128-017-2074-x</w:t>
      </w:r>
    </w:p>
    <w:p w14:paraId="1AFAA603" w14:textId="77777777" w:rsidR="003B6E2D" w:rsidRPr="003B6E2D" w:rsidRDefault="003B6E2D" w:rsidP="003B6E2D">
      <w:pPr>
        <w:pStyle w:val="Bibliography"/>
        <w:rPr>
          <w:rFonts w:cs="Times New Roman"/>
        </w:rPr>
      </w:pPr>
      <w:r w:rsidRPr="003B6E2D">
        <w:rPr>
          <w:rFonts w:cs="Times New Roman"/>
        </w:rPr>
        <w:t xml:space="preserve">Vordonis, L., Koutsoukos, P. G., Tzannini, A., &amp; Lycourghiotis, A. (1988). Uptake of inorganic orthophosphate by greek fly ashes characterized using various techniques. </w:t>
      </w:r>
      <w:r w:rsidRPr="003B6E2D">
        <w:rPr>
          <w:rFonts w:cs="Times New Roman"/>
          <w:i/>
          <w:iCs/>
        </w:rPr>
        <w:t>Colloids and Surfaces</w:t>
      </w:r>
      <w:r w:rsidRPr="003B6E2D">
        <w:rPr>
          <w:rFonts w:cs="Times New Roman"/>
        </w:rPr>
        <w:t xml:space="preserve">, </w:t>
      </w:r>
      <w:r w:rsidRPr="003B6E2D">
        <w:rPr>
          <w:rFonts w:cs="Times New Roman"/>
          <w:i/>
          <w:iCs/>
        </w:rPr>
        <w:t>34</w:t>
      </w:r>
      <w:r w:rsidRPr="003B6E2D">
        <w:rPr>
          <w:rFonts w:cs="Times New Roman"/>
        </w:rPr>
        <w:t>(1), 55–68. https://doi.org/10.1016/0166-6622(88)80081-7</w:t>
      </w:r>
    </w:p>
    <w:p w14:paraId="1CBF6F79" w14:textId="77777777" w:rsidR="003B6E2D" w:rsidRPr="003B6E2D" w:rsidRDefault="003B6E2D" w:rsidP="003B6E2D">
      <w:pPr>
        <w:pStyle w:val="Bibliography"/>
        <w:rPr>
          <w:rFonts w:cs="Times New Roman"/>
        </w:rPr>
      </w:pPr>
      <w:r w:rsidRPr="003B6E2D">
        <w:rPr>
          <w:rFonts w:cs="Times New Roman"/>
        </w:rPr>
        <w:t xml:space="preserve">Wang, S., Terdkiatburana, T., &amp; Tadé, M. O. (2008). Single and co-adsorption of heavy metals and humic acid on fly ash. </w:t>
      </w:r>
      <w:r w:rsidRPr="003B6E2D">
        <w:rPr>
          <w:rFonts w:cs="Times New Roman"/>
          <w:i/>
          <w:iCs/>
        </w:rPr>
        <w:t>Separation and Purification Technology</w:t>
      </w:r>
      <w:r w:rsidRPr="003B6E2D">
        <w:rPr>
          <w:rFonts w:cs="Times New Roman"/>
        </w:rPr>
        <w:t xml:space="preserve">, </w:t>
      </w:r>
      <w:r w:rsidRPr="003B6E2D">
        <w:rPr>
          <w:rFonts w:cs="Times New Roman"/>
          <w:i/>
          <w:iCs/>
        </w:rPr>
        <w:t>58</w:t>
      </w:r>
      <w:r w:rsidRPr="003B6E2D">
        <w:rPr>
          <w:rFonts w:cs="Times New Roman"/>
        </w:rPr>
        <w:t>(3), 353–358. https://doi.org/10.1016/j.seppur.2007.05.009</w:t>
      </w:r>
    </w:p>
    <w:p w14:paraId="77243924" w14:textId="77777777" w:rsidR="003B6E2D" w:rsidRPr="003B6E2D" w:rsidRDefault="003B6E2D" w:rsidP="003B6E2D">
      <w:pPr>
        <w:pStyle w:val="Bibliography"/>
        <w:rPr>
          <w:rFonts w:cs="Times New Roman"/>
        </w:rPr>
      </w:pPr>
      <w:r w:rsidRPr="003B6E2D">
        <w:rPr>
          <w:rFonts w:cs="Times New Roman"/>
        </w:rPr>
        <w:t xml:space="preserve">Wang, X., &amp; Cai, Q.-S. (2006). Steel Slag as an Iron Fertilizer for Corn Growth and Soil Improvement in a Pot Experiment. </w:t>
      </w:r>
      <w:r w:rsidRPr="003B6E2D">
        <w:rPr>
          <w:rFonts w:cs="Times New Roman"/>
          <w:i/>
          <w:iCs/>
        </w:rPr>
        <w:t>Pedosphere</w:t>
      </w:r>
      <w:r w:rsidRPr="003B6E2D">
        <w:rPr>
          <w:rFonts w:cs="Times New Roman"/>
        </w:rPr>
        <w:t xml:space="preserve">, </w:t>
      </w:r>
      <w:r w:rsidRPr="003B6E2D">
        <w:rPr>
          <w:rFonts w:cs="Times New Roman"/>
          <w:i/>
          <w:iCs/>
        </w:rPr>
        <w:t>16</w:t>
      </w:r>
      <w:r w:rsidRPr="003B6E2D">
        <w:rPr>
          <w:rFonts w:cs="Times New Roman"/>
        </w:rPr>
        <w:t>(4), 519–524. https://doi.org/10.1016/S1002-0160(06)60083-0</w:t>
      </w:r>
    </w:p>
    <w:p w14:paraId="43B0FF28" w14:textId="77777777" w:rsidR="003B6E2D" w:rsidRPr="003B6E2D" w:rsidRDefault="003B6E2D" w:rsidP="003B6E2D">
      <w:pPr>
        <w:pStyle w:val="Bibliography"/>
        <w:rPr>
          <w:rFonts w:cs="Times New Roman"/>
        </w:rPr>
      </w:pPr>
      <w:r w:rsidRPr="003B6E2D">
        <w:rPr>
          <w:rFonts w:cs="Times New Roman"/>
          <w:i/>
          <w:iCs/>
        </w:rPr>
        <w:lastRenderedPageBreak/>
        <w:t>Water Quality Standards | Oklahoma Water Resources Board</w:t>
      </w:r>
      <w:r w:rsidRPr="003B6E2D">
        <w:rPr>
          <w:rFonts w:cs="Times New Roman"/>
        </w:rPr>
        <w:t>. (n.d.). Retrieved November 3, 2021, from https://www.owrb.ok.gov/quality/standards/standards.php</w:t>
      </w:r>
    </w:p>
    <w:p w14:paraId="78397CB7" w14:textId="77777777" w:rsidR="003B6E2D" w:rsidRPr="003B6E2D" w:rsidRDefault="003B6E2D" w:rsidP="003B6E2D">
      <w:pPr>
        <w:pStyle w:val="Bibliography"/>
        <w:rPr>
          <w:rFonts w:cs="Times New Roman"/>
        </w:rPr>
      </w:pPr>
      <w:r w:rsidRPr="003B6E2D">
        <w:rPr>
          <w:rFonts w:cs="Times New Roman"/>
        </w:rPr>
        <w:t xml:space="preserve">Wickham, H., François, R., Henry, L., &amp; Müller, K. (2022). </w:t>
      </w:r>
      <w:r w:rsidRPr="003B6E2D">
        <w:rPr>
          <w:rFonts w:cs="Times New Roman"/>
          <w:i/>
          <w:iCs/>
        </w:rPr>
        <w:t>dplyr: A Grammar of Data Manipulation</w:t>
      </w:r>
      <w:r w:rsidRPr="003B6E2D">
        <w:rPr>
          <w:rFonts w:cs="Times New Roman"/>
        </w:rPr>
        <w:t xml:space="preserve"> (1.0.10). https://CRAN.R-project.org/package=dplyr</w:t>
      </w:r>
    </w:p>
    <w:p w14:paraId="50727ADB" w14:textId="77777777" w:rsidR="003B6E2D" w:rsidRPr="003B6E2D" w:rsidRDefault="003B6E2D" w:rsidP="003B6E2D">
      <w:pPr>
        <w:pStyle w:val="Bibliography"/>
        <w:rPr>
          <w:rFonts w:cs="Times New Roman"/>
        </w:rPr>
      </w:pPr>
      <w:r w:rsidRPr="003B6E2D">
        <w:rPr>
          <w:rFonts w:cs="Times New Roman"/>
        </w:rPr>
        <w:t xml:space="preserve">Wu, Q., You, R., Clark, M., &amp; Yu, Y. (2014). Pb(II) removal from aqueous solution by a low-cost adsorbent dry desulfurization slag. </w:t>
      </w:r>
      <w:r w:rsidRPr="003B6E2D">
        <w:rPr>
          <w:rFonts w:cs="Times New Roman"/>
          <w:i/>
          <w:iCs/>
        </w:rPr>
        <w:t>Applied Surface Science</w:t>
      </w:r>
      <w:r w:rsidRPr="003B6E2D">
        <w:rPr>
          <w:rFonts w:cs="Times New Roman"/>
        </w:rPr>
        <w:t xml:space="preserve">, </w:t>
      </w:r>
      <w:r w:rsidRPr="003B6E2D">
        <w:rPr>
          <w:rFonts w:cs="Times New Roman"/>
          <w:i/>
          <w:iCs/>
        </w:rPr>
        <w:t>314</w:t>
      </w:r>
      <w:r w:rsidRPr="003B6E2D">
        <w:rPr>
          <w:rFonts w:cs="Times New Roman"/>
        </w:rPr>
        <w:t>, 129–137. https://doi.org/10.1016/j.apsusc.2014.06.154</w:t>
      </w:r>
    </w:p>
    <w:p w14:paraId="52DFFF7F" w14:textId="77777777" w:rsidR="003B6E2D" w:rsidRPr="003B6E2D" w:rsidRDefault="003B6E2D" w:rsidP="003B6E2D">
      <w:pPr>
        <w:pStyle w:val="Bibliography"/>
        <w:rPr>
          <w:rFonts w:cs="Times New Roman"/>
        </w:rPr>
      </w:pPr>
      <w:r w:rsidRPr="003B6E2D">
        <w:rPr>
          <w:rFonts w:cs="Times New Roman"/>
        </w:rPr>
        <w:t xml:space="preserve">Yadava, K. P., Tyagi, B. S., Panday, K. K., &amp; Singh, V. N. (1987). Fly ash for the treatment of Cd(II) rich effluents. </w:t>
      </w:r>
      <w:r w:rsidRPr="003B6E2D">
        <w:rPr>
          <w:rFonts w:cs="Times New Roman"/>
          <w:i/>
          <w:iCs/>
        </w:rPr>
        <w:t>Environmental Technology Letters</w:t>
      </w:r>
      <w:r w:rsidRPr="003B6E2D">
        <w:rPr>
          <w:rFonts w:cs="Times New Roman"/>
        </w:rPr>
        <w:t xml:space="preserve">, </w:t>
      </w:r>
      <w:r w:rsidRPr="003B6E2D">
        <w:rPr>
          <w:rFonts w:cs="Times New Roman"/>
          <w:i/>
          <w:iCs/>
        </w:rPr>
        <w:t>8</w:t>
      </w:r>
      <w:r w:rsidRPr="003B6E2D">
        <w:rPr>
          <w:rFonts w:cs="Times New Roman"/>
        </w:rPr>
        <w:t>(1–12), 225–234. https://doi.org/10.1080/09593338709384482</w:t>
      </w:r>
    </w:p>
    <w:p w14:paraId="7659801A" w14:textId="77777777" w:rsidR="003B6E2D" w:rsidRPr="003B6E2D" w:rsidRDefault="003B6E2D" w:rsidP="003B6E2D">
      <w:pPr>
        <w:pStyle w:val="Bibliography"/>
        <w:rPr>
          <w:rFonts w:cs="Times New Roman"/>
        </w:rPr>
      </w:pPr>
      <w:r w:rsidRPr="003B6E2D">
        <w:rPr>
          <w:rFonts w:cs="Times New Roman"/>
        </w:rPr>
        <w:t xml:space="preserve">Yamamoto, I., Yabuta, G., Tomizawa, M., Saito, T., Miyamoto, T., &amp; Kagabu, S. (1995). Molecular Mechanism for Selective Toxicity of Nicotinoids and Neonicotinoids. </w:t>
      </w:r>
      <w:r w:rsidRPr="003B6E2D">
        <w:rPr>
          <w:rFonts w:cs="Times New Roman"/>
          <w:i/>
          <w:iCs/>
        </w:rPr>
        <w:t>Journal of Pesticide Science</w:t>
      </w:r>
      <w:r w:rsidRPr="003B6E2D">
        <w:rPr>
          <w:rFonts w:cs="Times New Roman"/>
        </w:rPr>
        <w:t xml:space="preserve">, </w:t>
      </w:r>
      <w:r w:rsidRPr="003B6E2D">
        <w:rPr>
          <w:rFonts w:cs="Times New Roman"/>
          <w:i/>
          <w:iCs/>
        </w:rPr>
        <w:t>20</w:t>
      </w:r>
      <w:r w:rsidRPr="003B6E2D">
        <w:rPr>
          <w:rFonts w:cs="Times New Roman"/>
        </w:rPr>
        <w:t>(1), 33–40. https://doi.org/10.1584/jpestics.20.33</w:t>
      </w:r>
    </w:p>
    <w:p w14:paraId="629464E6" w14:textId="77777777" w:rsidR="003B6E2D" w:rsidRPr="003B6E2D" w:rsidRDefault="003B6E2D" w:rsidP="003B6E2D">
      <w:pPr>
        <w:pStyle w:val="Bibliography"/>
        <w:rPr>
          <w:rFonts w:cs="Times New Roman"/>
        </w:rPr>
      </w:pPr>
      <w:r w:rsidRPr="003B6E2D">
        <w:rPr>
          <w:rFonts w:cs="Times New Roman"/>
        </w:rPr>
        <w:t xml:space="preserve">Yang, Y., Sun, K., Han, L., Jin, J., Sun, H., Yang, Y., &amp; Xing, B. (2018). Effect of minerals on the stability of biochar. </w:t>
      </w:r>
      <w:r w:rsidRPr="003B6E2D">
        <w:rPr>
          <w:rFonts w:cs="Times New Roman"/>
          <w:i/>
          <w:iCs/>
        </w:rPr>
        <w:t>Chemosphere</w:t>
      </w:r>
      <w:r w:rsidRPr="003B6E2D">
        <w:rPr>
          <w:rFonts w:cs="Times New Roman"/>
        </w:rPr>
        <w:t xml:space="preserve">, </w:t>
      </w:r>
      <w:r w:rsidRPr="003B6E2D">
        <w:rPr>
          <w:rFonts w:cs="Times New Roman"/>
          <w:i/>
          <w:iCs/>
        </w:rPr>
        <w:t>204</w:t>
      </w:r>
      <w:r w:rsidRPr="003B6E2D">
        <w:rPr>
          <w:rFonts w:cs="Times New Roman"/>
        </w:rPr>
        <w:t>, 310–317. https://doi.org/10.1016/j.chemosphere.2018.04.057</w:t>
      </w:r>
    </w:p>
    <w:p w14:paraId="71EFA458" w14:textId="77777777" w:rsidR="003B6E2D" w:rsidRPr="003B6E2D" w:rsidRDefault="003B6E2D" w:rsidP="003B6E2D">
      <w:pPr>
        <w:pStyle w:val="Bibliography"/>
        <w:rPr>
          <w:rFonts w:cs="Times New Roman"/>
        </w:rPr>
      </w:pPr>
      <w:r w:rsidRPr="003B6E2D">
        <w:rPr>
          <w:rFonts w:cs="Times New Roman"/>
        </w:rPr>
        <w:t xml:space="preserve">Yao, Y., Gao, B., Inyang, M., Zimmerman, A. R., Cao, X., Pullammanappallil, P., &amp; Yang, L. (2011). Removal of phosphate from aqueous solution by biochar derived from anaerobically digested sugar beet tailings. </w:t>
      </w:r>
      <w:r w:rsidRPr="003B6E2D">
        <w:rPr>
          <w:rFonts w:cs="Times New Roman"/>
          <w:i/>
          <w:iCs/>
        </w:rPr>
        <w:t>Journal of Hazardous Materials</w:t>
      </w:r>
      <w:r w:rsidRPr="003B6E2D">
        <w:rPr>
          <w:rFonts w:cs="Times New Roman"/>
        </w:rPr>
        <w:t xml:space="preserve">, </w:t>
      </w:r>
      <w:r w:rsidRPr="003B6E2D">
        <w:rPr>
          <w:rFonts w:cs="Times New Roman"/>
          <w:i/>
          <w:iCs/>
        </w:rPr>
        <w:t>190</w:t>
      </w:r>
      <w:r w:rsidRPr="003B6E2D">
        <w:rPr>
          <w:rFonts w:cs="Times New Roman"/>
        </w:rPr>
        <w:t>(1–3), 501–507. https://doi.org/10.1016/j.jhazmat.2011.03.083</w:t>
      </w:r>
    </w:p>
    <w:p w14:paraId="1180A72D" w14:textId="77777777" w:rsidR="003B6E2D" w:rsidRPr="003B6E2D" w:rsidRDefault="003B6E2D" w:rsidP="003B6E2D">
      <w:pPr>
        <w:pStyle w:val="Bibliography"/>
        <w:rPr>
          <w:rFonts w:cs="Times New Roman"/>
        </w:rPr>
      </w:pPr>
      <w:r w:rsidRPr="003B6E2D">
        <w:rPr>
          <w:rFonts w:cs="Times New Roman"/>
        </w:rPr>
        <w:t xml:space="preserve">You, X., Jiang, H., Zhao, M., Suo, F., Zhang, C., Zheng, H., Sun, K., Zhang, G., Li, F., &amp; Li, Y. (2020). Biochar reduced Chinese chive (Allium tuberosum) uptake and dissipation of </w:t>
      </w:r>
      <w:r w:rsidRPr="003B6E2D">
        <w:rPr>
          <w:rFonts w:cs="Times New Roman"/>
        </w:rPr>
        <w:lastRenderedPageBreak/>
        <w:t xml:space="preserve">thiamethoxam in an agricultural soil. </w:t>
      </w:r>
      <w:r w:rsidRPr="003B6E2D">
        <w:rPr>
          <w:rFonts w:cs="Times New Roman"/>
          <w:i/>
          <w:iCs/>
        </w:rPr>
        <w:t>Journal of Hazardous Materials</w:t>
      </w:r>
      <w:r w:rsidRPr="003B6E2D">
        <w:rPr>
          <w:rFonts w:cs="Times New Roman"/>
        </w:rPr>
        <w:t xml:space="preserve">, </w:t>
      </w:r>
      <w:r w:rsidRPr="003B6E2D">
        <w:rPr>
          <w:rFonts w:cs="Times New Roman"/>
          <w:i/>
          <w:iCs/>
        </w:rPr>
        <w:t>390</w:t>
      </w:r>
      <w:r w:rsidRPr="003B6E2D">
        <w:rPr>
          <w:rFonts w:cs="Times New Roman"/>
        </w:rPr>
        <w:t>, 121749. https://doi.org/10.1016/j.jhazmat.2019.121749</w:t>
      </w:r>
    </w:p>
    <w:p w14:paraId="0F9A2FB5" w14:textId="77777777" w:rsidR="003B6E2D" w:rsidRPr="003B6E2D" w:rsidRDefault="003B6E2D" w:rsidP="003B6E2D">
      <w:pPr>
        <w:pStyle w:val="Bibliography"/>
        <w:rPr>
          <w:rFonts w:cs="Times New Roman"/>
        </w:rPr>
      </w:pPr>
      <w:r w:rsidRPr="003B6E2D">
        <w:rPr>
          <w:rFonts w:cs="Times New Roman"/>
        </w:rPr>
        <w:t xml:space="preserve">Zhang, F.-S., &amp; Itoh, H. (2006). Photocatalytic oxidation and removal of arsenite from water using slag-iron oxide-TiO2 adsorbent. </w:t>
      </w:r>
      <w:r w:rsidRPr="003B6E2D">
        <w:rPr>
          <w:rFonts w:cs="Times New Roman"/>
          <w:i/>
          <w:iCs/>
        </w:rPr>
        <w:t>Chemosphere</w:t>
      </w:r>
      <w:r w:rsidRPr="003B6E2D">
        <w:rPr>
          <w:rFonts w:cs="Times New Roman"/>
        </w:rPr>
        <w:t xml:space="preserve">, </w:t>
      </w:r>
      <w:r w:rsidRPr="003B6E2D">
        <w:rPr>
          <w:rFonts w:cs="Times New Roman"/>
          <w:i/>
          <w:iCs/>
        </w:rPr>
        <w:t>65</w:t>
      </w:r>
      <w:r w:rsidRPr="003B6E2D">
        <w:rPr>
          <w:rFonts w:cs="Times New Roman"/>
        </w:rPr>
        <w:t>(1), 125–131. https://doi.org/10.1016/j.chemosphere.2006.02.027</w:t>
      </w:r>
    </w:p>
    <w:p w14:paraId="2924FBBC" w14:textId="77777777" w:rsidR="003B6E2D" w:rsidRPr="003B6E2D" w:rsidRDefault="003B6E2D" w:rsidP="003B6E2D">
      <w:pPr>
        <w:pStyle w:val="Bibliography"/>
        <w:rPr>
          <w:rFonts w:cs="Times New Roman"/>
        </w:rPr>
      </w:pPr>
      <w:r w:rsidRPr="003B6E2D">
        <w:rPr>
          <w:rFonts w:cs="Times New Roman"/>
        </w:rPr>
        <w:t xml:space="preserve">Zhang, P., Sun, H., Ren, C., Min, L., &amp; Zhang, H. (2018). Sorption mechanisms of neonicotinoids on biochars and the impact of deashing treatments on biochar structure and neonicotinoids sorption. </w:t>
      </w:r>
      <w:r w:rsidRPr="003B6E2D">
        <w:rPr>
          <w:rFonts w:cs="Times New Roman"/>
          <w:i/>
          <w:iCs/>
        </w:rPr>
        <w:t>Environmental Pollution</w:t>
      </w:r>
      <w:r w:rsidRPr="003B6E2D">
        <w:rPr>
          <w:rFonts w:cs="Times New Roman"/>
        </w:rPr>
        <w:t xml:space="preserve">, </w:t>
      </w:r>
      <w:r w:rsidRPr="003B6E2D">
        <w:rPr>
          <w:rFonts w:cs="Times New Roman"/>
          <w:i/>
          <w:iCs/>
        </w:rPr>
        <w:t>234</w:t>
      </w:r>
      <w:r w:rsidRPr="003B6E2D">
        <w:rPr>
          <w:rFonts w:cs="Times New Roman"/>
        </w:rPr>
        <w:t>, 812–820. https://doi.org/10.1016/j.envpol.2017.12.013</w:t>
      </w:r>
    </w:p>
    <w:p w14:paraId="0ADA31FE" w14:textId="77777777" w:rsidR="003B6E2D" w:rsidRPr="003B6E2D" w:rsidRDefault="003B6E2D" w:rsidP="003B6E2D">
      <w:pPr>
        <w:pStyle w:val="Bibliography"/>
        <w:rPr>
          <w:rFonts w:cs="Times New Roman"/>
        </w:rPr>
      </w:pPr>
      <w:r w:rsidRPr="003B6E2D">
        <w:rPr>
          <w:rFonts w:cs="Times New Roman"/>
        </w:rPr>
        <w:t xml:space="preserve">Zhang, W., Brown, G. O., Storm, D. E., &amp; Zhang, H. (2008). Fly-Ash-Amended Sand as Filter Media in Bioretention Cells to Improve Phosphorus Removal. </w:t>
      </w:r>
      <w:r w:rsidRPr="003B6E2D">
        <w:rPr>
          <w:rFonts w:cs="Times New Roman"/>
          <w:i/>
          <w:iCs/>
        </w:rPr>
        <w:t>Water Environment Research</w:t>
      </w:r>
      <w:r w:rsidRPr="003B6E2D">
        <w:rPr>
          <w:rFonts w:cs="Times New Roman"/>
        </w:rPr>
        <w:t xml:space="preserve">, </w:t>
      </w:r>
      <w:r w:rsidRPr="003B6E2D">
        <w:rPr>
          <w:rFonts w:cs="Times New Roman"/>
          <w:i/>
          <w:iCs/>
        </w:rPr>
        <w:t>80</w:t>
      </w:r>
      <w:r w:rsidRPr="003B6E2D">
        <w:rPr>
          <w:rFonts w:cs="Times New Roman"/>
        </w:rPr>
        <w:t>(6), 507–516. https://doi.org/10.2175/106143008X266823</w:t>
      </w:r>
    </w:p>
    <w:p w14:paraId="6FBC96D1" w14:textId="77777777" w:rsidR="003B6E2D" w:rsidRPr="003B6E2D" w:rsidRDefault="003B6E2D" w:rsidP="003B6E2D">
      <w:pPr>
        <w:pStyle w:val="Bibliography"/>
        <w:rPr>
          <w:rFonts w:cs="Times New Roman"/>
        </w:rPr>
      </w:pPr>
      <w:r w:rsidRPr="003B6E2D">
        <w:rPr>
          <w:rFonts w:cs="Times New Roman"/>
        </w:rPr>
        <w:t xml:space="preserve">Zhang, X., Chen, J., Jiang, J., Li, J., Tyagi, R. D., &amp; Surampalli, R. Y. (2020). The potential utilization of slag generated from iron- and steelmaking industries: A review. </w:t>
      </w:r>
      <w:r w:rsidRPr="003B6E2D">
        <w:rPr>
          <w:rFonts w:cs="Times New Roman"/>
          <w:i/>
          <w:iCs/>
        </w:rPr>
        <w:t>Environ Geochem Health</w:t>
      </w:r>
      <w:r w:rsidRPr="003B6E2D">
        <w:rPr>
          <w:rFonts w:cs="Times New Roman"/>
        </w:rPr>
        <w:t xml:space="preserve">, </w:t>
      </w:r>
      <w:r w:rsidRPr="003B6E2D">
        <w:rPr>
          <w:rFonts w:cs="Times New Roman"/>
          <w:i/>
          <w:iCs/>
        </w:rPr>
        <w:t>42</w:t>
      </w:r>
      <w:r w:rsidRPr="003B6E2D">
        <w:rPr>
          <w:rFonts w:cs="Times New Roman"/>
        </w:rPr>
        <w:t>, 1321–1334. https://doi.org/10.1007/s10653-019-00419-y</w:t>
      </w:r>
    </w:p>
    <w:p w14:paraId="30F2BCF3" w14:textId="77777777" w:rsidR="003B6E2D" w:rsidRPr="003B6E2D" w:rsidRDefault="003B6E2D" w:rsidP="003B6E2D">
      <w:pPr>
        <w:pStyle w:val="Bibliography"/>
        <w:rPr>
          <w:rFonts w:cs="Times New Roman"/>
        </w:rPr>
      </w:pPr>
      <w:r w:rsidRPr="003B6E2D">
        <w:rPr>
          <w:rFonts w:cs="Times New Roman"/>
        </w:rPr>
        <w:t xml:space="preserve">Zhou, D., Ghosh, S., Zhang, D., Liang, N., Dong, X., Wu, M., &amp; Pan, B. (2016). Role of Ash Content in Biochar for Copper Immobilization. </w:t>
      </w:r>
      <w:r w:rsidRPr="003B6E2D">
        <w:rPr>
          <w:rFonts w:cs="Times New Roman"/>
          <w:i/>
          <w:iCs/>
        </w:rPr>
        <w:t>Environmental Engineering Science</w:t>
      </w:r>
      <w:r w:rsidRPr="003B6E2D">
        <w:rPr>
          <w:rFonts w:cs="Times New Roman"/>
        </w:rPr>
        <w:t xml:space="preserve">, </w:t>
      </w:r>
      <w:r w:rsidRPr="003B6E2D">
        <w:rPr>
          <w:rFonts w:cs="Times New Roman"/>
          <w:i/>
          <w:iCs/>
        </w:rPr>
        <w:t>33</w:t>
      </w:r>
      <w:r w:rsidRPr="003B6E2D">
        <w:rPr>
          <w:rFonts w:cs="Times New Roman"/>
        </w:rPr>
        <w:t>(12), 962–969. https://doi.org/10.1089/ees.2016.0042</w:t>
      </w:r>
    </w:p>
    <w:p w14:paraId="6B4774D7" w14:textId="77777777" w:rsidR="003B6E2D" w:rsidRPr="003B6E2D" w:rsidRDefault="003B6E2D" w:rsidP="003B6E2D">
      <w:pPr>
        <w:pStyle w:val="Bibliography"/>
        <w:rPr>
          <w:rFonts w:cs="Times New Roman"/>
        </w:rPr>
      </w:pPr>
      <w:r w:rsidRPr="003B6E2D">
        <w:rPr>
          <w:rFonts w:cs="Times New Roman"/>
        </w:rPr>
        <w:t xml:space="preserve">Zuo, M., Renman, G., Gustafsson, J. P., &amp; Klysubun, W. (2018). Phosphorus removal by slag depends on its mineralogical composition: A comparative study of AOD and EAF slags. </w:t>
      </w:r>
      <w:r w:rsidRPr="003B6E2D">
        <w:rPr>
          <w:rFonts w:cs="Times New Roman"/>
          <w:i/>
          <w:iCs/>
        </w:rPr>
        <w:t>Journal of Water Process Engineering</w:t>
      </w:r>
      <w:r w:rsidRPr="003B6E2D">
        <w:rPr>
          <w:rFonts w:cs="Times New Roman"/>
        </w:rPr>
        <w:t xml:space="preserve">, </w:t>
      </w:r>
      <w:r w:rsidRPr="003B6E2D">
        <w:rPr>
          <w:rFonts w:cs="Times New Roman"/>
          <w:i/>
          <w:iCs/>
        </w:rPr>
        <w:t>25</w:t>
      </w:r>
      <w:r w:rsidRPr="003B6E2D">
        <w:rPr>
          <w:rFonts w:cs="Times New Roman"/>
        </w:rPr>
        <w:t>, 105–112. https://doi.org/10.1016/j.jwpe.2018.07.003</w:t>
      </w:r>
    </w:p>
    <w:p w14:paraId="7B1F4BF6" w14:textId="7AB20916" w:rsidR="003B6E2D" w:rsidRDefault="003B6E2D" w:rsidP="003B6E2D">
      <w:r>
        <w:fldChar w:fldCharType="end"/>
      </w:r>
      <w:r>
        <w:br w:type="page"/>
      </w:r>
    </w:p>
    <w:p w14:paraId="3B2DF89F" w14:textId="318B1603" w:rsidR="003B6E2D" w:rsidRDefault="003B6E2D" w:rsidP="003B6E2D">
      <w:pPr>
        <w:pStyle w:val="Heading1"/>
      </w:pPr>
      <w:bookmarkStart w:id="176" w:name="_Toc121496041"/>
      <w:r>
        <w:lastRenderedPageBreak/>
        <w:t>Appendix</w:t>
      </w:r>
      <w:bookmarkEnd w:id="176"/>
    </w:p>
    <w:p w14:paraId="11FC7423" w14:textId="18A98717" w:rsidR="00302953" w:rsidRDefault="00302953" w:rsidP="00302953">
      <w:pPr>
        <w:spacing w:line="240" w:lineRule="auto"/>
        <w:jc w:val="left"/>
      </w:pPr>
    </w:p>
    <w:p w14:paraId="1D000F26" w14:textId="38258FDD" w:rsidR="00302953" w:rsidRPr="00C6587B" w:rsidRDefault="00302953" w:rsidP="00302953">
      <w:pPr>
        <w:pStyle w:val="Caption"/>
        <w:rPr>
          <w:rFonts w:cs="Times New Roman"/>
          <w:noProof/>
        </w:rPr>
      </w:pPr>
      <w:bookmarkStart w:id="177" w:name="_Toc121494154"/>
      <w:bookmarkStart w:id="178" w:name="_Toc121495939"/>
      <w:r>
        <w:t xml:space="preserve">Table </w:t>
      </w:r>
      <w:fldSimple w:instr=" STYLEREF 1 \s ">
        <w:r w:rsidR="00061096">
          <w:rPr>
            <w:noProof/>
          </w:rPr>
          <w:t>10</w:t>
        </w:r>
      </w:fldSimple>
      <w:r w:rsidR="00B26DDF">
        <w:noBreakHyphen/>
      </w:r>
      <w:fldSimple w:instr=" SEQ Table \* ARABIC \s 1 ">
        <w:r w:rsidR="00061096">
          <w:rPr>
            <w:noProof/>
          </w:rPr>
          <w:t>1</w:t>
        </w:r>
      </w:fldSimple>
      <w:r>
        <w:t xml:space="preserve"> </w:t>
      </w:r>
      <w:r w:rsidRPr="00770477">
        <w:rPr>
          <w:rFonts w:cs="Times New Roman"/>
          <w:noProof/>
        </w:rPr>
        <w:t>Run and media combinations</w:t>
      </w:r>
      <w:bookmarkEnd w:id="177"/>
      <w:bookmarkEnd w:id="178"/>
    </w:p>
    <w:tbl>
      <w:tblPr>
        <w:tblStyle w:val="PlainTable5"/>
        <w:tblW w:w="6750" w:type="dxa"/>
        <w:tblLook w:val="04A0" w:firstRow="1" w:lastRow="0" w:firstColumn="1" w:lastColumn="0" w:noHBand="0" w:noVBand="1"/>
      </w:tblPr>
      <w:tblGrid>
        <w:gridCol w:w="680"/>
        <w:gridCol w:w="1040"/>
        <w:gridCol w:w="2600"/>
        <w:gridCol w:w="1440"/>
        <w:gridCol w:w="990"/>
      </w:tblGrid>
      <w:tr w:rsidR="00302953" w:rsidRPr="00770477" w14:paraId="74B37482" w14:textId="77777777" w:rsidTr="00622DCD">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680" w:type="dxa"/>
            <w:hideMark/>
          </w:tcPr>
          <w:p w14:paraId="2651F3A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Run</w:t>
            </w:r>
          </w:p>
        </w:tc>
        <w:tc>
          <w:tcPr>
            <w:tcW w:w="1040" w:type="dxa"/>
            <w:hideMark/>
          </w:tcPr>
          <w:p w14:paraId="30FC44A0"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Column</w:t>
            </w:r>
          </w:p>
        </w:tc>
        <w:tc>
          <w:tcPr>
            <w:tcW w:w="2600" w:type="dxa"/>
            <w:hideMark/>
          </w:tcPr>
          <w:p w14:paraId="58E17F7F"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Media Type</w:t>
            </w:r>
          </w:p>
        </w:tc>
        <w:tc>
          <w:tcPr>
            <w:tcW w:w="1440" w:type="dxa"/>
            <w:hideMark/>
          </w:tcPr>
          <w:p w14:paraId="5DE50F04"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Media Size</w:t>
            </w:r>
          </w:p>
        </w:tc>
        <w:tc>
          <w:tcPr>
            <w:tcW w:w="990" w:type="dxa"/>
            <w:hideMark/>
          </w:tcPr>
          <w:p w14:paraId="377DEB2A"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Sand?</w:t>
            </w:r>
          </w:p>
        </w:tc>
      </w:tr>
      <w:tr w:rsidR="00302953" w:rsidRPr="00770477" w14:paraId="629EA11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80" w:type="dxa"/>
            <w:noWrap/>
            <w:hideMark/>
          </w:tcPr>
          <w:p w14:paraId="23899FA8" w14:textId="77777777" w:rsidR="00302953" w:rsidRPr="00770477" w:rsidRDefault="00302953" w:rsidP="00622DCD">
            <w:pPr>
              <w:spacing w:line="240" w:lineRule="auto"/>
              <w:jc w:val="right"/>
              <w:rPr>
                <w:rFonts w:eastAsia="Times New Roman" w:cs="Times New Roman"/>
                <w:color w:val="000000"/>
              </w:rPr>
            </w:pPr>
            <w:r w:rsidRPr="00770477">
              <w:rPr>
                <w:rFonts w:eastAsia="Times New Roman" w:cs="Times New Roman"/>
                <w:color w:val="000000"/>
              </w:rPr>
              <w:t>1</w:t>
            </w:r>
          </w:p>
        </w:tc>
        <w:tc>
          <w:tcPr>
            <w:tcW w:w="1040" w:type="dxa"/>
            <w:hideMark/>
          </w:tcPr>
          <w:p w14:paraId="71BEB06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2600" w:type="dxa"/>
            <w:hideMark/>
          </w:tcPr>
          <w:p w14:paraId="3B81EDA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Aggregated f</w:t>
            </w:r>
            <w:r w:rsidRPr="00770477">
              <w:rPr>
                <w:rFonts w:eastAsia="Times New Roman" w:cs="Times New Roman"/>
                <w:color w:val="000000"/>
              </w:rPr>
              <w:t>ly Ash</w:t>
            </w:r>
          </w:p>
        </w:tc>
        <w:tc>
          <w:tcPr>
            <w:tcW w:w="1440" w:type="dxa"/>
            <w:hideMark/>
          </w:tcPr>
          <w:p w14:paraId="02870D4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Large</w:t>
            </w:r>
          </w:p>
        </w:tc>
        <w:tc>
          <w:tcPr>
            <w:tcW w:w="990" w:type="dxa"/>
            <w:hideMark/>
          </w:tcPr>
          <w:p w14:paraId="12159FC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r>
      <w:tr w:rsidR="00302953" w:rsidRPr="00770477" w14:paraId="4AF3A06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680" w:type="dxa"/>
            <w:noWrap/>
            <w:hideMark/>
          </w:tcPr>
          <w:p w14:paraId="7A9677AB" w14:textId="77777777" w:rsidR="00302953" w:rsidRPr="00770477" w:rsidRDefault="00302953" w:rsidP="00622DCD">
            <w:pPr>
              <w:spacing w:line="240" w:lineRule="auto"/>
              <w:jc w:val="right"/>
              <w:rPr>
                <w:rFonts w:eastAsia="Times New Roman" w:cs="Times New Roman"/>
                <w:color w:val="000000"/>
              </w:rPr>
            </w:pPr>
            <w:r w:rsidRPr="00770477">
              <w:rPr>
                <w:rFonts w:eastAsia="Times New Roman" w:cs="Times New Roman"/>
                <w:color w:val="000000"/>
              </w:rPr>
              <w:t>1</w:t>
            </w:r>
          </w:p>
        </w:tc>
        <w:tc>
          <w:tcPr>
            <w:tcW w:w="1040" w:type="dxa"/>
            <w:hideMark/>
          </w:tcPr>
          <w:p w14:paraId="7979E18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2600" w:type="dxa"/>
            <w:hideMark/>
          </w:tcPr>
          <w:p w14:paraId="53CE663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rPr>
              <w:t>Aggregated f</w:t>
            </w:r>
            <w:r w:rsidRPr="00770477">
              <w:rPr>
                <w:rFonts w:eastAsia="Times New Roman" w:cs="Times New Roman"/>
                <w:color w:val="000000"/>
              </w:rPr>
              <w:t>ly Ash</w:t>
            </w:r>
          </w:p>
        </w:tc>
        <w:tc>
          <w:tcPr>
            <w:tcW w:w="1440" w:type="dxa"/>
            <w:hideMark/>
          </w:tcPr>
          <w:p w14:paraId="30351CC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Small</w:t>
            </w:r>
          </w:p>
        </w:tc>
        <w:tc>
          <w:tcPr>
            <w:tcW w:w="990" w:type="dxa"/>
            <w:hideMark/>
          </w:tcPr>
          <w:p w14:paraId="009E10B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r>
      <w:tr w:rsidR="00302953" w:rsidRPr="00770477" w14:paraId="74F6DA5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80" w:type="dxa"/>
            <w:noWrap/>
            <w:hideMark/>
          </w:tcPr>
          <w:p w14:paraId="7F5CA504" w14:textId="77777777" w:rsidR="00302953" w:rsidRPr="00770477" w:rsidRDefault="00302953" w:rsidP="00622DCD">
            <w:pPr>
              <w:spacing w:line="240" w:lineRule="auto"/>
              <w:jc w:val="right"/>
              <w:rPr>
                <w:rFonts w:eastAsia="Times New Roman" w:cs="Times New Roman"/>
                <w:color w:val="000000"/>
              </w:rPr>
            </w:pPr>
            <w:r w:rsidRPr="00770477">
              <w:rPr>
                <w:rFonts w:eastAsia="Times New Roman" w:cs="Times New Roman"/>
                <w:color w:val="000000"/>
              </w:rPr>
              <w:t>1</w:t>
            </w:r>
          </w:p>
        </w:tc>
        <w:tc>
          <w:tcPr>
            <w:tcW w:w="1040" w:type="dxa"/>
            <w:hideMark/>
          </w:tcPr>
          <w:p w14:paraId="203398D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2600" w:type="dxa"/>
            <w:hideMark/>
          </w:tcPr>
          <w:p w14:paraId="767A684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Steel Slag</w:t>
            </w:r>
          </w:p>
        </w:tc>
        <w:tc>
          <w:tcPr>
            <w:tcW w:w="1440" w:type="dxa"/>
            <w:hideMark/>
          </w:tcPr>
          <w:p w14:paraId="50FEA01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Small</w:t>
            </w:r>
          </w:p>
        </w:tc>
        <w:tc>
          <w:tcPr>
            <w:tcW w:w="990" w:type="dxa"/>
            <w:hideMark/>
          </w:tcPr>
          <w:p w14:paraId="5351675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r>
      <w:tr w:rsidR="00302953" w:rsidRPr="00770477" w14:paraId="77CD891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680" w:type="dxa"/>
            <w:noWrap/>
            <w:hideMark/>
          </w:tcPr>
          <w:p w14:paraId="3D22EBA3" w14:textId="77777777" w:rsidR="00302953" w:rsidRPr="00770477" w:rsidRDefault="00302953" w:rsidP="00622DCD">
            <w:pPr>
              <w:spacing w:line="240" w:lineRule="auto"/>
              <w:jc w:val="right"/>
              <w:rPr>
                <w:rFonts w:eastAsia="Times New Roman" w:cs="Times New Roman"/>
                <w:color w:val="000000"/>
              </w:rPr>
            </w:pPr>
            <w:r w:rsidRPr="00770477">
              <w:rPr>
                <w:rFonts w:eastAsia="Times New Roman" w:cs="Times New Roman"/>
                <w:color w:val="000000"/>
              </w:rPr>
              <w:t>1</w:t>
            </w:r>
          </w:p>
        </w:tc>
        <w:tc>
          <w:tcPr>
            <w:tcW w:w="1040" w:type="dxa"/>
            <w:hideMark/>
          </w:tcPr>
          <w:p w14:paraId="7FB6905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w:t>
            </w:r>
          </w:p>
        </w:tc>
        <w:tc>
          <w:tcPr>
            <w:tcW w:w="2600" w:type="dxa"/>
            <w:hideMark/>
          </w:tcPr>
          <w:p w14:paraId="19CB9E4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Influent</w:t>
            </w:r>
          </w:p>
        </w:tc>
        <w:tc>
          <w:tcPr>
            <w:tcW w:w="1440" w:type="dxa"/>
            <w:hideMark/>
          </w:tcPr>
          <w:p w14:paraId="33834F9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Influent</w:t>
            </w:r>
          </w:p>
        </w:tc>
        <w:tc>
          <w:tcPr>
            <w:tcW w:w="990" w:type="dxa"/>
            <w:hideMark/>
          </w:tcPr>
          <w:p w14:paraId="4F908F1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r>
      <w:tr w:rsidR="00302953" w:rsidRPr="00770477" w14:paraId="5054BCA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80" w:type="dxa"/>
            <w:noWrap/>
            <w:hideMark/>
          </w:tcPr>
          <w:p w14:paraId="23122D1A" w14:textId="77777777" w:rsidR="00302953" w:rsidRPr="00770477" w:rsidRDefault="00302953" w:rsidP="00622DCD">
            <w:pPr>
              <w:spacing w:line="240" w:lineRule="auto"/>
              <w:jc w:val="right"/>
              <w:rPr>
                <w:rFonts w:eastAsia="Times New Roman" w:cs="Times New Roman"/>
                <w:color w:val="000000"/>
              </w:rPr>
            </w:pPr>
            <w:r w:rsidRPr="00770477">
              <w:rPr>
                <w:rFonts w:eastAsia="Times New Roman" w:cs="Times New Roman"/>
                <w:color w:val="000000"/>
              </w:rPr>
              <w:t>2</w:t>
            </w:r>
          </w:p>
        </w:tc>
        <w:tc>
          <w:tcPr>
            <w:tcW w:w="1040" w:type="dxa"/>
            <w:hideMark/>
          </w:tcPr>
          <w:p w14:paraId="0B58F2D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2600" w:type="dxa"/>
            <w:hideMark/>
          </w:tcPr>
          <w:p w14:paraId="6E683AD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Biochar</w:t>
            </w:r>
          </w:p>
        </w:tc>
        <w:tc>
          <w:tcPr>
            <w:tcW w:w="1440" w:type="dxa"/>
            <w:hideMark/>
          </w:tcPr>
          <w:p w14:paraId="2FA6B1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Small</w:t>
            </w:r>
          </w:p>
        </w:tc>
        <w:tc>
          <w:tcPr>
            <w:tcW w:w="990" w:type="dxa"/>
            <w:hideMark/>
          </w:tcPr>
          <w:p w14:paraId="290217B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r>
      <w:tr w:rsidR="00302953" w:rsidRPr="00770477" w14:paraId="6B5961A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680" w:type="dxa"/>
            <w:noWrap/>
            <w:hideMark/>
          </w:tcPr>
          <w:p w14:paraId="5DD6C941" w14:textId="77777777" w:rsidR="00302953" w:rsidRPr="00770477" w:rsidRDefault="00302953" w:rsidP="00622DCD">
            <w:pPr>
              <w:spacing w:line="240" w:lineRule="auto"/>
              <w:jc w:val="right"/>
              <w:rPr>
                <w:rFonts w:eastAsia="Times New Roman" w:cs="Times New Roman"/>
                <w:color w:val="000000"/>
              </w:rPr>
            </w:pPr>
            <w:r w:rsidRPr="00770477">
              <w:rPr>
                <w:rFonts w:eastAsia="Times New Roman" w:cs="Times New Roman"/>
                <w:color w:val="000000"/>
              </w:rPr>
              <w:t>2</w:t>
            </w:r>
          </w:p>
        </w:tc>
        <w:tc>
          <w:tcPr>
            <w:tcW w:w="1040" w:type="dxa"/>
            <w:hideMark/>
          </w:tcPr>
          <w:p w14:paraId="13F3BA5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2600" w:type="dxa"/>
            <w:hideMark/>
          </w:tcPr>
          <w:p w14:paraId="0840CC3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Biochar</w:t>
            </w:r>
          </w:p>
        </w:tc>
        <w:tc>
          <w:tcPr>
            <w:tcW w:w="1440" w:type="dxa"/>
            <w:hideMark/>
          </w:tcPr>
          <w:p w14:paraId="38E7125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Large</w:t>
            </w:r>
          </w:p>
        </w:tc>
        <w:tc>
          <w:tcPr>
            <w:tcW w:w="990" w:type="dxa"/>
            <w:hideMark/>
          </w:tcPr>
          <w:p w14:paraId="13B6EAC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r>
      <w:tr w:rsidR="00302953" w:rsidRPr="00770477" w14:paraId="399C031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80" w:type="dxa"/>
            <w:noWrap/>
            <w:hideMark/>
          </w:tcPr>
          <w:p w14:paraId="5F034410" w14:textId="77777777" w:rsidR="00302953" w:rsidRPr="00770477" w:rsidRDefault="00302953" w:rsidP="00622DCD">
            <w:pPr>
              <w:spacing w:line="240" w:lineRule="auto"/>
              <w:jc w:val="right"/>
              <w:rPr>
                <w:rFonts w:eastAsia="Times New Roman" w:cs="Times New Roman"/>
                <w:color w:val="000000"/>
              </w:rPr>
            </w:pPr>
            <w:r w:rsidRPr="00770477">
              <w:rPr>
                <w:rFonts w:eastAsia="Times New Roman" w:cs="Times New Roman"/>
                <w:color w:val="000000"/>
              </w:rPr>
              <w:t>2</w:t>
            </w:r>
          </w:p>
        </w:tc>
        <w:tc>
          <w:tcPr>
            <w:tcW w:w="1040" w:type="dxa"/>
            <w:hideMark/>
          </w:tcPr>
          <w:p w14:paraId="1B570D4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2600" w:type="dxa"/>
            <w:hideMark/>
          </w:tcPr>
          <w:p w14:paraId="75A5331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Steel Slag</w:t>
            </w:r>
          </w:p>
        </w:tc>
        <w:tc>
          <w:tcPr>
            <w:tcW w:w="1440" w:type="dxa"/>
            <w:hideMark/>
          </w:tcPr>
          <w:p w14:paraId="5DA69C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Large</w:t>
            </w:r>
          </w:p>
        </w:tc>
        <w:tc>
          <w:tcPr>
            <w:tcW w:w="990" w:type="dxa"/>
            <w:hideMark/>
          </w:tcPr>
          <w:p w14:paraId="5BD29B4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r>
      <w:tr w:rsidR="00302953" w:rsidRPr="00770477" w14:paraId="5265545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680" w:type="dxa"/>
            <w:noWrap/>
            <w:hideMark/>
          </w:tcPr>
          <w:p w14:paraId="312FF681" w14:textId="77777777" w:rsidR="00302953" w:rsidRPr="00770477" w:rsidRDefault="00302953" w:rsidP="00622DCD">
            <w:pPr>
              <w:spacing w:line="240" w:lineRule="auto"/>
              <w:jc w:val="right"/>
              <w:rPr>
                <w:rFonts w:eastAsia="Times New Roman" w:cs="Times New Roman"/>
                <w:color w:val="000000"/>
              </w:rPr>
            </w:pPr>
            <w:r w:rsidRPr="00770477">
              <w:rPr>
                <w:rFonts w:eastAsia="Times New Roman" w:cs="Times New Roman"/>
                <w:color w:val="000000"/>
              </w:rPr>
              <w:t>2</w:t>
            </w:r>
          </w:p>
        </w:tc>
        <w:tc>
          <w:tcPr>
            <w:tcW w:w="1040" w:type="dxa"/>
            <w:hideMark/>
          </w:tcPr>
          <w:p w14:paraId="1810889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w:t>
            </w:r>
          </w:p>
        </w:tc>
        <w:tc>
          <w:tcPr>
            <w:tcW w:w="2600" w:type="dxa"/>
            <w:hideMark/>
          </w:tcPr>
          <w:p w14:paraId="4D548E2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Influent</w:t>
            </w:r>
          </w:p>
        </w:tc>
        <w:tc>
          <w:tcPr>
            <w:tcW w:w="1440" w:type="dxa"/>
            <w:hideMark/>
          </w:tcPr>
          <w:p w14:paraId="3FDF2A3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Influent</w:t>
            </w:r>
          </w:p>
        </w:tc>
        <w:tc>
          <w:tcPr>
            <w:tcW w:w="990" w:type="dxa"/>
            <w:hideMark/>
          </w:tcPr>
          <w:p w14:paraId="6F635FF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r>
      <w:tr w:rsidR="00302953" w:rsidRPr="00770477" w14:paraId="3BD3BD5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80" w:type="dxa"/>
            <w:noWrap/>
            <w:hideMark/>
          </w:tcPr>
          <w:p w14:paraId="146207CB" w14:textId="77777777" w:rsidR="00302953" w:rsidRPr="00770477" w:rsidRDefault="00302953" w:rsidP="00622DCD">
            <w:pPr>
              <w:spacing w:line="240" w:lineRule="auto"/>
              <w:jc w:val="right"/>
              <w:rPr>
                <w:rFonts w:eastAsia="Times New Roman" w:cs="Times New Roman"/>
                <w:color w:val="000000"/>
              </w:rPr>
            </w:pPr>
            <w:r w:rsidRPr="00770477">
              <w:rPr>
                <w:rFonts w:eastAsia="Times New Roman" w:cs="Times New Roman"/>
                <w:color w:val="000000"/>
              </w:rPr>
              <w:t>10</w:t>
            </w:r>
          </w:p>
        </w:tc>
        <w:tc>
          <w:tcPr>
            <w:tcW w:w="1040" w:type="dxa"/>
            <w:hideMark/>
          </w:tcPr>
          <w:p w14:paraId="0FD1BD5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2600" w:type="dxa"/>
            <w:hideMark/>
          </w:tcPr>
          <w:p w14:paraId="7C591D6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Steel Slag</w:t>
            </w:r>
          </w:p>
        </w:tc>
        <w:tc>
          <w:tcPr>
            <w:tcW w:w="1440" w:type="dxa"/>
            <w:hideMark/>
          </w:tcPr>
          <w:p w14:paraId="01C9C2C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Small</w:t>
            </w:r>
          </w:p>
        </w:tc>
        <w:tc>
          <w:tcPr>
            <w:tcW w:w="990" w:type="dxa"/>
            <w:hideMark/>
          </w:tcPr>
          <w:p w14:paraId="3440FA6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r>
      <w:tr w:rsidR="00302953" w:rsidRPr="00770477" w14:paraId="0DD61C1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680" w:type="dxa"/>
            <w:noWrap/>
            <w:hideMark/>
          </w:tcPr>
          <w:p w14:paraId="451323EB" w14:textId="77777777" w:rsidR="00302953" w:rsidRPr="00770477" w:rsidRDefault="00302953" w:rsidP="00622DCD">
            <w:pPr>
              <w:spacing w:line="240" w:lineRule="auto"/>
              <w:jc w:val="right"/>
              <w:rPr>
                <w:rFonts w:eastAsia="Times New Roman" w:cs="Times New Roman"/>
                <w:color w:val="000000"/>
              </w:rPr>
            </w:pPr>
            <w:r w:rsidRPr="00770477">
              <w:rPr>
                <w:rFonts w:eastAsia="Times New Roman" w:cs="Times New Roman"/>
                <w:color w:val="000000"/>
              </w:rPr>
              <w:t>10</w:t>
            </w:r>
          </w:p>
        </w:tc>
        <w:tc>
          <w:tcPr>
            <w:tcW w:w="1040" w:type="dxa"/>
            <w:hideMark/>
          </w:tcPr>
          <w:p w14:paraId="0A55D78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2600" w:type="dxa"/>
            <w:hideMark/>
          </w:tcPr>
          <w:p w14:paraId="1A38F6E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Biochar</w:t>
            </w:r>
          </w:p>
        </w:tc>
        <w:tc>
          <w:tcPr>
            <w:tcW w:w="1440" w:type="dxa"/>
            <w:hideMark/>
          </w:tcPr>
          <w:p w14:paraId="1664FE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Small</w:t>
            </w:r>
          </w:p>
        </w:tc>
        <w:tc>
          <w:tcPr>
            <w:tcW w:w="990" w:type="dxa"/>
            <w:hideMark/>
          </w:tcPr>
          <w:p w14:paraId="3B963E0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r>
      <w:tr w:rsidR="00302953" w:rsidRPr="00770477" w14:paraId="3F90647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80" w:type="dxa"/>
            <w:noWrap/>
            <w:hideMark/>
          </w:tcPr>
          <w:p w14:paraId="69FF47E9" w14:textId="77777777" w:rsidR="00302953" w:rsidRPr="00770477" w:rsidRDefault="00302953" w:rsidP="00622DCD">
            <w:pPr>
              <w:spacing w:line="240" w:lineRule="auto"/>
              <w:jc w:val="right"/>
              <w:rPr>
                <w:rFonts w:eastAsia="Times New Roman" w:cs="Times New Roman"/>
                <w:color w:val="000000"/>
              </w:rPr>
            </w:pPr>
            <w:r w:rsidRPr="00770477">
              <w:rPr>
                <w:rFonts w:eastAsia="Times New Roman" w:cs="Times New Roman"/>
                <w:color w:val="000000"/>
              </w:rPr>
              <w:t>10</w:t>
            </w:r>
          </w:p>
        </w:tc>
        <w:tc>
          <w:tcPr>
            <w:tcW w:w="1040" w:type="dxa"/>
            <w:hideMark/>
          </w:tcPr>
          <w:p w14:paraId="0176950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2600" w:type="dxa"/>
            <w:hideMark/>
          </w:tcPr>
          <w:p w14:paraId="3D40102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Aggregated f</w:t>
            </w:r>
            <w:r w:rsidRPr="00770477">
              <w:rPr>
                <w:rFonts w:eastAsia="Times New Roman" w:cs="Times New Roman"/>
                <w:color w:val="000000"/>
              </w:rPr>
              <w:t>ly Ash</w:t>
            </w:r>
          </w:p>
        </w:tc>
        <w:tc>
          <w:tcPr>
            <w:tcW w:w="1440" w:type="dxa"/>
            <w:hideMark/>
          </w:tcPr>
          <w:p w14:paraId="5DB85D2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Small</w:t>
            </w:r>
          </w:p>
        </w:tc>
        <w:tc>
          <w:tcPr>
            <w:tcW w:w="990" w:type="dxa"/>
            <w:hideMark/>
          </w:tcPr>
          <w:p w14:paraId="04DA237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r>
      <w:tr w:rsidR="00302953" w:rsidRPr="00770477" w14:paraId="074CEC6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680" w:type="dxa"/>
            <w:noWrap/>
            <w:hideMark/>
          </w:tcPr>
          <w:p w14:paraId="216A7B27" w14:textId="77777777" w:rsidR="00302953" w:rsidRPr="00770477" w:rsidRDefault="00302953" w:rsidP="00622DCD">
            <w:pPr>
              <w:spacing w:line="240" w:lineRule="auto"/>
              <w:jc w:val="right"/>
              <w:rPr>
                <w:rFonts w:eastAsia="Times New Roman" w:cs="Times New Roman"/>
                <w:color w:val="000000"/>
              </w:rPr>
            </w:pPr>
            <w:r w:rsidRPr="00770477">
              <w:rPr>
                <w:rFonts w:eastAsia="Times New Roman" w:cs="Times New Roman"/>
                <w:color w:val="000000"/>
              </w:rPr>
              <w:t>10</w:t>
            </w:r>
          </w:p>
        </w:tc>
        <w:tc>
          <w:tcPr>
            <w:tcW w:w="1040" w:type="dxa"/>
            <w:hideMark/>
          </w:tcPr>
          <w:p w14:paraId="0D0345D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D</w:t>
            </w:r>
          </w:p>
        </w:tc>
        <w:tc>
          <w:tcPr>
            <w:tcW w:w="2600" w:type="dxa"/>
            <w:hideMark/>
          </w:tcPr>
          <w:p w14:paraId="5199EA5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Control</w:t>
            </w:r>
          </w:p>
        </w:tc>
        <w:tc>
          <w:tcPr>
            <w:tcW w:w="1440" w:type="dxa"/>
            <w:hideMark/>
          </w:tcPr>
          <w:p w14:paraId="18C00B2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Control</w:t>
            </w:r>
          </w:p>
        </w:tc>
        <w:tc>
          <w:tcPr>
            <w:tcW w:w="990" w:type="dxa"/>
            <w:hideMark/>
          </w:tcPr>
          <w:p w14:paraId="1A77F70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r>
      <w:tr w:rsidR="00302953" w:rsidRPr="00770477" w14:paraId="597BC56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80" w:type="dxa"/>
            <w:noWrap/>
            <w:hideMark/>
          </w:tcPr>
          <w:p w14:paraId="2D155CD2" w14:textId="77777777" w:rsidR="00302953" w:rsidRPr="00770477" w:rsidRDefault="00302953" w:rsidP="00622DCD">
            <w:pPr>
              <w:spacing w:line="240" w:lineRule="auto"/>
              <w:jc w:val="right"/>
              <w:rPr>
                <w:rFonts w:eastAsia="Times New Roman" w:cs="Times New Roman"/>
                <w:color w:val="000000"/>
              </w:rPr>
            </w:pPr>
            <w:r w:rsidRPr="00770477">
              <w:rPr>
                <w:rFonts w:eastAsia="Times New Roman" w:cs="Times New Roman"/>
                <w:color w:val="000000"/>
              </w:rPr>
              <w:t>10</w:t>
            </w:r>
          </w:p>
        </w:tc>
        <w:tc>
          <w:tcPr>
            <w:tcW w:w="1040" w:type="dxa"/>
            <w:hideMark/>
          </w:tcPr>
          <w:p w14:paraId="2796A96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w:t>
            </w:r>
          </w:p>
        </w:tc>
        <w:tc>
          <w:tcPr>
            <w:tcW w:w="2600" w:type="dxa"/>
            <w:hideMark/>
          </w:tcPr>
          <w:p w14:paraId="59EC8D7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Influent</w:t>
            </w:r>
          </w:p>
        </w:tc>
        <w:tc>
          <w:tcPr>
            <w:tcW w:w="1440" w:type="dxa"/>
            <w:hideMark/>
          </w:tcPr>
          <w:p w14:paraId="62FC9E1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Influent</w:t>
            </w:r>
          </w:p>
        </w:tc>
        <w:tc>
          <w:tcPr>
            <w:tcW w:w="990" w:type="dxa"/>
            <w:hideMark/>
          </w:tcPr>
          <w:p w14:paraId="1048F2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r>
    </w:tbl>
    <w:p w14:paraId="7C51D078" w14:textId="77777777" w:rsidR="00302953" w:rsidRPr="00770477" w:rsidRDefault="00302953" w:rsidP="00302953">
      <w:pPr>
        <w:rPr>
          <w:rFonts w:cs="Times New Roman"/>
        </w:rPr>
      </w:pPr>
    </w:p>
    <w:p w14:paraId="69B77EAE" w14:textId="77777777" w:rsidR="00302953" w:rsidRPr="00770477" w:rsidRDefault="00302953" w:rsidP="00302953">
      <w:pPr>
        <w:spacing w:line="240" w:lineRule="auto"/>
        <w:rPr>
          <w:rFonts w:cs="Times New Roman"/>
        </w:rPr>
        <w:sectPr w:rsidR="00302953" w:rsidRPr="00770477" w:rsidSect="008C5DBB">
          <w:pgSz w:w="12240" w:h="15840"/>
          <w:pgMar w:top="1440" w:right="1440" w:bottom="1440" w:left="1440" w:header="720" w:footer="720" w:gutter="0"/>
          <w:pgNumType w:start="1"/>
          <w:cols w:space="720"/>
          <w:docGrid w:linePitch="360"/>
        </w:sectPr>
      </w:pPr>
      <w:r w:rsidRPr="00770477">
        <w:rPr>
          <w:rFonts w:cs="Times New Roman"/>
        </w:rPr>
        <w:br w:type="page"/>
      </w:r>
    </w:p>
    <w:p w14:paraId="3F83D96A" w14:textId="428C6D50" w:rsidR="00302953" w:rsidRDefault="00302953" w:rsidP="00302953">
      <w:pPr>
        <w:pStyle w:val="Caption"/>
        <w:keepNext/>
      </w:pPr>
      <w:bookmarkStart w:id="179" w:name="_Toc121494155"/>
      <w:bookmarkStart w:id="180" w:name="_Toc121495940"/>
      <w:r>
        <w:lastRenderedPageBreak/>
        <w:t xml:space="preserve">Table </w:t>
      </w:r>
      <w:fldSimple w:instr=" STYLEREF 1 \s ">
        <w:r w:rsidR="00061096">
          <w:rPr>
            <w:noProof/>
          </w:rPr>
          <w:t>10</w:t>
        </w:r>
      </w:fldSimple>
      <w:r w:rsidR="00B26DDF">
        <w:noBreakHyphen/>
      </w:r>
      <w:fldSimple w:instr=" SEQ Table \* ARABIC \s 1 ">
        <w:r w:rsidR="00061096">
          <w:rPr>
            <w:noProof/>
          </w:rPr>
          <w:t>2</w:t>
        </w:r>
      </w:fldSimple>
      <w:r w:rsidRPr="00C6587B">
        <w:rPr>
          <w:rFonts w:cs="Times New Roman"/>
        </w:rPr>
        <w:t xml:space="preserve"> </w:t>
      </w:r>
      <w:r w:rsidRPr="00770477">
        <w:rPr>
          <w:rFonts w:cs="Times New Roman"/>
        </w:rPr>
        <w:t>Sample collection information</w:t>
      </w:r>
      <w:bookmarkEnd w:id="179"/>
      <w:bookmarkEnd w:id="180"/>
    </w:p>
    <w:tbl>
      <w:tblPr>
        <w:tblStyle w:val="PlainTable5"/>
        <w:tblW w:w="13040" w:type="dxa"/>
        <w:tblLook w:val="04A0" w:firstRow="1" w:lastRow="0" w:firstColumn="1" w:lastColumn="0" w:noHBand="0" w:noVBand="1"/>
      </w:tblPr>
      <w:tblGrid>
        <w:gridCol w:w="1420"/>
        <w:gridCol w:w="680"/>
        <w:gridCol w:w="1040"/>
        <w:gridCol w:w="1839"/>
        <w:gridCol w:w="1728"/>
        <w:gridCol w:w="1021"/>
        <w:gridCol w:w="1800"/>
        <w:gridCol w:w="765"/>
        <w:gridCol w:w="1811"/>
        <w:gridCol w:w="936"/>
      </w:tblGrid>
      <w:tr w:rsidR="00302953" w:rsidRPr="00770477" w14:paraId="0F0FE7B7" w14:textId="77777777" w:rsidTr="00622DCD">
        <w:trPr>
          <w:cnfStyle w:val="100000000000" w:firstRow="1" w:lastRow="0" w:firstColumn="0" w:lastColumn="0" w:oddVBand="0" w:evenVBand="0" w:oddHBand="0" w:evenHBand="0" w:firstRowFirstColumn="0" w:firstRowLastColumn="0" w:lastRowFirstColumn="0" w:lastRowLastColumn="0"/>
          <w:trHeight w:val="630"/>
        </w:trPr>
        <w:tc>
          <w:tcPr>
            <w:cnfStyle w:val="001000000100" w:firstRow="0" w:lastRow="0" w:firstColumn="1" w:lastColumn="0" w:oddVBand="0" w:evenVBand="0" w:oddHBand="0" w:evenHBand="0" w:firstRowFirstColumn="1" w:firstRowLastColumn="0" w:lastRowFirstColumn="0" w:lastRowLastColumn="0"/>
            <w:tcW w:w="1420" w:type="dxa"/>
            <w:hideMark/>
          </w:tcPr>
          <w:p w14:paraId="4038892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Sample ID</w:t>
            </w:r>
          </w:p>
        </w:tc>
        <w:tc>
          <w:tcPr>
            <w:tcW w:w="680" w:type="dxa"/>
            <w:hideMark/>
          </w:tcPr>
          <w:p w14:paraId="53F38319" w14:textId="77777777" w:rsidR="00302953" w:rsidRPr="00770477" w:rsidRDefault="00302953" w:rsidP="00622DCD">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Run</w:t>
            </w:r>
          </w:p>
        </w:tc>
        <w:tc>
          <w:tcPr>
            <w:tcW w:w="1040" w:type="dxa"/>
            <w:hideMark/>
          </w:tcPr>
          <w:p w14:paraId="3FF94AAC" w14:textId="77777777" w:rsidR="00302953" w:rsidRPr="00770477" w:rsidRDefault="00302953" w:rsidP="00622DCD">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Column</w:t>
            </w:r>
          </w:p>
        </w:tc>
        <w:tc>
          <w:tcPr>
            <w:tcW w:w="1839" w:type="dxa"/>
            <w:hideMark/>
          </w:tcPr>
          <w:p w14:paraId="59B2743C" w14:textId="77777777" w:rsidR="00302953" w:rsidRPr="00770477" w:rsidRDefault="00302953" w:rsidP="00622DCD">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Representative Sample Point</w:t>
            </w:r>
          </w:p>
        </w:tc>
        <w:tc>
          <w:tcPr>
            <w:tcW w:w="1728" w:type="dxa"/>
            <w:hideMark/>
          </w:tcPr>
          <w:p w14:paraId="2E221424" w14:textId="77777777" w:rsidR="00302953" w:rsidRPr="00770477" w:rsidRDefault="00302953" w:rsidP="00622DCD">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Actual Sample Point</w:t>
            </w:r>
          </w:p>
        </w:tc>
        <w:tc>
          <w:tcPr>
            <w:tcW w:w="1021" w:type="dxa"/>
            <w:hideMark/>
          </w:tcPr>
          <w:p w14:paraId="6C6B6398" w14:textId="77777777" w:rsidR="00302953" w:rsidRPr="00770477" w:rsidRDefault="00302953" w:rsidP="00622DCD">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Pore Volume</w:t>
            </w:r>
          </w:p>
        </w:tc>
        <w:tc>
          <w:tcPr>
            <w:tcW w:w="1800" w:type="dxa"/>
            <w:hideMark/>
          </w:tcPr>
          <w:p w14:paraId="6ED8B919" w14:textId="77777777" w:rsidR="00302953" w:rsidRPr="00770477" w:rsidRDefault="00302953" w:rsidP="00622DCD">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Start Date/Time</w:t>
            </w:r>
          </w:p>
        </w:tc>
        <w:tc>
          <w:tcPr>
            <w:tcW w:w="765" w:type="dxa"/>
            <w:hideMark/>
          </w:tcPr>
          <w:p w14:paraId="0B41F018" w14:textId="77777777" w:rsidR="00302953" w:rsidRPr="00770477" w:rsidRDefault="00302953" w:rsidP="00622DCD">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QA Code</w:t>
            </w:r>
          </w:p>
        </w:tc>
        <w:tc>
          <w:tcPr>
            <w:tcW w:w="1811" w:type="dxa"/>
            <w:hideMark/>
          </w:tcPr>
          <w:p w14:paraId="7BA46D81" w14:textId="77777777" w:rsidR="00302953" w:rsidRPr="00770477" w:rsidRDefault="00302953" w:rsidP="00622DCD">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Sample Date/Time</w:t>
            </w:r>
          </w:p>
        </w:tc>
        <w:tc>
          <w:tcPr>
            <w:tcW w:w="936" w:type="dxa"/>
            <w:hideMark/>
          </w:tcPr>
          <w:p w14:paraId="6E09F52E" w14:textId="77777777" w:rsidR="00302953" w:rsidRPr="00770477" w:rsidRDefault="00302953" w:rsidP="00622DCD">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Flow Rate</w:t>
            </w:r>
          </w:p>
        </w:tc>
      </w:tr>
      <w:tr w:rsidR="00302953" w:rsidRPr="00770477" w14:paraId="5E6C642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03910A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1-A-010-1</w:t>
            </w:r>
          </w:p>
        </w:tc>
        <w:tc>
          <w:tcPr>
            <w:tcW w:w="680" w:type="dxa"/>
            <w:noWrap/>
            <w:hideMark/>
          </w:tcPr>
          <w:p w14:paraId="5840A0D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4267781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1676698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728" w:type="dxa"/>
            <w:hideMark/>
          </w:tcPr>
          <w:p w14:paraId="57BB978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021" w:type="dxa"/>
            <w:hideMark/>
          </w:tcPr>
          <w:p w14:paraId="52B1831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149.23</w:t>
            </w:r>
          </w:p>
        </w:tc>
        <w:tc>
          <w:tcPr>
            <w:tcW w:w="1800" w:type="dxa"/>
            <w:hideMark/>
          </w:tcPr>
          <w:p w14:paraId="7EFFE4A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39F38A7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4F14199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10:38</w:t>
            </w:r>
          </w:p>
        </w:tc>
        <w:tc>
          <w:tcPr>
            <w:tcW w:w="936" w:type="dxa"/>
            <w:hideMark/>
          </w:tcPr>
          <w:p w14:paraId="5126F40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2270334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F4BA53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1-A-040-1</w:t>
            </w:r>
          </w:p>
        </w:tc>
        <w:tc>
          <w:tcPr>
            <w:tcW w:w="680" w:type="dxa"/>
            <w:noWrap/>
            <w:hideMark/>
          </w:tcPr>
          <w:p w14:paraId="140E999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0F26B82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5B74886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w:t>
            </w:r>
          </w:p>
        </w:tc>
        <w:tc>
          <w:tcPr>
            <w:tcW w:w="1728" w:type="dxa"/>
            <w:hideMark/>
          </w:tcPr>
          <w:p w14:paraId="20A1295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40.0</w:t>
            </w:r>
          </w:p>
        </w:tc>
        <w:tc>
          <w:tcPr>
            <w:tcW w:w="1021" w:type="dxa"/>
            <w:hideMark/>
          </w:tcPr>
          <w:p w14:paraId="61BBAD3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149.23</w:t>
            </w:r>
          </w:p>
        </w:tc>
        <w:tc>
          <w:tcPr>
            <w:tcW w:w="1800" w:type="dxa"/>
            <w:hideMark/>
          </w:tcPr>
          <w:p w14:paraId="77F21E0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1E76F21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54317C5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23:04</w:t>
            </w:r>
          </w:p>
        </w:tc>
        <w:tc>
          <w:tcPr>
            <w:tcW w:w="936" w:type="dxa"/>
            <w:hideMark/>
          </w:tcPr>
          <w:p w14:paraId="097D2E9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3E0F2C1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56C63B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1-A-090-1</w:t>
            </w:r>
          </w:p>
        </w:tc>
        <w:tc>
          <w:tcPr>
            <w:tcW w:w="680" w:type="dxa"/>
            <w:noWrap/>
            <w:hideMark/>
          </w:tcPr>
          <w:p w14:paraId="6A3A486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58F8B1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57B7741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w:t>
            </w:r>
          </w:p>
        </w:tc>
        <w:tc>
          <w:tcPr>
            <w:tcW w:w="1728" w:type="dxa"/>
            <w:hideMark/>
          </w:tcPr>
          <w:p w14:paraId="33ECDC3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90.0</w:t>
            </w:r>
          </w:p>
        </w:tc>
        <w:tc>
          <w:tcPr>
            <w:tcW w:w="1021" w:type="dxa"/>
            <w:hideMark/>
          </w:tcPr>
          <w:p w14:paraId="20C8DF4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149.23</w:t>
            </w:r>
          </w:p>
        </w:tc>
        <w:tc>
          <w:tcPr>
            <w:tcW w:w="1800" w:type="dxa"/>
            <w:hideMark/>
          </w:tcPr>
          <w:p w14:paraId="5529A01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38EEBC1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39B37BC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10/7/21 19:48</w:t>
            </w:r>
          </w:p>
        </w:tc>
        <w:tc>
          <w:tcPr>
            <w:tcW w:w="936" w:type="dxa"/>
            <w:hideMark/>
          </w:tcPr>
          <w:p w14:paraId="359F5F1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189AC4F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71ABC6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1-A-090-2</w:t>
            </w:r>
          </w:p>
        </w:tc>
        <w:tc>
          <w:tcPr>
            <w:tcW w:w="680" w:type="dxa"/>
            <w:noWrap/>
            <w:hideMark/>
          </w:tcPr>
          <w:p w14:paraId="07B9A92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789B4E2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79121A3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w:t>
            </w:r>
          </w:p>
        </w:tc>
        <w:tc>
          <w:tcPr>
            <w:tcW w:w="1728" w:type="dxa"/>
            <w:hideMark/>
          </w:tcPr>
          <w:p w14:paraId="4684871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90.0</w:t>
            </w:r>
          </w:p>
        </w:tc>
        <w:tc>
          <w:tcPr>
            <w:tcW w:w="1021" w:type="dxa"/>
            <w:hideMark/>
          </w:tcPr>
          <w:p w14:paraId="654093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149.23</w:t>
            </w:r>
          </w:p>
        </w:tc>
        <w:tc>
          <w:tcPr>
            <w:tcW w:w="1800" w:type="dxa"/>
            <w:hideMark/>
          </w:tcPr>
          <w:p w14:paraId="796EC88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2A111F4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6DEA582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10/7/21 19:48</w:t>
            </w:r>
          </w:p>
        </w:tc>
        <w:tc>
          <w:tcPr>
            <w:tcW w:w="936" w:type="dxa"/>
            <w:hideMark/>
          </w:tcPr>
          <w:p w14:paraId="5244130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177714F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48408C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1-A-160-1</w:t>
            </w:r>
          </w:p>
        </w:tc>
        <w:tc>
          <w:tcPr>
            <w:tcW w:w="680" w:type="dxa"/>
            <w:noWrap/>
            <w:hideMark/>
          </w:tcPr>
          <w:p w14:paraId="5850D5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300AB7C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263A306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160</w:t>
            </w:r>
          </w:p>
        </w:tc>
        <w:tc>
          <w:tcPr>
            <w:tcW w:w="1728" w:type="dxa"/>
            <w:hideMark/>
          </w:tcPr>
          <w:p w14:paraId="215ECB3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160.0</w:t>
            </w:r>
          </w:p>
        </w:tc>
        <w:tc>
          <w:tcPr>
            <w:tcW w:w="1021" w:type="dxa"/>
            <w:hideMark/>
          </w:tcPr>
          <w:p w14:paraId="4CA6A58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149.23</w:t>
            </w:r>
          </w:p>
        </w:tc>
        <w:tc>
          <w:tcPr>
            <w:tcW w:w="1800" w:type="dxa"/>
            <w:hideMark/>
          </w:tcPr>
          <w:p w14:paraId="30289D0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211E15B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1A33584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10/9/21 0:49</w:t>
            </w:r>
          </w:p>
        </w:tc>
        <w:tc>
          <w:tcPr>
            <w:tcW w:w="936" w:type="dxa"/>
            <w:hideMark/>
          </w:tcPr>
          <w:p w14:paraId="3ECE9D5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5BF06E7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E6CBD1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1-A-160-2</w:t>
            </w:r>
          </w:p>
        </w:tc>
        <w:tc>
          <w:tcPr>
            <w:tcW w:w="680" w:type="dxa"/>
            <w:noWrap/>
            <w:hideMark/>
          </w:tcPr>
          <w:p w14:paraId="3CA0233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6674678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1AB4586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160</w:t>
            </w:r>
          </w:p>
        </w:tc>
        <w:tc>
          <w:tcPr>
            <w:tcW w:w="1728" w:type="dxa"/>
            <w:hideMark/>
          </w:tcPr>
          <w:p w14:paraId="13AFF6E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160.0</w:t>
            </w:r>
          </w:p>
        </w:tc>
        <w:tc>
          <w:tcPr>
            <w:tcW w:w="1021" w:type="dxa"/>
            <w:hideMark/>
          </w:tcPr>
          <w:p w14:paraId="60A0D2F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149.23</w:t>
            </w:r>
          </w:p>
        </w:tc>
        <w:tc>
          <w:tcPr>
            <w:tcW w:w="1800" w:type="dxa"/>
            <w:hideMark/>
          </w:tcPr>
          <w:p w14:paraId="14C9302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054948C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6778958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10/9/21 0:49</w:t>
            </w:r>
          </w:p>
        </w:tc>
        <w:tc>
          <w:tcPr>
            <w:tcW w:w="936" w:type="dxa"/>
            <w:hideMark/>
          </w:tcPr>
          <w:p w14:paraId="180D93E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06C1CA1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1CAD21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1-A-270-1</w:t>
            </w:r>
          </w:p>
        </w:tc>
        <w:tc>
          <w:tcPr>
            <w:tcW w:w="680" w:type="dxa"/>
            <w:noWrap/>
            <w:hideMark/>
          </w:tcPr>
          <w:p w14:paraId="4CEB077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6F8B0A4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4416CED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w:t>
            </w:r>
          </w:p>
        </w:tc>
        <w:tc>
          <w:tcPr>
            <w:tcW w:w="1728" w:type="dxa"/>
            <w:hideMark/>
          </w:tcPr>
          <w:p w14:paraId="3A08ED3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270.0</w:t>
            </w:r>
          </w:p>
        </w:tc>
        <w:tc>
          <w:tcPr>
            <w:tcW w:w="1021" w:type="dxa"/>
            <w:hideMark/>
          </w:tcPr>
          <w:p w14:paraId="0381F1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149.23</w:t>
            </w:r>
          </w:p>
        </w:tc>
        <w:tc>
          <w:tcPr>
            <w:tcW w:w="1800" w:type="dxa"/>
            <w:hideMark/>
          </w:tcPr>
          <w:p w14:paraId="2B134DB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1E998CD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03BE189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10/10/21 22:25</w:t>
            </w:r>
          </w:p>
        </w:tc>
        <w:tc>
          <w:tcPr>
            <w:tcW w:w="936" w:type="dxa"/>
            <w:hideMark/>
          </w:tcPr>
          <w:p w14:paraId="2EC2EB1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2E74DDD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371B98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1-A-430-1</w:t>
            </w:r>
          </w:p>
        </w:tc>
        <w:tc>
          <w:tcPr>
            <w:tcW w:w="680" w:type="dxa"/>
            <w:noWrap/>
            <w:hideMark/>
          </w:tcPr>
          <w:p w14:paraId="4CE84C1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06BBB71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6A6CCC8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430</w:t>
            </w:r>
          </w:p>
        </w:tc>
        <w:tc>
          <w:tcPr>
            <w:tcW w:w="1728" w:type="dxa"/>
            <w:hideMark/>
          </w:tcPr>
          <w:p w14:paraId="6AEFD7B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430.0</w:t>
            </w:r>
          </w:p>
        </w:tc>
        <w:tc>
          <w:tcPr>
            <w:tcW w:w="1021" w:type="dxa"/>
            <w:hideMark/>
          </w:tcPr>
          <w:p w14:paraId="0E349FC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149.23</w:t>
            </w:r>
          </w:p>
        </w:tc>
        <w:tc>
          <w:tcPr>
            <w:tcW w:w="1800" w:type="dxa"/>
            <w:hideMark/>
          </w:tcPr>
          <w:p w14:paraId="13E1F2E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5E30537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7EFE19D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10/13/21 16:44</w:t>
            </w:r>
          </w:p>
        </w:tc>
        <w:tc>
          <w:tcPr>
            <w:tcW w:w="936" w:type="dxa"/>
            <w:hideMark/>
          </w:tcPr>
          <w:p w14:paraId="7532871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2051C6C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46E3C6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1-A-670-1</w:t>
            </w:r>
          </w:p>
        </w:tc>
        <w:tc>
          <w:tcPr>
            <w:tcW w:w="680" w:type="dxa"/>
            <w:noWrap/>
            <w:hideMark/>
          </w:tcPr>
          <w:p w14:paraId="2410B6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3027E0F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04EF0AF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670</w:t>
            </w:r>
          </w:p>
        </w:tc>
        <w:tc>
          <w:tcPr>
            <w:tcW w:w="1728" w:type="dxa"/>
            <w:hideMark/>
          </w:tcPr>
          <w:p w14:paraId="6183D93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677.9</w:t>
            </w:r>
          </w:p>
        </w:tc>
        <w:tc>
          <w:tcPr>
            <w:tcW w:w="1021" w:type="dxa"/>
            <w:hideMark/>
          </w:tcPr>
          <w:p w14:paraId="1A3174D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149.23</w:t>
            </w:r>
          </w:p>
        </w:tc>
        <w:tc>
          <w:tcPr>
            <w:tcW w:w="1800" w:type="dxa"/>
            <w:hideMark/>
          </w:tcPr>
          <w:p w14:paraId="765B3B3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24FC47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7D488BB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10/17/21 23:30</w:t>
            </w:r>
          </w:p>
        </w:tc>
        <w:tc>
          <w:tcPr>
            <w:tcW w:w="936" w:type="dxa"/>
            <w:hideMark/>
          </w:tcPr>
          <w:p w14:paraId="632512D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3B31DE8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C42E0D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1-B-010-1</w:t>
            </w:r>
          </w:p>
        </w:tc>
        <w:tc>
          <w:tcPr>
            <w:tcW w:w="680" w:type="dxa"/>
            <w:noWrap/>
            <w:hideMark/>
          </w:tcPr>
          <w:p w14:paraId="2CB83BD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32DCC00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59BFE8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728" w:type="dxa"/>
            <w:hideMark/>
          </w:tcPr>
          <w:p w14:paraId="324EBCD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021" w:type="dxa"/>
            <w:hideMark/>
          </w:tcPr>
          <w:p w14:paraId="11AE9B0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131.45</w:t>
            </w:r>
          </w:p>
        </w:tc>
        <w:tc>
          <w:tcPr>
            <w:tcW w:w="1800" w:type="dxa"/>
            <w:hideMark/>
          </w:tcPr>
          <w:p w14:paraId="727F4EF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19051C4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741A41E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10:09</w:t>
            </w:r>
          </w:p>
        </w:tc>
        <w:tc>
          <w:tcPr>
            <w:tcW w:w="936" w:type="dxa"/>
            <w:hideMark/>
          </w:tcPr>
          <w:p w14:paraId="2E60308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3F08616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33342E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1-B-040-1</w:t>
            </w:r>
          </w:p>
        </w:tc>
        <w:tc>
          <w:tcPr>
            <w:tcW w:w="680" w:type="dxa"/>
            <w:noWrap/>
            <w:hideMark/>
          </w:tcPr>
          <w:p w14:paraId="6099770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7A78E1D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0A7E290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w:t>
            </w:r>
          </w:p>
        </w:tc>
        <w:tc>
          <w:tcPr>
            <w:tcW w:w="1728" w:type="dxa"/>
            <w:hideMark/>
          </w:tcPr>
          <w:p w14:paraId="24F9366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40.0</w:t>
            </w:r>
          </w:p>
        </w:tc>
        <w:tc>
          <w:tcPr>
            <w:tcW w:w="1021" w:type="dxa"/>
            <w:hideMark/>
          </w:tcPr>
          <w:p w14:paraId="07A807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131.45</w:t>
            </w:r>
          </w:p>
        </w:tc>
        <w:tc>
          <w:tcPr>
            <w:tcW w:w="1800" w:type="dxa"/>
            <w:hideMark/>
          </w:tcPr>
          <w:p w14:paraId="543842A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0D63261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2FB822A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21:06</w:t>
            </w:r>
          </w:p>
        </w:tc>
        <w:tc>
          <w:tcPr>
            <w:tcW w:w="936" w:type="dxa"/>
            <w:hideMark/>
          </w:tcPr>
          <w:p w14:paraId="46156D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06BE3DA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F8CB0A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1-B-040-2</w:t>
            </w:r>
          </w:p>
        </w:tc>
        <w:tc>
          <w:tcPr>
            <w:tcW w:w="680" w:type="dxa"/>
            <w:noWrap/>
            <w:hideMark/>
          </w:tcPr>
          <w:p w14:paraId="1361345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13226A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2A5938C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w:t>
            </w:r>
          </w:p>
        </w:tc>
        <w:tc>
          <w:tcPr>
            <w:tcW w:w="1728" w:type="dxa"/>
            <w:hideMark/>
          </w:tcPr>
          <w:p w14:paraId="3BE4F79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40.0</w:t>
            </w:r>
          </w:p>
        </w:tc>
        <w:tc>
          <w:tcPr>
            <w:tcW w:w="1021" w:type="dxa"/>
            <w:hideMark/>
          </w:tcPr>
          <w:p w14:paraId="59FA99D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131.45</w:t>
            </w:r>
          </w:p>
        </w:tc>
        <w:tc>
          <w:tcPr>
            <w:tcW w:w="1800" w:type="dxa"/>
            <w:hideMark/>
          </w:tcPr>
          <w:p w14:paraId="7DECCC5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0067C30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27B2B26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21:06</w:t>
            </w:r>
          </w:p>
        </w:tc>
        <w:tc>
          <w:tcPr>
            <w:tcW w:w="936" w:type="dxa"/>
            <w:hideMark/>
          </w:tcPr>
          <w:p w14:paraId="0D72C36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2649C38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B50DCB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1-B-090-1</w:t>
            </w:r>
          </w:p>
        </w:tc>
        <w:tc>
          <w:tcPr>
            <w:tcW w:w="680" w:type="dxa"/>
            <w:noWrap/>
            <w:hideMark/>
          </w:tcPr>
          <w:p w14:paraId="7830C55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020F07B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15A826B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w:t>
            </w:r>
          </w:p>
        </w:tc>
        <w:tc>
          <w:tcPr>
            <w:tcW w:w="1728" w:type="dxa"/>
            <w:hideMark/>
          </w:tcPr>
          <w:p w14:paraId="6EE2F50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90.1</w:t>
            </w:r>
          </w:p>
        </w:tc>
        <w:tc>
          <w:tcPr>
            <w:tcW w:w="1021" w:type="dxa"/>
            <w:hideMark/>
          </w:tcPr>
          <w:p w14:paraId="13DF129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131.45</w:t>
            </w:r>
          </w:p>
        </w:tc>
        <w:tc>
          <w:tcPr>
            <w:tcW w:w="1800" w:type="dxa"/>
            <w:hideMark/>
          </w:tcPr>
          <w:p w14:paraId="6FDA01A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197E3DB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1B1315A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10/7/21 15:23</w:t>
            </w:r>
          </w:p>
        </w:tc>
        <w:tc>
          <w:tcPr>
            <w:tcW w:w="936" w:type="dxa"/>
            <w:hideMark/>
          </w:tcPr>
          <w:p w14:paraId="4632CF5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7D88E0C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6DEFA5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1-B-160-1</w:t>
            </w:r>
          </w:p>
        </w:tc>
        <w:tc>
          <w:tcPr>
            <w:tcW w:w="680" w:type="dxa"/>
            <w:noWrap/>
            <w:hideMark/>
          </w:tcPr>
          <w:p w14:paraId="6336D5D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49B5704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50A1BE0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160</w:t>
            </w:r>
          </w:p>
        </w:tc>
        <w:tc>
          <w:tcPr>
            <w:tcW w:w="1728" w:type="dxa"/>
            <w:hideMark/>
          </w:tcPr>
          <w:p w14:paraId="6803984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160.0</w:t>
            </w:r>
          </w:p>
        </w:tc>
        <w:tc>
          <w:tcPr>
            <w:tcW w:w="1021" w:type="dxa"/>
            <w:hideMark/>
          </w:tcPr>
          <w:p w14:paraId="6CF70E6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131.45</w:t>
            </w:r>
          </w:p>
        </w:tc>
        <w:tc>
          <w:tcPr>
            <w:tcW w:w="1800" w:type="dxa"/>
            <w:hideMark/>
          </w:tcPr>
          <w:p w14:paraId="5CEF667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673BE61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7FF6AC8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10/8/21 16:55</w:t>
            </w:r>
          </w:p>
        </w:tc>
        <w:tc>
          <w:tcPr>
            <w:tcW w:w="936" w:type="dxa"/>
            <w:hideMark/>
          </w:tcPr>
          <w:p w14:paraId="3546F09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42E36C2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724A2F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1-B-270-1</w:t>
            </w:r>
          </w:p>
        </w:tc>
        <w:tc>
          <w:tcPr>
            <w:tcW w:w="680" w:type="dxa"/>
            <w:noWrap/>
            <w:hideMark/>
          </w:tcPr>
          <w:p w14:paraId="238CA1B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6523D37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2A74B0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w:t>
            </w:r>
          </w:p>
        </w:tc>
        <w:tc>
          <w:tcPr>
            <w:tcW w:w="1728" w:type="dxa"/>
            <w:hideMark/>
          </w:tcPr>
          <w:p w14:paraId="59A1663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270.0</w:t>
            </w:r>
          </w:p>
        </w:tc>
        <w:tc>
          <w:tcPr>
            <w:tcW w:w="1021" w:type="dxa"/>
            <w:hideMark/>
          </w:tcPr>
          <w:p w14:paraId="1FDC432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131.45</w:t>
            </w:r>
          </w:p>
        </w:tc>
        <w:tc>
          <w:tcPr>
            <w:tcW w:w="1800" w:type="dxa"/>
            <w:hideMark/>
          </w:tcPr>
          <w:p w14:paraId="6008CE7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4CE6686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3E400CD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10/10/21 9:05</w:t>
            </w:r>
          </w:p>
        </w:tc>
        <w:tc>
          <w:tcPr>
            <w:tcW w:w="936" w:type="dxa"/>
            <w:hideMark/>
          </w:tcPr>
          <w:p w14:paraId="3A394A4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3C0A9AA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9B8A5E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1-B-270-2</w:t>
            </w:r>
          </w:p>
        </w:tc>
        <w:tc>
          <w:tcPr>
            <w:tcW w:w="680" w:type="dxa"/>
            <w:noWrap/>
            <w:hideMark/>
          </w:tcPr>
          <w:p w14:paraId="2BC250D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58A2FBA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7F9C0E9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w:t>
            </w:r>
          </w:p>
        </w:tc>
        <w:tc>
          <w:tcPr>
            <w:tcW w:w="1728" w:type="dxa"/>
            <w:hideMark/>
          </w:tcPr>
          <w:p w14:paraId="20E81B5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270.0</w:t>
            </w:r>
          </w:p>
        </w:tc>
        <w:tc>
          <w:tcPr>
            <w:tcW w:w="1021" w:type="dxa"/>
            <w:hideMark/>
          </w:tcPr>
          <w:p w14:paraId="036E58F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131.45</w:t>
            </w:r>
          </w:p>
        </w:tc>
        <w:tc>
          <w:tcPr>
            <w:tcW w:w="1800" w:type="dxa"/>
            <w:hideMark/>
          </w:tcPr>
          <w:p w14:paraId="3B56B1B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07ECEB7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2710EA6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10/10/21 9:05</w:t>
            </w:r>
          </w:p>
        </w:tc>
        <w:tc>
          <w:tcPr>
            <w:tcW w:w="936" w:type="dxa"/>
            <w:hideMark/>
          </w:tcPr>
          <w:p w14:paraId="4EFC31A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5DBAEDB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DDBEC9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1-B-430-1</w:t>
            </w:r>
          </w:p>
        </w:tc>
        <w:tc>
          <w:tcPr>
            <w:tcW w:w="680" w:type="dxa"/>
            <w:noWrap/>
            <w:hideMark/>
          </w:tcPr>
          <w:p w14:paraId="790FE9E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728CC10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1CD6AE8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430</w:t>
            </w:r>
          </w:p>
        </w:tc>
        <w:tc>
          <w:tcPr>
            <w:tcW w:w="1728" w:type="dxa"/>
            <w:hideMark/>
          </w:tcPr>
          <w:p w14:paraId="72F1F0F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430.0</w:t>
            </w:r>
          </w:p>
        </w:tc>
        <w:tc>
          <w:tcPr>
            <w:tcW w:w="1021" w:type="dxa"/>
            <w:hideMark/>
          </w:tcPr>
          <w:p w14:paraId="46B62CF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131.45</w:t>
            </w:r>
          </w:p>
        </w:tc>
        <w:tc>
          <w:tcPr>
            <w:tcW w:w="1800" w:type="dxa"/>
            <w:hideMark/>
          </w:tcPr>
          <w:p w14:paraId="55E7D5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39FD0E7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3C1FA8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10/12/21 19:30</w:t>
            </w:r>
          </w:p>
        </w:tc>
        <w:tc>
          <w:tcPr>
            <w:tcW w:w="936" w:type="dxa"/>
            <w:hideMark/>
          </w:tcPr>
          <w:p w14:paraId="258440E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0C77E2A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73E020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1-B-670-1</w:t>
            </w:r>
          </w:p>
        </w:tc>
        <w:tc>
          <w:tcPr>
            <w:tcW w:w="680" w:type="dxa"/>
            <w:noWrap/>
            <w:hideMark/>
          </w:tcPr>
          <w:p w14:paraId="50E0DF7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5DE9F46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73511BC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670</w:t>
            </w:r>
          </w:p>
        </w:tc>
        <w:tc>
          <w:tcPr>
            <w:tcW w:w="1728" w:type="dxa"/>
            <w:hideMark/>
          </w:tcPr>
          <w:p w14:paraId="09A2B83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670.0</w:t>
            </w:r>
          </w:p>
        </w:tc>
        <w:tc>
          <w:tcPr>
            <w:tcW w:w="1021" w:type="dxa"/>
            <w:hideMark/>
          </w:tcPr>
          <w:p w14:paraId="4283098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131.45</w:t>
            </w:r>
          </w:p>
        </w:tc>
        <w:tc>
          <w:tcPr>
            <w:tcW w:w="1800" w:type="dxa"/>
            <w:hideMark/>
          </w:tcPr>
          <w:p w14:paraId="381236B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2DC927A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1902F51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10/16/21 11:08</w:t>
            </w:r>
          </w:p>
        </w:tc>
        <w:tc>
          <w:tcPr>
            <w:tcW w:w="936" w:type="dxa"/>
            <w:hideMark/>
          </w:tcPr>
          <w:p w14:paraId="2181D29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77CEA0D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E3E588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1-C-010-1</w:t>
            </w:r>
          </w:p>
        </w:tc>
        <w:tc>
          <w:tcPr>
            <w:tcW w:w="680" w:type="dxa"/>
            <w:noWrap/>
            <w:hideMark/>
          </w:tcPr>
          <w:p w14:paraId="68D6768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068CEF5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67C659C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728" w:type="dxa"/>
            <w:hideMark/>
          </w:tcPr>
          <w:p w14:paraId="3F6E45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021" w:type="dxa"/>
            <w:hideMark/>
          </w:tcPr>
          <w:p w14:paraId="045C4BA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97.97</w:t>
            </w:r>
          </w:p>
        </w:tc>
        <w:tc>
          <w:tcPr>
            <w:tcW w:w="1800" w:type="dxa"/>
            <w:hideMark/>
          </w:tcPr>
          <w:p w14:paraId="63CE51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7D06745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7BA9494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9:13</w:t>
            </w:r>
          </w:p>
        </w:tc>
        <w:tc>
          <w:tcPr>
            <w:tcW w:w="936" w:type="dxa"/>
            <w:hideMark/>
          </w:tcPr>
          <w:p w14:paraId="286CFA6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3A7ACD2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CFC97F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1-C-040-1</w:t>
            </w:r>
          </w:p>
        </w:tc>
        <w:tc>
          <w:tcPr>
            <w:tcW w:w="680" w:type="dxa"/>
            <w:noWrap/>
            <w:hideMark/>
          </w:tcPr>
          <w:p w14:paraId="115ECC5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7CD2689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2F0274A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w:t>
            </w:r>
          </w:p>
        </w:tc>
        <w:tc>
          <w:tcPr>
            <w:tcW w:w="1728" w:type="dxa"/>
            <w:hideMark/>
          </w:tcPr>
          <w:p w14:paraId="0C419C0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40.0</w:t>
            </w:r>
          </w:p>
        </w:tc>
        <w:tc>
          <w:tcPr>
            <w:tcW w:w="1021" w:type="dxa"/>
            <w:hideMark/>
          </w:tcPr>
          <w:p w14:paraId="4C0CB52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97.97</w:t>
            </w:r>
          </w:p>
        </w:tc>
        <w:tc>
          <w:tcPr>
            <w:tcW w:w="1800" w:type="dxa"/>
            <w:hideMark/>
          </w:tcPr>
          <w:p w14:paraId="1E8F755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0096277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1B758A7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17:23</w:t>
            </w:r>
          </w:p>
        </w:tc>
        <w:tc>
          <w:tcPr>
            <w:tcW w:w="936" w:type="dxa"/>
            <w:hideMark/>
          </w:tcPr>
          <w:p w14:paraId="074D45C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20F5748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141C476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1-C-040-2</w:t>
            </w:r>
          </w:p>
        </w:tc>
        <w:tc>
          <w:tcPr>
            <w:tcW w:w="680" w:type="dxa"/>
            <w:noWrap/>
            <w:hideMark/>
          </w:tcPr>
          <w:p w14:paraId="1BEC76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597EF09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75E1CDC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w:t>
            </w:r>
          </w:p>
        </w:tc>
        <w:tc>
          <w:tcPr>
            <w:tcW w:w="1728" w:type="dxa"/>
            <w:hideMark/>
          </w:tcPr>
          <w:p w14:paraId="72A0A9E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40.0</w:t>
            </w:r>
          </w:p>
        </w:tc>
        <w:tc>
          <w:tcPr>
            <w:tcW w:w="1021" w:type="dxa"/>
            <w:hideMark/>
          </w:tcPr>
          <w:p w14:paraId="18A2F5F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97.97</w:t>
            </w:r>
          </w:p>
        </w:tc>
        <w:tc>
          <w:tcPr>
            <w:tcW w:w="1800" w:type="dxa"/>
            <w:hideMark/>
          </w:tcPr>
          <w:p w14:paraId="3EC1A4C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25DAF65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5C28C96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17:23</w:t>
            </w:r>
          </w:p>
        </w:tc>
        <w:tc>
          <w:tcPr>
            <w:tcW w:w="936" w:type="dxa"/>
            <w:hideMark/>
          </w:tcPr>
          <w:p w14:paraId="23C3934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7A8D922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384AE0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1-C-090-1</w:t>
            </w:r>
          </w:p>
        </w:tc>
        <w:tc>
          <w:tcPr>
            <w:tcW w:w="680" w:type="dxa"/>
            <w:noWrap/>
            <w:hideMark/>
          </w:tcPr>
          <w:p w14:paraId="1413DDA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592A936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516694F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w:t>
            </w:r>
          </w:p>
        </w:tc>
        <w:tc>
          <w:tcPr>
            <w:tcW w:w="1728" w:type="dxa"/>
            <w:hideMark/>
          </w:tcPr>
          <w:p w14:paraId="676C9AF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90.2</w:t>
            </w:r>
          </w:p>
        </w:tc>
        <w:tc>
          <w:tcPr>
            <w:tcW w:w="1021" w:type="dxa"/>
            <w:hideMark/>
          </w:tcPr>
          <w:p w14:paraId="4C8114F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97.97</w:t>
            </w:r>
          </w:p>
        </w:tc>
        <w:tc>
          <w:tcPr>
            <w:tcW w:w="1800" w:type="dxa"/>
            <w:hideMark/>
          </w:tcPr>
          <w:p w14:paraId="0F0F67B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5D0B5CC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17F2409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10/7/21 7:03</w:t>
            </w:r>
          </w:p>
        </w:tc>
        <w:tc>
          <w:tcPr>
            <w:tcW w:w="936" w:type="dxa"/>
            <w:hideMark/>
          </w:tcPr>
          <w:p w14:paraId="43A3B61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192DDD5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42BECE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1-C-090-2</w:t>
            </w:r>
          </w:p>
        </w:tc>
        <w:tc>
          <w:tcPr>
            <w:tcW w:w="680" w:type="dxa"/>
            <w:noWrap/>
            <w:hideMark/>
          </w:tcPr>
          <w:p w14:paraId="442C4FE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73033A8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5DE8F1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w:t>
            </w:r>
          </w:p>
        </w:tc>
        <w:tc>
          <w:tcPr>
            <w:tcW w:w="1728" w:type="dxa"/>
            <w:hideMark/>
          </w:tcPr>
          <w:p w14:paraId="4C759AB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90.2</w:t>
            </w:r>
          </w:p>
        </w:tc>
        <w:tc>
          <w:tcPr>
            <w:tcW w:w="1021" w:type="dxa"/>
            <w:hideMark/>
          </w:tcPr>
          <w:p w14:paraId="56BCD0B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97.97</w:t>
            </w:r>
          </w:p>
        </w:tc>
        <w:tc>
          <w:tcPr>
            <w:tcW w:w="1800" w:type="dxa"/>
            <w:hideMark/>
          </w:tcPr>
          <w:p w14:paraId="249F06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03C2407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4E301CC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10/7/21 7:03</w:t>
            </w:r>
          </w:p>
        </w:tc>
        <w:tc>
          <w:tcPr>
            <w:tcW w:w="936" w:type="dxa"/>
            <w:hideMark/>
          </w:tcPr>
          <w:p w14:paraId="26CCC85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04B01B8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F9012A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1-C-160-1</w:t>
            </w:r>
          </w:p>
        </w:tc>
        <w:tc>
          <w:tcPr>
            <w:tcW w:w="680" w:type="dxa"/>
            <w:noWrap/>
            <w:hideMark/>
          </w:tcPr>
          <w:p w14:paraId="2527E97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0734ED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148BDF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160</w:t>
            </w:r>
          </w:p>
        </w:tc>
        <w:tc>
          <w:tcPr>
            <w:tcW w:w="1728" w:type="dxa"/>
            <w:hideMark/>
          </w:tcPr>
          <w:p w14:paraId="54FF62F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160.1</w:t>
            </w:r>
          </w:p>
        </w:tc>
        <w:tc>
          <w:tcPr>
            <w:tcW w:w="1021" w:type="dxa"/>
            <w:hideMark/>
          </w:tcPr>
          <w:p w14:paraId="6484DF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97.97</w:t>
            </w:r>
          </w:p>
        </w:tc>
        <w:tc>
          <w:tcPr>
            <w:tcW w:w="1800" w:type="dxa"/>
            <w:hideMark/>
          </w:tcPr>
          <w:p w14:paraId="587BFA7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274484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0AADDA7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10/8/21 2:04</w:t>
            </w:r>
          </w:p>
        </w:tc>
        <w:tc>
          <w:tcPr>
            <w:tcW w:w="936" w:type="dxa"/>
            <w:hideMark/>
          </w:tcPr>
          <w:p w14:paraId="4AA3B05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54276AD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31BAB9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1-C-270-1</w:t>
            </w:r>
          </w:p>
        </w:tc>
        <w:tc>
          <w:tcPr>
            <w:tcW w:w="680" w:type="dxa"/>
            <w:noWrap/>
            <w:hideMark/>
          </w:tcPr>
          <w:p w14:paraId="079241C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10F34B3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609831A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w:t>
            </w:r>
          </w:p>
        </w:tc>
        <w:tc>
          <w:tcPr>
            <w:tcW w:w="1728" w:type="dxa"/>
            <w:hideMark/>
          </w:tcPr>
          <w:p w14:paraId="49B4A20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270.0</w:t>
            </w:r>
          </w:p>
        </w:tc>
        <w:tc>
          <w:tcPr>
            <w:tcW w:w="1021" w:type="dxa"/>
            <w:hideMark/>
          </w:tcPr>
          <w:p w14:paraId="31B8339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97.97</w:t>
            </w:r>
          </w:p>
        </w:tc>
        <w:tc>
          <w:tcPr>
            <w:tcW w:w="1800" w:type="dxa"/>
            <w:hideMark/>
          </w:tcPr>
          <w:p w14:paraId="02A0144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5236BB4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18BAE08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10/9/21 7:58</w:t>
            </w:r>
          </w:p>
        </w:tc>
        <w:tc>
          <w:tcPr>
            <w:tcW w:w="936" w:type="dxa"/>
            <w:hideMark/>
          </w:tcPr>
          <w:p w14:paraId="54441D5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74197E4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73A0C0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1-C-430-1</w:t>
            </w:r>
          </w:p>
        </w:tc>
        <w:tc>
          <w:tcPr>
            <w:tcW w:w="680" w:type="dxa"/>
            <w:noWrap/>
            <w:hideMark/>
          </w:tcPr>
          <w:p w14:paraId="58EC272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76A80A3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279CDF8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430</w:t>
            </w:r>
          </w:p>
        </w:tc>
        <w:tc>
          <w:tcPr>
            <w:tcW w:w="1728" w:type="dxa"/>
            <w:hideMark/>
          </w:tcPr>
          <w:p w14:paraId="48375E0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430.8</w:t>
            </w:r>
          </w:p>
        </w:tc>
        <w:tc>
          <w:tcPr>
            <w:tcW w:w="1021" w:type="dxa"/>
            <w:hideMark/>
          </w:tcPr>
          <w:p w14:paraId="0F204B8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97.97</w:t>
            </w:r>
          </w:p>
        </w:tc>
        <w:tc>
          <w:tcPr>
            <w:tcW w:w="1800" w:type="dxa"/>
            <w:hideMark/>
          </w:tcPr>
          <w:p w14:paraId="64FD567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65EB4C2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0ED5591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10/11/21 3:45</w:t>
            </w:r>
          </w:p>
        </w:tc>
        <w:tc>
          <w:tcPr>
            <w:tcW w:w="936" w:type="dxa"/>
            <w:hideMark/>
          </w:tcPr>
          <w:p w14:paraId="29C7E14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6EBC232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110DAFA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1-C-430-2</w:t>
            </w:r>
          </w:p>
        </w:tc>
        <w:tc>
          <w:tcPr>
            <w:tcW w:w="680" w:type="dxa"/>
            <w:noWrap/>
            <w:hideMark/>
          </w:tcPr>
          <w:p w14:paraId="55184EF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2099530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35125D4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430</w:t>
            </w:r>
          </w:p>
        </w:tc>
        <w:tc>
          <w:tcPr>
            <w:tcW w:w="1728" w:type="dxa"/>
            <w:hideMark/>
          </w:tcPr>
          <w:p w14:paraId="1C922A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430.8</w:t>
            </w:r>
          </w:p>
        </w:tc>
        <w:tc>
          <w:tcPr>
            <w:tcW w:w="1021" w:type="dxa"/>
            <w:hideMark/>
          </w:tcPr>
          <w:p w14:paraId="2E695DC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97.97</w:t>
            </w:r>
          </w:p>
        </w:tc>
        <w:tc>
          <w:tcPr>
            <w:tcW w:w="1800" w:type="dxa"/>
            <w:hideMark/>
          </w:tcPr>
          <w:p w14:paraId="1B3ED20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540BA49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5DB5229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10/11/21 3:45</w:t>
            </w:r>
          </w:p>
        </w:tc>
        <w:tc>
          <w:tcPr>
            <w:tcW w:w="936" w:type="dxa"/>
            <w:hideMark/>
          </w:tcPr>
          <w:p w14:paraId="08FD0BD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334CD8E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29D662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1-C-670-1</w:t>
            </w:r>
          </w:p>
        </w:tc>
        <w:tc>
          <w:tcPr>
            <w:tcW w:w="680" w:type="dxa"/>
            <w:noWrap/>
            <w:hideMark/>
          </w:tcPr>
          <w:p w14:paraId="2B65086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5DFFA17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32E25AD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670</w:t>
            </w:r>
          </w:p>
        </w:tc>
        <w:tc>
          <w:tcPr>
            <w:tcW w:w="1728" w:type="dxa"/>
            <w:hideMark/>
          </w:tcPr>
          <w:p w14:paraId="30C32F8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669.9</w:t>
            </w:r>
          </w:p>
        </w:tc>
        <w:tc>
          <w:tcPr>
            <w:tcW w:w="1021" w:type="dxa"/>
            <w:hideMark/>
          </w:tcPr>
          <w:p w14:paraId="4B028CC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97.97</w:t>
            </w:r>
          </w:p>
        </w:tc>
        <w:tc>
          <w:tcPr>
            <w:tcW w:w="1800" w:type="dxa"/>
            <w:hideMark/>
          </w:tcPr>
          <w:p w14:paraId="3BDFA67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0E027DA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109B0F4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10/13/21 20:49</w:t>
            </w:r>
          </w:p>
        </w:tc>
        <w:tc>
          <w:tcPr>
            <w:tcW w:w="936" w:type="dxa"/>
            <w:hideMark/>
          </w:tcPr>
          <w:p w14:paraId="27A6566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6E25EF0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629CD9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1-I-000-3</w:t>
            </w:r>
          </w:p>
        </w:tc>
        <w:tc>
          <w:tcPr>
            <w:tcW w:w="680" w:type="dxa"/>
            <w:noWrap/>
            <w:hideMark/>
          </w:tcPr>
          <w:p w14:paraId="2CC0F21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0115680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w:t>
            </w:r>
          </w:p>
        </w:tc>
        <w:tc>
          <w:tcPr>
            <w:tcW w:w="1839" w:type="dxa"/>
            <w:hideMark/>
          </w:tcPr>
          <w:p w14:paraId="2D459DE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w:t>
            </w:r>
          </w:p>
        </w:tc>
        <w:tc>
          <w:tcPr>
            <w:tcW w:w="1728" w:type="dxa"/>
            <w:hideMark/>
          </w:tcPr>
          <w:p w14:paraId="62C879D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w:t>
            </w:r>
          </w:p>
        </w:tc>
        <w:tc>
          <w:tcPr>
            <w:tcW w:w="1021" w:type="dxa"/>
            <w:hideMark/>
          </w:tcPr>
          <w:p w14:paraId="3FF641C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hideMark/>
          </w:tcPr>
          <w:p w14:paraId="654607D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4AA8BFA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w:t>
            </w:r>
          </w:p>
        </w:tc>
        <w:tc>
          <w:tcPr>
            <w:tcW w:w="1811" w:type="dxa"/>
            <w:hideMark/>
          </w:tcPr>
          <w:p w14:paraId="46CDCBC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936" w:type="dxa"/>
            <w:hideMark/>
          </w:tcPr>
          <w:p w14:paraId="601058A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11F784C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050FDF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1-I-160-3</w:t>
            </w:r>
          </w:p>
        </w:tc>
        <w:tc>
          <w:tcPr>
            <w:tcW w:w="680" w:type="dxa"/>
            <w:noWrap/>
            <w:hideMark/>
          </w:tcPr>
          <w:p w14:paraId="7E2C061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79F3330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w:t>
            </w:r>
          </w:p>
        </w:tc>
        <w:tc>
          <w:tcPr>
            <w:tcW w:w="1839" w:type="dxa"/>
            <w:hideMark/>
          </w:tcPr>
          <w:p w14:paraId="01FA02F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160</w:t>
            </w:r>
          </w:p>
        </w:tc>
        <w:tc>
          <w:tcPr>
            <w:tcW w:w="1728" w:type="dxa"/>
            <w:hideMark/>
          </w:tcPr>
          <w:p w14:paraId="6F4F983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23.3</w:t>
            </w:r>
          </w:p>
        </w:tc>
        <w:tc>
          <w:tcPr>
            <w:tcW w:w="1021" w:type="dxa"/>
            <w:hideMark/>
          </w:tcPr>
          <w:p w14:paraId="5B8F467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hideMark/>
          </w:tcPr>
          <w:p w14:paraId="228EC43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5A09E69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w:t>
            </w:r>
          </w:p>
        </w:tc>
        <w:tc>
          <w:tcPr>
            <w:tcW w:w="1811" w:type="dxa"/>
            <w:hideMark/>
          </w:tcPr>
          <w:p w14:paraId="48E017A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10/8/21 23:09</w:t>
            </w:r>
          </w:p>
        </w:tc>
        <w:tc>
          <w:tcPr>
            <w:tcW w:w="936" w:type="dxa"/>
            <w:hideMark/>
          </w:tcPr>
          <w:p w14:paraId="57F94C7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35B0B07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FAD1FA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1-I-670-3</w:t>
            </w:r>
          </w:p>
        </w:tc>
        <w:tc>
          <w:tcPr>
            <w:tcW w:w="680" w:type="dxa"/>
            <w:noWrap/>
            <w:hideMark/>
          </w:tcPr>
          <w:p w14:paraId="0FA347D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040" w:type="dxa"/>
            <w:hideMark/>
          </w:tcPr>
          <w:p w14:paraId="0606FF1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w:t>
            </w:r>
          </w:p>
        </w:tc>
        <w:tc>
          <w:tcPr>
            <w:tcW w:w="1839" w:type="dxa"/>
            <w:hideMark/>
          </w:tcPr>
          <w:p w14:paraId="5574A08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670</w:t>
            </w:r>
          </w:p>
        </w:tc>
        <w:tc>
          <w:tcPr>
            <w:tcW w:w="1728" w:type="dxa"/>
            <w:hideMark/>
          </w:tcPr>
          <w:p w14:paraId="763EEAA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100.2</w:t>
            </w:r>
          </w:p>
        </w:tc>
        <w:tc>
          <w:tcPr>
            <w:tcW w:w="1021" w:type="dxa"/>
            <w:hideMark/>
          </w:tcPr>
          <w:p w14:paraId="66BBF3E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hideMark/>
          </w:tcPr>
          <w:p w14:paraId="538A02B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10/6/21 6:30</w:t>
            </w:r>
          </w:p>
        </w:tc>
        <w:tc>
          <w:tcPr>
            <w:tcW w:w="765" w:type="dxa"/>
            <w:hideMark/>
          </w:tcPr>
          <w:p w14:paraId="70983AF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w:t>
            </w:r>
          </w:p>
        </w:tc>
        <w:tc>
          <w:tcPr>
            <w:tcW w:w="1811" w:type="dxa"/>
            <w:hideMark/>
          </w:tcPr>
          <w:p w14:paraId="1B1A1C6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10/17/21 20:51</w:t>
            </w:r>
          </w:p>
        </w:tc>
        <w:tc>
          <w:tcPr>
            <w:tcW w:w="936" w:type="dxa"/>
            <w:hideMark/>
          </w:tcPr>
          <w:p w14:paraId="53C1323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557B7937"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66F87F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2-A-010-1</w:t>
            </w:r>
          </w:p>
        </w:tc>
        <w:tc>
          <w:tcPr>
            <w:tcW w:w="680" w:type="dxa"/>
            <w:noWrap/>
            <w:hideMark/>
          </w:tcPr>
          <w:p w14:paraId="0FBF354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356B50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70F01D2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728" w:type="dxa"/>
            <w:hideMark/>
          </w:tcPr>
          <w:p w14:paraId="469B213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8.9</w:t>
            </w:r>
          </w:p>
        </w:tc>
        <w:tc>
          <w:tcPr>
            <w:tcW w:w="1021" w:type="dxa"/>
            <w:hideMark/>
          </w:tcPr>
          <w:p w14:paraId="4856B9F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164.28</w:t>
            </w:r>
          </w:p>
        </w:tc>
        <w:tc>
          <w:tcPr>
            <w:tcW w:w="1800" w:type="dxa"/>
            <w:hideMark/>
          </w:tcPr>
          <w:p w14:paraId="4228F0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37AF96C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6638329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20:05</w:t>
            </w:r>
          </w:p>
        </w:tc>
        <w:tc>
          <w:tcPr>
            <w:tcW w:w="936" w:type="dxa"/>
            <w:hideMark/>
          </w:tcPr>
          <w:p w14:paraId="14F9FD6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078DECA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CE6052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2-A-040-1</w:t>
            </w:r>
          </w:p>
        </w:tc>
        <w:tc>
          <w:tcPr>
            <w:tcW w:w="680" w:type="dxa"/>
            <w:noWrap/>
            <w:hideMark/>
          </w:tcPr>
          <w:p w14:paraId="1F61732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788B76E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195D970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w:t>
            </w:r>
          </w:p>
        </w:tc>
        <w:tc>
          <w:tcPr>
            <w:tcW w:w="1728" w:type="dxa"/>
            <w:hideMark/>
          </w:tcPr>
          <w:p w14:paraId="367774A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36.3</w:t>
            </w:r>
          </w:p>
        </w:tc>
        <w:tc>
          <w:tcPr>
            <w:tcW w:w="1021" w:type="dxa"/>
            <w:hideMark/>
          </w:tcPr>
          <w:p w14:paraId="1FC322B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164.28</w:t>
            </w:r>
          </w:p>
        </w:tc>
        <w:tc>
          <w:tcPr>
            <w:tcW w:w="1800" w:type="dxa"/>
            <w:hideMark/>
          </w:tcPr>
          <w:p w14:paraId="1C172CC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401DC2E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50CA23D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11/11/21 8:35</w:t>
            </w:r>
          </w:p>
        </w:tc>
        <w:tc>
          <w:tcPr>
            <w:tcW w:w="936" w:type="dxa"/>
            <w:hideMark/>
          </w:tcPr>
          <w:p w14:paraId="75CE548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181ACEA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ABC974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2-A-090-1</w:t>
            </w:r>
          </w:p>
        </w:tc>
        <w:tc>
          <w:tcPr>
            <w:tcW w:w="680" w:type="dxa"/>
            <w:noWrap/>
            <w:hideMark/>
          </w:tcPr>
          <w:p w14:paraId="6003C1F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0B3474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7669EBF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w:t>
            </w:r>
          </w:p>
        </w:tc>
        <w:tc>
          <w:tcPr>
            <w:tcW w:w="1728" w:type="dxa"/>
            <w:hideMark/>
          </w:tcPr>
          <w:p w14:paraId="588D7F0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92.8</w:t>
            </w:r>
          </w:p>
        </w:tc>
        <w:tc>
          <w:tcPr>
            <w:tcW w:w="1021" w:type="dxa"/>
            <w:hideMark/>
          </w:tcPr>
          <w:p w14:paraId="474E05F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164.28</w:t>
            </w:r>
          </w:p>
        </w:tc>
        <w:tc>
          <w:tcPr>
            <w:tcW w:w="1800" w:type="dxa"/>
            <w:hideMark/>
          </w:tcPr>
          <w:p w14:paraId="1748460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4AB2435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33CE5C8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11/12/21 10:22</w:t>
            </w:r>
          </w:p>
        </w:tc>
        <w:tc>
          <w:tcPr>
            <w:tcW w:w="936" w:type="dxa"/>
            <w:hideMark/>
          </w:tcPr>
          <w:p w14:paraId="0EC0DE3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3F04D51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775FC1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2-A-090-2</w:t>
            </w:r>
          </w:p>
        </w:tc>
        <w:tc>
          <w:tcPr>
            <w:tcW w:w="680" w:type="dxa"/>
            <w:noWrap/>
            <w:hideMark/>
          </w:tcPr>
          <w:p w14:paraId="6454ACA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1F70B2F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418EE3A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w:t>
            </w:r>
          </w:p>
        </w:tc>
        <w:tc>
          <w:tcPr>
            <w:tcW w:w="1728" w:type="dxa"/>
            <w:hideMark/>
          </w:tcPr>
          <w:p w14:paraId="21C07EC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92.8</w:t>
            </w:r>
          </w:p>
        </w:tc>
        <w:tc>
          <w:tcPr>
            <w:tcW w:w="1021" w:type="dxa"/>
            <w:hideMark/>
          </w:tcPr>
          <w:p w14:paraId="70CC24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164.28</w:t>
            </w:r>
          </w:p>
        </w:tc>
        <w:tc>
          <w:tcPr>
            <w:tcW w:w="1800" w:type="dxa"/>
            <w:hideMark/>
          </w:tcPr>
          <w:p w14:paraId="6292FAA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3BA6AB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040CC30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11/12/21 10:22</w:t>
            </w:r>
          </w:p>
        </w:tc>
        <w:tc>
          <w:tcPr>
            <w:tcW w:w="936" w:type="dxa"/>
            <w:hideMark/>
          </w:tcPr>
          <w:p w14:paraId="78A3CD3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07FF70A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76F444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2-A-160-1</w:t>
            </w:r>
          </w:p>
        </w:tc>
        <w:tc>
          <w:tcPr>
            <w:tcW w:w="680" w:type="dxa"/>
            <w:noWrap/>
            <w:hideMark/>
          </w:tcPr>
          <w:p w14:paraId="429BDDE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709C5C3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398A11B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160</w:t>
            </w:r>
          </w:p>
        </w:tc>
        <w:tc>
          <w:tcPr>
            <w:tcW w:w="1728" w:type="dxa"/>
            <w:hideMark/>
          </w:tcPr>
          <w:p w14:paraId="00D605E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156.4</w:t>
            </w:r>
          </w:p>
        </w:tc>
        <w:tc>
          <w:tcPr>
            <w:tcW w:w="1021" w:type="dxa"/>
            <w:hideMark/>
          </w:tcPr>
          <w:p w14:paraId="2DAE1F4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164.28</w:t>
            </w:r>
          </w:p>
        </w:tc>
        <w:tc>
          <w:tcPr>
            <w:tcW w:w="1800" w:type="dxa"/>
            <w:hideMark/>
          </w:tcPr>
          <w:p w14:paraId="0BF2B9E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79D22FA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0F7B681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11/13/21 15:22</w:t>
            </w:r>
          </w:p>
        </w:tc>
        <w:tc>
          <w:tcPr>
            <w:tcW w:w="936" w:type="dxa"/>
            <w:hideMark/>
          </w:tcPr>
          <w:p w14:paraId="0C53DAD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3DB3567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D927F6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2-A-270-1</w:t>
            </w:r>
          </w:p>
        </w:tc>
        <w:tc>
          <w:tcPr>
            <w:tcW w:w="680" w:type="dxa"/>
            <w:noWrap/>
            <w:hideMark/>
          </w:tcPr>
          <w:p w14:paraId="282D809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74ABA88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786D244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w:t>
            </w:r>
          </w:p>
        </w:tc>
        <w:tc>
          <w:tcPr>
            <w:tcW w:w="1728" w:type="dxa"/>
            <w:hideMark/>
          </w:tcPr>
          <w:p w14:paraId="0E166F2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255.4</w:t>
            </w:r>
          </w:p>
        </w:tc>
        <w:tc>
          <w:tcPr>
            <w:tcW w:w="1021" w:type="dxa"/>
            <w:hideMark/>
          </w:tcPr>
          <w:p w14:paraId="0DB1C75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164.28</w:t>
            </w:r>
          </w:p>
        </w:tc>
        <w:tc>
          <w:tcPr>
            <w:tcW w:w="1800" w:type="dxa"/>
            <w:hideMark/>
          </w:tcPr>
          <w:p w14:paraId="783813B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1A5A250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0F4B88F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11/15/21 12:32</w:t>
            </w:r>
          </w:p>
        </w:tc>
        <w:tc>
          <w:tcPr>
            <w:tcW w:w="936" w:type="dxa"/>
            <w:hideMark/>
          </w:tcPr>
          <w:p w14:paraId="5FD306A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24D2227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407E6B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2-A-430-1</w:t>
            </w:r>
          </w:p>
        </w:tc>
        <w:tc>
          <w:tcPr>
            <w:tcW w:w="680" w:type="dxa"/>
            <w:noWrap/>
            <w:hideMark/>
          </w:tcPr>
          <w:p w14:paraId="5E2C01F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5954D6C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26C1171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430</w:t>
            </w:r>
          </w:p>
        </w:tc>
        <w:tc>
          <w:tcPr>
            <w:tcW w:w="1728" w:type="dxa"/>
            <w:hideMark/>
          </w:tcPr>
          <w:p w14:paraId="589EC18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412.2</w:t>
            </w:r>
          </w:p>
        </w:tc>
        <w:tc>
          <w:tcPr>
            <w:tcW w:w="1021" w:type="dxa"/>
            <w:hideMark/>
          </w:tcPr>
          <w:p w14:paraId="5D73A73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164.28</w:t>
            </w:r>
          </w:p>
        </w:tc>
        <w:tc>
          <w:tcPr>
            <w:tcW w:w="1800" w:type="dxa"/>
            <w:hideMark/>
          </w:tcPr>
          <w:p w14:paraId="38E2F24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7574521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0A7E628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11/18/21 12:05</w:t>
            </w:r>
          </w:p>
        </w:tc>
        <w:tc>
          <w:tcPr>
            <w:tcW w:w="936" w:type="dxa"/>
            <w:hideMark/>
          </w:tcPr>
          <w:p w14:paraId="2D976A3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07C0D11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C80CCF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2-A-430-2</w:t>
            </w:r>
          </w:p>
        </w:tc>
        <w:tc>
          <w:tcPr>
            <w:tcW w:w="680" w:type="dxa"/>
            <w:noWrap/>
            <w:hideMark/>
          </w:tcPr>
          <w:p w14:paraId="644470E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30AD39B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008B365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430</w:t>
            </w:r>
          </w:p>
        </w:tc>
        <w:tc>
          <w:tcPr>
            <w:tcW w:w="1728" w:type="dxa"/>
            <w:hideMark/>
          </w:tcPr>
          <w:p w14:paraId="77B03E7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412.2</w:t>
            </w:r>
          </w:p>
        </w:tc>
        <w:tc>
          <w:tcPr>
            <w:tcW w:w="1021" w:type="dxa"/>
            <w:hideMark/>
          </w:tcPr>
          <w:p w14:paraId="3F58F7B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164.28</w:t>
            </w:r>
          </w:p>
        </w:tc>
        <w:tc>
          <w:tcPr>
            <w:tcW w:w="1800" w:type="dxa"/>
            <w:hideMark/>
          </w:tcPr>
          <w:p w14:paraId="53239AA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17F169A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236E720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11/18/21 12:05</w:t>
            </w:r>
          </w:p>
        </w:tc>
        <w:tc>
          <w:tcPr>
            <w:tcW w:w="936" w:type="dxa"/>
            <w:hideMark/>
          </w:tcPr>
          <w:p w14:paraId="5F1A1C6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70A97AD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B23581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2-A-670-1</w:t>
            </w:r>
          </w:p>
        </w:tc>
        <w:tc>
          <w:tcPr>
            <w:tcW w:w="680" w:type="dxa"/>
            <w:noWrap/>
            <w:hideMark/>
          </w:tcPr>
          <w:p w14:paraId="65F775A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61692E7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1B2901F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670</w:t>
            </w:r>
          </w:p>
        </w:tc>
        <w:tc>
          <w:tcPr>
            <w:tcW w:w="1728" w:type="dxa"/>
            <w:hideMark/>
          </w:tcPr>
          <w:p w14:paraId="0F3D666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668.6</w:t>
            </w:r>
          </w:p>
        </w:tc>
        <w:tc>
          <w:tcPr>
            <w:tcW w:w="1021" w:type="dxa"/>
            <w:hideMark/>
          </w:tcPr>
          <w:p w14:paraId="418E590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164.28</w:t>
            </w:r>
          </w:p>
        </w:tc>
        <w:tc>
          <w:tcPr>
            <w:tcW w:w="1800" w:type="dxa"/>
            <w:hideMark/>
          </w:tcPr>
          <w:p w14:paraId="0CFB4D8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1FDAB71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24AE04C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11/23/21 9:05</w:t>
            </w:r>
          </w:p>
        </w:tc>
        <w:tc>
          <w:tcPr>
            <w:tcW w:w="936" w:type="dxa"/>
            <w:hideMark/>
          </w:tcPr>
          <w:p w14:paraId="42F94A7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0CA1E22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0DB316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2-B-010-1</w:t>
            </w:r>
          </w:p>
        </w:tc>
        <w:tc>
          <w:tcPr>
            <w:tcW w:w="680" w:type="dxa"/>
            <w:noWrap/>
            <w:hideMark/>
          </w:tcPr>
          <w:p w14:paraId="6402EA0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5ED9BFF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62A5B53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728" w:type="dxa"/>
            <w:hideMark/>
          </w:tcPr>
          <w:p w14:paraId="0A25634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w:t>
            </w:r>
          </w:p>
        </w:tc>
        <w:tc>
          <w:tcPr>
            <w:tcW w:w="1021" w:type="dxa"/>
            <w:hideMark/>
          </w:tcPr>
          <w:p w14:paraId="575DACD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164.03</w:t>
            </w:r>
          </w:p>
        </w:tc>
        <w:tc>
          <w:tcPr>
            <w:tcW w:w="1800" w:type="dxa"/>
            <w:hideMark/>
          </w:tcPr>
          <w:p w14:paraId="3FBDD54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70ACF98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36EED6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20:05</w:t>
            </w:r>
          </w:p>
        </w:tc>
        <w:tc>
          <w:tcPr>
            <w:tcW w:w="936" w:type="dxa"/>
            <w:hideMark/>
          </w:tcPr>
          <w:p w14:paraId="039BD75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773F030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96DC41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2-B-040-1</w:t>
            </w:r>
          </w:p>
        </w:tc>
        <w:tc>
          <w:tcPr>
            <w:tcW w:w="680" w:type="dxa"/>
            <w:noWrap/>
            <w:hideMark/>
          </w:tcPr>
          <w:p w14:paraId="4307881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12FD5C0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1CC0922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w:t>
            </w:r>
          </w:p>
        </w:tc>
        <w:tc>
          <w:tcPr>
            <w:tcW w:w="1728" w:type="dxa"/>
            <w:hideMark/>
          </w:tcPr>
          <w:p w14:paraId="22B37D3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36.4</w:t>
            </w:r>
          </w:p>
        </w:tc>
        <w:tc>
          <w:tcPr>
            <w:tcW w:w="1021" w:type="dxa"/>
            <w:hideMark/>
          </w:tcPr>
          <w:p w14:paraId="5AD796C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164.03</w:t>
            </w:r>
          </w:p>
        </w:tc>
        <w:tc>
          <w:tcPr>
            <w:tcW w:w="1800" w:type="dxa"/>
            <w:hideMark/>
          </w:tcPr>
          <w:p w14:paraId="1BC0041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3068EDB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44749B1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11/11/21 8:35</w:t>
            </w:r>
          </w:p>
        </w:tc>
        <w:tc>
          <w:tcPr>
            <w:tcW w:w="936" w:type="dxa"/>
            <w:hideMark/>
          </w:tcPr>
          <w:p w14:paraId="486F77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5852C8C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7632A0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2-B-090-1</w:t>
            </w:r>
          </w:p>
        </w:tc>
        <w:tc>
          <w:tcPr>
            <w:tcW w:w="680" w:type="dxa"/>
            <w:noWrap/>
            <w:hideMark/>
          </w:tcPr>
          <w:p w14:paraId="424F774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7D9EBAF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4D78C64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w:t>
            </w:r>
          </w:p>
        </w:tc>
        <w:tc>
          <w:tcPr>
            <w:tcW w:w="1728" w:type="dxa"/>
            <w:hideMark/>
          </w:tcPr>
          <w:p w14:paraId="2D5BF64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93.0</w:t>
            </w:r>
          </w:p>
        </w:tc>
        <w:tc>
          <w:tcPr>
            <w:tcW w:w="1021" w:type="dxa"/>
            <w:hideMark/>
          </w:tcPr>
          <w:p w14:paraId="3C02C84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164.03</w:t>
            </w:r>
          </w:p>
        </w:tc>
        <w:tc>
          <w:tcPr>
            <w:tcW w:w="1800" w:type="dxa"/>
            <w:hideMark/>
          </w:tcPr>
          <w:p w14:paraId="51C9E2C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490E7CE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4BD9BC9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11/12/21 10:22</w:t>
            </w:r>
          </w:p>
        </w:tc>
        <w:tc>
          <w:tcPr>
            <w:tcW w:w="936" w:type="dxa"/>
            <w:hideMark/>
          </w:tcPr>
          <w:p w14:paraId="7B2512E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678915D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AEEA38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2-B-090-2</w:t>
            </w:r>
          </w:p>
        </w:tc>
        <w:tc>
          <w:tcPr>
            <w:tcW w:w="680" w:type="dxa"/>
            <w:noWrap/>
            <w:hideMark/>
          </w:tcPr>
          <w:p w14:paraId="3003AB2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17CA245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40E07B9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w:t>
            </w:r>
          </w:p>
        </w:tc>
        <w:tc>
          <w:tcPr>
            <w:tcW w:w="1728" w:type="dxa"/>
            <w:hideMark/>
          </w:tcPr>
          <w:p w14:paraId="7EF217D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93.0</w:t>
            </w:r>
          </w:p>
        </w:tc>
        <w:tc>
          <w:tcPr>
            <w:tcW w:w="1021" w:type="dxa"/>
            <w:hideMark/>
          </w:tcPr>
          <w:p w14:paraId="288A421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164.03</w:t>
            </w:r>
          </w:p>
        </w:tc>
        <w:tc>
          <w:tcPr>
            <w:tcW w:w="1800" w:type="dxa"/>
            <w:hideMark/>
          </w:tcPr>
          <w:p w14:paraId="5B1741A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263E8BD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4886BD3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11/12/21 10:22</w:t>
            </w:r>
          </w:p>
        </w:tc>
        <w:tc>
          <w:tcPr>
            <w:tcW w:w="936" w:type="dxa"/>
            <w:hideMark/>
          </w:tcPr>
          <w:p w14:paraId="7415130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2C433D5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1118C36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2-B-160-1</w:t>
            </w:r>
          </w:p>
        </w:tc>
        <w:tc>
          <w:tcPr>
            <w:tcW w:w="680" w:type="dxa"/>
            <w:noWrap/>
            <w:hideMark/>
          </w:tcPr>
          <w:p w14:paraId="7E0C695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3D32B15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5CC9EBA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160</w:t>
            </w:r>
          </w:p>
        </w:tc>
        <w:tc>
          <w:tcPr>
            <w:tcW w:w="1728" w:type="dxa"/>
            <w:hideMark/>
          </w:tcPr>
          <w:p w14:paraId="49628DC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156.6</w:t>
            </w:r>
          </w:p>
        </w:tc>
        <w:tc>
          <w:tcPr>
            <w:tcW w:w="1021" w:type="dxa"/>
            <w:hideMark/>
          </w:tcPr>
          <w:p w14:paraId="64E708C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164.03</w:t>
            </w:r>
          </w:p>
        </w:tc>
        <w:tc>
          <w:tcPr>
            <w:tcW w:w="1800" w:type="dxa"/>
            <w:hideMark/>
          </w:tcPr>
          <w:p w14:paraId="0E47A3B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6D5F6D0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00E69A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11/13/21 15:22</w:t>
            </w:r>
          </w:p>
        </w:tc>
        <w:tc>
          <w:tcPr>
            <w:tcW w:w="936" w:type="dxa"/>
            <w:hideMark/>
          </w:tcPr>
          <w:p w14:paraId="29BF559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35E5CD4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A956D3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2-B-160-2</w:t>
            </w:r>
          </w:p>
        </w:tc>
        <w:tc>
          <w:tcPr>
            <w:tcW w:w="680" w:type="dxa"/>
            <w:noWrap/>
            <w:hideMark/>
          </w:tcPr>
          <w:p w14:paraId="418BAC1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2654B22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1A4427B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160</w:t>
            </w:r>
          </w:p>
        </w:tc>
        <w:tc>
          <w:tcPr>
            <w:tcW w:w="1728" w:type="dxa"/>
            <w:hideMark/>
          </w:tcPr>
          <w:p w14:paraId="43B54AC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156.6</w:t>
            </w:r>
          </w:p>
        </w:tc>
        <w:tc>
          <w:tcPr>
            <w:tcW w:w="1021" w:type="dxa"/>
            <w:hideMark/>
          </w:tcPr>
          <w:p w14:paraId="1D01F12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164.03</w:t>
            </w:r>
          </w:p>
        </w:tc>
        <w:tc>
          <w:tcPr>
            <w:tcW w:w="1800" w:type="dxa"/>
            <w:hideMark/>
          </w:tcPr>
          <w:p w14:paraId="6E8D6EF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42E6AEA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26C6399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11/13/21 15:22</w:t>
            </w:r>
          </w:p>
        </w:tc>
        <w:tc>
          <w:tcPr>
            <w:tcW w:w="936" w:type="dxa"/>
            <w:hideMark/>
          </w:tcPr>
          <w:p w14:paraId="1D9D482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3182DBC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C00A66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2-B-270-1</w:t>
            </w:r>
          </w:p>
        </w:tc>
        <w:tc>
          <w:tcPr>
            <w:tcW w:w="680" w:type="dxa"/>
            <w:noWrap/>
            <w:hideMark/>
          </w:tcPr>
          <w:p w14:paraId="4FFBE10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0CF4CB2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262313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w:t>
            </w:r>
          </w:p>
        </w:tc>
        <w:tc>
          <w:tcPr>
            <w:tcW w:w="1728" w:type="dxa"/>
            <w:hideMark/>
          </w:tcPr>
          <w:p w14:paraId="2AB3D2C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255.8</w:t>
            </w:r>
          </w:p>
        </w:tc>
        <w:tc>
          <w:tcPr>
            <w:tcW w:w="1021" w:type="dxa"/>
            <w:hideMark/>
          </w:tcPr>
          <w:p w14:paraId="4FA9582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164.03</w:t>
            </w:r>
          </w:p>
        </w:tc>
        <w:tc>
          <w:tcPr>
            <w:tcW w:w="1800" w:type="dxa"/>
            <w:hideMark/>
          </w:tcPr>
          <w:p w14:paraId="2EA8D8A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1E8BF60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7A6B2ED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11/15/21 12:32</w:t>
            </w:r>
          </w:p>
        </w:tc>
        <w:tc>
          <w:tcPr>
            <w:tcW w:w="936" w:type="dxa"/>
            <w:hideMark/>
          </w:tcPr>
          <w:p w14:paraId="7CF0809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3E416A9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4364BE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2-B-430-1</w:t>
            </w:r>
          </w:p>
        </w:tc>
        <w:tc>
          <w:tcPr>
            <w:tcW w:w="680" w:type="dxa"/>
            <w:noWrap/>
            <w:hideMark/>
          </w:tcPr>
          <w:p w14:paraId="320B3C0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740BBC1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013B20B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430</w:t>
            </w:r>
          </w:p>
        </w:tc>
        <w:tc>
          <w:tcPr>
            <w:tcW w:w="1728" w:type="dxa"/>
            <w:hideMark/>
          </w:tcPr>
          <w:p w14:paraId="5461B61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412.8</w:t>
            </w:r>
          </w:p>
        </w:tc>
        <w:tc>
          <w:tcPr>
            <w:tcW w:w="1021" w:type="dxa"/>
            <w:hideMark/>
          </w:tcPr>
          <w:p w14:paraId="4394368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164.03</w:t>
            </w:r>
          </w:p>
        </w:tc>
        <w:tc>
          <w:tcPr>
            <w:tcW w:w="1800" w:type="dxa"/>
            <w:hideMark/>
          </w:tcPr>
          <w:p w14:paraId="27FC9CA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2111A02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3C3B00C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11/18/21 12:05</w:t>
            </w:r>
          </w:p>
        </w:tc>
        <w:tc>
          <w:tcPr>
            <w:tcW w:w="936" w:type="dxa"/>
            <w:hideMark/>
          </w:tcPr>
          <w:p w14:paraId="3E9A3DC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0E354F0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EA3E90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2-B-670-1</w:t>
            </w:r>
          </w:p>
        </w:tc>
        <w:tc>
          <w:tcPr>
            <w:tcW w:w="680" w:type="dxa"/>
            <w:noWrap/>
            <w:hideMark/>
          </w:tcPr>
          <w:p w14:paraId="212F327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2AAEF9C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15B15A9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670</w:t>
            </w:r>
          </w:p>
        </w:tc>
        <w:tc>
          <w:tcPr>
            <w:tcW w:w="1728" w:type="dxa"/>
            <w:hideMark/>
          </w:tcPr>
          <w:p w14:paraId="4FEDA3D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669.6</w:t>
            </w:r>
          </w:p>
        </w:tc>
        <w:tc>
          <w:tcPr>
            <w:tcW w:w="1021" w:type="dxa"/>
            <w:hideMark/>
          </w:tcPr>
          <w:p w14:paraId="6AB2ECB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164.03</w:t>
            </w:r>
          </w:p>
        </w:tc>
        <w:tc>
          <w:tcPr>
            <w:tcW w:w="1800" w:type="dxa"/>
            <w:hideMark/>
          </w:tcPr>
          <w:p w14:paraId="6D2FBCC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5B6A4D7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182B0EE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11/23/21 9:05</w:t>
            </w:r>
          </w:p>
        </w:tc>
        <w:tc>
          <w:tcPr>
            <w:tcW w:w="936" w:type="dxa"/>
            <w:hideMark/>
          </w:tcPr>
          <w:p w14:paraId="46E65AC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661B2A2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E246A2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2-C-010-1</w:t>
            </w:r>
          </w:p>
        </w:tc>
        <w:tc>
          <w:tcPr>
            <w:tcW w:w="680" w:type="dxa"/>
            <w:noWrap/>
            <w:hideMark/>
          </w:tcPr>
          <w:p w14:paraId="460901A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6291594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7D1BE5E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728" w:type="dxa"/>
            <w:hideMark/>
          </w:tcPr>
          <w:p w14:paraId="3250476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021" w:type="dxa"/>
            <w:hideMark/>
          </w:tcPr>
          <w:p w14:paraId="4CCF3A5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111.16</w:t>
            </w:r>
          </w:p>
        </w:tc>
        <w:tc>
          <w:tcPr>
            <w:tcW w:w="1800" w:type="dxa"/>
            <w:hideMark/>
          </w:tcPr>
          <w:p w14:paraId="44FEF1B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038C54A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3998233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19:05</w:t>
            </w:r>
          </w:p>
        </w:tc>
        <w:tc>
          <w:tcPr>
            <w:tcW w:w="936" w:type="dxa"/>
            <w:hideMark/>
          </w:tcPr>
          <w:p w14:paraId="1C8CF18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63423EE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B2DE18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2-C-040-1</w:t>
            </w:r>
          </w:p>
        </w:tc>
        <w:tc>
          <w:tcPr>
            <w:tcW w:w="680" w:type="dxa"/>
            <w:noWrap/>
            <w:hideMark/>
          </w:tcPr>
          <w:p w14:paraId="6A31E8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17AED5D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294EB26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w:t>
            </w:r>
          </w:p>
        </w:tc>
        <w:tc>
          <w:tcPr>
            <w:tcW w:w="1728" w:type="dxa"/>
            <w:hideMark/>
          </w:tcPr>
          <w:p w14:paraId="4B1F320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42.1</w:t>
            </w:r>
          </w:p>
        </w:tc>
        <w:tc>
          <w:tcPr>
            <w:tcW w:w="1021" w:type="dxa"/>
            <w:hideMark/>
          </w:tcPr>
          <w:p w14:paraId="06CFD04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111.16</w:t>
            </w:r>
          </w:p>
        </w:tc>
        <w:tc>
          <w:tcPr>
            <w:tcW w:w="1800" w:type="dxa"/>
            <w:hideMark/>
          </w:tcPr>
          <w:p w14:paraId="6D75E61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5F0815C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543974F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11/11/21 5:00</w:t>
            </w:r>
          </w:p>
        </w:tc>
        <w:tc>
          <w:tcPr>
            <w:tcW w:w="936" w:type="dxa"/>
            <w:hideMark/>
          </w:tcPr>
          <w:p w14:paraId="3B48647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0CE0F4F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F742DC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2-C-090-1</w:t>
            </w:r>
          </w:p>
        </w:tc>
        <w:tc>
          <w:tcPr>
            <w:tcW w:w="680" w:type="dxa"/>
            <w:noWrap/>
            <w:hideMark/>
          </w:tcPr>
          <w:p w14:paraId="270D5A4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464C282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72AE723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w:t>
            </w:r>
          </w:p>
        </w:tc>
        <w:tc>
          <w:tcPr>
            <w:tcW w:w="1728" w:type="dxa"/>
            <w:hideMark/>
          </w:tcPr>
          <w:p w14:paraId="2961358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83.4</w:t>
            </w:r>
          </w:p>
        </w:tc>
        <w:tc>
          <w:tcPr>
            <w:tcW w:w="1021" w:type="dxa"/>
            <w:hideMark/>
          </w:tcPr>
          <w:p w14:paraId="114E30E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111.16</w:t>
            </w:r>
          </w:p>
        </w:tc>
        <w:tc>
          <w:tcPr>
            <w:tcW w:w="1800" w:type="dxa"/>
            <w:hideMark/>
          </w:tcPr>
          <w:p w14:paraId="7FB74A6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35AF84D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2987804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11/11/21 17:45</w:t>
            </w:r>
          </w:p>
        </w:tc>
        <w:tc>
          <w:tcPr>
            <w:tcW w:w="936" w:type="dxa"/>
            <w:hideMark/>
          </w:tcPr>
          <w:p w14:paraId="4E50CD4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4B143F1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D217F9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2-C-160-1</w:t>
            </w:r>
          </w:p>
        </w:tc>
        <w:tc>
          <w:tcPr>
            <w:tcW w:w="680" w:type="dxa"/>
            <w:noWrap/>
            <w:hideMark/>
          </w:tcPr>
          <w:p w14:paraId="7928ACF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2880ECF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750F297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160</w:t>
            </w:r>
          </w:p>
        </w:tc>
        <w:tc>
          <w:tcPr>
            <w:tcW w:w="1728" w:type="dxa"/>
            <w:hideMark/>
          </w:tcPr>
          <w:p w14:paraId="61B7092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151.4</w:t>
            </w:r>
          </w:p>
        </w:tc>
        <w:tc>
          <w:tcPr>
            <w:tcW w:w="1021" w:type="dxa"/>
            <w:hideMark/>
          </w:tcPr>
          <w:p w14:paraId="45E81E3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111.16</w:t>
            </w:r>
          </w:p>
        </w:tc>
        <w:tc>
          <w:tcPr>
            <w:tcW w:w="1800" w:type="dxa"/>
            <w:hideMark/>
          </w:tcPr>
          <w:p w14:paraId="74DC5BD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44BCB0A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15D1FD9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11/12/21 14:45</w:t>
            </w:r>
          </w:p>
        </w:tc>
        <w:tc>
          <w:tcPr>
            <w:tcW w:w="936" w:type="dxa"/>
            <w:hideMark/>
          </w:tcPr>
          <w:p w14:paraId="33FB4F0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375C9DAF"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2C6783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2-C-270-1</w:t>
            </w:r>
          </w:p>
        </w:tc>
        <w:tc>
          <w:tcPr>
            <w:tcW w:w="680" w:type="dxa"/>
            <w:noWrap/>
            <w:hideMark/>
          </w:tcPr>
          <w:p w14:paraId="72FE4AF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208ECB0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210FE1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w:t>
            </w:r>
          </w:p>
        </w:tc>
        <w:tc>
          <w:tcPr>
            <w:tcW w:w="1728" w:type="dxa"/>
            <w:hideMark/>
          </w:tcPr>
          <w:p w14:paraId="795B09C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285.0</w:t>
            </w:r>
          </w:p>
        </w:tc>
        <w:tc>
          <w:tcPr>
            <w:tcW w:w="1021" w:type="dxa"/>
            <w:hideMark/>
          </w:tcPr>
          <w:p w14:paraId="3492F87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111.16</w:t>
            </w:r>
          </w:p>
        </w:tc>
        <w:tc>
          <w:tcPr>
            <w:tcW w:w="1800" w:type="dxa"/>
            <w:hideMark/>
          </w:tcPr>
          <w:p w14:paraId="05532A6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628F63B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31F19F0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11/14/21 8:01</w:t>
            </w:r>
          </w:p>
        </w:tc>
        <w:tc>
          <w:tcPr>
            <w:tcW w:w="936" w:type="dxa"/>
            <w:hideMark/>
          </w:tcPr>
          <w:p w14:paraId="1D6E9BD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2D40495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71A069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2-C-270-2</w:t>
            </w:r>
          </w:p>
        </w:tc>
        <w:tc>
          <w:tcPr>
            <w:tcW w:w="680" w:type="dxa"/>
            <w:noWrap/>
            <w:hideMark/>
          </w:tcPr>
          <w:p w14:paraId="3C7C65D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0B5ABFF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33844E8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w:t>
            </w:r>
          </w:p>
        </w:tc>
        <w:tc>
          <w:tcPr>
            <w:tcW w:w="1728" w:type="dxa"/>
            <w:hideMark/>
          </w:tcPr>
          <w:p w14:paraId="75C5C0B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285.0</w:t>
            </w:r>
          </w:p>
        </w:tc>
        <w:tc>
          <w:tcPr>
            <w:tcW w:w="1021" w:type="dxa"/>
            <w:hideMark/>
          </w:tcPr>
          <w:p w14:paraId="3E805D9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111.16</w:t>
            </w:r>
          </w:p>
        </w:tc>
        <w:tc>
          <w:tcPr>
            <w:tcW w:w="1800" w:type="dxa"/>
            <w:hideMark/>
          </w:tcPr>
          <w:p w14:paraId="5D92590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526DEA6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5DC59C1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11/14/21 8:01</w:t>
            </w:r>
          </w:p>
        </w:tc>
        <w:tc>
          <w:tcPr>
            <w:tcW w:w="936" w:type="dxa"/>
            <w:hideMark/>
          </w:tcPr>
          <w:p w14:paraId="0101630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4CF3ACD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1649C9D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2-C-430-1</w:t>
            </w:r>
          </w:p>
        </w:tc>
        <w:tc>
          <w:tcPr>
            <w:tcW w:w="680" w:type="dxa"/>
            <w:noWrap/>
            <w:hideMark/>
          </w:tcPr>
          <w:p w14:paraId="27D06C5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01DA4A0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2E5596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430</w:t>
            </w:r>
          </w:p>
        </w:tc>
        <w:tc>
          <w:tcPr>
            <w:tcW w:w="1728" w:type="dxa"/>
            <w:hideMark/>
          </w:tcPr>
          <w:p w14:paraId="248688B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453.4</w:t>
            </w:r>
          </w:p>
        </w:tc>
        <w:tc>
          <w:tcPr>
            <w:tcW w:w="1021" w:type="dxa"/>
            <w:hideMark/>
          </w:tcPr>
          <w:p w14:paraId="58384FC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111.16</w:t>
            </w:r>
          </w:p>
        </w:tc>
        <w:tc>
          <w:tcPr>
            <w:tcW w:w="1800" w:type="dxa"/>
            <w:hideMark/>
          </w:tcPr>
          <w:p w14:paraId="03586AD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720722B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16CC200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11/16/21 12:00</w:t>
            </w:r>
          </w:p>
        </w:tc>
        <w:tc>
          <w:tcPr>
            <w:tcW w:w="936" w:type="dxa"/>
            <w:hideMark/>
          </w:tcPr>
          <w:p w14:paraId="2FF45F2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2B932CF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B39B09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2-C-670-1</w:t>
            </w:r>
          </w:p>
        </w:tc>
        <w:tc>
          <w:tcPr>
            <w:tcW w:w="680" w:type="dxa"/>
            <w:noWrap/>
            <w:hideMark/>
          </w:tcPr>
          <w:p w14:paraId="2F390C9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3AA5C8D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05179A5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670</w:t>
            </w:r>
          </w:p>
        </w:tc>
        <w:tc>
          <w:tcPr>
            <w:tcW w:w="1728" w:type="dxa"/>
            <w:hideMark/>
          </w:tcPr>
          <w:p w14:paraId="7589674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681.8</w:t>
            </w:r>
          </w:p>
        </w:tc>
        <w:tc>
          <w:tcPr>
            <w:tcW w:w="1021" w:type="dxa"/>
            <w:hideMark/>
          </w:tcPr>
          <w:p w14:paraId="334B0C6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111.16</w:t>
            </w:r>
          </w:p>
        </w:tc>
        <w:tc>
          <w:tcPr>
            <w:tcW w:w="1800" w:type="dxa"/>
            <w:hideMark/>
          </w:tcPr>
          <w:p w14:paraId="61283C9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5FAA216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1CD092D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11/19/21 10:32</w:t>
            </w:r>
          </w:p>
        </w:tc>
        <w:tc>
          <w:tcPr>
            <w:tcW w:w="936" w:type="dxa"/>
            <w:hideMark/>
          </w:tcPr>
          <w:p w14:paraId="089DDF7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692F21D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8305A1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2-C-670-2</w:t>
            </w:r>
          </w:p>
        </w:tc>
        <w:tc>
          <w:tcPr>
            <w:tcW w:w="680" w:type="dxa"/>
            <w:noWrap/>
            <w:hideMark/>
          </w:tcPr>
          <w:p w14:paraId="01FE03B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08E0927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2A60A28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670</w:t>
            </w:r>
          </w:p>
        </w:tc>
        <w:tc>
          <w:tcPr>
            <w:tcW w:w="1728" w:type="dxa"/>
            <w:hideMark/>
          </w:tcPr>
          <w:p w14:paraId="5848BD3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681.8</w:t>
            </w:r>
          </w:p>
        </w:tc>
        <w:tc>
          <w:tcPr>
            <w:tcW w:w="1021" w:type="dxa"/>
            <w:hideMark/>
          </w:tcPr>
          <w:p w14:paraId="799025A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111.16</w:t>
            </w:r>
          </w:p>
        </w:tc>
        <w:tc>
          <w:tcPr>
            <w:tcW w:w="1800" w:type="dxa"/>
            <w:hideMark/>
          </w:tcPr>
          <w:p w14:paraId="2A00ABF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76D2F7B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16768D3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11/19/21 10:32</w:t>
            </w:r>
          </w:p>
        </w:tc>
        <w:tc>
          <w:tcPr>
            <w:tcW w:w="936" w:type="dxa"/>
            <w:hideMark/>
          </w:tcPr>
          <w:p w14:paraId="5D14272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5F06B81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033108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2-I-000-3</w:t>
            </w:r>
          </w:p>
        </w:tc>
        <w:tc>
          <w:tcPr>
            <w:tcW w:w="680" w:type="dxa"/>
            <w:noWrap/>
            <w:hideMark/>
          </w:tcPr>
          <w:p w14:paraId="520EAEF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185B06F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w:t>
            </w:r>
          </w:p>
        </w:tc>
        <w:tc>
          <w:tcPr>
            <w:tcW w:w="1839" w:type="dxa"/>
            <w:hideMark/>
          </w:tcPr>
          <w:p w14:paraId="7727AF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w:t>
            </w:r>
          </w:p>
        </w:tc>
        <w:tc>
          <w:tcPr>
            <w:tcW w:w="1728" w:type="dxa"/>
            <w:hideMark/>
          </w:tcPr>
          <w:p w14:paraId="488236E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w:t>
            </w:r>
          </w:p>
        </w:tc>
        <w:tc>
          <w:tcPr>
            <w:tcW w:w="1021" w:type="dxa"/>
            <w:hideMark/>
          </w:tcPr>
          <w:p w14:paraId="46800B7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hideMark/>
          </w:tcPr>
          <w:p w14:paraId="394490C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1672CCC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w:t>
            </w:r>
          </w:p>
        </w:tc>
        <w:tc>
          <w:tcPr>
            <w:tcW w:w="1811" w:type="dxa"/>
            <w:hideMark/>
          </w:tcPr>
          <w:p w14:paraId="4D26C7C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17:20</w:t>
            </w:r>
          </w:p>
        </w:tc>
        <w:tc>
          <w:tcPr>
            <w:tcW w:w="936" w:type="dxa"/>
            <w:hideMark/>
          </w:tcPr>
          <w:p w14:paraId="63CA32A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693A1A6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1FD2234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2-I-160-3</w:t>
            </w:r>
          </w:p>
        </w:tc>
        <w:tc>
          <w:tcPr>
            <w:tcW w:w="680" w:type="dxa"/>
            <w:noWrap/>
            <w:hideMark/>
          </w:tcPr>
          <w:p w14:paraId="5B9F2B9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0458E5F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w:t>
            </w:r>
          </w:p>
        </w:tc>
        <w:tc>
          <w:tcPr>
            <w:tcW w:w="1839" w:type="dxa"/>
            <w:hideMark/>
          </w:tcPr>
          <w:p w14:paraId="617A72C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160</w:t>
            </w:r>
          </w:p>
        </w:tc>
        <w:tc>
          <w:tcPr>
            <w:tcW w:w="1728" w:type="dxa"/>
            <w:hideMark/>
          </w:tcPr>
          <w:p w14:paraId="3192B59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27.1</w:t>
            </w:r>
          </w:p>
        </w:tc>
        <w:tc>
          <w:tcPr>
            <w:tcW w:w="1021" w:type="dxa"/>
            <w:hideMark/>
          </w:tcPr>
          <w:p w14:paraId="644CD4D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hideMark/>
          </w:tcPr>
          <w:p w14:paraId="728D3EE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2FB2E9C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w:t>
            </w:r>
          </w:p>
        </w:tc>
        <w:tc>
          <w:tcPr>
            <w:tcW w:w="1811" w:type="dxa"/>
            <w:hideMark/>
          </w:tcPr>
          <w:p w14:paraId="7DBE4FA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11/13/21 19:20</w:t>
            </w:r>
          </w:p>
        </w:tc>
        <w:tc>
          <w:tcPr>
            <w:tcW w:w="936" w:type="dxa"/>
            <w:hideMark/>
          </w:tcPr>
          <w:p w14:paraId="0903936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5448AE2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513A84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2-I-670-3</w:t>
            </w:r>
          </w:p>
        </w:tc>
        <w:tc>
          <w:tcPr>
            <w:tcW w:w="680" w:type="dxa"/>
            <w:noWrap/>
            <w:hideMark/>
          </w:tcPr>
          <w:p w14:paraId="0E2C655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040" w:type="dxa"/>
            <w:hideMark/>
          </w:tcPr>
          <w:p w14:paraId="5839A76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w:t>
            </w:r>
          </w:p>
        </w:tc>
        <w:tc>
          <w:tcPr>
            <w:tcW w:w="1839" w:type="dxa"/>
            <w:hideMark/>
          </w:tcPr>
          <w:p w14:paraId="36D9107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670</w:t>
            </w:r>
          </w:p>
        </w:tc>
        <w:tc>
          <w:tcPr>
            <w:tcW w:w="1728" w:type="dxa"/>
            <w:hideMark/>
          </w:tcPr>
          <w:p w14:paraId="40594F1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111.1</w:t>
            </w:r>
          </w:p>
        </w:tc>
        <w:tc>
          <w:tcPr>
            <w:tcW w:w="1021" w:type="dxa"/>
            <w:hideMark/>
          </w:tcPr>
          <w:p w14:paraId="3D3CF9F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hideMark/>
          </w:tcPr>
          <w:p w14:paraId="674EE1F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11/10/21 16:00</w:t>
            </w:r>
          </w:p>
        </w:tc>
        <w:tc>
          <w:tcPr>
            <w:tcW w:w="765" w:type="dxa"/>
            <w:hideMark/>
          </w:tcPr>
          <w:p w14:paraId="5840452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w:t>
            </w:r>
          </w:p>
        </w:tc>
        <w:tc>
          <w:tcPr>
            <w:tcW w:w="1811" w:type="dxa"/>
            <w:hideMark/>
          </w:tcPr>
          <w:p w14:paraId="34AADE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11/23/21 12:29</w:t>
            </w:r>
          </w:p>
        </w:tc>
        <w:tc>
          <w:tcPr>
            <w:tcW w:w="936" w:type="dxa"/>
            <w:hideMark/>
          </w:tcPr>
          <w:p w14:paraId="1A1C8C8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64E388D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34DD91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10-A-0-1</w:t>
            </w:r>
          </w:p>
        </w:tc>
        <w:tc>
          <w:tcPr>
            <w:tcW w:w="680" w:type="dxa"/>
            <w:noWrap/>
            <w:hideMark/>
          </w:tcPr>
          <w:p w14:paraId="5C8E602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5D0AE03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0548124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w:t>
            </w:r>
          </w:p>
        </w:tc>
        <w:tc>
          <w:tcPr>
            <w:tcW w:w="1728" w:type="dxa"/>
            <w:hideMark/>
          </w:tcPr>
          <w:p w14:paraId="38F2943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w:t>
            </w:r>
          </w:p>
        </w:tc>
        <w:tc>
          <w:tcPr>
            <w:tcW w:w="1021" w:type="dxa"/>
            <w:hideMark/>
          </w:tcPr>
          <w:p w14:paraId="4D2C30E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335D1FF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169FAE2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06E8F83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7:58</w:t>
            </w:r>
          </w:p>
        </w:tc>
        <w:tc>
          <w:tcPr>
            <w:tcW w:w="936" w:type="dxa"/>
            <w:hideMark/>
          </w:tcPr>
          <w:p w14:paraId="32864A7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w:t>
            </w:r>
          </w:p>
        </w:tc>
      </w:tr>
      <w:tr w:rsidR="00302953" w:rsidRPr="00770477" w14:paraId="6902676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804FF7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10-A-1-1</w:t>
            </w:r>
          </w:p>
        </w:tc>
        <w:tc>
          <w:tcPr>
            <w:tcW w:w="680" w:type="dxa"/>
            <w:noWrap/>
            <w:hideMark/>
          </w:tcPr>
          <w:p w14:paraId="42C83E0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1700AAA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0F9F71C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728" w:type="dxa"/>
            <w:hideMark/>
          </w:tcPr>
          <w:p w14:paraId="72DDBAF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21" w:type="dxa"/>
            <w:hideMark/>
          </w:tcPr>
          <w:p w14:paraId="3F5A420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04A3546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08EA52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207968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10:10</w:t>
            </w:r>
          </w:p>
        </w:tc>
        <w:tc>
          <w:tcPr>
            <w:tcW w:w="936" w:type="dxa"/>
            <w:hideMark/>
          </w:tcPr>
          <w:p w14:paraId="6C99F2B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w:t>
            </w:r>
          </w:p>
        </w:tc>
      </w:tr>
      <w:tr w:rsidR="00302953" w:rsidRPr="00770477" w14:paraId="47B5379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1C46729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10-A-1-2</w:t>
            </w:r>
          </w:p>
        </w:tc>
        <w:tc>
          <w:tcPr>
            <w:tcW w:w="680" w:type="dxa"/>
            <w:noWrap/>
            <w:hideMark/>
          </w:tcPr>
          <w:p w14:paraId="55A6512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688470F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3BEF13E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728" w:type="dxa"/>
            <w:hideMark/>
          </w:tcPr>
          <w:p w14:paraId="5DDBE3D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21" w:type="dxa"/>
            <w:hideMark/>
          </w:tcPr>
          <w:p w14:paraId="57C0247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0143CB0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20D00D8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68A2D86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10:10</w:t>
            </w:r>
          </w:p>
        </w:tc>
        <w:tc>
          <w:tcPr>
            <w:tcW w:w="936" w:type="dxa"/>
            <w:hideMark/>
          </w:tcPr>
          <w:p w14:paraId="4A555BF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w:t>
            </w:r>
          </w:p>
        </w:tc>
      </w:tr>
      <w:tr w:rsidR="00302953" w:rsidRPr="00770477" w14:paraId="19E1DD4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E23870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10-A-2-1</w:t>
            </w:r>
          </w:p>
        </w:tc>
        <w:tc>
          <w:tcPr>
            <w:tcW w:w="680" w:type="dxa"/>
            <w:noWrap/>
            <w:hideMark/>
          </w:tcPr>
          <w:p w14:paraId="0400278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14FA50C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61F97BC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728" w:type="dxa"/>
            <w:hideMark/>
          </w:tcPr>
          <w:p w14:paraId="3B0E051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w:t>
            </w:r>
          </w:p>
        </w:tc>
        <w:tc>
          <w:tcPr>
            <w:tcW w:w="1021" w:type="dxa"/>
            <w:hideMark/>
          </w:tcPr>
          <w:p w14:paraId="23E70D7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71FD5A1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1F75EA7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09B197D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13:15</w:t>
            </w:r>
          </w:p>
        </w:tc>
        <w:tc>
          <w:tcPr>
            <w:tcW w:w="936" w:type="dxa"/>
            <w:hideMark/>
          </w:tcPr>
          <w:p w14:paraId="7D1B42E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w:t>
            </w:r>
          </w:p>
        </w:tc>
      </w:tr>
      <w:tr w:rsidR="00302953" w:rsidRPr="00770477" w14:paraId="3A54CD4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8F1B18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10-A-4-1</w:t>
            </w:r>
          </w:p>
        </w:tc>
        <w:tc>
          <w:tcPr>
            <w:tcW w:w="680" w:type="dxa"/>
            <w:noWrap/>
            <w:hideMark/>
          </w:tcPr>
          <w:p w14:paraId="3B3524C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00D07C6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59411EE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w:t>
            </w:r>
          </w:p>
        </w:tc>
        <w:tc>
          <w:tcPr>
            <w:tcW w:w="1728" w:type="dxa"/>
            <w:hideMark/>
          </w:tcPr>
          <w:p w14:paraId="324C946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w:t>
            </w:r>
          </w:p>
        </w:tc>
        <w:tc>
          <w:tcPr>
            <w:tcW w:w="1021" w:type="dxa"/>
            <w:hideMark/>
          </w:tcPr>
          <w:p w14:paraId="3EE6606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270E1F1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63CBD25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1D50CEF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19:25</w:t>
            </w:r>
          </w:p>
        </w:tc>
        <w:tc>
          <w:tcPr>
            <w:tcW w:w="936" w:type="dxa"/>
            <w:hideMark/>
          </w:tcPr>
          <w:p w14:paraId="4020832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w:t>
            </w:r>
          </w:p>
        </w:tc>
      </w:tr>
      <w:tr w:rsidR="00302953" w:rsidRPr="00770477" w14:paraId="2F1605B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2531F2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10-A-6-1</w:t>
            </w:r>
          </w:p>
        </w:tc>
        <w:tc>
          <w:tcPr>
            <w:tcW w:w="680" w:type="dxa"/>
            <w:noWrap/>
            <w:hideMark/>
          </w:tcPr>
          <w:p w14:paraId="29DE6A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54A72E8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2CB0959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1728" w:type="dxa"/>
            <w:hideMark/>
          </w:tcPr>
          <w:p w14:paraId="0D684DB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7.7</w:t>
            </w:r>
          </w:p>
        </w:tc>
        <w:tc>
          <w:tcPr>
            <w:tcW w:w="1021" w:type="dxa"/>
            <w:hideMark/>
          </w:tcPr>
          <w:p w14:paraId="757A9A0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7B7501D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52D4B7E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45A0CDB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6/25/22 7:00</w:t>
            </w:r>
          </w:p>
        </w:tc>
        <w:tc>
          <w:tcPr>
            <w:tcW w:w="936" w:type="dxa"/>
            <w:hideMark/>
          </w:tcPr>
          <w:p w14:paraId="4500144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w:t>
            </w:r>
          </w:p>
        </w:tc>
      </w:tr>
      <w:tr w:rsidR="00302953" w:rsidRPr="00770477" w14:paraId="56C536D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AE5F9D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10-A-10-1</w:t>
            </w:r>
          </w:p>
        </w:tc>
        <w:tc>
          <w:tcPr>
            <w:tcW w:w="680" w:type="dxa"/>
            <w:noWrap/>
            <w:hideMark/>
          </w:tcPr>
          <w:p w14:paraId="63AFC94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69C9D74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7F55806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728" w:type="dxa"/>
            <w:hideMark/>
          </w:tcPr>
          <w:p w14:paraId="0E2B208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021" w:type="dxa"/>
            <w:hideMark/>
          </w:tcPr>
          <w:p w14:paraId="278B5D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28A0A9C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369E9B2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7DB2E8C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6/25/22 13:56</w:t>
            </w:r>
          </w:p>
        </w:tc>
        <w:tc>
          <w:tcPr>
            <w:tcW w:w="936" w:type="dxa"/>
            <w:hideMark/>
          </w:tcPr>
          <w:p w14:paraId="539A052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w:t>
            </w:r>
          </w:p>
        </w:tc>
      </w:tr>
      <w:tr w:rsidR="00302953" w:rsidRPr="00770477" w14:paraId="5806E1D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6D57F0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10-A-17-1</w:t>
            </w:r>
          </w:p>
        </w:tc>
        <w:tc>
          <w:tcPr>
            <w:tcW w:w="680" w:type="dxa"/>
            <w:noWrap/>
            <w:hideMark/>
          </w:tcPr>
          <w:p w14:paraId="27769D0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0C73414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3C9C26E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w:t>
            </w:r>
          </w:p>
        </w:tc>
        <w:tc>
          <w:tcPr>
            <w:tcW w:w="1728" w:type="dxa"/>
            <w:hideMark/>
          </w:tcPr>
          <w:p w14:paraId="4D8DF5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16.9</w:t>
            </w:r>
          </w:p>
        </w:tc>
        <w:tc>
          <w:tcPr>
            <w:tcW w:w="1021" w:type="dxa"/>
            <w:hideMark/>
          </w:tcPr>
          <w:p w14:paraId="5A08E62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2271B20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7EC7337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3B0E71A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6/26/22 11:13</w:t>
            </w:r>
          </w:p>
        </w:tc>
        <w:tc>
          <w:tcPr>
            <w:tcW w:w="936" w:type="dxa"/>
            <w:hideMark/>
          </w:tcPr>
          <w:p w14:paraId="342A5B8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w:t>
            </w:r>
          </w:p>
        </w:tc>
      </w:tr>
      <w:tr w:rsidR="00302953" w:rsidRPr="00770477" w14:paraId="5FF7A44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1B123EE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10-A-17-2</w:t>
            </w:r>
          </w:p>
        </w:tc>
        <w:tc>
          <w:tcPr>
            <w:tcW w:w="680" w:type="dxa"/>
            <w:noWrap/>
            <w:hideMark/>
          </w:tcPr>
          <w:p w14:paraId="2605242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2E48B10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35BC309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w:t>
            </w:r>
          </w:p>
        </w:tc>
        <w:tc>
          <w:tcPr>
            <w:tcW w:w="1728" w:type="dxa"/>
            <w:hideMark/>
          </w:tcPr>
          <w:p w14:paraId="0FA1AD1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16.9</w:t>
            </w:r>
          </w:p>
        </w:tc>
        <w:tc>
          <w:tcPr>
            <w:tcW w:w="1021" w:type="dxa"/>
            <w:hideMark/>
          </w:tcPr>
          <w:p w14:paraId="4878F0D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62BD350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0FA78F0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2A27D33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6/26/22 11:13</w:t>
            </w:r>
          </w:p>
        </w:tc>
        <w:tc>
          <w:tcPr>
            <w:tcW w:w="936" w:type="dxa"/>
            <w:hideMark/>
          </w:tcPr>
          <w:p w14:paraId="54DDE71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w:t>
            </w:r>
          </w:p>
        </w:tc>
      </w:tr>
      <w:tr w:rsidR="00302953" w:rsidRPr="00770477" w14:paraId="29715BC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A668E8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10-A-27-1</w:t>
            </w:r>
          </w:p>
        </w:tc>
        <w:tc>
          <w:tcPr>
            <w:tcW w:w="680" w:type="dxa"/>
            <w:noWrap/>
            <w:hideMark/>
          </w:tcPr>
          <w:p w14:paraId="0B770DF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715E86C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w:t>
            </w:r>
          </w:p>
        </w:tc>
        <w:tc>
          <w:tcPr>
            <w:tcW w:w="1839" w:type="dxa"/>
            <w:hideMark/>
          </w:tcPr>
          <w:p w14:paraId="526665C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w:t>
            </w:r>
          </w:p>
        </w:tc>
        <w:tc>
          <w:tcPr>
            <w:tcW w:w="1728" w:type="dxa"/>
            <w:hideMark/>
          </w:tcPr>
          <w:p w14:paraId="3D5B4E2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w:t>
            </w:r>
          </w:p>
        </w:tc>
        <w:tc>
          <w:tcPr>
            <w:tcW w:w="1021" w:type="dxa"/>
            <w:hideMark/>
          </w:tcPr>
          <w:p w14:paraId="72D1CCE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75AE0C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311FF4C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31FEA3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6/27/22 18:25</w:t>
            </w:r>
          </w:p>
        </w:tc>
        <w:tc>
          <w:tcPr>
            <w:tcW w:w="936" w:type="dxa"/>
            <w:hideMark/>
          </w:tcPr>
          <w:p w14:paraId="10D729F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w:t>
            </w:r>
          </w:p>
        </w:tc>
      </w:tr>
      <w:tr w:rsidR="00302953" w:rsidRPr="00770477" w14:paraId="7330DBF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CDA5E2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10-B-0-1</w:t>
            </w:r>
          </w:p>
        </w:tc>
        <w:tc>
          <w:tcPr>
            <w:tcW w:w="680" w:type="dxa"/>
            <w:noWrap/>
            <w:hideMark/>
          </w:tcPr>
          <w:p w14:paraId="605A998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0EC0425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00BD878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w:t>
            </w:r>
          </w:p>
        </w:tc>
        <w:tc>
          <w:tcPr>
            <w:tcW w:w="1728" w:type="dxa"/>
            <w:hideMark/>
          </w:tcPr>
          <w:p w14:paraId="0204246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w:t>
            </w:r>
          </w:p>
        </w:tc>
        <w:tc>
          <w:tcPr>
            <w:tcW w:w="1021" w:type="dxa"/>
            <w:hideMark/>
          </w:tcPr>
          <w:p w14:paraId="73F624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44EE51C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05C327B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2AD75FB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7:58</w:t>
            </w:r>
          </w:p>
        </w:tc>
        <w:tc>
          <w:tcPr>
            <w:tcW w:w="936" w:type="dxa"/>
            <w:hideMark/>
          </w:tcPr>
          <w:p w14:paraId="237FA6D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r>
      <w:tr w:rsidR="00302953" w:rsidRPr="00770477" w14:paraId="5B46AF0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472E28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10-B-1-1</w:t>
            </w:r>
          </w:p>
        </w:tc>
        <w:tc>
          <w:tcPr>
            <w:tcW w:w="680" w:type="dxa"/>
            <w:noWrap/>
            <w:hideMark/>
          </w:tcPr>
          <w:p w14:paraId="366A1D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1FE78AC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10C3BED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728" w:type="dxa"/>
            <w:hideMark/>
          </w:tcPr>
          <w:p w14:paraId="407D5A6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21" w:type="dxa"/>
            <w:hideMark/>
          </w:tcPr>
          <w:p w14:paraId="24021DE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0040E8E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5533A72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39A1719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10:42</w:t>
            </w:r>
          </w:p>
        </w:tc>
        <w:tc>
          <w:tcPr>
            <w:tcW w:w="936" w:type="dxa"/>
            <w:hideMark/>
          </w:tcPr>
          <w:p w14:paraId="018EB87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r>
      <w:tr w:rsidR="00302953" w:rsidRPr="00770477" w14:paraId="390C3E0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1B6640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10-B-1-2</w:t>
            </w:r>
          </w:p>
        </w:tc>
        <w:tc>
          <w:tcPr>
            <w:tcW w:w="680" w:type="dxa"/>
            <w:noWrap/>
            <w:hideMark/>
          </w:tcPr>
          <w:p w14:paraId="0D296C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093B829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4B0DAED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728" w:type="dxa"/>
            <w:hideMark/>
          </w:tcPr>
          <w:p w14:paraId="66F9AC6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21" w:type="dxa"/>
            <w:hideMark/>
          </w:tcPr>
          <w:p w14:paraId="1358932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4812634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0476D33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5D92931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10:42</w:t>
            </w:r>
          </w:p>
        </w:tc>
        <w:tc>
          <w:tcPr>
            <w:tcW w:w="936" w:type="dxa"/>
            <w:hideMark/>
          </w:tcPr>
          <w:p w14:paraId="5B21C19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r>
      <w:tr w:rsidR="00302953" w:rsidRPr="00770477" w14:paraId="5CE70A3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5B3942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10-B-2-1</w:t>
            </w:r>
          </w:p>
        </w:tc>
        <w:tc>
          <w:tcPr>
            <w:tcW w:w="680" w:type="dxa"/>
            <w:noWrap/>
            <w:hideMark/>
          </w:tcPr>
          <w:p w14:paraId="7546F28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3DD23F5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45D5C06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728" w:type="dxa"/>
            <w:hideMark/>
          </w:tcPr>
          <w:p w14:paraId="344325A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w:t>
            </w:r>
          </w:p>
        </w:tc>
        <w:tc>
          <w:tcPr>
            <w:tcW w:w="1021" w:type="dxa"/>
            <w:hideMark/>
          </w:tcPr>
          <w:p w14:paraId="0F0869A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50C9504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5618B6B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0D2744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14:19</w:t>
            </w:r>
          </w:p>
        </w:tc>
        <w:tc>
          <w:tcPr>
            <w:tcW w:w="936" w:type="dxa"/>
            <w:hideMark/>
          </w:tcPr>
          <w:p w14:paraId="36790CA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r>
      <w:tr w:rsidR="00302953" w:rsidRPr="00770477" w14:paraId="1840344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6804FA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10-B-4-1</w:t>
            </w:r>
          </w:p>
        </w:tc>
        <w:tc>
          <w:tcPr>
            <w:tcW w:w="680" w:type="dxa"/>
            <w:noWrap/>
            <w:hideMark/>
          </w:tcPr>
          <w:p w14:paraId="237D7C5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2016C21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2420823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w:t>
            </w:r>
          </w:p>
        </w:tc>
        <w:tc>
          <w:tcPr>
            <w:tcW w:w="1728" w:type="dxa"/>
            <w:hideMark/>
          </w:tcPr>
          <w:p w14:paraId="0E31132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w:t>
            </w:r>
          </w:p>
        </w:tc>
        <w:tc>
          <w:tcPr>
            <w:tcW w:w="1021" w:type="dxa"/>
            <w:hideMark/>
          </w:tcPr>
          <w:p w14:paraId="0BB7E94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297E02A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62392FD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46ED1D2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20:00</w:t>
            </w:r>
          </w:p>
        </w:tc>
        <w:tc>
          <w:tcPr>
            <w:tcW w:w="936" w:type="dxa"/>
            <w:hideMark/>
          </w:tcPr>
          <w:p w14:paraId="1184370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r>
      <w:tr w:rsidR="00302953" w:rsidRPr="00770477" w14:paraId="5019433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2216F3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10-B-6-1</w:t>
            </w:r>
          </w:p>
        </w:tc>
        <w:tc>
          <w:tcPr>
            <w:tcW w:w="680" w:type="dxa"/>
            <w:noWrap/>
            <w:hideMark/>
          </w:tcPr>
          <w:p w14:paraId="07B557E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52F9B2D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504F13A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1728" w:type="dxa"/>
            <w:hideMark/>
          </w:tcPr>
          <w:p w14:paraId="04B30D2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6.6</w:t>
            </w:r>
          </w:p>
        </w:tc>
        <w:tc>
          <w:tcPr>
            <w:tcW w:w="1021" w:type="dxa"/>
            <w:hideMark/>
          </w:tcPr>
          <w:p w14:paraId="640C25D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4114D4C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5733425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6485B77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6/25/22 7:00</w:t>
            </w:r>
          </w:p>
        </w:tc>
        <w:tc>
          <w:tcPr>
            <w:tcW w:w="936" w:type="dxa"/>
            <w:hideMark/>
          </w:tcPr>
          <w:p w14:paraId="78DCF7B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r>
      <w:tr w:rsidR="00302953" w:rsidRPr="00770477" w14:paraId="787CFCB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4344CF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10-B-10-1</w:t>
            </w:r>
          </w:p>
        </w:tc>
        <w:tc>
          <w:tcPr>
            <w:tcW w:w="680" w:type="dxa"/>
            <w:noWrap/>
            <w:hideMark/>
          </w:tcPr>
          <w:p w14:paraId="1578FA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5D2BA35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6E2599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728" w:type="dxa"/>
            <w:hideMark/>
          </w:tcPr>
          <w:p w14:paraId="3389D72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021" w:type="dxa"/>
            <w:hideMark/>
          </w:tcPr>
          <w:p w14:paraId="4A0F44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46B7C38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12D5B11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2AF7BA6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6/25/22 19:18</w:t>
            </w:r>
          </w:p>
        </w:tc>
        <w:tc>
          <w:tcPr>
            <w:tcW w:w="936" w:type="dxa"/>
            <w:hideMark/>
          </w:tcPr>
          <w:p w14:paraId="7CB64B8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r>
      <w:tr w:rsidR="00302953" w:rsidRPr="00770477" w14:paraId="43C3331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DF7136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10-B-17-1</w:t>
            </w:r>
          </w:p>
        </w:tc>
        <w:tc>
          <w:tcPr>
            <w:tcW w:w="680" w:type="dxa"/>
            <w:noWrap/>
            <w:hideMark/>
          </w:tcPr>
          <w:p w14:paraId="3AB02F0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140A27C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64A56C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w:t>
            </w:r>
          </w:p>
        </w:tc>
        <w:tc>
          <w:tcPr>
            <w:tcW w:w="1728" w:type="dxa"/>
            <w:hideMark/>
          </w:tcPr>
          <w:p w14:paraId="3939238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15.7</w:t>
            </w:r>
          </w:p>
        </w:tc>
        <w:tc>
          <w:tcPr>
            <w:tcW w:w="1021" w:type="dxa"/>
            <w:hideMark/>
          </w:tcPr>
          <w:p w14:paraId="60151CE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2501C2F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4FA19F2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0662723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6/26/22 16:00</w:t>
            </w:r>
          </w:p>
        </w:tc>
        <w:tc>
          <w:tcPr>
            <w:tcW w:w="936" w:type="dxa"/>
            <w:hideMark/>
          </w:tcPr>
          <w:p w14:paraId="09C41E1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r>
      <w:tr w:rsidR="00302953" w:rsidRPr="00770477" w14:paraId="416E7A6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28BF84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10-B-27-1</w:t>
            </w:r>
          </w:p>
        </w:tc>
        <w:tc>
          <w:tcPr>
            <w:tcW w:w="680" w:type="dxa"/>
            <w:noWrap/>
            <w:hideMark/>
          </w:tcPr>
          <w:p w14:paraId="3EC0D6D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06FE090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5AAC7FF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w:t>
            </w:r>
          </w:p>
        </w:tc>
        <w:tc>
          <w:tcPr>
            <w:tcW w:w="1728" w:type="dxa"/>
            <w:hideMark/>
          </w:tcPr>
          <w:p w14:paraId="26B5482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w:t>
            </w:r>
          </w:p>
        </w:tc>
        <w:tc>
          <w:tcPr>
            <w:tcW w:w="1021" w:type="dxa"/>
            <w:hideMark/>
          </w:tcPr>
          <w:p w14:paraId="139E90F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452CD49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63E44B7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482F1CC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6/28/22 8:54</w:t>
            </w:r>
          </w:p>
        </w:tc>
        <w:tc>
          <w:tcPr>
            <w:tcW w:w="936" w:type="dxa"/>
            <w:hideMark/>
          </w:tcPr>
          <w:p w14:paraId="527083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r>
      <w:tr w:rsidR="00302953" w:rsidRPr="00770477" w14:paraId="421DD7B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659EBA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10-B-27-2</w:t>
            </w:r>
          </w:p>
        </w:tc>
        <w:tc>
          <w:tcPr>
            <w:tcW w:w="680" w:type="dxa"/>
            <w:noWrap/>
            <w:hideMark/>
          </w:tcPr>
          <w:p w14:paraId="02B133C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631C9DF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w:t>
            </w:r>
          </w:p>
        </w:tc>
        <w:tc>
          <w:tcPr>
            <w:tcW w:w="1839" w:type="dxa"/>
            <w:hideMark/>
          </w:tcPr>
          <w:p w14:paraId="5BE5789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w:t>
            </w:r>
          </w:p>
        </w:tc>
        <w:tc>
          <w:tcPr>
            <w:tcW w:w="1728" w:type="dxa"/>
            <w:hideMark/>
          </w:tcPr>
          <w:p w14:paraId="0D50BBA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w:t>
            </w:r>
          </w:p>
        </w:tc>
        <w:tc>
          <w:tcPr>
            <w:tcW w:w="1021" w:type="dxa"/>
            <w:hideMark/>
          </w:tcPr>
          <w:p w14:paraId="6D3C04B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328D641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754522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7842491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6/28/22 8:54</w:t>
            </w:r>
          </w:p>
        </w:tc>
        <w:tc>
          <w:tcPr>
            <w:tcW w:w="936" w:type="dxa"/>
            <w:hideMark/>
          </w:tcPr>
          <w:p w14:paraId="21FB55F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r>
      <w:tr w:rsidR="00302953" w:rsidRPr="00770477" w14:paraId="7755CF0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DEA8D4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10-C-0-1</w:t>
            </w:r>
          </w:p>
        </w:tc>
        <w:tc>
          <w:tcPr>
            <w:tcW w:w="680" w:type="dxa"/>
            <w:noWrap/>
            <w:hideMark/>
          </w:tcPr>
          <w:p w14:paraId="7A39F2C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1C23489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10A44DE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w:t>
            </w:r>
          </w:p>
        </w:tc>
        <w:tc>
          <w:tcPr>
            <w:tcW w:w="1728" w:type="dxa"/>
            <w:hideMark/>
          </w:tcPr>
          <w:p w14:paraId="0A4C6AB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w:t>
            </w:r>
          </w:p>
        </w:tc>
        <w:tc>
          <w:tcPr>
            <w:tcW w:w="1021" w:type="dxa"/>
            <w:hideMark/>
          </w:tcPr>
          <w:p w14:paraId="30A7786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23C2D38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043A6A5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500D71B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8:08</w:t>
            </w:r>
          </w:p>
        </w:tc>
        <w:tc>
          <w:tcPr>
            <w:tcW w:w="936" w:type="dxa"/>
            <w:hideMark/>
          </w:tcPr>
          <w:p w14:paraId="2ECFDCC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r>
      <w:tr w:rsidR="00302953" w:rsidRPr="00770477" w14:paraId="1BF1E879"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1F5233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10-C-1-1</w:t>
            </w:r>
          </w:p>
        </w:tc>
        <w:tc>
          <w:tcPr>
            <w:tcW w:w="680" w:type="dxa"/>
            <w:noWrap/>
            <w:hideMark/>
          </w:tcPr>
          <w:p w14:paraId="24554B8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773E48C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2B7A43D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728" w:type="dxa"/>
            <w:hideMark/>
          </w:tcPr>
          <w:p w14:paraId="0C88A72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w:t>
            </w:r>
          </w:p>
        </w:tc>
        <w:tc>
          <w:tcPr>
            <w:tcW w:w="1021" w:type="dxa"/>
            <w:hideMark/>
          </w:tcPr>
          <w:p w14:paraId="71826C0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3376F3A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756D2C0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783FA9E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11:09</w:t>
            </w:r>
          </w:p>
        </w:tc>
        <w:tc>
          <w:tcPr>
            <w:tcW w:w="936" w:type="dxa"/>
            <w:hideMark/>
          </w:tcPr>
          <w:p w14:paraId="3D66630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r>
      <w:tr w:rsidR="00302953" w:rsidRPr="00770477" w14:paraId="0949BB37"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A70372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10-C-1-2</w:t>
            </w:r>
          </w:p>
        </w:tc>
        <w:tc>
          <w:tcPr>
            <w:tcW w:w="680" w:type="dxa"/>
            <w:noWrap/>
            <w:hideMark/>
          </w:tcPr>
          <w:p w14:paraId="2DFFF0A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4EBF7C8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2318FC5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728" w:type="dxa"/>
            <w:hideMark/>
          </w:tcPr>
          <w:p w14:paraId="10948EE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w:t>
            </w:r>
          </w:p>
        </w:tc>
        <w:tc>
          <w:tcPr>
            <w:tcW w:w="1021" w:type="dxa"/>
            <w:hideMark/>
          </w:tcPr>
          <w:p w14:paraId="2E3A5DA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10288D1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7EB8892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0871D3E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11:09</w:t>
            </w:r>
          </w:p>
        </w:tc>
        <w:tc>
          <w:tcPr>
            <w:tcW w:w="936" w:type="dxa"/>
            <w:hideMark/>
          </w:tcPr>
          <w:p w14:paraId="11DA931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r>
      <w:tr w:rsidR="00302953" w:rsidRPr="00770477" w14:paraId="099DEC6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C9FE8F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10-C-2-1</w:t>
            </w:r>
          </w:p>
        </w:tc>
        <w:tc>
          <w:tcPr>
            <w:tcW w:w="680" w:type="dxa"/>
            <w:noWrap/>
            <w:hideMark/>
          </w:tcPr>
          <w:p w14:paraId="4DBA6B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03B8514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5112BD0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728" w:type="dxa"/>
            <w:hideMark/>
          </w:tcPr>
          <w:p w14:paraId="56E9894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w:t>
            </w:r>
          </w:p>
        </w:tc>
        <w:tc>
          <w:tcPr>
            <w:tcW w:w="1021" w:type="dxa"/>
            <w:hideMark/>
          </w:tcPr>
          <w:p w14:paraId="584478A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55D5954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7DCCB33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3104FAF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14:29</w:t>
            </w:r>
          </w:p>
        </w:tc>
        <w:tc>
          <w:tcPr>
            <w:tcW w:w="936" w:type="dxa"/>
            <w:hideMark/>
          </w:tcPr>
          <w:p w14:paraId="271C741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r>
      <w:tr w:rsidR="00302953" w:rsidRPr="00770477" w14:paraId="5F72666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A82C35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10-C-4-1</w:t>
            </w:r>
          </w:p>
        </w:tc>
        <w:tc>
          <w:tcPr>
            <w:tcW w:w="680" w:type="dxa"/>
            <w:noWrap/>
            <w:hideMark/>
          </w:tcPr>
          <w:p w14:paraId="558BF87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75C767E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7DEA337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w:t>
            </w:r>
          </w:p>
        </w:tc>
        <w:tc>
          <w:tcPr>
            <w:tcW w:w="1728" w:type="dxa"/>
            <w:hideMark/>
          </w:tcPr>
          <w:p w14:paraId="1CC4D2D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3.5</w:t>
            </w:r>
          </w:p>
        </w:tc>
        <w:tc>
          <w:tcPr>
            <w:tcW w:w="1021" w:type="dxa"/>
            <w:hideMark/>
          </w:tcPr>
          <w:p w14:paraId="45DA4D8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62DC83A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40B2F76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2CC9250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20:00</w:t>
            </w:r>
          </w:p>
        </w:tc>
        <w:tc>
          <w:tcPr>
            <w:tcW w:w="936" w:type="dxa"/>
            <w:hideMark/>
          </w:tcPr>
          <w:p w14:paraId="3B9F0AE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r>
      <w:tr w:rsidR="00302953" w:rsidRPr="00770477" w14:paraId="6F9185F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2CF94D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10-C-6-1</w:t>
            </w:r>
          </w:p>
        </w:tc>
        <w:tc>
          <w:tcPr>
            <w:tcW w:w="680" w:type="dxa"/>
            <w:noWrap/>
            <w:hideMark/>
          </w:tcPr>
          <w:p w14:paraId="308E265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5861CBD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3AD5069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1728" w:type="dxa"/>
            <w:hideMark/>
          </w:tcPr>
          <w:p w14:paraId="1969A2E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w:t>
            </w:r>
          </w:p>
        </w:tc>
        <w:tc>
          <w:tcPr>
            <w:tcW w:w="1021" w:type="dxa"/>
            <w:hideMark/>
          </w:tcPr>
          <w:p w14:paraId="049B0A3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4AE32CA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0834F29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724C32B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6/25/22 7:10</w:t>
            </w:r>
          </w:p>
        </w:tc>
        <w:tc>
          <w:tcPr>
            <w:tcW w:w="936" w:type="dxa"/>
            <w:hideMark/>
          </w:tcPr>
          <w:p w14:paraId="7043AEB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r>
      <w:tr w:rsidR="00302953" w:rsidRPr="00770477" w14:paraId="20A389C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CCCD0C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10-C-10-1</w:t>
            </w:r>
          </w:p>
        </w:tc>
        <w:tc>
          <w:tcPr>
            <w:tcW w:w="680" w:type="dxa"/>
            <w:noWrap/>
            <w:hideMark/>
          </w:tcPr>
          <w:p w14:paraId="18718AB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56E2E84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59F5607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728" w:type="dxa"/>
            <w:hideMark/>
          </w:tcPr>
          <w:p w14:paraId="3583181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021" w:type="dxa"/>
            <w:hideMark/>
          </w:tcPr>
          <w:p w14:paraId="0140EAA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3277B60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358F19D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4DDE1B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6/25/22 20:07</w:t>
            </w:r>
          </w:p>
        </w:tc>
        <w:tc>
          <w:tcPr>
            <w:tcW w:w="936" w:type="dxa"/>
            <w:hideMark/>
          </w:tcPr>
          <w:p w14:paraId="5CDCE0A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r>
      <w:tr w:rsidR="00302953" w:rsidRPr="00770477" w14:paraId="23D2EE0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CE9CE6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10-C-17-1</w:t>
            </w:r>
          </w:p>
        </w:tc>
        <w:tc>
          <w:tcPr>
            <w:tcW w:w="680" w:type="dxa"/>
            <w:noWrap/>
            <w:hideMark/>
          </w:tcPr>
          <w:p w14:paraId="70A0B60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6073747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48470D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w:t>
            </w:r>
          </w:p>
        </w:tc>
        <w:tc>
          <w:tcPr>
            <w:tcW w:w="1728" w:type="dxa"/>
            <w:hideMark/>
          </w:tcPr>
          <w:p w14:paraId="68EB7F9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22.9</w:t>
            </w:r>
          </w:p>
        </w:tc>
        <w:tc>
          <w:tcPr>
            <w:tcW w:w="1021" w:type="dxa"/>
            <w:hideMark/>
          </w:tcPr>
          <w:p w14:paraId="2D8ADFC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43B7D54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7E7D9B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33B7B2E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6/27/22 20:00</w:t>
            </w:r>
          </w:p>
        </w:tc>
        <w:tc>
          <w:tcPr>
            <w:tcW w:w="936" w:type="dxa"/>
            <w:hideMark/>
          </w:tcPr>
          <w:p w14:paraId="2957AEA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r>
      <w:tr w:rsidR="00302953" w:rsidRPr="00770477" w14:paraId="38DC577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E01EAA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10-C-27-1</w:t>
            </w:r>
          </w:p>
        </w:tc>
        <w:tc>
          <w:tcPr>
            <w:tcW w:w="680" w:type="dxa"/>
            <w:noWrap/>
            <w:hideMark/>
          </w:tcPr>
          <w:p w14:paraId="5A93719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657989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02A805B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w:t>
            </w:r>
          </w:p>
        </w:tc>
        <w:tc>
          <w:tcPr>
            <w:tcW w:w="1728" w:type="dxa"/>
            <w:hideMark/>
          </w:tcPr>
          <w:p w14:paraId="02F0169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27.1</w:t>
            </w:r>
          </w:p>
        </w:tc>
        <w:tc>
          <w:tcPr>
            <w:tcW w:w="1021" w:type="dxa"/>
            <w:hideMark/>
          </w:tcPr>
          <w:p w14:paraId="4F9EB7C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16FC5A5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6A22E87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583CF8C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6/28/22 11:35</w:t>
            </w:r>
          </w:p>
        </w:tc>
        <w:tc>
          <w:tcPr>
            <w:tcW w:w="936" w:type="dxa"/>
            <w:hideMark/>
          </w:tcPr>
          <w:p w14:paraId="36215C3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r>
      <w:tr w:rsidR="00302953" w:rsidRPr="00770477" w14:paraId="1786BB9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815539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10-C-27-2</w:t>
            </w:r>
          </w:p>
        </w:tc>
        <w:tc>
          <w:tcPr>
            <w:tcW w:w="680" w:type="dxa"/>
            <w:noWrap/>
            <w:hideMark/>
          </w:tcPr>
          <w:p w14:paraId="65359BE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54A9EBA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w:t>
            </w:r>
          </w:p>
        </w:tc>
        <w:tc>
          <w:tcPr>
            <w:tcW w:w="1839" w:type="dxa"/>
            <w:hideMark/>
          </w:tcPr>
          <w:p w14:paraId="15C2CC4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w:t>
            </w:r>
          </w:p>
        </w:tc>
        <w:tc>
          <w:tcPr>
            <w:tcW w:w="1728" w:type="dxa"/>
            <w:hideMark/>
          </w:tcPr>
          <w:p w14:paraId="6D245CE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27.1</w:t>
            </w:r>
          </w:p>
        </w:tc>
        <w:tc>
          <w:tcPr>
            <w:tcW w:w="1021" w:type="dxa"/>
            <w:hideMark/>
          </w:tcPr>
          <w:p w14:paraId="270C9C8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29DCB62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13443C2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3BC54D8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6/28/22 11:35</w:t>
            </w:r>
          </w:p>
        </w:tc>
        <w:tc>
          <w:tcPr>
            <w:tcW w:w="936" w:type="dxa"/>
            <w:hideMark/>
          </w:tcPr>
          <w:p w14:paraId="1B3D3E2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r>
      <w:tr w:rsidR="00302953" w:rsidRPr="00770477" w14:paraId="4D22E0F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6D7134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10-D-0-1</w:t>
            </w:r>
          </w:p>
        </w:tc>
        <w:tc>
          <w:tcPr>
            <w:tcW w:w="680" w:type="dxa"/>
            <w:noWrap/>
            <w:hideMark/>
          </w:tcPr>
          <w:p w14:paraId="240C587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08AA07B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D</w:t>
            </w:r>
          </w:p>
        </w:tc>
        <w:tc>
          <w:tcPr>
            <w:tcW w:w="1839" w:type="dxa"/>
            <w:hideMark/>
          </w:tcPr>
          <w:p w14:paraId="7DF6224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w:t>
            </w:r>
          </w:p>
        </w:tc>
        <w:tc>
          <w:tcPr>
            <w:tcW w:w="1728" w:type="dxa"/>
            <w:hideMark/>
          </w:tcPr>
          <w:p w14:paraId="668E369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w:t>
            </w:r>
          </w:p>
        </w:tc>
        <w:tc>
          <w:tcPr>
            <w:tcW w:w="1021" w:type="dxa"/>
            <w:hideMark/>
          </w:tcPr>
          <w:p w14:paraId="78D02FD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65C7484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292CC6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35CBD09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7:35</w:t>
            </w:r>
          </w:p>
        </w:tc>
        <w:tc>
          <w:tcPr>
            <w:tcW w:w="936" w:type="dxa"/>
            <w:hideMark/>
          </w:tcPr>
          <w:p w14:paraId="670F32F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7779F7F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4E1DE05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10-D-1-1</w:t>
            </w:r>
          </w:p>
        </w:tc>
        <w:tc>
          <w:tcPr>
            <w:tcW w:w="680" w:type="dxa"/>
            <w:noWrap/>
            <w:hideMark/>
          </w:tcPr>
          <w:p w14:paraId="6B3342D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2897190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D</w:t>
            </w:r>
          </w:p>
        </w:tc>
        <w:tc>
          <w:tcPr>
            <w:tcW w:w="1839" w:type="dxa"/>
            <w:hideMark/>
          </w:tcPr>
          <w:p w14:paraId="47A7F7E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728" w:type="dxa"/>
            <w:hideMark/>
          </w:tcPr>
          <w:p w14:paraId="11DF763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21" w:type="dxa"/>
            <w:hideMark/>
          </w:tcPr>
          <w:p w14:paraId="44C73FD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2AE94B3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52F644B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4CB7A10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9:51</w:t>
            </w:r>
          </w:p>
        </w:tc>
        <w:tc>
          <w:tcPr>
            <w:tcW w:w="936" w:type="dxa"/>
            <w:hideMark/>
          </w:tcPr>
          <w:p w14:paraId="3BA9ADB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5213B92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1D2B425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10-D-1-2</w:t>
            </w:r>
          </w:p>
        </w:tc>
        <w:tc>
          <w:tcPr>
            <w:tcW w:w="680" w:type="dxa"/>
            <w:noWrap/>
            <w:hideMark/>
          </w:tcPr>
          <w:p w14:paraId="1F9D85B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79204D9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D</w:t>
            </w:r>
          </w:p>
        </w:tc>
        <w:tc>
          <w:tcPr>
            <w:tcW w:w="1839" w:type="dxa"/>
            <w:hideMark/>
          </w:tcPr>
          <w:p w14:paraId="674E9BC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728" w:type="dxa"/>
            <w:hideMark/>
          </w:tcPr>
          <w:p w14:paraId="4DBC465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21" w:type="dxa"/>
            <w:hideMark/>
          </w:tcPr>
          <w:p w14:paraId="4AE25D6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6926194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75A5737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674C7E6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9:51</w:t>
            </w:r>
          </w:p>
        </w:tc>
        <w:tc>
          <w:tcPr>
            <w:tcW w:w="936" w:type="dxa"/>
            <w:hideMark/>
          </w:tcPr>
          <w:p w14:paraId="7C9A9A0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2EC4EAF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9B24F5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10-D-2-1</w:t>
            </w:r>
          </w:p>
        </w:tc>
        <w:tc>
          <w:tcPr>
            <w:tcW w:w="680" w:type="dxa"/>
            <w:noWrap/>
            <w:hideMark/>
          </w:tcPr>
          <w:p w14:paraId="289B0F2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5FA134B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D</w:t>
            </w:r>
          </w:p>
        </w:tc>
        <w:tc>
          <w:tcPr>
            <w:tcW w:w="1839" w:type="dxa"/>
            <w:hideMark/>
          </w:tcPr>
          <w:p w14:paraId="467134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728" w:type="dxa"/>
            <w:hideMark/>
          </w:tcPr>
          <w:p w14:paraId="7FEDF27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w:t>
            </w:r>
          </w:p>
        </w:tc>
        <w:tc>
          <w:tcPr>
            <w:tcW w:w="1021" w:type="dxa"/>
            <w:hideMark/>
          </w:tcPr>
          <w:p w14:paraId="667C4F3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49F7FEF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49FD51F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163DB9A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12:38</w:t>
            </w:r>
          </w:p>
        </w:tc>
        <w:tc>
          <w:tcPr>
            <w:tcW w:w="936" w:type="dxa"/>
            <w:hideMark/>
          </w:tcPr>
          <w:p w14:paraId="59084ED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546B0F6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376D84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10-D-4-1</w:t>
            </w:r>
          </w:p>
        </w:tc>
        <w:tc>
          <w:tcPr>
            <w:tcW w:w="680" w:type="dxa"/>
            <w:noWrap/>
            <w:hideMark/>
          </w:tcPr>
          <w:p w14:paraId="1154E2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0078C11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D</w:t>
            </w:r>
          </w:p>
        </w:tc>
        <w:tc>
          <w:tcPr>
            <w:tcW w:w="1839" w:type="dxa"/>
            <w:hideMark/>
          </w:tcPr>
          <w:p w14:paraId="339545C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w:t>
            </w:r>
          </w:p>
        </w:tc>
        <w:tc>
          <w:tcPr>
            <w:tcW w:w="1728" w:type="dxa"/>
            <w:hideMark/>
          </w:tcPr>
          <w:p w14:paraId="00A2F81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w:t>
            </w:r>
          </w:p>
        </w:tc>
        <w:tc>
          <w:tcPr>
            <w:tcW w:w="1021" w:type="dxa"/>
            <w:hideMark/>
          </w:tcPr>
          <w:p w14:paraId="0714D8C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45CBEAA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3AF6968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20FAD02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18:11</w:t>
            </w:r>
          </w:p>
        </w:tc>
        <w:tc>
          <w:tcPr>
            <w:tcW w:w="936" w:type="dxa"/>
            <w:hideMark/>
          </w:tcPr>
          <w:p w14:paraId="510F563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4F721A7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A3A248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10-D-6-1</w:t>
            </w:r>
          </w:p>
        </w:tc>
        <w:tc>
          <w:tcPr>
            <w:tcW w:w="680" w:type="dxa"/>
            <w:noWrap/>
            <w:hideMark/>
          </w:tcPr>
          <w:p w14:paraId="1398278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4F317A1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D</w:t>
            </w:r>
          </w:p>
        </w:tc>
        <w:tc>
          <w:tcPr>
            <w:tcW w:w="1839" w:type="dxa"/>
            <w:hideMark/>
          </w:tcPr>
          <w:p w14:paraId="38260E4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1728" w:type="dxa"/>
            <w:hideMark/>
          </w:tcPr>
          <w:p w14:paraId="26FEF45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w:t>
            </w:r>
          </w:p>
        </w:tc>
        <w:tc>
          <w:tcPr>
            <w:tcW w:w="1021" w:type="dxa"/>
            <w:hideMark/>
          </w:tcPr>
          <w:p w14:paraId="1DF1789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53AB11E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64DB238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45EF1D5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20:30</w:t>
            </w:r>
          </w:p>
        </w:tc>
        <w:tc>
          <w:tcPr>
            <w:tcW w:w="936" w:type="dxa"/>
            <w:hideMark/>
          </w:tcPr>
          <w:p w14:paraId="0145023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2809CA1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76E536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10-D-10-1</w:t>
            </w:r>
          </w:p>
        </w:tc>
        <w:tc>
          <w:tcPr>
            <w:tcW w:w="680" w:type="dxa"/>
            <w:noWrap/>
            <w:hideMark/>
          </w:tcPr>
          <w:p w14:paraId="0E8335C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5AB290B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D</w:t>
            </w:r>
          </w:p>
        </w:tc>
        <w:tc>
          <w:tcPr>
            <w:tcW w:w="1839" w:type="dxa"/>
            <w:hideMark/>
          </w:tcPr>
          <w:p w14:paraId="0F67C27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728" w:type="dxa"/>
            <w:hideMark/>
          </w:tcPr>
          <w:p w14:paraId="1A9CD36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021" w:type="dxa"/>
            <w:hideMark/>
          </w:tcPr>
          <w:p w14:paraId="0D6623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2263477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55BA35D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63B0521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6/25/22 10:51</w:t>
            </w:r>
          </w:p>
        </w:tc>
        <w:tc>
          <w:tcPr>
            <w:tcW w:w="936" w:type="dxa"/>
            <w:hideMark/>
          </w:tcPr>
          <w:p w14:paraId="7E4B410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11F58DA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1A9A784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10-D-17-1</w:t>
            </w:r>
          </w:p>
        </w:tc>
        <w:tc>
          <w:tcPr>
            <w:tcW w:w="680" w:type="dxa"/>
            <w:noWrap/>
            <w:hideMark/>
          </w:tcPr>
          <w:p w14:paraId="3303E2F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37266AD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D</w:t>
            </w:r>
          </w:p>
        </w:tc>
        <w:tc>
          <w:tcPr>
            <w:tcW w:w="1839" w:type="dxa"/>
            <w:hideMark/>
          </w:tcPr>
          <w:p w14:paraId="57DE209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w:t>
            </w:r>
          </w:p>
        </w:tc>
        <w:tc>
          <w:tcPr>
            <w:tcW w:w="1728" w:type="dxa"/>
            <w:hideMark/>
          </w:tcPr>
          <w:p w14:paraId="7F94E9D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17.6</w:t>
            </w:r>
          </w:p>
        </w:tc>
        <w:tc>
          <w:tcPr>
            <w:tcW w:w="1021" w:type="dxa"/>
            <w:hideMark/>
          </w:tcPr>
          <w:p w14:paraId="0EDBC4A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20143C1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43514C9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20F5073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6/26/22 8:00</w:t>
            </w:r>
          </w:p>
        </w:tc>
        <w:tc>
          <w:tcPr>
            <w:tcW w:w="936" w:type="dxa"/>
            <w:hideMark/>
          </w:tcPr>
          <w:p w14:paraId="73229D3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159F081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1448680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10-D-17-2</w:t>
            </w:r>
          </w:p>
        </w:tc>
        <w:tc>
          <w:tcPr>
            <w:tcW w:w="680" w:type="dxa"/>
            <w:noWrap/>
            <w:hideMark/>
          </w:tcPr>
          <w:p w14:paraId="38CBDA5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7F850B5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D</w:t>
            </w:r>
          </w:p>
        </w:tc>
        <w:tc>
          <w:tcPr>
            <w:tcW w:w="1839" w:type="dxa"/>
            <w:hideMark/>
          </w:tcPr>
          <w:p w14:paraId="2E119FA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w:t>
            </w:r>
          </w:p>
        </w:tc>
        <w:tc>
          <w:tcPr>
            <w:tcW w:w="1728" w:type="dxa"/>
            <w:hideMark/>
          </w:tcPr>
          <w:p w14:paraId="75261A8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17.6</w:t>
            </w:r>
          </w:p>
        </w:tc>
        <w:tc>
          <w:tcPr>
            <w:tcW w:w="1021" w:type="dxa"/>
            <w:hideMark/>
          </w:tcPr>
          <w:p w14:paraId="51D4F04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7113C7F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1EEB0A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39F40F3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6/26/22 8:00</w:t>
            </w:r>
          </w:p>
        </w:tc>
        <w:tc>
          <w:tcPr>
            <w:tcW w:w="936" w:type="dxa"/>
            <w:hideMark/>
          </w:tcPr>
          <w:p w14:paraId="62F96B8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7B6C466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110713D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10-D-27-1</w:t>
            </w:r>
          </w:p>
        </w:tc>
        <w:tc>
          <w:tcPr>
            <w:tcW w:w="680" w:type="dxa"/>
            <w:noWrap/>
            <w:hideMark/>
          </w:tcPr>
          <w:p w14:paraId="579191C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069325C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D</w:t>
            </w:r>
          </w:p>
        </w:tc>
        <w:tc>
          <w:tcPr>
            <w:tcW w:w="1839" w:type="dxa"/>
            <w:hideMark/>
          </w:tcPr>
          <w:p w14:paraId="561C7DD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w:t>
            </w:r>
          </w:p>
        </w:tc>
        <w:tc>
          <w:tcPr>
            <w:tcW w:w="1728" w:type="dxa"/>
            <w:hideMark/>
          </w:tcPr>
          <w:p w14:paraId="1E1445F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w:t>
            </w:r>
          </w:p>
        </w:tc>
        <w:tc>
          <w:tcPr>
            <w:tcW w:w="1021" w:type="dxa"/>
            <w:hideMark/>
          </w:tcPr>
          <w:p w14:paraId="0ACD230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7AC54E2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7E5532F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811" w:type="dxa"/>
            <w:hideMark/>
          </w:tcPr>
          <w:p w14:paraId="259142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6/27/22 10:05</w:t>
            </w:r>
          </w:p>
        </w:tc>
        <w:tc>
          <w:tcPr>
            <w:tcW w:w="936" w:type="dxa"/>
            <w:hideMark/>
          </w:tcPr>
          <w:p w14:paraId="50AF982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72F3A65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3D71AB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10-D-27-2</w:t>
            </w:r>
          </w:p>
        </w:tc>
        <w:tc>
          <w:tcPr>
            <w:tcW w:w="680" w:type="dxa"/>
            <w:noWrap/>
            <w:hideMark/>
          </w:tcPr>
          <w:p w14:paraId="6E28CB3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2E0852D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D</w:t>
            </w:r>
          </w:p>
        </w:tc>
        <w:tc>
          <w:tcPr>
            <w:tcW w:w="1839" w:type="dxa"/>
            <w:hideMark/>
          </w:tcPr>
          <w:p w14:paraId="10600BD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w:t>
            </w:r>
          </w:p>
        </w:tc>
        <w:tc>
          <w:tcPr>
            <w:tcW w:w="1728" w:type="dxa"/>
            <w:hideMark/>
          </w:tcPr>
          <w:p w14:paraId="4FB3980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w:t>
            </w:r>
          </w:p>
        </w:tc>
        <w:tc>
          <w:tcPr>
            <w:tcW w:w="1021" w:type="dxa"/>
            <w:hideMark/>
          </w:tcPr>
          <w:p w14:paraId="37DC9C6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25694DC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53D87DE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811" w:type="dxa"/>
            <w:hideMark/>
          </w:tcPr>
          <w:p w14:paraId="3363589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6/27/22 10:05</w:t>
            </w:r>
          </w:p>
        </w:tc>
        <w:tc>
          <w:tcPr>
            <w:tcW w:w="936" w:type="dxa"/>
            <w:hideMark/>
          </w:tcPr>
          <w:p w14:paraId="0549955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r>
      <w:tr w:rsidR="00302953" w:rsidRPr="00770477" w14:paraId="1D3EA2C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842239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10-I-0-3</w:t>
            </w:r>
          </w:p>
        </w:tc>
        <w:tc>
          <w:tcPr>
            <w:tcW w:w="680" w:type="dxa"/>
            <w:noWrap/>
            <w:hideMark/>
          </w:tcPr>
          <w:p w14:paraId="6C5D122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498F47E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w:t>
            </w:r>
          </w:p>
        </w:tc>
        <w:tc>
          <w:tcPr>
            <w:tcW w:w="1839" w:type="dxa"/>
            <w:hideMark/>
          </w:tcPr>
          <w:p w14:paraId="18C53C3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w:t>
            </w:r>
          </w:p>
        </w:tc>
        <w:tc>
          <w:tcPr>
            <w:tcW w:w="1728" w:type="dxa"/>
            <w:hideMark/>
          </w:tcPr>
          <w:p w14:paraId="61A3A34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w:t>
            </w:r>
          </w:p>
        </w:tc>
        <w:tc>
          <w:tcPr>
            <w:tcW w:w="1021" w:type="dxa"/>
            <w:hideMark/>
          </w:tcPr>
          <w:p w14:paraId="5DBCD04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2F9052E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4EC9001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w:t>
            </w:r>
          </w:p>
        </w:tc>
        <w:tc>
          <w:tcPr>
            <w:tcW w:w="1811" w:type="dxa"/>
            <w:hideMark/>
          </w:tcPr>
          <w:p w14:paraId="1016727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10:15</w:t>
            </w:r>
          </w:p>
        </w:tc>
        <w:tc>
          <w:tcPr>
            <w:tcW w:w="936" w:type="dxa"/>
            <w:hideMark/>
          </w:tcPr>
          <w:p w14:paraId="48310FF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r>
      <w:tr w:rsidR="00302953" w:rsidRPr="00770477" w14:paraId="1768C35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6F714D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10-I-1-3</w:t>
            </w:r>
          </w:p>
        </w:tc>
        <w:tc>
          <w:tcPr>
            <w:tcW w:w="680" w:type="dxa"/>
            <w:noWrap/>
            <w:hideMark/>
          </w:tcPr>
          <w:p w14:paraId="4FE75B9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79B08CE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w:t>
            </w:r>
          </w:p>
        </w:tc>
        <w:tc>
          <w:tcPr>
            <w:tcW w:w="1839" w:type="dxa"/>
            <w:hideMark/>
          </w:tcPr>
          <w:p w14:paraId="0519B7A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w:t>
            </w:r>
          </w:p>
        </w:tc>
        <w:tc>
          <w:tcPr>
            <w:tcW w:w="1728" w:type="dxa"/>
            <w:hideMark/>
          </w:tcPr>
          <w:p w14:paraId="46A8788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21" w:type="dxa"/>
            <w:hideMark/>
          </w:tcPr>
          <w:p w14:paraId="4824EFF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4C15D80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7D0D587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w:t>
            </w:r>
          </w:p>
        </w:tc>
        <w:tc>
          <w:tcPr>
            <w:tcW w:w="1811" w:type="dxa"/>
            <w:hideMark/>
          </w:tcPr>
          <w:p w14:paraId="0407917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10:42</w:t>
            </w:r>
          </w:p>
        </w:tc>
        <w:tc>
          <w:tcPr>
            <w:tcW w:w="936" w:type="dxa"/>
            <w:hideMark/>
          </w:tcPr>
          <w:p w14:paraId="3165548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r>
      <w:tr w:rsidR="00302953" w:rsidRPr="00770477" w14:paraId="26AF9BF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91BBE73"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10-I-2-3</w:t>
            </w:r>
          </w:p>
        </w:tc>
        <w:tc>
          <w:tcPr>
            <w:tcW w:w="680" w:type="dxa"/>
            <w:noWrap/>
            <w:hideMark/>
          </w:tcPr>
          <w:p w14:paraId="2865F85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6AF46AF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w:t>
            </w:r>
          </w:p>
        </w:tc>
        <w:tc>
          <w:tcPr>
            <w:tcW w:w="1839" w:type="dxa"/>
            <w:hideMark/>
          </w:tcPr>
          <w:p w14:paraId="3DB90F6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w:t>
            </w:r>
          </w:p>
        </w:tc>
        <w:tc>
          <w:tcPr>
            <w:tcW w:w="1728" w:type="dxa"/>
            <w:hideMark/>
          </w:tcPr>
          <w:p w14:paraId="7F91A65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w:t>
            </w:r>
          </w:p>
        </w:tc>
        <w:tc>
          <w:tcPr>
            <w:tcW w:w="1021" w:type="dxa"/>
            <w:hideMark/>
          </w:tcPr>
          <w:p w14:paraId="11A6EDA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4BF7494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68C2F21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w:t>
            </w:r>
          </w:p>
        </w:tc>
        <w:tc>
          <w:tcPr>
            <w:tcW w:w="1811" w:type="dxa"/>
            <w:hideMark/>
          </w:tcPr>
          <w:p w14:paraId="19CD8F1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14:19</w:t>
            </w:r>
          </w:p>
        </w:tc>
        <w:tc>
          <w:tcPr>
            <w:tcW w:w="936" w:type="dxa"/>
            <w:hideMark/>
          </w:tcPr>
          <w:p w14:paraId="7DF7CE3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r>
      <w:tr w:rsidR="00302953" w:rsidRPr="00770477" w14:paraId="245683F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9FEB67C"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10-I-4-3</w:t>
            </w:r>
          </w:p>
        </w:tc>
        <w:tc>
          <w:tcPr>
            <w:tcW w:w="680" w:type="dxa"/>
            <w:noWrap/>
            <w:hideMark/>
          </w:tcPr>
          <w:p w14:paraId="7BAB7A8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7C8871D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w:t>
            </w:r>
          </w:p>
        </w:tc>
        <w:tc>
          <w:tcPr>
            <w:tcW w:w="1839" w:type="dxa"/>
            <w:hideMark/>
          </w:tcPr>
          <w:p w14:paraId="19836A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w:t>
            </w:r>
          </w:p>
        </w:tc>
        <w:tc>
          <w:tcPr>
            <w:tcW w:w="1728" w:type="dxa"/>
            <w:hideMark/>
          </w:tcPr>
          <w:p w14:paraId="61AB724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w:t>
            </w:r>
          </w:p>
        </w:tc>
        <w:tc>
          <w:tcPr>
            <w:tcW w:w="1021" w:type="dxa"/>
            <w:hideMark/>
          </w:tcPr>
          <w:p w14:paraId="094CD56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63A2C92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770C7C2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w:t>
            </w:r>
          </w:p>
        </w:tc>
        <w:tc>
          <w:tcPr>
            <w:tcW w:w="1811" w:type="dxa"/>
            <w:hideMark/>
          </w:tcPr>
          <w:p w14:paraId="3503652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20:00</w:t>
            </w:r>
          </w:p>
        </w:tc>
        <w:tc>
          <w:tcPr>
            <w:tcW w:w="936" w:type="dxa"/>
            <w:hideMark/>
          </w:tcPr>
          <w:p w14:paraId="5E4BFDD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r>
      <w:tr w:rsidR="00302953" w:rsidRPr="00770477" w14:paraId="251F077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6125B0D"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10-I-6-3</w:t>
            </w:r>
          </w:p>
        </w:tc>
        <w:tc>
          <w:tcPr>
            <w:tcW w:w="680" w:type="dxa"/>
            <w:noWrap/>
            <w:hideMark/>
          </w:tcPr>
          <w:p w14:paraId="293BC8E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7597352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w:t>
            </w:r>
          </w:p>
        </w:tc>
        <w:tc>
          <w:tcPr>
            <w:tcW w:w="1839" w:type="dxa"/>
            <w:hideMark/>
          </w:tcPr>
          <w:p w14:paraId="44E0422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1728" w:type="dxa"/>
            <w:hideMark/>
          </w:tcPr>
          <w:p w14:paraId="6A5702E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7.3</w:t>
            </w:r>
          </w:p>
        </w:tc>
        <w:tc>
          <w:tcPr>
            <w:tcW w:w="1021" w:type="dxa"/>
            <w:hideMark/>
          </w:tcPr>
          <w:p w14:paraId="2718046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5F6CE59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6FB192D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w:t>
            </w:r>
          </w:p>
        </w:tc>
        <w:tc>
          <w:tcPr>
            <w:tcW w:w="1811" w:type="dxa"/>
            <w:hideMark/>
          </w:tcPr>
          <w:p w14:paraId="0A5B6E5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6/25/22 9:25</w:t>
            </w:r>
          </w:p>
        </w:tc>
        <w:tc>
          <w:tcPr>
            <w:tcW w:w="936" w:type="dxa"/>
            <w:hideMark/>
          </w:tcPr>
          <w:p w14:paraId="70A5D66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r>
      <w:tr w:rsidR="00302953" w:rsidRPr="00770477" w14:paraId="7A62842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26EE069"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10-I-10-3</w:t>
            </w:r>
          </w:p>
        </w:tc>
        <w:tc>
          <w:tcPr>
            <w:tcW w:w="680" w:type="dxa"/>
            <w:noWrap/>
            <w:hideMark/>
          </w:tcPr>
          <w:p w14:paraId="62A3F71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474BB44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w:t>
            </w:r>
          </w:p>
        </w:tc>
        <w:tc>
          <w:tcPr>
            <w:tcW w:w="1839" w:type="dxa"/>
            <w:hideMark/>
          </w:tcPr>
          <w:p w14:paraId="3E4FF01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728" w:type="dxa"/>
            <w:hideMark/>
          </w:tcPr>
          <w:p w14:paraId="1BBA9C9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021" w:type="dxa"/>
            <w:hideMark/>
          </w:tcPr>
          <w:p w14:paraId="611523F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0311AAE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57D6102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w:t>
            </w:r>
          </w:p>
        </w:tc>
        <w:tc>
          <w:tcPr>
            <w:tcW w:w="1811" w:type="dxa"/>
            <w:hideMark/>
          </w:tcPr>
          <w:p w14:paraId="4A3740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6/25/22 19:18</w:t>
            </w:r>
          </w:p>
        </w:tc>
        <w:tc>
          <w:tcPr>
            <w:tcW w:w="936" w:type="dxa"/>
            <w:hideMark/>
          </w:tcPr>
          <w:p w14:paraId="44C2A5E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r>
      <w:tr w:rsidR="00302953" w:rsidRPr="00770477" w14:paraId="5C3026E1"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07496B9"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10-I-17-3</w:t>
            </w:r>
          </w:p>
        </w:tc>
        <w:tc>
          <w:tcPr>
            <w:tcW w:w="680" w:type="dxa"/>
            <w:noWrap/>
            <w:hideMark/>
          </w:tcPr>
          <w:p w14:paraId="03C706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055EDCA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w:t>
            </w:r>
          </w:p>
        </w:tc>
        <w:tc>
          <w:tcPr>
            <w:tcW w:w="1839" w:type="dxa"/>
            <w:hideMark/>
          </w:tcPr>
          <w:p w14:paraId="23428A2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w:t>
            </w:r>
          </w:p>
        </w:tc>
        <w:tc>
          <w:tcPr>
            <w:tcW w:w="1728" w:type="dxa"/>
            <w:hideMark/>
          </w:tcPr>
          <w:p w14:paraId="4ABB554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15.7</w:t>
            </w:r>
          </w:p>
        </w:tc>
        <w:tc>
          <w:tcPr>
            <w:tcW w:w="1021" w:type="dxa"/>
            <w:hideMark/>
          </w:tcPr>
          <w:p w14:paraId="0FC2A35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390001D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50535D6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w:t>
            </w:r>
          </w:p>
        </w:tc>
        <w:tc>
          <w:tcPr>
            <w:tcW w:w="1811" w:type="dxa"/>
            <w:hideMark/>
          </w:tcPr>
          <w:p w14:paraId="293369D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6/26/22 16:00</w:t>
            </w:r>
          </w:p>
        </w:tc>
        <w:tc>
          <w:tcPr>
            <w:tcW w:w="936" w:type="dxa"/>
            <w:hideMark/>
          </w:tcPr>
          <w:p w14:paraId="3470887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r>
      <w:tr w:rsidR="00302953" w:rsidRPr="00770477" w14:paraId="23D624E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3E5063E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10-I-27-3</w:t>
            </w:r>
          </w:p>
        </w:tc>
        <w:tc>
          <w:tcPr>
            <w:tcW w:w="680" w:type="dxa"/>
            <w:noWrap/>
            <w:hideMark/>
          </w:tcPr>
          <w:p w14:paraId="2D163AF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48DFD9B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w:t>
            </w:r>
          </w:p>
        </w:tc>
        <w:tc>
          <w:tcPr>
            <w:tcW w:w="1839" w:type="dxa"/>
            <w:hideMark/>
          </w:tcPr>
          <w:p w14:paraId="4EB0E54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w:t>
            </w:r>
          </w:p>
        </w:tc>
        <w:tc>
          <w:tcPr>
            <w:tcW w:w="1728" w:type="dxa"/>
            <w:hideMark/>
          </w:tcPr>
          <w:p w14:paraId="7357AD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w:t>
            </w:r>
          </w:p>
        </w:tc>
        <w:tc>
          <w:tcPr>
            <w:tcW w:w="1021" w:type="dxa"/>
            <w:hideMark/>
          </w:tcPr>
          <w:p w14:paraId="05B8499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800" w:type="dxa"/>
            <w:noWrap/>
            <w:hideMark/>
          </w:tcPr>
          <w:p w14:paraId="09EC26A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4393DE1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w:t>
            </w:r>
          </w:p>
        </w:tc>
        <w:tc>
          <w:tcPr>
            <w:tcW w:w="1811" w:type="dxa"/>
            <w:hideMark/>
          </w:tcPr>
          <w:p w14:paraId="1ABBD0C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6/28/22 8:54</w:t>
            </w:r>
          </w:p>
        </w:tc>
        <w:tc>
          <w:tcPr>
            <w:tcW w:w="936" w:type="dxa"/>
            <w:hideMark/>
          </w:tcPr>
          <w:p w14:paraId="3245338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r>
      <w:tr w:rsidR="00302953" w:rsidRPr="00770477" w14:paraId="121354F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9524C24"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10-I-999-4</w:t>
            </w:r>
          </w:p>
        </w:tc>
        <w:tc>
          <w:tcPr>
            <w:tcW w:w="680" w:type="dxa"/>
            <w:noWrap/>
            <w:hideMark/>
          </w:tcPr>
          <w:p w14:paraId="153FF0F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1040" w:type="dxa"/>
            <w:hideMark/>
          </w:tcPr>
          <w:p w14:paraId="510B550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w:t>
            </w:r>
          </w:p>
        </w:tc>
        <w:tc>
          <w:tcPr>
            <w:tcW w:w="1839" w:type="dxa"/>
            <w:hideMark/>
          </w:tcPr>
          <w:p w14:paraId="3AC98A3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999</w:t>
            </w:r>
          </w:p>
        </w:tc>
        <w:tc>
          <w:tcPr>
            <w:tcW w:w="1728" w:type="dxa"/>
            <w:hideMark/>
          </w:tcPr>
          <w:p w14:paraId="60C935C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BLANK</w:t>
            </w:r>
          </w:p>
        </w:tc>
        <w:tc>
          <w:tcPr>
            <w:tcW w:w="1021" w:type="dxa"/>
            <w:hideMark/>
          </w:tcPr>
          <w:p w14:paraId="2221EC0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800" w:type="dxa"/>
            <w:noWrap/>
            <w:hideMark/>
          </w:tcPr>
          <w:p w14:paraId="0A690B0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6/24/22 7:05</w:t>
            </w:r>
          </w:p>
        </w:tc>
        <w:tc>
          <w:tcPr>
            <w:tcW w:w="765" w:type="dxa"/>
            <w:hideMark/>
          </w:tcPr>
          <w:p w14:paraId="7ADA06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w:t>
            </w:r>
          </w:p>
        </w:tc>
        <w:tc>
          <w:tcPr>
            <w:tcW w:w="1811" w:type="dxa"/>
            <w:hideMark/>
          </w:tcPr>
          <w:p w14:paraId="193C3F1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6/28/22 11:35</w:t>
            </w:r>
          </w:p>
        </w:tc>
        <w:tc>
          <w:tcPr>
            <w:tcW w:w="936" w:type="dxa"/>
            <w:hideMark/>
          </w:tcPr>
          <w:p w14:paraId="374CA2E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r>
    </w:tbl>
    <w:p w14:paraId="0AAE31D0" w14:textId="77777777" w:rsidR="00302953" w:rsidRPr="00770477" w:rsidRDefault="00302953" w:rsidP="00302953">
      <w:pPr>
        <w:spacing w:line="240" w:lineRule="auto"/>
        <w:rPr>
          <w:rFonts w:cs="Times New Roman"/>
        </w:rPr>
        <w:sectPr w:rsidR="00302953" w:rsidRPr="00770477" w:rsidSect="0048531E">
          <w:pgSz w:w="15840" w:h="12240" w:orient="landscape"/>
          <w:pgMar w:top="1440" w:right="1440" w:bottom="1440" w:left="1440" w:header="720" w:footer="720" w:gutter="0"/>
          <w:cols w:space="720"/>
          <w:docGrid w:linePitch="360"/>
        </w:sectPr>
      </w:pPr>
    </w:p>
    <w:p w14:paraId="57B9BBFF" w14:textId="40C5F744" w:rsidR="00302953" w:rsidRDefault="00302953" w:rsidP="00302953">
      <w:pPr>
        <w:pStyle w:val="Caption"/>
        <w:keepNext/>
      </w:pPr>
      <w:bookmarkStart w:id="181" w:name="_Toc121494156"/>
      <w:bookmarkStart w:id="182" w:name="_Toc121495941"/>
      <w:r>
        <w:lastRenderedPageBreak/>
        <w:t xml:space="preserve">Table </w:t>
      </w:r>
      <w:fldSimple w:instr=" STYLEREF 1 \s ">
        <w:r w:rsidR="00061096">
          <w:rPr>
            <w:noProof/>
          </w:rPr>
          <w:t>10</w:t>
        </w:r>
      </w:fldSimple>
      <w:r w:rsidR="00B26DDF">
        <w:noBreakHyphen/>
      </w:r>
      <w:fldSimple w:instr=" SEQ Table \* ARABIC \s 1 ">
        <w:r w:rsidR="00061096">
          <w:rPr>
            <w:noProof/>
          </w:rPr>
          <w:t>3</w:t>
        </w:r>
      </w:fldSimple>
      <w:r w:rsidRPr="00C6587B">
        <w:rPr>
          <w:rFonts w:cs="Times New Roman"/>
        </w:rPr>
        <w:t xml:space="preserve"> </w:t>
      </w:r>
      <w:r w:rsidRPr="00770477">
        <w:rPr>
          <w:rFonts w:cs="Times New Roman"/>
        </w:rPr>
        <w:t>pH, specific conductivity, and temperature results.</w:t>
      </w:r>
      <w:bookmarkEnd w:id="181"/>
      <w:bookmarkEnd w:id="182"/>
    </w:p>
    <w:tbl>
      <w:tblPr>
        <w:tblStyle w:val="PlainTable5"/>
        <w:tblW w:w="8190" w:type="dxa"/>
        <w:tblLook w:val="04A0" w:firstRow="1" w:lastRow="0" w:firstColumn="1" w:lastColumn="0" w:noHBand="0" w:noVBand="1"/>
      </w:tblPr>
      <w:tblGrid>
        <w:gridCol w:w="1300"/>
        <w:gridCol w:w="1054"/>
        <w:gridCol w:w="1402"/>
        <w:gridCol w:w="764"/>
        <w:gridCol w:w="2014"/>
        <w:gridCol w:w="306"/>
        <w:gridCol w:w="1040"/>
        <w:gridCol w:w="310"/>
      </w:tblGrid>
      <w:tr w:rsidR="00302953" w:rsidRPr="00770477" w14:paraId="6B5020B7" w14:textId="77777777" w:rsidTr="00622DCD">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1300" w:type="dxa"/>
            <w:hideMark/>
          </w:tcPr>
          <w:p w14:paraId="0B6E11C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Sample ID</w:t>
            </w:r>
          </w:p>
        </w:tc>
        <w:tc>
          <w:tcPr>
            <w:tcW w:w="1054" w:type="dxa"/>
            <w:hideMark/>
          </w:tcPr>
          <w:p w14:paraId="18AC1D70" w14:textId="77777777" w:rsidR="00302953" w:rsidRPr="00770477" w:rsidRDefault="00302953" w:rsidP="00622DCD">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Sand?</w:t>
            </w:r>
          </w:p>
        </w:tc>
        <w:tc>
          <w:tcPr>
            <w:tcW w:w="1402" w:type="dxa"/>
            <w:hideMark/>
          </w:tcPr>
          <w:p w14:paraId="1DF222FD" w14:textId="77777777" w:rsidR="00302953" w:rsidRPr="00770477" w:rsidRDefault="00302953" w:rsidP="00622DCD">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Flow Rate</w:t>
            </w:r>
          </w:p>
        </w:tc>
        <w:tc>
          <w:tcPr>
            <w:tcW w:w="764" w:type="dxa"/>
            <w:hideMark/>
          </w:tcPr>
          <w:p w14:paraId="6D34FA75" w14:textId="77777777" w:rsidR="00302953" w:rsidRPr="00770477" w:rsidRDefault="00302953" w:rsidP="00622DCD">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pH</w:t>
            </w:r>
          </w:p>
        </w:tc>
        <w:tc>
          <w:tcPr>
            <w:tcW w:w="2320" w:type="dxa"/>
            <w:gridSpan w:val="2"/>
            <w:hideMark/>
          </w:tcPr>
          <w:p w14:paraId="24793D56" w14:textId="77777777" w:rsidR="00302953" w:rsidRPr="00770477" w:rsidRDefault="00302953" w:rsidP="00622DCD">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Sp. Cond (</w:t>
            </w:r>
            <w:r w:rsidRPr="00770477">
              <w:rPr>
                <w:rFonts w:cs="Times New Roman"/>
              </w:rPr>
              <w:t>µS</w:t>
            </w:r>
            <w:r>
              <w:rPr>
                <w:rFonts w:cs="Times New Roman"/>
              </w:rPr>
              <w:t xml:space="preserve"> </w:t>
            </w:r>
            <w:proofErr w:type="gramStart"/>
            <w:r w:rsidRPr="00770477">
              <w:rPr>
                <w:rFonts w:cs="Times New Roman"/>
              </w:rPr>
              <w:t>cm</w:t>
            </w:r>
            <w:r>
              <w:rPr>
                <w:rFonts w:cs="Times New Roman"/>
                <w:vertAlign w:val="superscript"/>
              </w:rPr>
              <w:t>-1</w:t>
            </w:r>
            <w:proofErr w:type="gramEnd"/>
            <w:r w:rsidRPr="00770477">
              <w:rPr>
                <w:rFonts w:eastAsia="Times New Roman" w:cs="Times New Roman"/>
                <w:color w:val="000000"/>
              </w:rPr>
              <w:t>)</w:t>
            </w:r>
          </w:p>
        </w:tc>
        <w:tc>
          <w:tcPr>
            <w:tcW w:w="1350" w:type="dxa"/>
            <w:gridSpan w:val="2"/>
            <w:hideMark/>
          </w:tcPr>
          <w:p w14:paraId="5A32D632" w14:textId="77777777" w:rsidR="00302953" w:rsidRPr="00770477" w:rsidRDefault="00302953" w:rsidP="00622DCD">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Temp (°</w:t>
            </w:r>
            <w:r w:rsidRPr="00770477">
              <w:rPr>
                <w:rFonts w:eastAsia="Times New Roman" w:cs="Times New Roman"/>
                <w:color w:val="000000"/>
                <w:sz w:val="19"/>
                <w:szCs w:val="19"/>
              </w:rPr>
              <w:t>C)</w:t>
            </w:r>
          </w:p>
        </w:tc>
      </w:tr>
      <w:tr w:rsidR="00302953" w:rsidRPr="00770477" w14:paraId="4497DCA3"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C04038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1-A-010-1</w:t>
            </w:r>
          </w:p>
        </w:tc>
        <w:tc>
          <w:tcPr>
            <w:tcW w:w="1054" w:type="dxa"/>
            <w:hideMark/>
          </w:tcPr>
          <w:p w14:paraId="4108B71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06651E9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7052440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w:t>
            </w:r>
          </w:p>
        </w:tc>
        <w:tc>
          <w:tcPr>
            <w:tcW w:w="2014" w:type="dxa"/>
            <w:hideMark/>
          </w:tcPr>
          <w:p w14:paraId="1F0929A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346" w:type="dxa"/>
            <w:gridSpan w:val="2"/>
            <w:hideMark/>
          </w:tcPr>
          <w:p w14:paraId="3D8F7C1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w:t>
            </w:r>
          </w:p>
        </w:tc>
      </w:tr>
      <w:tr w:rsidR="00302953" w:rsidRPr="00770477" w14:paraId="753ACD17"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0F83D1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1-A-040-1</w:t>
            </w:r>
          </w:p>
        </w:tc>
        <w:tc>
          <w:tcPr>
            <w:tcW w:w="1054" w:type="dxa"/>
            <w:hideMark/>
          </w:tcPr>
          <w:p w14:paraId="1E4CA06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7CB3663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0965260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w:t>
            </w:r>
          </w:p>
        </w:tc>
        <w:tc>
          <w:tcPr>
            <w:tcW w:w="2014" w:type="dxa"/>
            <w:hideMark/>
          </w:tcPr>
          <w:p w14:paraId="08715AB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346" w:type="dxa"/>
            <w:gridSpan w:val="2"/>
            <w:hideMark/>
          </w:tcPr>
          <w:p w14:paraId="7FB2462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w:t>
            </w:r>
          </w:p>
        </w:tc>
      </w:tr>
      <w:tr w:rsidR="00302953" w:rsidRPr="00770477" w14:paraId="5423A25E"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6BDAD3B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1-A-090-1</w:t>
            </w:r>
          </w:p>
        </w:tc>
        <w:tc>
          <w:tcPr>
            <w:tcW w:w="1054" w:type="dxa"/>
            <w:hideMark/>
          </w:tcPr>
          <w:p w14:paraId="44F987D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33DC69D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29D636A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10.25</w:t>
            </w:r>
          </w:p>
        </w:tc>
        <w:tc>
          <w:tcPr>
            <w:tcW w:w="2014" w:type="dxa"/>
            <w:hideMark/>
          </w:tcPr>
          <w:p w14:paraId="19FC5A3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346" w:type="dxa"/>
            <w:gridSpan w:val="2"/>
            <w:hideMark/>
          </w:tcPr>
          <w:p w14:paraId="011D17B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w:t>
            </w:r>
          </w:p>
        </w:tc>
      </w:tr>
      <w:tr w:rsidR="00302953" w:rsidRPr="00770477" w14:paraId="6AA1089C"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618D6A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1-A-090-2</w:t>
            </w:r>
          </w:p>
        </w:tc>
        <w:tc>
          <w:tcPr>
            <w:tcW w:w="1054" w:type="dxa"/>
            <w:hideMark/>
          </w:tcPr>
          <w:p w14:paraId="31EF963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4F61A14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6F74111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10.25</w:t>
            </w:r>
          </w:p>
        </w:tc>
        <w:tc>
          <w:tcPr>
            <w:tcW w:w="2014" w:type="dxa"/>
            <w:hideMark/>
          </w:tcPr>
          <w:p w14:paraId="52C01DA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346" w:type="dxa"/>
            <w:gridSpan w:val="2"/>
            <w:hideMark/>
          </w:tcPr>
          <w:p w14:paraId="2F3DA2F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w:t>
            </w:r>
          </w:p>
        </w:tc>
      </w:tr>
      <w:tr w:rsidR="00302953" w:rsidRPr="00770477" w14:paraId="0B2C5B24"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3ED43BB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1-A-160-1</w:t>
            </w:r>
          </w:p>
        </w:tc>
        <w:tc>
          <w:tcPr>
            <w:tcW w:w="1054" w:type="dxa"/>
            <w:hideMark/>
          </w:tcPr>
          <w:p w14:paraId="6F02A1C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530657F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356A845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w:t>
            </w:r>
          </w:p>
        </w:tc>
        <w:tc>
          <w:tcPr>
            <w:tcW w:w="2014" w:type="dxa"/>
            <w:hideMark/>
          </w:tcPr>
          <w:p w14:paraId="5264BC8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346" w:type="dxa"/>
            <w:gridSpan w:val="2"/>
            <w:hideMark/>
          </w:tcPr>
          <w:p w14:paraId="7DA056B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w:t>
            </w:r>
          </w:p>
        </w:tc>
      </w:tr>
      <w:tr w:rsidR="00302953" w:rsidRPr="00770477" w14:paraId="140E70FB"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3FB13CD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1-A-160-2</w:t>
            </w:r>
          </w:p>
        </w:tc>
        <w:tc>
          <w:tcPr>
            <w:tcW w:w="1054" w:type="dxa"/>
            <w:hideMark/>
          </w:tcPr>
          <w:p w14:paraId="0D779F8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412FEA5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663CEAF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w:t>
            </w:r>
          </w:p>
        </w:tc>
        <w:tc>
          <w:tcPr>
            <w:tcW w:w="2014" w:type="dxa"/>
            <w:hideMark/>
          </w:tcPr>
          <w:p w14:paraId="4A0EA86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346" w:type="dxa"/>
            <w:gridSpan w:val="2"/>
            <w:hideMark/>
          </w:tcPr>
          <w:p w14:paraId="2F6014E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w:t>
            </w:r>
          </w:p>
        </w:tc>
      </w:tr>
      <w:tr w:rsidR="00302953" w:rsidRPr="00770477" w14:paraId="6592F177"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911143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1-A-270-1</w:t>
            </w:r>
          </w:p>
        </w:tc>
        <w:tc>
          <w:tcPr>
            <w:tcW w:w="1054" w:type="dxa"/>
            <w:hideMark/>
          </w:tcPr>
          <w:p w14:paraId="6F41634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3A8BCC0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201F0BF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w:t>
            </w:r>
          </w:p>
        </w:tc>
        <w:tc>
          <w:tcPr>
            <w:tcW w:w="2014" w:type="dxa"/>
            <w:hideMark/>
          </w:tcPr>
          <w:p w14:paraId="621B2AB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346" w:type="dxa"/>
            <w:gridSpan w:val="2"/>
            <w:hideMark/>
          </w:tcPr>
          <w:p w14:paraId="4742B7D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w:t>
            </w:r>
          </w:p>
        </w:tc>
      </w:tr>
      <w:tr w:rsidR="00302953" w:rsidRPr="00770477" w14:paraId="0A7DABB1"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51465DF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1-A-430-1</w:t>
            </w:r>
          </w:p>
        </w:tc>
        <w:tc>
          <w:tcPr>
            <w:tcW w:w="1054" w:type="dxa"/>
            <w:hideMark/>
          </w:tcPr>
          <w:p w14:paraId="138E95C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6013F79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790E139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2014" w:type="dxa"/>
            <w:hideMark/>
          </w:tcPr>
          <w:p w14:paraId="2C12DA2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346" w:type="dxa"/>
            <w:gridSpan w:val="2"/>
            <w:hideMark/>
          </w:tcPr>
          <w:p w14:paraId="6A48EB7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w:t>
            </w:r>
          </w:p>
        </w:tc>
      </w:tr>
      <w:tr w:rsidR="00302953" w:rsidRPr="00770477" w14:paraId="0C38FADA"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230640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1-A-670-1</w:t>
            </w:r>
          </w:p>
        </w:tc>
        <w:tc>
          <w:tcPr>
            <w:tcW w:w="1054" w:type="dxa"/>
            <w:hideMark/>
          </w:tcPr>
          <w:p w14:paraId="6579C89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0C1037B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65366DE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9.8</w:t>
            </w:r>
          </w:p>
        </w:tc>
        <w:tc>
          <w:tcPr>
            <w:tcW w:w="2014" w:type="dxa"/>
            <w:hideMark/>
          </w:tcPr>
          <w:p w14:paraId="74230B8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346" w:type="dxa"/>
            <w:gridSpan w:val="2"/>
            <w:hideMark/>
          </w:tcPr>
          <w:p w14:paraId="7F7D7D3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w:t>
            </w:r>
          </w:p>
        </w:tc>
      </w:tr>
      <w:tr w:rsidR="00302953" w:rsidRPr="00770477" w14:paraId="569D794D"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0FC314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1-B-010-1</w:t>
            </w:r>
          </w:p>
        </w:tc>
        <w:tc>
          <w:tcPr>
            <w:tcW w:w="1054" w:type="dxa"/>
            <w:hideMark/>
          </w:tcPr>
          <w:p w14:paraId="65FB071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6A4D0F0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29471C0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w:t>
            </w:r>
          </w:p>
        </w:tc>
        <w:tc>
          <w:tcPr>
            <w:tcW w:w="2014" w:type="dxa"/>
            <w:hideMark/>
          </w:tcPr>
          <w:p w14:paraId="280BC64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346" w:type="dxa"/>
            <w:gridSpan w:val="2"/>
            <w:hideMark/>
          </w:tcPr>
          <w:p w14:paraId="66C2B4C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w:t>
            </w:r>
          </w:p>
        </w:tc>
      </w:tr>
      <w:tr w:rsidR="00302953" w:rsidRPr="00770477" w14:paraId="612C13EB"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2435E5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1-B-040-1</w:t>
            </w:r>
          </w:p>
        </w:tc>
        <w:tc>
          <w:tcPr>
            <w:tcW w:w="1054" w:type="dxa"/>
            <w:hideMark/>
          </w:tcPr>
          <w:p w14:paraId="1D87ABA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78D1741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165FA6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w:t>
            </w:r>
          </w:p>
        </w:tc>
        <w:tc>
          <w:tcPr>
            <w:tcW w:w="2014" w:type="dxa"/>
            <w:hideMark/>
          </w:tcPr>
          <w:p w14:paraId="6E89C1F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346" w:type="dxa"/>
            <w:gridSpan w:val="2"/>
            <w:hideMark/>
          </w:tcPr>
          <w:p w14:paraId="35E3046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w:t>
            </w:r>
          </w:p>
        </w:tc>
      </w:tr>
      <w:tr w:rsidR="00302953" w:rsidRPr="00770477" w14:paraId="344432D9"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30502E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1-B-040-2</w:t>
            </w:r>
          </w:p>
        </w:tc>
        <w:tc>
          <w:tcPr>
            <w:tcW w:w="1054" w:type="dxa"/>
            <w:hideMark/>
          </w:tcPr>
          <w:p w14:paraId="224E0EC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279A73B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6B55F18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w:t>
            </w:r>
          </w:p>
        </w:tc>
        <w:tc>
          <w:tcPr>
            <w:tcW w:w="2014" w:type="dxa"/>
            <w:hideMark/>
          </w:tcPr>
          <w:p w14:paraId="5B1F647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346" w:type="dxa"/>
            <w:gridSpan w:val="2"/>
            <w:hideMark/>
          </w:tcPr>
          <w:p w14:paraId="5E5D16E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w:t>
            </w:r>
          </w:p>
        </w:tc>
      </w:tr>
      <w:tr w:rsidR="00302953" w:rsidRPr="00770477" w14:paraId="3DC36AC6"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375F78A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1-B-090-1</w:t>
            </w:r>
          </w:p>
        </w:tc>
        <w:tc>
          <w:tcPr>
            <w:tcW w:w="1054" w:type="dxa"/>
            <w:hideMark/>
          </w:tcPr>
          <w:p w14:paraId="64A3DBD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7D35535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01CA3B9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2014" w:type="dxa"/>
            <w:hideMark/>
          </w:tcPr>
          <w:p w14:paraId="465C0E4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346" w:type="dxa"/>
            <w:gridSpan w:val="2"/>
            <w:hideMark/>
          </w:tcPr>
          <w:p w14:paraId="549D9E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w:t>
            </w:r>
          </w:p>
        </w:tc>
      </w:tr>
      <w:tr w:rsidR="00302953" w:rsidRPr="00770477" w14:paraId="0840AFEE"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CE402A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1-B-160-1</w:t>
            </w:r>
          </w:p>
        </w:tc>
        <w:tc>
          <w:tcPr>
            <w:tcW w:w="1054" w:type="dxa"/>
            <w:hideMark/>
          </w:tcPr>
          <w:p w14:paraId="22476B0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28E1F6F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7FCCFCA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w:t>
            </w:r>
          </w:p>
        </w:tc>
        <w:tc>
          <w:tcPr>
            <w:tcW w:w="2014" w:type="dxa"/>
            <w:hideMark/>
          </w:tcPr>
          <w:p w14:paraId="7605B46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346" w:type="dxa"/>
            <w:gridSpan w:val="2"/>
            <w:hideMark/>
          </w:tcPr>
          <w:p w14:paraId="53E80CD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w:t>
            </w:r>
          </w:p>
        </w:tc>
      </w:tr>
      <w:tr w:rsidR="00302953" w:rsidRPr="00770477" w14:paraId="5FF89B02"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34A9F68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1-B-270-1</w:t>
            </w:r>
          </w:p>
        </w:tc>
        <w:tc>
          <w:tcPr>
            <w:tcW w:w="1054" w:type="dxa"/>
            <w:hideMark/>
          </w:tcPr>
          <w:p w14:paraId="77648F2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67D4EF1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6EE5EF7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w:t>
            </w:r>
          </w:p>
        </w:tc>
        <w:tc>
          <w:tcPr>
            <w:tcW w:w="2014" w:type="dxa"/>
            <w:hideMark/>
          </w:tcPr>
          <w:p w14:paraId="0621AB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346" w:type="dxa"/>
            <w:gridSpan w:val="2"/>
            <w:hideMark/>
          </w:tcPr>
          <w:p w14:paraId="54B5DD5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w:t>
            </w:r>
          </w:p>
        </w:tc>
      </w:tr>
      <w:tr w:rsidR="00302953" w:rsidRPr="00770477" w14:paraId="7E8FF508"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5F5F7E1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1-B-270-2</w:t>
            </w:r>
          </w:p>
        </w:tc>
        <w:tc>
          <w:tcPr>
            <w:tcW w:w="1054" w:type="dxa"/>
            <w:hideMark/>
          </w:tcPr>
          <w:p w14:paraId="6D75BE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591E10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7162869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w:t>
            </w:r>
          </w:p>
        </w:tc>
        <w:tc>
          <w:tcPr>
            <w:tcW w:w="2014" w:type="dxa"/>
            <w:hideMark/>
          </w:tcPr>
          <w:p w14:paraId="6BD3690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346" w:type="dxa"/>
            <w:gridSpan w:val="2"/>
            <w:hideMark/>
          </w:tcPr>
          <w:p w14:paraId="28707D9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w:t>
            </w:r>
          </w:p>
        </w:tc>
      </w:tr>
      <w:tr w:rsidR="00302953" w:rsidRPr="00770477" w14:paraId="574D07C3"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3B81D8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1-B-430-1</w:t>
            </w:r>
          </w:p>
        </w:tc>
        <w:tc>
          <w:tcPr>
            <w:tcW w:w="1054" w:type="dxa"/>
            <w:hideMark/>
          </w:tcPr>
          <w:p w14:paraId="7952AEE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740D619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406586D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9.8</w:t>
            </w:r>
          </w:p>
        </w:tc>
        <w:tc>
          <w:tcPr>
            <w:tcW w:w="2014" w:type="dxa"/>
            <w:hideMark/>
          </w:tcPr>
          <w:p w14:paraId="11F2CDB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346" w:type="dxa"/>
            <w:gridSpan w:val="2"/>
            <w:hideMark/>
          </w:tcPr>
          <w:p w14:paraId="2ACB60C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w:t>
            </w:r>
          </w:p>
        </w:tc>
      </w:tr>
      <w:tr w:rsidR="00302953" w:rsidRPr="00770477" w14:paraId="707EB550"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12FB0A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1-B-670-1</w:t>
            </w:r>
          </w:p>
        </w:tc>
        <w:tc>
          <w:tcPr>
            <w:tcW w:w="1054" w:type="dxa"/>
            <w:hideMark/>
          </w:tcPr>
          <w:p w14:paraId="5D982D2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320976D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3020834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9.8</w:t>
            </w:r>
          </w:p>
        </w:tc>
        <w:tc>
          <w:tcPr>
            <w:tcW w:w="2014" w:type="dxa"/>
            <w:hideMark/>
          </w:tcPr>
          <w:p w14:paraId="6A59E41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346" w:type="dxa"/>
            <w:gridSpan w:val="2"/>
            <w:hideMark/>
          </w:tcPr>
          <w:p w14:paraId="1590D66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w:t>
            </w:r>
          </w:p>
        </w:tc>
      </w:tr>
      <w:tr w:rsidR="00302953" w:rsidRPr="00770477" w14:paraId="0171D4DC"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7FEB43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1-C-010-1</w:t>
            </w:r>
          </w:p>
        </w:tc>
        <w:tc>
          <w:tcPr>
            <w:tcW w:w="1054" w:type="dxa"/>
            <w:hideMark/>
          </w:tcPr>
          <w:p w14:paraId="1154D9C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7F3396C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792C81A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w:t>
            </w:r>
          </w:p>
        </w:tc>
        <w:tc>
          <w:tcPr>
            <w:tcW w:w="2014" w:type="dxa"/>
            <w:hideMark/>
          </w:tcPr>
          <w:p w14:paraId="3B76950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346" w:type="dxa"/>
            <w:gridSpan w:val="2"/>
            <w:hideMark/>
          </w:tcPr>
          <w:p w14:paraId="4F40BBC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w:t>
            </w:r>
          </w:p>
        </w:tc>
      </w:tr>
      <w:tr w:rsidR="00302953" w:rsidRPr="00770477" w14:paraId="26BB906D"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6FFBB8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1-C-040-1</w:t>
            </w:r>
          </w:p>
        </w:tc>
        <w:tc>
          <w:tcPr>
            <w:tcW w:w="1054" w:type="dxa"/>
            <w:hideMark/>
          </w:tcPr>
          <w:p w14:paraId="1BCA58C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3CBC9FC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2B49559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w:t>
            </w:r>
          </w:p>
        </w:tc>
        <w:tc>
          <w:tcPr>
            <w:tcW w:w="2014" w:type="dxa"/>
            <w:hideMark/>
          </w:tcPr>
          <w:p w14:paraId="376552E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346" w:type="dxa"/>
            <w:gridSpan w:val="2"/>
            <w:hideMark/>
          </w:tcPr>
          <w:p w14:paraId="452B3C7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w:t>
            </w:r>
          </w:p>
        </w:tc>
      </w:tr>
      <w:tr w:rsidR="00302953" w:rsidRPr="00770477" w14:paraId="5DBF56F7"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4A06E5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1-C-040-2</w:t>
            </w:r>
          </w:p>
        </w:tc>
        <w:tc>
          <w:tcPr>
            <w:tcW w:w="1054" w:type="dxa"/>
            <w:hideMark/>
          </w:tcPr>
          <w:p w14:paraId="19B65AD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03C7FCB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2A37CA8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w:t>
            </w:r>
          </w:p>
        </w:tc>
        <w:tc>
          <w:tcPr>
            <w:tcW w:w="2014" w:type="dxa"/>
            <w:hideMark/>
          </w:tcPr>
          <w:p w14:paraId="396299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346" w:type="dxa"/>
            <w:gridSpan w:val="2"/>
            <w:hideMark/>
          </w:tcPr>
          <w:p w14:paraId="1694990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w:t>
            </w:r>
          </w:p>
        </w:tc>
      </w:tr>
      <w:tr w:rsidR="00302953" w:rsidRPr="00770477" w14:paraId="0B94A1F8"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0782F2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1-C-090-1</w:t>
            </w:r>
          </w:p>
        </w:tc>
        <w:tc>
          <w:tcPr>
            <w:tcW w:w="1054" w:type="dxa"/>
            <w:hideMark/>
          </w:tcPr>
          <w:p w14:paraId="6DB4BFF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4A34F1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6C339A8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w:t>
            </w:r>
          </w:p>
        </w:tc>
        <w:tc>
          <w:tcPr>
            <w:tcW w:w="2014" w:type="dxa"/>
            <w:hideMark/>
          </w:tcPr>
          <w:p w14:paraId="12BBE1F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346" w:type="dxa"/>
            <w:gridSpan w:val="2"/>
            <w:hideMark/>
          </w:tcPr>
          <w:p w14:paraId="4CD7BDA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w:t>
            </w:r>
          </w:p>
        </w:tc>
      </w:tr>
      <w:tr w:rsidR="00302953" w:rsidRPr="00770477" w14:paraId="3E3A99F9"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60164DD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1-C-090-2</w:t>
            </w:r>
          </w:p>
        </w:tc>
        <w:tc>
          <w:tcPr>
            <w:tcW w:w="1054" w:type="dxa"/>
            <w:hideMark/>
          </w:tcPr>
          <w:p w14:paraId="52B4BAB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7A6B221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7B07CDF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w:t>
            </w:r>
          </w:p>
        </w:tc>
        <w:tc>
          <w:tcPr>
            <w:tcW w:w="2014" w:type="dxa"/>
            <w:hideMark/>
          </w:tcPr>
          <w:p w14:paraId="7575F9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346" w:type="dxa"/>
            <w:gridSpan w:val="2"/>
            <w:hideMark/>
          </w:tcPr>
          <w:p w14:paraId="49EA57E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w:t>
            </w:r>
          </w:p>
        </w:tc>
      </w:tr>
      <w:tr w:rsidR="00302953" w:rsidRPr="00770477" w14:paraId="6A241F51"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6931BE9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1-C-160-1</w:t>
            </w:r>
          </w:p>
        </w:tc>
        <w:tc>
          <w:tcPr>
            <w:tcW w:w="1054" w:type="dxa"/>
            <w:hideMark/>
          </w:tcPr>
          <w:p w14:paraId="346AB97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7D59228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5F8E86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w:t>
            </w:r>
          </w:p>
        </w:tc>
        <w:tc>
          <w:tcPr>
            <w:tcW w:w="2014" w:type="dxa"/>
            <w:hideMark/>
          </w:tcPr>
          <w:p w14:paraId="79C17D7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346" w:type="dxa"/>
            <w:gridSpan w:val="2"/>
            <w:hideMark/>
          </w:tcPr>
          <w:p w14:paraId="0EF8641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w:t>
            </w:r>
          </w:p>
        </w:tc>
      </w:tr>
      <w:tr w:rsidR="00302953" w:rsidRPr="00770477" w14:paraId="260EEBC6"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6D24E4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1-C-270-1</w:t>
            </w:r>
          </w:p>
        </w:tc>
        <w:tc>
          <w:tcPr>
            <w:tcW w:w="1054" w:type="dxa"/>
            <w:hideMark/>
          </w:tcPr>
          <w:p w14:paraId="4D11CA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3E868FD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4B4832D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w:t>
            </w:r>
          </w:p>
        </w:tc>
        <w:tc>
          <w:tcPr>
            <w:tcW w:w="2014" w:type="dxa"/>
            <w:hideMark/>
          </w:tcPr>
          <w:p w14:paraId="2BD3743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346" w:type="dxa"/>
            <w:gridSpan w:val="2"/>
            <w:hideMark/>
          </w:tcPr>
          <w:p w14:paraId="6A1E437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w:t>
            </w:r>
          </w:p>
        </w:tc>
      </w:tr>
      <w:tr w:rsidR="00302953" w:rsidRPr="00770477" w14:paraId="1FD97314"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2577BF9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1-C-430-1</w:t>
            </w:r>
          </w:p>
        </w:tc>
        <w:tc>
          <w:tcPr>
            <w:tcW w:w="1054" w:type="dxa"/>
            <w:hideMark/>
          </w:tcPr>
          <w:p w14:paraId="7DFE6B6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246A72C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22C236F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w:t>
            </w:r>
          </w:p>
        </w:tc>
        <w:tc>
          <w:tcPr>
            <w:tcW w:w="2014" w:type="dxa"/>
            <w:hideMark/>
          </w:tcPr>
          <w:p w14:paraId="0FC2EF6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346" w:type="dxa"/>
            <w:gridSpan w:val="2"/>
            <w:hideMark/>
          </w:tcPr>
          <w:p w14:paraId="446633A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w:t>
            </w:r>
          </w:p>
        </w:tc>
      </w:tr>
      <w:tr w:rsidR="00302953" w:rsidRPr="00770477" w14:paraId="39D7C141"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4208A1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1-C-430-2</w:t>
            </w:r>
          </w:p>
        </w:tc>
        <w:tc>
          <w:tcPr>
            <w:tcW w:w="1054" w:type="dxa"/>
            <w:hideMark/>
          </w:tcPr>
          <w:p w14:paraId="1F5DE38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6FED953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0882588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w:t>
            </w:r>
          </w:p>
        </w:tc>
        <w:tc>
          <w:tcPr>
            <w:tcW w:w="2014" w:type="dxa"/>
            <w:hideMark/>
          </w:tcPr>
          <w:p w14:paraId="0B8A8B6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346" w:type="dxa"/>
            <w:gridSpan w:val="2"/>
            <w:hideMark/>
          </w:tcPr>
          <w:p w14:paraId="5D12EB3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w:t>
            </w:r>
          </w:p>
        </w:tc>
      </w:tr>
      <w:tr w:rsidR="00302953" w:rsidRPr="00770477" w14:paraId="64D439EC"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251DADA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1-C-670-1</w:t>
            </w:r>
          </w:p>
        </w:tc>
        <w:tc>
          <w:tcPr>
            <w:tcW w:w="1054" w:type="dxa"/>
            <w:hideMark/>
          </w:tcPr>
          <w:p w14:paraId="7E9B039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1BE53BE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4437DF9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c>
          <w:tcPr>
            <w:tcW w:w="2014" w:type="dxa"/>
            <w:hideMark/>
          </w:tcPr>
          <w:p w14:paraId="2E887E9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346" w:type="dxa"/>
            <w:gridSpan w:val="2"/>
            <w:hideMark/>
          </w:tcPr>
          <w:p w14:paraId="456C3F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w:t>
            </w:r>
          </w:p>
        </w:tc>
      </w:tr>
      <w:tr w:rsidR="00302953" w:rsidRPr="00770477" w14:paraId="658C95B0"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3CBEFDA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1-I-000-3</w:t>
            </w:r>
          </w:p>
        </w:tc>
        <w:tc>
          <w:tcPr>
            <w:tcW w:w="1054" w:type="dxa"/>
            <w:hideMark/>
          </w:tcPr>
          <w:p w14:paraId="0615F79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13C8225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7FDB20B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7.5</w:t>
            </w:r>
          </w:p>
        </w:tc>
        <w:tc>
          <w:tcPr>
            <w:tcW w:w="2014" w:type="dxa"/>
            <w:hideMark/>
          </w:tcPr>
          <w:p w14:paraId="148267D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346" w:type="dxa"/>
            <w:gridSpan w:val="2"/>
            <w:hideMark/>
          </w:tcPr>
          <w:p w14:paraId="69D683D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w:t>
            </w:r>
          </w:p>
        </w:tc>
      </w:tr>
      <w:tr w:rsidR="00302953" w:rsidRPr="00770477" w14:paraId="6872D81C"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5D575ED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1-I-160-3</w:t>
            </w:r>
          </w:p>
        </w:tc>
        <w:tc>
          <w:tcPr>
            <w:tcW w:w="1054" w:type="dxa"/>
            <w:hideMark/>
          </w:tcPr>
          <w:p w14:paraId="7BDD8EF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7DC3143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3FEB648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w:t>
            </w:r>
          </w:p>
        </w:tc>
        <w:tc>
          <w:tcPr>
            <w:tcW w:w="2014" w:type="dxa"/>
            <w:hideMark/>
          </w:tcPr>
          <w:p w14:paraId="447BCA0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346" w:type="dxa"/>
            <w:gridSpan w:val="2"/>
            <w:hideMark/>
          </w:tcPr>
          <w:p w14:paraId="5C0289F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w:t>
            </w:r>
          </w:p>
        </w:tc>
      </w:tr>
      <w:tr w:rsidR="00302953" w:rsidRPr="00770477" w14:paraId="0CBD0B91"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8D9AA2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1-I-670-3</w:t>
            </w:r>
          </w:p>
        </w:tc>
        <w:tc>
          <w:tcPr>
            <w:tcW w:w="1054" w:type="dxa"/>
            <w:hideMark/>
          </w:tcPr>
          <w:p w14:paraId="716156E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3E50F49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42C39F0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w:t>
            </w:r>
          </w:p>
        </w:tc>
        <w:tc>
          <w:tcPr>
            <w:tcW w:w="2014" w:type="dxa"/>
            <w:hideMark/>
          </w:tcPr>
          <w:p w14:paraId="65B840B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346" w:type="dxa"/>
            <w:gridSpan w:val="2"/>
            <w:hideMark/>
          </w:tcPr>
          <w:p w14:paraId="68973AF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w:t>
            </w:r>
          </w:p>
        </w:tc>
      </w:tr>
      <w:tr w:rsidR="00302953" w:rsidRPr="00770477" w14:paraId="721E6587"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B716F4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2-A-010-1</w:t>
            </w:r>
          </w:p>
        </w:tc>
        <w:tc>
          <w:tcPr>
            <w:tcW w:w="1054" w:type="dxa"/>
            <w:hideMark/>
          </w:tcPr>
          <w:p w14:paraId="59C5BF3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1245A07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14289B0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7.9</w:t>
            </w:r>
          </w:p>
        </w:tc>
        <w:tc>
          <w:tcPr>
            <w:tcW w:w="2014" w:type="dxa"/>
            <w:hideMark/>
          </w:tcPr>
          <w:p w14:paraId="74D0AAD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58.25</w:t>
            </w:r>
          </w:p>
        </w:tc>
        <w:tc>
          <w:tcPr>
            <w:tcW w:w="1346" w:type="dxa"/>
            <w:gridSpan w:val="2"/>
            <w:hideMark/>
          </w:tcPr>
          <w:p w14:paraId="0437F77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20.9</w:t>
            </w:r>
          </w:p>
        </w:tc>
      </w:tr>
      <w:tr w:rsidR="00302953" w:rsidRPr="00770477" w14:paraId="4760DEA1"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329D43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2-A-040-1</w:t>
            </w:r>
          </w:p>
        </w:tc>
        <w:tc>
          <w:tcPr>
            <w:tcW w:w="1054" w:type="dxa"/>
            <w:hideMark/>
          </w:tcPr>
          <w:p w14:paraId="46BE483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0CE5862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5C59538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7.3</w:t>
            </w:r>
          </w:p>
        </w:tc>
        <w:tc>
          <w:tcPr>
            <w:tcW w:w="2014" w:type="dxa"/>
            <w:hideMark/>
          </w:tcPr>
          <w:p w14:paraId="69E61A1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51.67</w:t>
            </w:r>
          </w:p>
        </w:tc>
        <w:tc>
          <w:tcPr>
            <w:tcW w:w="1346" w:type="dxa"/>
            <w:gridSpan w:val="2"/>
            <w:hideMark/>
          </w:tcPr>
          <w:p w14:paraId="3B83B91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20.6</w:t>
            </w:r>
          </w:p>
        </w:tc>
      </w:tr>
      <w:tr w:rsidR="00302953" w:rsidRPr="00770477" w14:paraId="39176790"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6A49AB9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2-A-090-1</w:t>
            </w:r>
          </w:p>
        </w:tc>
        <w:tc>
          <w:tcPr>
            <w:tcW w:w="1054" w:type="dxa"/>
            <w:hideMark/>
          </w:tcPr>
          <w:p w14:paraId="2747B4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04EF7E6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72D1FBA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7.1</w:t>
            </w:r>
          </w:p>
        </w:tc>
        <w:tc>
          <w:tcPr>
            <w:tcW w:w="2014" w:type="dxa"/>
            <w:hideMark/>
          </w:tcPr>
          <w:p w14:paraId="7CB0309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52.4</w:t>
            </w:r>
          </w:p>
        </w:tc>
        <w:tc>
          <w:tcPr>
            <w:tcW w:w="1346" w:type="dxa"/>
            <w:gridSpan w:val="2"/>
            <w:hideMark/>
          </w:tcPr>
          <w:p w14:paraId="0E4646D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20.3</w:t>
            </w:r>
          </w:p>
        </w:tc>
      </w:tr>
      <w:tr w:rsidR="00302953" w:rsidRPr="00770477" w14:paraId="244CB402"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51ECDC8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2-A-090-2</w:t>
            </w:r>
          </w:p>
        </w:tc>
        <w:tc>
          <w:tcPr>
            <w:tcW w:w="1054" w:type="dxa"/>
            <w:hideMark/>
          </w:tcPr>
          <w:p w14:paraId="06D4D90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2E96749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5D030A7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7.1</w:t>
            </w:r>
          </w:p>
        </w:tc>
        <w:tc>
          <w:tcPr>
            <w:tcW w:w="2014" w:type="dxa"/>
            <w:hideMark/>
          </w:tcPr>
          <w:p w14:paraId="58B6242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52.4</w:t>
            </w:r>
          </w:p>
        </w:tc>
        <w:tc>
          <w:tcPr>
            <w:tcW w:w="1346" w:type="dxa"/>
            <w:gridSpan w:val="2"/>
            <w:hideMark/>
          </w:tcPr>
          <w:p w14:paraId="5E9564E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20.3</w:t>
            </w:r>
          </w:p>
        </w:tc>
      </w:tr>
      <w:tr w:rsidR="00302953" w:rsidRPr="00770477" w14:paraId="6444556C"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2DA26C2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2-A-160-1</w:t>
            </w:r>
          </w:p>
        </w:tc>
        <w:tc>
          <w:tcPr>
            <w:tcW w:w="1054" w:type="dxa"/>
            <w:hideMark/>
          </w:tcPr>
          <w:p w14:paraId="4B1BA2D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7E43761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7D17061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w:t>
            </w:r>
          </w:p>
        </w:tc>
        <w:tc>
          <w:tcPr>
            <w:tcW w:w="2014" w:type="dxa"/>
            <w:hideMark/>
          </w:tcPr>
          <w:p w14:paraId="7752366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51.96</w:t>
            </w:r>
          </w:p>
        </w:tc>
        <w:tc>
          <w:tcPr>
            <w:tcW w:w="1346" w:type="dxa"/>
            <w:gridSpan w:val="2"/>
            <w:hideMark/>
          </w:tcPr>
          <w:p w14:paraId="27FE5D0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19.8</w:t>
            </w:r>
          </w:p>
        </w:tc>
      </w:tr>
      <w:tr w:rsidR="00302953" w:rsidRPr="00770477" w14:paraId="194DAC0B"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2C8DF5B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2-A-270-1</w:t>
            </w:r>
          </w:p>
        </w:tc>
        <w:tc>
          <w:tcPr>
            <w:tcW w:w="1054" w:type="dxa"/>
            <w:hideMark/>
          </w:tcPr>
          <w:p w14:paraId="5D17388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5EE079D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64AF356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w:t>
            </w:r>
          </w:p>
        </w:tc>
        <w:tc>
          <w:tcPr>
            <w:tcW w:w="2014" w:type="dxa"/>
            <w:hideMark/>
          </w:tcPr>
          <w:p w14:paraId="30A0736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52.85</w:t>
            </w:r>
          </w:p>
        </w:tc>
        <w:tc>
          <w:tcPr>
            <w:tcW w:w="1346" w:type="dxa"/>
            <w:gridSpan w:val="2"/>
            <w:hideMark/>
          </w:tcPr>
          <w:p w14:paraId="16781F1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19.9</w:t>
            </w:r>
          </w:p>
        </w:tc>
      </w:tr>
      <w:tr w:rsidR="00302953" w:rsidRPr="00770477" w14:paraId="5A1069E7"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53CDF10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2-A-430-1</w:t>
            </w:r>
          </w:p>
        </w:tc>
        <w:tc>
          <w:tcPr>
            <w:tcW w:w="1054" w:type="dxa"/>
            <w:hideMark/>
          </w:tcPr>
          <w:p w14:paraId="1EA5250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408AB5A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2467399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w:t>
            </w:r>
          </w:p>
        </w:tc>
        <w:tc>
          <w:tcPr>
            <w:tcW w:w="2014" w:type="dxa"/>
            <w:hideMark/>
          </w:tcPr>
          <w:p w14:paraId="2718DD4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53.46</w:t>
            </w:r>
          </w:p>
        </w:tc>
        <w:tc>
          <w:tcPr>
            <w:tcW w:w="1346" w:type="dxa"/>
            <w:gridSpan w:val="2"/>
            <w:hideMark/>
          </w:tcPr>
          <w:p w14:paraId="7FED9F9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20.7</w:t>
            </w:r>
          </w:p>
        </w:tc>
      </w:tr>
      <w:tr w:rsidR="00302953" w:rsidRPr="00770477" w14:paraId="17F6EC18"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2BB9B1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2-A-430-2</w:t>
            </w:r>
          </w:p>
        </w:tc>
        <w:tc>
          <w:tcPr>
            <w:tcW w:w="1054" w:type="dxa"/>
            <w:hideMark/>
          </w:tcPr>
          <w:p w14:paraId="323A52F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028EC19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39A5F6E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w:t>
            </w:r>
          </w:p>
        </w:tc>
        <w:tc>
          <w:tcPr>
            <w:tcW w:w="2014" w:type="dxa"/>
            <w:hideMark/>
          </w:tcPr>
          <w:p w14:paraId="2EFED4F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53.46</w:t>
            </w:r>
          </w:p>
        </w:tc>
        <w:tc>
          <w:tcPr>
            <w:tcW w:w="1346" w:type="dxa"/>
            <w:gridSpan w:val="2"/>
            <w:hideMark/>
          </w:tcPr>
          <w:p w14:paraId="013CE3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20.7</w:t>
            </w:r>
          </w:p>
        </w:tc>
      </w:tr>
      <w:tr w:rsidR="00302953" w:rsidRPr="00770477" w14:paraId="44347D68"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6CC077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2-A-670-1</w:t>
            </w:r>
          </w:p>
        </w:tc>
        <w:tc>
          <w:tcPr>
            <w:tcW w:w="1054" w:type="dxa"/>
            <w:hideMark/>
          </w:tcPr>
          <w:p w14:paraId="0C4684A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085AFF6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260540B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w:t>
            </w:r>
          </w:p>
        </w:tc>
        <w:tc>
          <w:tcPr>
            <w:tcW w:w="2014" w:type="dxa"/>
            <w:hideMark/>
          </w:tcPr>
          <w:p w14:paraId="328FFFE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50.2</w:t>
            </w:r>
          </w:p>
        </w:tc>
        <w:tc>
          <w:tcPr>
            <w:tcW w:w="1346" w:type="dxa"/>
            <w:gridSpan w:val="2"/>
            <w:hideMark/>
          </w:tcPr>
          <w:p w14:paraId="5958F17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11.7</w:t>
            </w:r>
          </w:p>
        </w:tc>
      </w:tr>
      <w:tr w:rsidR="00302953" w:rsidRPr="00770477" w14:paraId="2927ADD5"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2CBBDF7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2-B-010-1</w:t>
            </w:r>
          </w:p>
        </w:tc>
        <w:tc>
          <w:tcPr>
            <w:tcW w:w="1054" w:type="dxa"/>
            <w:hideMark/>
          </w:tcPr>
          <w:p w14:paraId="3E77B1A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10E7A8C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2242312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7.2</w:t>
            </w:r>
          </w:p>
        </w:tc>
        <w:tc>
          <w:tcPr>
            <w:tcW w:w="2014" w:type="dxa"/>
            <w:hideMark/>
          </w:tcPr>
          <w:p w14:paraId="6064B0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51.8</w:t>
            </w:r>
          </w:p>
        </w:tc>
        <w:tc>
          <w:tcPr>
            <w:tcW w:w="1346" w:type="dxa"/>
            <w:gridSpan w:val="2"/>
            <w:hideMark/>
          </w:tcPr>
          <w:p w14:paraId="11C40CB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21.1</w:t>
            </w:r>
          </w:p>
        </w:tc>
      </w:tr>
      <w:tr w:rsidR="00302953" w:rsidRPr="00770477" w14:paraId="3C5E3692"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2447B7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2-B-040-1</w:t>
            </w:r>
          </w:p>
        </w:tc>
        <w:tc>
          <w:tcPr>
            <w:tcW w:w="1054" w:type="dxa"/>
            <w:hideMark/>
          </w:tcPr>
          <w:p w14:paraId="4840D80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7AAC31B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3AFC745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7.7</w:t>
            </w:r>
          </w:p>
        </w:tc>
        <w:tc>
          <w:tcPr>
            <w:tcW w:w="2014" w:type="dxa"/>
            <w:hideMark/>
          </w:tcPr>
          <w:p w14:paraId="02087B2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51.83</w:t>
            </w:r>
          </w:p>
        </w:tc>
        <w:tc>
          <w:tcPr>
            <w:tcW w:w="1346" w:type="dxa"/>
            <w:gridSpan w:val="2"/>
            <w:hideMark/>
          </w:tcPr>
          <w:p w14:paraId="1A68AA6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20.6</w:t>
            </w:r>
          </w:p>
        </w:tc>
      </w:tr>
      <w:tr w:rsidR="00302953" w:rsidRPr="00770477" w14:paraId="196754CB"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56040E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2-B-090-1</w:t>
            </w:r>
          </w:p>
        </w:tc>
        <w:tc>
          <w:tcPr>
            <w:tcW w:w="1054" w:type="dxa"/>
            <w:hideMark/>
          </w:tcPr>
          <w:p w14:paraId="58A6AAC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0CF3158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648D7F1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7.5</w:t>
            </w:r>
          </w:p>
        </w:tc>
        <w:tc>
          <w:tcPr>
            <w:tcW w:w="2014" w:type="dxa"/>
            <w:hideMark/>
          </w:tcPr>
          <w:p w14:paraId="23522F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52.28</w:t>
            </w:r>
          </w:p>
        </w:tc>
        <w:tc>
          <w:tcPr>
            <w:tcW w:w="1346" w:type="dxa"/>
            <w:gridSpan w:val="2"/>
            <w:hideMark/>
          </w:tcPr>
          <w:p w14:paraId="22EDD73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20.3</w:t>
            </w:r>
          </w:p>
        </w:tc>
      </w:tr>
      <w:tr w:rsidR="00302953" w:rsidRPr="00770477" w14:paraId="3AF9430B"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2C2CBF7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2-B-090-2</w:t>
            </w:r>
          </w:p>
        </w:tc>
        <w:tc>
          <w:tcPr>
            <w:tcW w:w="1054" w:type="dxa"/>
            <w:hideMark/>
          </w:tcPr>
          <w:p w14:paraId="4BBA429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439ABA6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21EE102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7.5</w:t>
            </w:r>
          </w:p>
        </w:tc>
        <w:tc>
          <w:tcPr>
            <w:tcW w:w="2014" w:type="dxa"/>
            <w:hideMark/>
          </w:tcPr>
          <w:p w14:paraId="44EEA95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52.28</w:t>
            </w:r>
          </w:p>
        </w:tc>
        <w:tc>
          <w:tcPr>
            <w:tcW w:w="1346" w:type="dxa"/>
            <w:gridSpan w:val="2"/>
            <w:hideMark/>
          </w:tcPr>
          <w:p w14:paraId="12E3748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20.3</w:t>
            </w:r>
          </w:p>
        </w:tc>
      </w:tr>
      <w:tr w:rsidR="00302953" w:rsidRPr="00770477" w14:paraId="071D553F"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78DD01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2-B-160-1</w:t>
            </w:r>
          </w:p>
        </w:tc>
        <w:tc>
          <w:tcPr>
            <w:tcW w:w="1054" w:type="dxa"/>
            <w:hideMark/>
          </w:tcPr>
          <w:p w14:paraId="6674ED0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2EB6FEB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3D576B8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7.6</w:t>
            </w:r>
          </w:p>
        </w:tc>
        <w:tc>
          <w:tcPr>
            <w:tcW w:w="2014" w:type="dxa"/>
            <w:hideMark/>
          </w:tcPr>
          <w:p w14:paraId="5DC5163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52.33</w:t>
            </w:r>
          </w:p>
        </w:tc>
        <w:tc>
          <w:tcPr>
            <w:tcW w:w="1346" w:type="dxa"/>
            <w:gridSpan w:val="2"/>
            <w:hideMark/>
          </w:tcPr>
          <w:p w14:paraId="6CF17B8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19.8</w:t>
            </w:r>
          </w:p>
        </w:tc>
      </w:tr>
      <w:tr w:rsidR="00302953" w:rsidRPr="00770477" w14:paraId="409E2BEC"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B5C0BF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2-B-160-2</w:t>
            </w:r>
          </w:p>
        </w:tc>
        <w:tc>
          <w:tcPr>
            <w:tcW w:w="1054" w:type="dxa"/>
            <w:hideMark/>
          </w:tcPr>
          <w:p w14:paraId="6543871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6AA1D24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5D0C90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7.6</w:t>
            </w:r>
          </w:p>
        </w:tc>
        <w:tc>
          <w:tcPr>
            <w:tcW w:w="2014" w:type="dxa"/>
            <w:hideMark/>
          </w:tcPr>
          <w:p w14:paraId="4607231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52.33</w:t>
            </w:r>
          </w:p>
        </w:tc>
        <w:tc>
          <w:tcPr>
            <w:tcW w:w="1346" w:type="dxa"/>
            <w:gridSpan w:val="2"/>
            <w:hideMark/>
          </w:tcPr>
          <w:p w14:paraId="1ADA37D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19.8</w:t>
            </w:r>
          </w:p>
        </w:tc>
      </w:tr>
      <w:tr w:rsidR="00302953" w:rsidRPr="00770477" w14:paraId="555619BF"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F07C24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2-B-270-1</w:t>
            </w:r>
          </w:p>
        </w:tc>
        <w:tc>
          <w:tcPr>
            <w:tcW w:w="1054" w:type="dxa"/>
            <w:hideMark/>
          </w:tcPr>
          <w:p w14:paraId="37B49A1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268974E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02575D8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7.3</w:t>
            </w:r>
          </w:p>
        </w:tc>
        <w:tc>
          <w:tcPr>
            <w:tcW w:w="2014" w:type="dxa"/>
            <w:hideMark/>
          </w:tcPr>
          <w:p w14:paraId="6CABA4B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51.88</w:t>
            </w:r>
          </w:p>
        </w:tc>
        <w:tc>
          <w:tcPr>
            <w:tcW w:w="1346" w:type="dxa"/>
            <w:gridSpan w:val="2"/>
            <w:hideMark/>
          </w:tcPr>
          <w:p w14:paraId="0FDABB7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19.8</w:t>
            </w:r>
          </w:p>
        </w:tc>
      </w:tr>
      <w:tr w:rsidR="00302953" w:rsidRPr="00770477" w14:paraId="31AFCCAF"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63268E9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2-B-430-1</w:t>
            </w:r>
          </w:p>
        </w:tc>
        <w:tc>
          <w:tcPr>
            <w:tcW w:w="1054" w:type="dxa"/>
            <w:hideMark/>
          </w:tcPr>
          <w:p w14:paraId="5939781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0CC11BD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6756E3B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w:t>
            </w:r>
          </w:p>
        </w:tc>
        <w:tc>
          <w:tcPr>
            <w:tcW w:w="2014" w:type="dxa"/>
            <w:hideMark/>
          </w:tcPr>
          <w:p w14:paraId="0B6BF6E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51.78</w:t>
            </w:r>
          </w:p>
        </w:tc>
        <w:tc>
          <w:tcPr>
            <w:tcW w:w="1346" w:type="dxa"/>
            <w:gridSpan w:val="2"/>
            <w:hideMark/>
          </w:tcPr>
          <w:p w14:paraId="47EB873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20.6</w:t>
            </w:r>
          </w:p>
        </w:tc>
      </w:tr>
      <w:tr w:rsidR="00302953" w:rsidRPr="00770477" w14:paraId="37DD274F"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04C1EC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2-B-670-1</w:t>
            </w:r>
          </w:p>
        </w:tc>
        <w:tc>
          <w:tcPr>
            <w:tcW w:w="1054" w:type="dxa"/>
            <w:hideMark/>
          </w:tcPr>
          <w:p w14:paraId="4345A3E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61AD355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4CE56BA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6.6</w:t>
            </w:r>
          </w:p>
        </w:tc>
        <w:tc>
          <w:tcPr>
            <w:tcW w:w="2014" w:type="dxa"/>
            <w:hideMark/>
          </w:tcPr>
          <w:p w14:paraId="185FE65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50.61</w:t>
            </w:r>
          </w:p>
        </w:tc>
        <w:tc>
          <w:tcPr>
            <w:tcW w:w="1346" w:type="dxa"/>
            <w:gridSpan w:val="2"/>
            <w:hideMark/>
          </w:tcPr>
          <w:p w14:paraId="3213ACE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11.5</w:t>
            </w:r>
          </w:p>
        </w:tc>
      </w:tr>
      <w:tr w:rsidR="00302953" w:rsidRPr="00770477" w14:paraId="4B6F8528"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3A39D22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2-C-010-1</w:t>
            </w:r>
          </w:p>
        </w:tc>
        <w:tc>
          <w:tcPr>
            <w:tcW w:w="1054" w:type="dxa"/>
            <w:hideMark/>
          </w:tcPr>
          <w:p w14:paraId="5740BE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69EB19E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7B4D2BF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w:t>
            </w:r>
          </w:p>
        </w:tc>
        <w:tc>
          <w:tcPr>
            <w:tcW w:w="2014" w:type="dxa"/>
            <w:hideMark/>
          </w:tcPr>
          <w:p w14:paraId="5A9BE73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155.8</w:t>
            </w:r>
          </w:p>
        </w:tc>
        <w:tc>
          <w:tcPr>
            <w:tcW w:w="1346" w:type="dxa"/>
            <w:gridSpan w:val="2"/>
            <w:hideMark/>
          </w:tcPr>
          <w:p w14:paraId="2A02E09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20.3</w:t>
            </w:r>
          </w:p>
        </w:tc>
      </w:tr>
      <w:tr w:rsidR="00302953" w:rsidRPr="00770477" w14:paraId="26D2C412"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0542A1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2-C-040-1</w:t>
            </w:r>
          </w:p>
        </w:tc>
        <w:tc>
          <w:tcPr>
            <w:tcW w:w="1054" w:type="dxa"/>
            <w:hideMark/>
          </w:tcPr>
          <w:p w14:paraId="07E0B1E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52154E5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166C647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w:t>
            </w:r>
          </w:p>
        </w:tc>
        <w:tc>
          <w:tcPr>
            <w:tcW w:w="2014" w:type="dxa"/>
            <w:hideMark/>
          </w:tcPr>
          <w:p w14:paraId="5757B7F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146</w:t>
            </w:r>
          </w:p>
        </w:tc>
        <w:tc>
          <w:tcPr>
            <w:tcW w:w="1346" w:type="dxa"/>
            <w:gridSpan w:val="2"/>
            <w:hideMark/>
          </w:tcPr>
          <w:p w14:paraId="5B38A30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w:t>
            </w:r>
          </w:p>
        </w:tc>
      </w:tr>
      <w:tr w:rsidR="00302953" w:rsidRPr="00770477" w14:paraId="17F95F59"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EB8A46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2-C-090-1</w:t>
            </w:r>
          </w:p>
        </w:tc>
        <w:tc>
          <w:tcPr>
            <w:tcW w:w="1054" w:type="dxa"/>
            <w:hideMark/>
          </w:tcPr>
          <w:p w14:paraId="0C88EB2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7BB1ECE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73D9C9B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w:t>
            </w:r>
          </w:p>
        </w:tc>
        <w:tc>
          <w:tcPr>
            <w:tcW w:w="2014" w:type="dxa"/>
            <w:hideMark/>
          </w:tcPr>
          <w:p w14:paraId="051D022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120.1</w:t>
            </w:r>
          </w:p>
        </w:tc>
        <w:tc>
          <w:tcPr>
            <w:tcW w:w="1346" w:type="dxa"/>
            <w:gridSpan w:val="2"/>
            <w:hideMark/>
          </w:tcPr>
          <w:p w14:paraId="44E81EF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20.5</w:t>
            </w:r>
          </w:p>
        </w:tc>
      </w:tr>
      <w:tr w:rsidR="00302953" w:rsidRPr="00770477" w14:paraId="318C6D4C"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54CB9CD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2-C-160-1</w:t>
            </w:r>
          </w:p>
        </w:tc>
        <w:tc>
          <w:tcPr>
            <w:tcW w:w="1054" w:type="dxa"/>
            <w:hideMark/>
          </w:tcPr>
          <w:p w14:paraId="224CD73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78E8730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0890BF0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w:t>
            </w:r>
          </w:p>
        </w:tc>
        <w:tc>
          <w:tcPr>
            <w:tcW w:w="2014" w:type="dxa"/>
            <w:hideMark/>
          </w:tcPr>
          <w:p w14:paraId="33FD95C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w:t>
            </w:r>
          </w:p>
        </w:tc>
        <w:tc>
          <w:tcPr>
            <w:tcW w:w="1346" w:type="dxa"/>
            <w:gridSpan w:val="2"/>
            <w:hideMark/>
          </w:tcPr>
          <w:p w14:paraId="2269025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w:t>
            </w:r>
          </w:p>
        </w:tc>
      </w:tr>
      <w:tr w:rsidR="00302953" w:rsidRPr="00770477" w14:paraId="60C33604"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349C95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2-C-270-1</w:t>
            </w:r>
          </w:p>
        </w:tc>
        <w:tc>
          <w:tcPr>
            <w:tcW w:w="1054" w:type="dxa"/>
            <w:hideMark/>
          </w:tcPr>
          <w:p w14:paraId="70BDC21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3ACB716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29C9504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9.9</w:t>
            </w:r>
          </w:p>
        </w:tc>
        <w:tc>
          <w:tcPr>
            <w:tcW w:w="2014" w:type="dxa"/>
            <w:hideMark/>
          </w:tcPr>
          <w:p w14:paraId="2B1AB7C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c>
          <w:tcPr>
            <w:tcW w:w="1346" w:type="dxa"/>
            <w:gridSpan w:val="2"/>
            <w:hideMark/>
          </w:tcPr>
          <w:p w14:paraId="3B08EEF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20.1</w:t>
            </w:r>
          </w:p>
        </w:tc>
      </w:tr>
      <w:tr w:rsidR="00302953" w:rsidRPr="00770477" w14:paraId="2079D470"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3BFC269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2-C-270-2</w:t>
            </w:r>
          </w:p>
        </w:tc>
        <w:tc>
          <w:tcPr>
            <w:tcW w:w="1054" w:type="dxa"/>
            <w:hideMark/>
          </w:tcPr>
          <w:p w14:paraId="5360973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3B94F8B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5D1623A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9.9</w:t>
            </w:r>
          </w:p>
        </w:tc>
        <w:tc>
          <w:tcPr>
            <w:tcW w:w="2014" w:type="dxa"/>
            <w:hideMark/>
          </w:tcPr>
          <w:p w14:paraId="356286B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c>
          <w:tcPr>
            <w:tcW w:w="1346" w:type="dxa"/>
            <w:gridSpan w:val="2"/>
            <w:hideMark/>
          </w:tcPr>
          <w:p w14:paraId="1FD744D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20.1</w:t>
            </w:r>
          </w:p>
        </w:tc>
      </w:tr>
      <w:tr w:rsidR="00302953" w:rsidRPr="00770477" w14:paraId="08E7BC50"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CD793B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2-C-430-1</w:t>
            </w:r>
          </w:p>
        </w:tc>
        <w:tc>
          <w:tcPr>
            <w:tcW w:w="1054" w:type="dxa"/>
            <w:hideMark/>
          </w:tcPr>
          <w:p w14:paraId="754ADB2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53C7256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19F2314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w:t>
            </w:r>
          </w:p>
        </w:tc>
        <w:tc>
          <w:tcPr>
            <w:tcW w:w="2014" w:type="dxa"/>
            <w:hideMark/>
          </w:tcPr>
          <w:p w14:paraId="7B59B40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93.89</w:t>
            </w:r>
          </w:p>
        </w:tc>
        <w:tc>
          <w:tcPr>
            <w:tcW w:w="1346" w:type="dxa"/>
            <w:gridSpan w:val="2"/>
            <w:hideMark/>
          </w:tcPr>
          <w:p w14:paraId="3B5D649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20.2</w:t>
            </w:r>
          </w:p>
        </w:tc>
      </w:tr>
      <w:tr w:rsidR="00302953" w:rsidRPr="00770477" w14:paraId="02757DE7"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3D2FEDE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2-C-670-1</w:t>
            </w:r>
          </w:p>
        </w:tc>
        <w:tc>
          <w:tcPr>
            <w:tcW w:w="1054" w:type="dxa"/>
            <w:hideMark/>
          </w:tcPr>
          <w:p w14:paraId="72C7850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6B470E8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2005E2E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9.8</w:t>
            </w:r>
          </w:p>
        </w:tc>
        <w:tc>
          <w:tcPr>
            <w:tcW w:w="2014" w:type="dxa"/>
            <w:hideMark/>
          </w:tcPr>
          <w:p w14:paraId="1CDEB43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90.84</w:t>
            </w:r>
          </w:p>
        </w:tc>
        <w:tc>
          <w:tcPr>
            <w:tcW w:w="1346" w:type="dxa"/>
            <w:gridSpan w:val="2"/>
            <w:hideMark/>
          </w:tcPr>
          <w:p w14:paraId="26B4D5A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w:t>
            </w:r>
          </w:p>
        </w:tc>
      </w:tr>
      <w:tr w:rsidR="00302953" w:rsidRPr="00770477" w14:paraId="07951B78"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06BC1A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2-C-670-2</w:t>
            </w:r>
          </w:p>
        </w:tc>
        <w:tc>
          <w:tcPr>
            <w:tcW w:w="1054" w:type="dxa"/>
            <w:hideMark/>
          </w:tcPr>
          <w:p w14:paraId="70F159D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760FAD9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5282A39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9.8</w:t>
            </w:r>
          </w:p>
        </w:tc>
        <w:tc>
          <w:tcPr>
            <w:tcW w:w="2014" w:type="dxa"/>
            <w:hideMark/>
          </w:tcPr>
          <w:p w14:paraId="78CB955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90.84</w:t>
            </w:r>
          </w:p>
        </w:tc>
        <w:tc>
          <w:tcPr>
            <w:tcW w:w="1346" w:type="dxa"/>
            <w:gridSpan w:val="2"/>
            <w:hideMark/>
          </w:tcPr>
          <w:p w14:paraId="352C827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w:t>
            </w:r>
          </w:p>
        </w:tc>
      </w:tr>
      <w:tr w:rsidR="00302953" w:rsidRPr="00770477" w14:paraId="1DC70C21"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E4B8C1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2-I-000-3</w:t>
            </w:r>
          </w:p>
        </w:tc>
        <w:tc>
          <w:tcPr>
            <w:tcW w:w="1054" w:type="dxa"/>
            <w:hideMark/>
          </w:tcPr>
          <w:p w14:paraId="3349D20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320B2CA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71BC37B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7.4</w:t>
            </w:r>
          </w:p>
        </w:tc>
        <w:tc>
          <w:tcPr>
            <w:tcW w:w="2014" w:type="dxa"/>
            <w:hideMark/>
          </w:tcPr>
          <w:p w14:paraId="5CB3354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79.21</w:t>
            </w:r>
          </w:p>
        </w:tc>
        <w:tc>
          <w:tcPr>
            <w:tcW w:w="1346" w:type="dxa"/>
            <w:gridSpan w:val="2"/>
            <w:hideMark/>
          </w:tcPr>
          <w:p w14:paraId="6210137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21.4</w:t>
            </w:r>
          </w:p>
        </w:tc>
      </w:tr>
      <w:tr w:rsidR="00302953" w:rsidRPr="00770477" w14:paraId="01E47B74"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829104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2-I-160-3</w:t>
            </w:r>
          </w:p>
        </w:tc>
        <w:tc>
          <w:tcPr>
            <w:tcW w:w="1054" w:type="dxa"/>
            <w:hideMark/>
          </w:tcPr>
          <w:p w14:paraId="5A632A4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295A74A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0E3A431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w:t>
            </w:r>
          </w:p>
        </w:tc>
        <w:tc>
          <w:tcPr>
            <w:tcW w:w="2014" w:type="dxa"/>
            <w:hideMark/>
          </w:tcPr>
          <w:p w14:paraId="6C2BF4E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58.39</w:t>
            </w:r>
          </w:p>
        </w:tc>
        <w:tc>
          <w:tcPr>
            <w:tcW w:w="1346" w:type="dxa"/>
            <w:gridSpan w:val="2"/>
            <w:hideMark/>
          </w:tcPr>
          <w:p w14:paraId="6D5F73A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20.6</w:t>
            </w:r>
          </w:p>
        </w:tc>
      </w:tr>
      <w:tr w:rsidR="00302953" w:rsidRPr="00770477" w14:paraId="2A58E0B9"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3560C40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2-I-670-3</w:t>
            </w:r>
          </w:p>
        </w:tc>
        <w:tc>
          <w:tcPr>
            <w:tcW w:w="1054" w:type="dxa"/>
            <w:hideMark/>
          </w:tcPr>
          <w:p w14:paraId="5C4CB41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05A65AC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59F6795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6.6</w:t>
            </w:r>
          </w:p>
        </w:tc>
        <w:tc>
          <w:tcPr>
            <w:tcW w:w="2014" w:type="dxa"/>
            <w:hideMark/>
          </w:tcPr>
          <w:p w14:paraId="5F9AA72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49.96</w:t>
            </w:r>
          </w:p>
        </w:tc>
        <w:tc>
          <w:tcPr>
            <w:tcW w:w="1346" w:type="dxa"/>
            <w:gridSpan w:val="2"/>
            <w:hideMark/>
          </w:tcPr>
          <w:p w14:paraId="4B0C1A4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12.2</w:t>
            </w:r>
          </w:p>
        </w:tc>
      </w:tr>
      <w:tr w:rsidR="00302953" w:rsidRPr="00770477" w14:paraId="324BB834"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2EB1E54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10-A-0-1</w:t>
            </w:r>
          </w:p>
        </w:tc>
        <w:tc>
          <w:tcPr>
            <w:tcW w:w="1054" w:type="dxa"/>
            <w:hideMark/>
          </w:tcPr>
          <w:p w14:paraId="79B4FCD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2F54216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w:t>
            </w:r>
          </w:p>
        </w:tc>
        <w:tc>
          <w:tcPr>
            <w:tcW w:w="764" w:type="dxa"/>
            <w:hideMark/>
          </w:tcPr>
          <w:p w14:paraId="4992B5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11.91</w:t>
            </w:r>
          </w:p>
        </w:tc>
        <w:tc>
          <w:tcPr>
            <w:tcW w:w="2014" w:type="dxa"/>
            <w:hideMark/>
          </w:tcPr>
          <w:p w14:paraId="1C4DA37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775</w:t>
            </w:r>
          </w:p>
        </w:tc>
        <w:tc>
          <w:tcPr>
            <w:tcW w:w="1346" w:type="dxa"/>
            <w:gridSpan w:val="2"/>
            <w:hideMark/>
          </w:tcPr>
          <w:p w14:paraId="69851A3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23.6</w:t>
            </w:r>
          </w:p>
        </w:tc>
      </w:tr>
      <w:tr w:rsidR="00302953" w:rsidRPr="00770477" w14:paraId="539448FA"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DE65EE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10-A-1-1</w:t>
            </w:r>
          </w:p>
        </w:tc>
        <w:tc>
          <w:tcPr>
            <w:tcW w:w="1054" w:type="dxa"/>
            <w:hideMark/>
          </w:tcPr>
          <w:p w14:paraId="29D3D71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3EEEEA3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w:t>
            </w:r>
          </w:p>
        </w:tc>
        <w:tc>
          <w:tcPr>
            <w:tcW w:w="764" w:type="dxa"/>
            <w:hideMark/>
          </w:tcPr>
          <w:p w14:paraId="6E9C128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11.15</w:t>
            </w:r>
          </w:p>
        </w:tc>
        <w:tc>
          <w:tcPr>
            <w:tcW w:w="2014" w:type="dxa"/>
            <w:hideMark/>
          </w:tcPr>
          <w:p w14:paraId="74808B8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578</w:t>
            </w:r>
          </w:p>
        </w:tc>
        <w:tc>
          <w:tcPr>
            <w:tcW w:w="1346" w:type="dxa"/>
            <w:gridSpan w:val="2"/>
            <w:hideMark/>
          </w:tcPr>
          <w:p w14:paraId="0274BD7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22.5</w:t>
            </w:r>
          </w:p>
        </w:tc>
      </w:tr>
      <w:tr w:rsidR="00302953" w:rsidRPr="00770477" w14:paraId="1F44D00B"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AC0901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10-A-1-2</w:t>
            </w:r>
          </w:p>
        </w:tc>
        <w:tc>
          <w:tcPr>
            <w:tcW w:w="1054" w:type="dxa"/>
            <w:hideMark/>
          </w:tcPr>
          <w:p w14:paraId="48658B9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7AA8FEC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w:t>
            </w:r>
          </w:p>
        </w:tc>
        <w:tc>
          <w:tcPr>
            <w:tcW w:w="764" w:type="dxa"/>
            <w:hideMark/>
          </w:tcPr>
          <w:p w14:paraId="40436A8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11.15</w:t>
            </w:r>
          </w:p>
        </w:tc>
        <w:tc>
          <w:tcPr>
            <w:tcW w:w="2014" w:type="dxa"/>
            <w:hideMark/>
          </w:tcPr>
          <w:p w14:paraId="755B245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578</w:t>
            </w:r>
          </w:p>
        </w:tc>
        <w:tc>
          <w:tcPr>
            <w:tcW w:w="1346" w:type="dxa"/>
            <w:gridSpan w:val="2"/>
            <w:hideMark/>
          </w:tcPr>
          <w:p w14:paraId="448E399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22.5</w:t>
            </w:r>
          </w:p>
        </w:tc>
      </w:tr>
      <w:tr w:rsidR="00302953" w:rsidRPr="00770477" w14:paraId="3592D636"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2DEDFC9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10-A-2-1</w:t>
            </w:r>
          </w:p>
        </w:tc>
        <w:tc>
          <w:tcPr>
            <w:tcW w:w="1054" w:type="dxa"/>
            <w:hideMark/>
          </w:tcPr>
          <w:p w14:paraId="1DFF97A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7169ABF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w:t>
            </w:r>
          </w:p>
        </w:tc>
        <w:tc>
          <w:tcPr>
            <w:tcW w:w="764" w:type="dxa"/>
            <w:hideMark/>
          </w:tcPr>
          <w:p w14:paraId="7DF836A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11.49</w:t>
            </w:r>
          </w:p>
        </w:tc>
        <w:tc>
          <w:tcPr>
            <w:tcW w:w="2014" w:type="dxa"/>
            <w:hideMark/>
          </w:tcPr>
          <w:p w14:paraId="365620A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468</w:t>
            </w:r>
          </w:p>
        </w:tc>
        <w:tc>
          <w:tcPr>
            <w:tcW w:w="1346" w:type="dxa"/>
            <w:gridSpan w:val="2"/>
            <w:hideMark/>
          </w:tcPr>
          <w:p w14:paraId="212F7B1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21.9</w:t>
            </w:r>
          </w:p>
        </w:tc>
      </w:tr>
      <w:tr w:rsidR="00302953" w:rsidRPr="00770477" w14:paraId="4EF95864"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5D30A4D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10-A-4-1</w:t>
            </w:r>
          </w:p>
        </w:tc>
        <w:tc>
          <w:tcPr>
            <w:tcW w:w="1054" w:type="dxa"/>
            <w:hideMark/>
          </w:tcPr>
          <w:p w14:paraId="2E2FBF8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78D3F44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w:t>
            </w:r>
          </w:p>
        </w:tc>
        <w:tc>
          <w:tcPr>
            <w:tcW w:w="764" w:type="dxa"/>
            <w:hideMark/>
          </w:tcPr>
          <w:p w14:paraId="764E941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11.66</w:t>
            </w:r>
          </w:p>
        </w:tc>
        <w:tc>
          <w:tcPr>
            <w:tcW w:w="2014" w:type="dxa"/>
            <w:hideMark/>
          </w:tcPr>
          <w:p w14:paraId="3F9429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351</w:t>
            </w:r>
          </w:p>
        </w:tc>
        <w:tc>
          <w:tcPr>
            <w:tcW w:w="1346" w:type="dxa"/>
            <w:gridSpan w:val="2"/>
            <w:hideMark/>
          </w:tcPr>
          <w:p w14:paraId="321AF36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14.5</w:t>
            </w:r>
          </w:p>
        </w:tc>
      </w:tr>
      <w:tr w:rsidR="00302953" w:rsidRPr="00770477" w14:paraId="40F26A36"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EC0CC3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10-A-6-1</w:t>
            </w:r>
          </w:p>
        </w:tc>
        <w:tc>
          <w:tcPr>
            <w:tcW w:w="1054" w:type="dxa"/>
            <w:hideMark/>
          </w:tcPr>
          <w:p w14:paraId="55675CA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795A6A7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w:t>
            </w:r>
          </w:p>
        </w:tc>
        <w:tc>
          <w:tcPr>
            <w:tcW w:w="764" w:type="dxa"/>
            <w:hideMark/>
          </w:tcPr>
          <w:p w14:paraId="1CB3B52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11.42</w:t>
            </w:r>
          </w:p>
        </w:tc>
        <w:tc>
          <w:tcPr>
            <w:tcW w:w="2014" w:type="dxa"/>
            <w:hideMark/>
          </w:tcPr>
          <w:p w14:paraId="353A0D5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256</w:t>
            </w:r>
          </w:p>
        </w:tc>
        <w:tc>
          <w:tcPr>
            <w:tcW w:w="1346" w:type="dxa"/>
            <w:gridSpan w:val="2"/>
            <w:hideMark/>
          </w:tcPr>
          <w:p w14:paraId="0F1F5AF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12.7</w:t>
            </w:r>
          </w:p>
        </w:tc>
      </w:tr>
      <w:tr w:rsidR="00302953" w:rsidRPr="00770477" w14:paraId="78BC0FFF"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2EE16C5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10-A-10-1</w:t>
            </w:r>
          </w:p>
        </w:tc>
        <w:tc>
          <w:tcPr>
            <w:tcW w:w="1054" w:type="dxa"/>
            <w:hideMark/>
          </w:tcPr>
          <w:p w14:paraId="19060D7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183F492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w:t>
            </w:r>
          </w:p>
        </w:tc>
        <w:tc>
          <w:tcPr>
            <w:tcW w:w="764" w:type="dxa"/>
            <w:hideMark/>
          </w:tcPr>
          <w:p w14:paraId="4EE5219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11.27</w:t>
            </w:r>
          </w:p>
        </w:tc>
        <w:tc>
          <w:tcPr>
            <w:tcW w:w="2014" w:type="dxa"/>
            <w:hideMark/>
          </w:tcPr>
          <w:p w14:paraId="4747B82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325</w:t>
            </w:r>
          </w:p>
        </w:tc>
        <w:tc>
          <w:tcPr>
            <w:tcW w:w="1346" w:type="dxa"/>
            <w:gridSpan w:val="2"/>
            <w:hideMark/>
          </w:tcPr>
          <w:p w14:paraId="2570F03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21.5</w:t>
            </w:r>
          </w:p>
        </w:tc>
      </w:tr>
      <w:tr w:rsidR="00302953" w:rsidRPr="00770477" w14:paraId="3E53E6D4"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61BE954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10-A-17-1</w:t>
            </w:r>
          </w:p>
        </w:tc>
        <w:tc>
          <w:tcPr>
            <w:tcW w:w="1054" w:type="dxa"/>
            <w:hideMark/>
          </w:tcPr>
          <w:p w14:paraId="6772D24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3AFA2B8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w:t>
            </w:r>
          </w:p>
        </w:tc>
        <w:tc>
          <w:tcPr>
            <w:tcW w:w="764" w:type="dxa"/>
            <w:hideMark/>
          </w:tcPr>
          <w:p w14:paraId="2A64172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11.18</w:t>
            </w:r>
          </w:p>
        </w:tc>
        <w:tc>
          <w:tcPr>
            <w:tcW w:w="2014" w:type="dxa"/>
            <w:hideMark/>
          </w:tcPr>
          <w:p w14:paraId="5CD845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308</w:t>
            </w:r>
          </w:p>
        </w:tc>
        <w:tc>
          <w:tcPr>
            <w:tcW w:w="1346" w:type="dxa"/>
            <w:gridSpan w:val="2"/>
            <w:hideMark/>
          </w:tcPr>
          <w:p w14:paraId="6FE8500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22.3</w:t>
            </w:r>
          </w:p>
        </w:tc>
      </w:tr>
      <w:tr w:rsidR="00302953" w:rsidRPr="00770477" w14:paraId="5B453FAF"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33CB204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10-A-17-2</w:t>
            </w:r>
          </w:p>
        </w:tc>
        <w:tc>
          <w:tcPr>
            <w:tcW w:w="1054" w:type="dxa"/>
            <w:hideMark/>
          </w:tcPr>
          <w:p w14:paraId="12A1B4F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60A7F63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w:t>
            </w:r>
          </w:p>
        </w:tc>
        <w:tc>
          <w:tcPr>
            <w:tcW w:w="764" w:type="dxa"/>
            <w:hideMark/>
          </w:tcPr>
          <w:p w14:paraId="269C91D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11.18</w:t>
            </w:r>
          </w:p>
        </w:tc>
        <w:tc>
          <w:tcPr>
            <w:tcW w:w="2014" w:type="dxa"/>
            <w:hideMark/>
          </w:tcPr>
          <w:p w14:paraId="5F92B47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308</w:t>
            </w:r>
          </w:p>
        </w:tc>
        <w:tc>
          <w:tcPr>
            <w:tcW w:w="1346" w:type="dxa"/>
            <w:gridSpan w:val="2"/>
            <w:hideMark/>
          </w:tcPr>
          <w:p w14:paraId="1A23677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22.3</w:t>
            </w:r>
          </w:p>
        </w:tc>
      </w:tr>
      <w:tr w:rsidR="00302953" w:rsidRPr="00770477" w14:paraId="4563F648"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AA8F54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10-A-27-1</w:t>
            </w:r>
          </w:p>
        </w:tc>
        <w:tc>
          <w:tcPr>
            <w:tcW w:w="1054" w:type="dxa"/>
            <w:hideMark/>
          </w:tcPr>
          <w:p w14:paraId="0ED6F41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676013B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w:t>
            </w:r>
          </w:p>
        </w:tc>
        <w:tc>
          <w:tcPr>
            <w:tcW w:w="764" w:type="dxa"/>
            <w:hideMark/>
          </w:tcPr>
          <w:p w14:paraId="6BE228A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11.2</w:t>
            </w:r>
          </w:p>
        </w:tc>
        <w:tc>
          <w:tcPr>
            <w:tcW w:w="2014" w:type="dxa"/>
            <w:hideMark/>
          </w:tcPr>
          <w:p w14:paraId="5E3D82B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274</w:t>
            </w:r>
          </w:p>
        </w:tc>
        <w:tc>
          <w:tcPr>
            <w:tcW w:w="1346" w:type="dxa"/>
            <w:gridSpan w:val="2"/>
            <w:hideMark/>
          </w:tcPr>
          <w:p w14:paraId="78CC018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22.2</w:t>
            </w:r>
          </w:p>
        </w:tc>
      </w:tr>
      <w:tr w:rsidR="00302953" w:rsidRPr="00770477" w14:paraId="6D9C363F"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26EBF86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10-B-0-1</w:t>
            </w:r>
          </w:p>
        </w:tc>
        <w:tc>
          <w:tcPr>
            <w:tcW w:w="1054" w:type="dxa"/>
            <w:hideMark/>
          </w:tcPr>
          <w:p w14:paraId="45A575D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77A76F1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c>
          <w:tcPr>
            <w:tcW w:w="764" w:type="dxa"/>
            <w:hideMark/>
          </w:tcPr>
          <w:p w14:paraId="6D5D63A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8.07</w:t>
            </w:r>
          </w:p>
        </w:tc>
        <w:tc>
          <w:tcPr>
            <w:tcW w:w="2014" w:type="dxa"/>
            <w:hideMark/>
          </w:tcPr>
          <w:p w14:paraId="32C3D9A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346" w:type="dxa"/>
            <w:gridSpan w:val="2"/>
            <w:hideMark/>
          </w:tcPr>
          <w:p w14:paraId="1E819E2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w:t>
            </w:r>
          </w:p>
        </w:tc>
      </w:tr>
      <w:tr w:rsidR="00302953" w:rsidRPr="00770477" w14:paraId="7E298CFB"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CD9FC0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10-B-1-1</w:t>
            </w:r>
          </w:p>
        </w:tc>
        <w:tc>
          <w:tcPr>
            <w:tcW w:w="1054" w:type="dxa"/>
            <w:hideMark/>
          </w:tcPr>
          <w:p w14:paraId="71A797F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457D309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c>
          <w:tcPr>
            <w:tcW w:w="764" w:type="dxa"/>
            <w:hideMark/>
          </w:tcPr>
          <w:p w14:paraId="6EBD55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8.73</w:t>
            </w:r>
          </w:p>
        </w:tc>
        <w:tc>
          <w:tcPr>
            <w:tcW w:w="2014" w:type="dxa"/>
            <w:hideMark/>
          </w:tcPr>
          <w:p w14:paraId="708381F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731</w:t>
            </w:r>
          </w:p>
        </w:tc>
        <w:tc>
          <w:tcPr>
            <w:tcW w:w="1346" w:type="dxa"/>
            <w:gridSpan w:val="2"/>
            <w:hideMark/>
          </w:tcPr>
          <w:p w14:paraId="001D469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22.1</w:t>
            </w:r>
          </w:p>
        </w:tc>
      </w:tr>
      <w:tr w:rsidR="00302953" w:rsidRPr="00770477" w14:paraId="5535000E"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B1264A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10-B-1-2</w:t>
            </w:r>
          </w:p>
        </w:tc>
        <w:tc>
          <w:tcPr>
            <w:tcW w:w="1054" w:type="dxa"/>
            <w:hideMark/>
          </w:tcPr>
          <w:p w14:paraId="2BAB6ED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6AC8460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c>
          <w:tcPr>
            <w:tcW w:w="764" w:type="dxa"/>
            <w:hideMark/>
          </w:tcPr>
          <w:p w14:paraId="2034956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8.73</w:t>
            </w:r>
          </w:p>
        </w:tc>
        <w:tc>
          <w:tcPr>
            <w:tcW w:w="2014" w:type="dxa"/>
            <w:hideMark/>
          </w:tcPr>
          <w:p w14:paraId="1C535B5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731</w:t>
            </w:r>
          </w:p>
        </w:tc>
        <w:tc>
          <w:tcPr>
            <w:tcW w:w="1346" w:type="dxa"/>
            <w:gridSpan w:val="2"/>
            <w:hideMark/>
          </w:tcPr>
          <w:p w14:paraId="44E30B4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22.1</w:t>
            </w:r>
          </w:p>
        </w:tc>
      </w:tr>
      <w:tr w:rsidR="00302953" w:rsidRPr="00770477" w14:paraId="7948DAF7"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6D5001A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10-B-2-1</w:t>
            </w:r>
          </w:p>
        </w:tc>
        <w:tc>
          <w:tcPr>
            <w:tcW w:w="1054" w:type="dxa"/>
            <w:hideMark/>
          </w:tcPr>
          <w:p w14:paraId="315D864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6BF5BE7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c>
          <w:tcPr>
            <w:tcW w:w="764" w:type="dxa"/>
            <w:hideMark/>
          </w:tcPr>
          <w:p w14:paraId="4D99BA0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7.58</w:t>
            </w:r>
          </w:p>
        </w:tc>
        <w:tc>
          <w:tcPr>
            <w:tcW w:w="2014" w:type="dxa"/>
            <w:hideMark/>
          </w:tcPr>
          <w:p w14:paraId="1D8322E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65.4</w:t>
            </w:r>
          </w:p>
        </w:tc>
        <w:tc>
          <w:tcPr>
            <w:tcW w:w="1346" w:type="dxa"/>
            <w:gridSpan w:val="2"/>
            <w:hideMark/>
          </w:tcPr>
          <w:p w14:paraId="4ADF72E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21.9</w:t>
            </w:r>
          </w:p>
        </w:tc>
      </w:tr>
      <w:tr w:rsidR="00302953" w:rsidRPr="00770477" w14:paraId="2ACCEDCE"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B05330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10-B-4-1</w:t>
            </w:r>
          </w:p>
        </w:tc>
        <w:tc>
          <w:tcPr>
            <w:tcW w:w="1054" w:type="dxa"/>
            <w:hideMark/>
          </w:tcPr>
          <w:p w14:paraId="1182C88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615436D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c>
          <w:tcPr>
            <w:tcW w:w="764" w:type="dxa"/>
            <w:hideMark/>
          </w:tcPr>
          <w:p w14:paraId="76C9A9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8.36</w:t>
            </w:r>
          </w:p>
        </w:tc>
        <w:tc>
          <w:tcPr>
            <w:tcW w:w="2014" w:type="dxa"/>
            <w:hideMark/>
          </w:tcPr>
          <w:p w14:paraId="316E1A5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76.4</w:t>
            </w:r>
          </w:p>
        </w:tc>
        <w:tc>
          <w:tcPr>
            <w:tcW w:w="1346" w:type="dxa"/>
            <w:gridSpan w:val="2"/>
            <w:hideMark/>
          </w:tcPr>
          <w:p w14:paraId="67F4863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12.5</w:t>
            </w:r>
          </w:p>
        </w:tc>
      </w:tr>
      <w:tr w:rsidR="00302953" w:rsidRPr="00770477" w14:paraId="1654CC54"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2CBAFC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10-B-6-1</w:t>
            </w:r>
          </w:p>
        </w:tc>
        <w:tc>
          <w:tcPr>
            <w:tcW w:w="1054" w:type="dxa"/>
            <w:hideMark/>
          </w:tcPr>
          <w:p w14:paraId="2B2465F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2E68F0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c>
          <w:tcPr>
            <w:tcW w:w="764" w:type="dxa"/>
            <w:hideMark/>
          </w:tcPr>
          <w:p w14:paraId="0AD0E05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7.69</w:t>
            </w:r>
          </w:p>
        </w:tc>
        <w:tc>
          <w:tcPr>
            <w:tcW w:w="2014" w:type="dxa"/>
            <w:hideMark/>
          </w:tcPr>
          <w:p w14:paraId="0A3AD52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93.5</w:t>
            </w:r>
          </w:p>
        </w:tc>
        <w:tc>
          <w:tcPr>
            <w:tcW w:w="1346" w:type="dxa"/>
            <w:gridSpan w:val="2"/>
            <w:hideMark/>
          </w:tcPr>
          <w:p w14:paraId="0E0FFC7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14.4</w:t>
            </w:r>
          </w:p>
        </w:tc>
      </w:tr>
      <w:tr w:rsidR="00302953" w:rsidRPr="00770477" w14:paraId="0AA8378A"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E2F725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10-B-10-1</w:t>
            </w:r>
          </w:p>
        </w:tc>
        <w:tc>
          <w:tcPr>
            <w:tcW w:w="1054" w:type="dxa"/>
            <w:hideMark/>
          </w:tcPr>
          <w:p w14:paraId="0D42DD9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593C674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c>
          <w:tcPr>
            <w:tcW w:w="764" w:type="dxa"/>
            <w:hideMark/>
          </w:tcPr>
          <w:p w14:paraId="7D525B0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8.25</w:t>
            </w:r>
          </w:p>
        </w:tc>
        <w:tc>
          <w:tcPr>
            <w:tcW w:w="2014" w:type="dxa"/>
            <w:hideMark/>
          </w:tcPr>
          <w:p w14:paraId="5B7A94F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71.6</w:t>
            </w:r>
          </w:p>
        </w:tc>
        <w:tc>
          <w:tcPr>
            <w:tcW w:w="1346" w:type="dxa"/>
            <w:gridSpan w:val="2"/>
            <w:hideMark/>
          </w:tcPr>
          <w:p w14:paraId="08B108B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14.1</w:t>
            </w:r>
          </w:p>
        </w:tc>
      </w:tr>
      <w:tr w:rsidR="00302953" w:rsidRPr="00770477" w14:paraId="2C3678EC"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267618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10-B-17-1</w:t>
            </w:r>
          </w:p>
        </w:tc>
        <w:tc>
          <w:tcPr>
            <w:tcW w:w="1054" w:type="dxa"/>
            <w:hideMark/>
          </w:tcPr>
          <w:p w14:paraId="031655D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0AE6BC2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c>
          <w:tcPr>
            <w:tcW w:w="764" w:type="dxa"/>
            <w:hideMark/>
          </w:tcPr>
          <w:p w14:paraId="50CC980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7.5</w:t>
            </w:r>
          </w:p>
        </w:tc>
        <w:tc>
          <w:tcPr>
            <w:tcW w:w="2014" w:type="dxa"/>
            <w:hideMark/>
          </w:tcPr>
          <w:p w14:paraId="53F14B6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76.2</w:t>
            </w:r>
          </w:p>
        </w:tc>
        <w:tc>
          <w:tcPr>
            <w:tcW w:w="1346" w:type="dxa"/>
            <w:gridSpan w:val="2"/>
            <w:hideMark/>
          </w:tcPr>
          <w:p w14:paraId="6AE69D8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16.2</w:t>
            </w:r>
          </w:p>
        </w:tc>
      </w:tr>
      <w:tr w:rsidR="00302953" w:rsidRPr="00770477" w14:paraId="062894D4"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0C9BBC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10-B-27-1</w:t>
            </w:r>
          </w:p>
        </w:tc>
        <w:tc>
          <w:tcPr>
            <w:tcW w:w="1054" w:type="dxa"/>
            <w:hideMark/>
          </w:tcPr>
          <w:p w14:paraId="16362E3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3797DB2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c>
          <w:tcPr>
            <w:tcW w:w="764" w:type="dxa"/>
            <w:hideMark/>
          </w:tcPr>
          <w:p w14:paraId="57BF6BF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8.14</w:t>
            </w:r>
          </w:p>
        </w:tc>
        <w:tc>
          <w:tcPr>
            <w:tcW w:w="2014" w:type="dxa"/>
            <w:hideMark/>
          </w:tcPr>
          <w:p w14:paraId="659CD14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77.3</w:t>
            </w:r>
          </w:p>
        </w:tc>
        <w:tc>
          <w:tcPr>
            <w:tcW w:w="1346" w:type="dxa"/>
            <w:gridSpan w:val="2"/>
            <w:hideMark/>
          </w:tcPr>
          <w:p w14:paraId="4C1614C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21.9</w:t>
            </w:r>
          </w:p>
        </w:tc>
      </w:tr>
      <w:tr w:rsidR="00302953" w:rsidRPr="00770477" w14:paraId="182E7D12"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5DE23DC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10-B-27-2</w:t>
            </w:r>
          </w:p>
        </w:tc>
        <w:tc>
          <w:tcPr>
            <w:tcW w:w="1054" w:type="dxa"/>
            <w:hideMark/>
          </w:tcPr>
          <w:p w14:paraId="4B685D3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7DCE19F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c>
          <w:tcPr>
            <w:tcW w:w="764" w:type="dxa"/>
            <w:hideMark/>
          </w:tcPr>
          <w:p w14:paraId="66C62D8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8.14</w:t>
            </w:r>
          </w:p>
        </w:tc>
        <w:tc>
          <w:tcPr>
            <w:tcW w:w="2014" w:type="dxa"/>
            <w:hideMark/>
          </w:tcPr>
          <w:p w14:paraId="5BCCB0E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77.3</w:t>
            </w:r>
          </w:p>
        </w:tc>
        <w:tc>
          <w:tcPr>
            <w:tcW w:w="1346" w:type="dxa"/>
            <w:gridSpan w:val="2"/>
            <w:hideMark/>
          </w:tcPr>
          <w:p w14:paraId="56ABCEE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21.9</w:t>
            </w:r>
          </w:p>
        </w:tc>
      </w:tr>
      <w:tr w:rsidR="00302953" w:rsidRPr="00770477" w14:paraId="2B84C51E"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A80D1A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10-C-0-1</w:t>
            </w:r>
          </w:p>
        </w:tc>
        <w:tc>
          <w:tcPr>
            <w:tcW w:w="1054" w:type="dxa"/>
            <w:hideMark/>
          </w:tcPr>
          <w:p w14:paraId="4AF7399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0969853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c>
          <w:tcPr>
            <w:tcW w:w="764" w:type="dxa"/>
            <w:hideMark/>
          </w:tcPr>
          <w:p w14:paraId="30275DC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11.3</w:t>
            </w:r>
          </w:p>
        </w:tc>
        <w:tc>
          <w:tcPr>
            <w:tcW w:w="2014" w:type="dxa"/>
            <w:hideMark/>
          </w:tcPr>
          <w:p w14:paraId="71455EE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480</w:t>
            </w:r>
          </w:p>
        </w:tc>
        <w:tc>
          <w:tcPr>
            <w:tcW w:w="1346" w:type="dxa"/>
            <w:gridSpan w:val="2"/>
            <w:hideMark/>
          </w:tcPr>
          <w:p w14:paraId="0D55B17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22.9</w:t>
            </w:r>
          </w:p>
        </w:tc>
      </w:tr>
      <w:tr w:rsidR="00302953" w:rsidRPr="00770477" w14:paraId="6151F637"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F8AE8E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10-C-1-1</w:t>
            </w:r>
          </w:p>
        </w:tc>
        <w:tc>
          <w:tcPr>
            <w:tcW w:w="1054" w:type="dxa"/>
            <w:hideMark/>
          </w:tcPr>
          <w:p w14:paraId="2F162AC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00730E7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c>
          <w:tcPr>
            <w:tcW w:w="764" w:type="dxa"/>
            <w:hideMark/>
          </w:tcPr>
          <w:p w14:paraId="58FF020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11.33</w:t>
            </w:r>
          </w:p>
        </w:tc>
        <w:tc>
          <w:tcPr>
            <w:tcW w:w="2014" w:type="dxa"/>
            <w:hideMark/>
          </w:tcPr>
          <w:p w14:paraId="49FEEBF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435</w:t>
            </w:r>
          </w:p>
        </w:tc>
        <w:tc>
          <w:tcPr>
            <w:tcW w:w="1346" w:type="dxa"/>
            <w:gridSpan w:val="2"/>
            <w:hideMark/>
          </w:tcPr>
          <w:p w14:paraId="53AE507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22.1</w:t>
            </w:r>
          </w:p>
        </w:tc>
      </w:tr>
      <w:tr w:rsidR="00302953" w:rsidRPr="00770477" w14:paraId="47AC8F49"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205F880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10-C-1-2</w:t>
            </w:r>
          </w:p>
        </w:tc>
        <w:tc>
          <w:tcPr>
            <w:tcW w:w="1054" w:type="dxa"/>
            <w:hideMark/>
          </w:tcPr>
          <w:p w14:paraId="0BF24B8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69489C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c>
          <w:tcPr>
            <w:tcW w:w="764" w:type="dxa"/>
            <w:hideMark/>
          </w:tcPr>
          <w:p w14:paraId="219CB9F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11.33</w:t>
            </w:r>
          </w:p>
        </w:tc>
        <w:tc>
          <w:tcPr>
            <w:tcW w:w="2014" w:type="dxa"/>
            <w:hideMark/>
          </w:tcPr>
          <w:p w14:paraId="14976BD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435</w:t>
            </w:r>
          </w:p>
        </w:tc>
        <w:tc>
          <w:tcPr>
            <w:tcW w:w="1346" w:type="dxa"/>
            <w:gridSpan w:val="2"/>
            <w:hideMark/>
          </w:tcPr>
          <w:p w14:paraId="100FC2B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22.1</w:t>
            </w:r>
          </w:p>
        </w:tc>
      </w:tr>
      <w:tr w:rsidR="00302953" w:rsidRPr="00770477" w14:paraId="7E43602D"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201C9F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10-C-2-1</w:t>
            </w:r>
          </w:p>
        </w:tc>
        <w:tc>
          <w:tcPr>
            <w:tcW w:w="1054" w:type="dxa"/>
            <w:hideMark/>
          </w:tcPr>
          <w:p w14:paraId="59AD2E5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63D8A3B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c>
          <w:tcPr>
            <w:tcW w:w="764" w:type="dxa"/>
            <w:hideMark/>
          </w:tcPr>
          <w:p w14:paraId="090E70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11.27</w:t>
            </w:r>
          </w:p>
        </w:tc>
        <w:tc>
          <w:tcPr>
            <w:tcW w:w="2014" w:type="dxa"/>
            <w:hideMark/>
          </w:tcPr>
          <w:p w14:paraId="09FD40C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486</w:t>
            </w:r>
          </w:p>
        </w:tc>
        <w:tc>
          <w:tcPr>
            <w:tcW w:w="1346" w:type="dxa"/>
            <w:gridSpan w:val="2"/>
            <w:hideMark/>
          </w:tcPr>
          <w:p w14:paraId="53ABBB7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21.9</w:t>
            </w:r>
          </w:p>
        </w:tc>
      </w:tr>
      <w:tr w:rsidR="00302953" w:rsidRPr="00770477" w14:paraId="5450AEC5"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9CD950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10-C-4-1</w:t>
            </w:r>
          </w:p>
        </w:tc>
        <w:tc>
          <w:tcPr>
            <w:tcW w:w="1054" w:type="dxa"/>
            <w:hideMark/>
          </w:tcPr>
          <w:p w14:paraId="5EDB495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1D989A8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c>
          <w:tcPr>
            <w:tcW w:w="764" w:type="dxa"/>
            <w:hideMark/>
          </w:tcPr>
          <w:p w14:paraId="026D927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11.6</w:t>
            </w:r>
          </w:p>
        </w:tc>
        <w:tc>
          <w:tcPr>
            <w:tcW w:w="2014" w:type="dxa"/>
            <w:hideMark/>
          </w:tcPr>
          <w:p w14:paraId="40990CD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320</w:t>
            </w:r>
          </w:p>
        </w:tc>
        <w:tc>
          <w:tcPr>
            <w:tcW w:w="1346" w:type="dxa"/>
            <w:gridSpan w:val="2"/>
            <w:hideMark/>
          </w:tcPr>
          <w:p w14:paraId="4A8E68A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11.8</w:t>
            </w:r>
          </w:p>
        </w:tc>
      </w:tr>
      <w:tr w:rsidR="00302953" w:rsidRPr="00770477" w14:paraId="478CBD5E"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364DA3F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10-C-6-1</w:t>
            </w:r>
          </w:p>
        </w:tc>
        <w:tc>
          <w:tcPr>
            <w:tcW w:w="1054" w:type="dxa"/>
            <w:hideMark/>
          </w:tcPr>
          <w:p w14:paraId="5B972F5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5200E25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c>
          <w:tcPr>
            <w:tcW w:w="764" w:type="dxa"/>
            <w:hideMark/>
          </w:tcPr>
          <w:p w14:paraId="06F72DF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9.77</w:t>
            </w:r>
          </w:p>
        </w:tc>
        <w:tc>
          <w:tcPr>
            <w:tcW w:w="2014" w:type="dxa"/>
            <w:hideMark/>
          </w:tcPr>
          <w:p w14:paraId="53AB563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256</w:t>
            </w:r>
          </w:p>
        </w:tc>
        <w:tc>
          <w:tcPr>
            <w:tcW w:w="1346" w:type="dxa"/>
            <w:gridSpan w:val="2"/>
            <w:hideMark/>
          </w:tcPr>
          <w:p w14:paraId="6F165A2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13.8</w:t>
            </w:r>
          </w:p>
        </w:tc>
      </w:tr>
      <w:tr w:rsidR="00302953" w:rsidRPr="00770477" w14:paraId="7A1AFD42"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D49921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10-C-10-1</w:t>
            </w:r>
          </w:p>
        </w:tc>
        <w:tc>
          <w:tcPr>
            <w:tcW w:w="1054" w:type="dxa"/>
            <w:hideMark/>
          </w:tcPr>
          <w:p w14:paraId="0A767F7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7F0566B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c>
          <w:tcPr>
            <w:tcW w:w="764" w:type="dxa"/>
            <w:hideMark/>
          </w:tcPr>
          <w:p w14:paraId="0D42CDA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11.75</w:t>
            </w:r>
          </w:p>
        </w:tc>
        <w:tc>
          <w:tcPr>
            <w:tcW w:w="2014" w:type="dxa"/>
            <w:hideMark/>
          </w:tcPr>
          <w:p w14:paraId="56D76E3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351</w:t>
            </w:r>
          </w:p>
        </w:tc>
        <w:tc>
          <w:tcPr>
            <w:tcW w:w="1346" w:type="dxa"/>
            <w:gridSpan w:val="2"/>
            <w:hideMark/>
          </w:tcPr>
          <w:p w14:paraId="21ACB7F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11.5</w:t>
            </w:r>
          </w:p>
        </w:tc>
      </w:tr>
      <w:tr w:rsidR="00302953" w:rsidRPr="00770477" w14:paraId="0632DF85"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872CE7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10-C-17-1</w:t>
            </w:r>
          </w:p>
        </w:tc>
        <w:tc>
          <w:tcPr>
            <w:tcW w:w="1054" w:type="dxa"/>
            <w:hideMark/>
          </w:tcPr>
          <w:p w14:paraId="67670D2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7771A43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c>
          <w:tcPr>
            <w:tcW w:w="764" w:type="dxa"/>
            <w:hideMark/>
          </w:tcPr>
          <w:p w14:paraId="5DB560D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11.2</w:t>
            </w:r>
          </w:p>
        </w:tc>
        <w:tc>
          <w:tcPr>
            <w:tcW w:w="2014" w:type="dxa"/>
            <w:hideMark/>
          </w:tcPr>
          <w:p w14:paraId="12500A9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222</w:t>
            </w:r>
          </w:p>
        </w:tc>
        <w:tc>
          <w:tcPr>
            <w:tcW w:w="1346" w:type="dxa"/>
            <w:gridSpan w:val="2"/>
            <w:hideMark/>
          </w:tcPr>
          <w:p w14:paraId="23B231F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15.3</w:t>
            </w:r>
          </w:p>
        </w:tc>
      </w:tr>
      <w:tr w:rsidR="00302953" w:rsidRPr="00770477" w14:paraId="60DFABC5"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68B5932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10-C-27-1</w:t>
            </w:r>
          </w:p>
        </w:tc>
        <w:tc>
          <w:tcPr>
            <w:tcW w:w="1054" w:type="dxa"/>
            <w:hideMark/>
          </w:tcPr>
          <w:p w14:paraId="18DC4FD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56EE9AF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c>
          <w:tcPr>
            <w:tcW w:w="764" w:type="dxa"/>
            <w:hideMark/>
          </w:tcPr>
          <w:p w14:paraId="1ABB6BE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10.72</w:t>
            </w:r>
          </w:p>
        </w:tc>
        <w:tc>
          <w:tcPr>
            <w:tcW w:w="2014" w:type="dxa"/>
            <w:hideMark/>
          </w:tcPr>
          <w:p w14:paraId="2327D1B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185</w:t>
            </w:r>
          </w:p>
        </w:tc>
        <w:tc>
          <w:tcPr>
            <w:tcW w:w="1346" w:type="dxa"/>
            <w:gridSpan w:val="2"/>
            <w:hideMark/>
          </w:tcPr>
          <w:p w14:paraId="49A52D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22.1</w:t>
            </w:r>
          </w:p>
        </w:tc>
      </w:tr>
      <w:tr w:rsidR="00302953" w:rsidRPr="00770477" w14:paraId="0D9E998E"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FCD9A2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10-C-27-2</w:t>
            </w:r>
          </w:p>
        </w:tc>
        <w:tc>
          <w:tcPr>
            <w:tcW w:w="1054" w:type="dxa"/>
            <w:hideMark/>
          </w:tcPr>
          <w:p w14:paraId="0D9EBD9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1DDCA01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c>
          <w:tcPr>
            <w:tcW w:w="764" w:type="dxa"/>
            <w:hideMark/>
          </w:tcPr>
          <w:p w14:paraId="33F5DEA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10.72</w:t>
            </w:r>
          </w:p>
        </w:tc>
        <w:tc>
          <w:tcPr>
            <w:tcW w:w="2014" w:type="dxa"/>
            <w:hideMark/>
          </w:tcPr>
          <w:p w14:paraId="7A6BA0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185</w:t>
            </w:r>
          </w:p>
        </w:tc>
        <w:tc>
          <w:tcPr>
            <w:tcW w:w="1346" w:type="dxa"/>
            <w:gridSpan w:val="2"/>
            <w:hideMark/>
          </w:tcPr>
          <w:p w14:paraId="0DEB0E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22.1</w:t>
            </w:r>
          </w:p>
        </w:tc>
      </w:tr>
      <w:tr w:rsidR="00302953" w:rsidRPr="00770477" w14:paraId="4F355CD1"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875917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10-D-0-1</w:t>
            </w:r>
          </w:p>
        </w:tc>
        <w:tc>
          <w:tcPr>
            <w:tcW w:w="1054" w:type="dxa"/>
            <w:hideMark/>
          </w:tcPr>
          <w:p w14:paraId="715B250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50A8555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64DF7FC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10.22</w:t>
            </w:r>
          </w:p>
        </w:tc>
        <w:tc>
          <w:tcPr>
            <w:tcW w:w="2014" w:type="dxa"/>
            <w:hideMark/>
          </w:tcPr>
          <w:p w14:paraId="6D3557C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114</w:t>
            </w:r>
          </w:p>
        </w:tc>
        <w:tc>
          <w:tcPr>
            <w:tcW w:w="1346" w:type="dxa"/>
            <w:gridSpan w:val="2"/>
            <w:hideMark/>
          </w:tcPr>
          <w:p w14:paraId="32750B0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23.9</w:t>
            </w:r>
          </w:p>
        </w:tc>
      </w:tr>
      <w:tr w:rsidR="00302953" w:rsidRPr="00770477" w14:paraId="6EAAF3DE"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D36A42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10-D-1-1</w:t>
            </w:r>
          </w:p>
        </w:tc>
        <w:tc>
          <w:tcPr>
            <w:tcW w:w="1054" w:type="dxa"/>
            <w:hideMark/>
          </w:tcPr>
          <w:p w14:paraId="4443568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665BA9B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658B03E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10.34</w:t>
            </w:r>
          </w:p>
        </w:tc>
        <w:tc>
          <w:tcPr>
            <w:tcW w:w="2014" w:type="dxa"/>
            <w:hideMark/>
          </w:tcPr>
          <w:p w14:paraId="2120E1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69.6</w:t>
            </w:r>
          </w:p>
        </w:tc>
        <w:tc>
          <w:tcPr>
            <w:tcW w:w="1346" w:type="dxa"/>
            <w:gridSpan w:val="2"/>
            <w:hideMark/>
          </w:tcPr>
          <w:p w14:paraId="057B850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22.4</w:t>
            </w:r>
          </w:p>
        </w:tc>
      </w:tr>
      <w:tr w:rsidR="00302953" w:rsidRPr="00770477" w14:paraId="414D9DA3"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2F5A90C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10-D-1-2</w:t>
            </w:r>
          </w:p>
        </w:tc>
        <w:tc>
          <w:tcPr>
            <w:tcW w:w="1054" w:type="dxa"/>
            <w:hideMark/>
          </w:tcPr>
          <w:p w14:paraId="4071B36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64FC79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44D55E2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10.34</w:t>
            </w:r>
          </w:p>
        </w:tc>
        <w:tc>
          <w:tcPr>
            <w:tcW w:w="2014" w:type="dxa"/>
            <w:hideMark/>
          </w:tcPr>
          <w:p w14:paraId="4889083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69.6</w:t>
            </w:r>
          </w:p>
        </w:tc>
        <w:tc>
          <w:tcPr>
            <w:tcW w:w="1346" w:type="dxa"/>
            <w:gridSpan w:val="2"/>
            <w:hideMark/>
          </w:tcPr>
          <w:p w14:paraId="4C0D9D0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22.4</w:t>
            </w:r>
          </w:p>
        </w:tc>
      </w:tr>
      <w:tr w:rsidR="00302953" w:rsidRPr="00770477" w14:paraId="41661B57"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59A5415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10-D-2-1</w:t>
            </w:r>
          </w:p>
        </w:tc>
        <w:tc>
          <w:tcPr>
            <w:tcW w:w="1054" w:type="dxa"/>
            <w:hideMark/>
          </w:tcPr>
          <w:p w14:paraId="33C9941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5743AB4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5A0F54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9.92</w:t>
            </w:r>
          </w:p>
        </w:tc>
        <w:tc>
          <w:tcPr>
            <w:tcW w:w="2014" w:type="dxa"/>
            <w:hideMark/>
          </w:tcPr>
          <w:p w14:paraId="191B67C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90.9</w:t>
            </w:r>
          </w:p>
        </w:tc>
        <w:tc>
          <w:tcPr>
            <w:tcW w:w="1346" w:type="dxa"/>
            <w:gridSpan w:val="2"/>
            <w:hideMark/>
          </w:tcPr>
          <w:p w14:paraId="4B6A204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22.1</w:t>
            </w:r>
          </w:p>
        </w:tc>
      </w:tr>
      <w:tr w:rsidR="00302953" w:rsidRPr="00770477" w14:paraId="7BB5C752"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533ABA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10-D-4-1</w:t>
            </w:r>
          </w:p>
        </w:tc>
        <w:tc>
          <w:tcPr>
            <w:tcW w:w="1054" w:type="dxa"/>
            <w:hideMark/>
          </w:tcPr>
          <w:p w14:paraId="2A4BFCD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40302E5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136E456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9.9</w:t>
            </w:r>
          </w:p>
        </w:tc>
        <w:tc>
          <w:tcPr>
            <w:tcW w:w="2014" w:type="dxa"/>
            <w:hideMark/>
          </w:tcPr>
          <w:p w14:paraId="08684D3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98.3</w:t>
            </w:r>
          </w:p>
        </w:tc>
        <w:tc>
          <w:tcPr>
            <w:tcW w:w="1346" w:type="dxa"/>
            <w:gridSpan w:val="2"/>
            <w:hideMark/>
          </w:tcPr>
          <w:p w14:paraId="2466180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w:t>
            </w:r>
          </w:p>
        </w:tc>
      </w:tr>
      <w:tr w:rsidR="00302953" w:rsidRPr="00770477" w14:paraId="02EA2FCC"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7AC86C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10-D-6-1</w:t>
            </w:r>
          </w:p>
        </w:tc>
        <w:tc>
          <w:tcPr>
            <w:tcW w:w="1054" w:type="dxa"/>
            <w:hideMark/>
          </w:tcPr>
          <w:p w14:paraId="00BA7E9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0D9756F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01EF77E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7.85</w:t>
            </w:r>
          </w:p>
        </w:tc>
        <w:tc>
          <w:tcPr>
            <w:tcW w:w="2014" w:type="dxa"/>
            <w:hideMark/>
          </w:tcPr>
          <w:p w14:paraId="5AD8A7A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166.2</w:t>
            </w:r>
          </w:p>
        </w:tc>
        <w:tc>
          <w:tcPr>
            <w:tcW w:w="1346" w:type="dxa"/>
            <w:gridSpan w:val="2"/>
            <w:hideMark/>
          </w:tcPr>
          <w:p w14:paraId="44A4D77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15.4</w:t>
            </w:r>
          </w:p>
        </w:tc>
      </w:tr>
      <w:tr w:rsidR="00302953" w:rsidRPr="00770477" w14:paraId="38FD9BDD"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6D38507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10-D-10-1</w:t>
            </w:r>
          </w:p>
        </w:tc>
        <w:tc>
          <w:tcPr>
            <w:tcW w:w="1054" w:type="dxa"/>
            <w:hideMark/>
          </w:tcPr>
          <w:p w14:paraId="2474D22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30AE438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2861A8C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9.43</w:t>
            </w:r>
          </w:p>
        </w:tc>
        <w:tc>
          <w:tcPr>
            <w:tcW w:w="2014" w:type="dxa"/>
            <w:hideMark/>
          </w:tcPr>
          <w:p w14:paraId="459585A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84.5</w:t>
            </w:r>
          </w:p>
        </w:tc>
        <w:tc>
          <w:tcPr>
            <w:tcW w:w="1346" w:type="dxa"/>
            <w:gridSpan w:val="2"/>
            <w:hideMark/>
          </w:tcPr>
          <w:p w14:paraId="1434646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10.3</w:t>
            </w:r>
          </w:p>
        </w:tc>
      </w:tr>
      <w:tr w:rsidR="00302953" w:rsidRPr="00770477" w14:paraId="0A2EE21A"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451473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10-D-17-1</w:t>
            </w:r>
          </w:p>
        </w:tc>
        <w:tc>
          <w:tcPr>
            <w:tcW w:w="1054" w:type="dxa"/>
            <w:hideMark/>
          </w:tcPr>
          <w:p w14:paraId="6D25482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4A4E6EF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3E03CF6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9.46</w:t>
            </w:r>
          </w:p>
        </w:tc>
        <w:tc>
          <w:tcPr>
            <w:tcW w:w="2014" w:type="dxa"/>
            <w:hideMark/>
          </w:tcPr>
          <w:p w14:paraId="333760F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81.3</w:t>
            </w:r>
          </w:p>
        </w:tc>
        <w:tc>
          <w:tcPr>
            <w:tcW w:w="1346" w:type="dxa"/>
            <w:gridSpan w:val="2"/>
            <w:hideMark/>
          </w:tcPr>
          <w:p w14:paraId="6E8F4AA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21.7</w:t>
            </w:r>
          </w:p>
        </w:tc>
      </w:tr>
      <w:tr w:rsidR="00302953" w:rsidRPr="00770477" w14:paraId="577D2F60"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43A4AA3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10-D-17-2</w:t>
            </w:r>
          </w:p>
        </w:tc>
        <w:tc>
          <w:tcPr>
            <w:tcW w:w="1054" w:type="dxa"/>
            <w:hideMark/>
          </w:tcPr>
          <w:p w14:paraId="1F23686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2C6948D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5E1CC2B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9.46</w:t>
            </w:r>
          </w:p>
        </w:tc>
        <w:tc>
          <w:tcPr>
            <w:tcW w:w="2014" w:type="dxa"/>
            <w:hideMark/>
          </w:tcPr>
          <w:p w14:paraId="1065BE9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81.3</w:t>
            </w:r>
          </w:p>
        </w:tc>
        <w:tc>
          <w:tcPr>
            <w:tcW w:w="1346" w:type="dxa"/>
            <w:gridSpan w:val="2"/>
            <w:hideMark/>
          </w:tcPr>
          <w:p w14:paraId="2A4C985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21.7</w:t>
            </w:r>
          </w:p>
        </w:tc>
      </w:tr>
      <w:tr w:rsidR="00302953" w:rsidRPr="00770477" w14:paraId="229620AD"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88F53A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10-D-27-1</w:t>
            </w:r>
          </w:p>
        </w:tc>
        <w:tc>
          <w:tcPr>
            <w:tcW w:w="1054" w:type="dxa"/>
            <w:hideMark/>
          </w:tcPr>
          <w:p w14:paraId="2D8A4A4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2D512AD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1DE53CC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9.82</w:t>
            </w:r>
          </w:p>
        </w:tc>
        <w:tc>
          <w:tcPr>
            <w:tcW w:w="2014" w:type="dxa"/>
            <w:hideMark/>
          </w:tcPr>
          <w:p w14:paraId="7E5A048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80.5</w:t>
            </w:r>
          </w:p>
        </w:tc>
        <w:tc>
          <w:tcPr>
            <w:tcW w:w="1346" w:type="dxa"/>
            <w:gridSpan w:val="2"/>
            <w:hideMark/>
          </w:tcPr>
          <w:p w14:paraId="5E6D4FA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22.3</w:t>
            </w:r>
          </w:p>
        </w:tc>
      </w:tr>
      <w:tr w:rsidR="00302953" w:rsidRPr="00770477" w14:paraId="59B7D790"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470403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10-D-27-2</w:t>
            </w:r>
          </w:p>
        </w:tc>
        <w:tc>
          <w:tcPr>
            <w:tcW w:w="1054" w:type="dxa"/>
            <w:hideMark/>
          </w:tcPr>
          <w:p w14:paraId="115DA1F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Y</w:t>
            </w:r>
          </w:p>
        </w:tc>
        <w:tc>
          <w:tcPr>
            <w:tcW w:w="1402" w:type="dxa"/>
            <w:hideMark/>
          </w:tcPr>
          <w:p w14:paraId="501AEB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w:t>
            </w:r>
          </w:p>
        </w:tc>
        <w:tc>
          <w:tcPr>
            <w:tcW w:w="764" w:type="dxa"/>
            <w:hideMark/>
          </w:tcPr>
          <w:p w14:paraId="33BEE4E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9.82</w:t>
            </w:r>
          </w:p>
        </w:tc>
        <w:tc>
          <w:tcPr>
            <w:tcW w:w="2014" w:type="dxa"/>
            <w:hideMark/>
          </w:tcPr>
          <w:p w14:paraId="3D5FC9F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80.5</w:t>
            </w:r>
          </w:p>
        </w:tc>
        <w:tc>
          <w:tcPr>
            <w:tcW w:w="1346" w:type="dxa"/>
            <w:gridSpan w:val="2"/>
            <w:hideMark/>
          </w:tcPr>
          <w:p w14:paraId="1ED4832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22.3</w:t>
            </w:r>
          </w:p>
        </w:tc>
      </w:tr>
      <w:tr w:rsidR="00302953" w:rsidRPr="00770477" w14:paraId="0381F25D"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CD5A73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10-I-0-3</w:t>
            </w:r>
          </w:p>
        </w:tc>
        <w:tc>
          <w:tcPr>
            <w:tcW w:w="1054" w:type="dxa"/>
            <w:hideMark/>
          </w:tcPr>
          <w:p w14:paraId="2B7C1AF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5323E5B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c>
          <w:tcPr>
            <w:tcW w:w="764" w:type="dxa"/>
            <w:hideMark/>
          </w:tcPr>
          <w:p w14:paraId="2330E28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7.73</w:t>
            </w:r>
          </w:p>
        </w:tc>
        <w:tc>
          <w:tcPr>
            <w:tcW w:w="2014" w:type="dxa"/>
            <w:hideMark/>
          </w:tcPr>
          <w:p w14:paraId="256FBD6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50.8</w:t>
            </w:r>
          </w:p>
        </w:tc>
        <w:tc>
          <w:tcPr>
            <w:tcW w:w="1346" w:type="dxa"/>
            <w:gridSpan w:val="2"/>
            <w:hideMark/>
          </w:tcPr>
          <w:p w14:paraId="4AC1AFC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23.9</w:t>
            </w:r>
          </w:p>
        </w:tc>
      </w:tr>
      <w:tr w:rsidR="00302953" w:rsidRPr="00770477" w14:paraId="637D9942"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2B3B97A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10-I-1-3</w:t>
            </w:r>
          </w:p>
        </w:tc>
        <w:tc>
          <w:tcPr>
            <w:tcW w:w="1054" w:type="dxa"/>
            <w:hideMark/>
          </w:tcPr>
          <w:p w14:paraId="2836A30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53196C4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c>
          <w:tcPr>
            <w:tcW w:w="764" w:type="dxa"/>
            <w:hideMark/>
          </w:tcPr>
          <w:p w14:paraId="115BE21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8.01</w:t>
            </w:r>
          </w:p>
        </w:tc>
        <w:tc>
          <w:tcPr>
            <w:tcW w:w="2014" w:type="dxa"/>
            <w:hideMark/>
          </w:tcPr>
          <w:p w14:paraId="0CFD87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47.3</w:t>
            </w:r>
          </w:p>
        </w:tc>
        <w:tc>
          <w:tcPr>
            <w:tcW w:w="1346" w:type="dxa"/>
            <w:gridSpan w:val="2"/>
            <w:hideMark/>
          </w:tcPr>
          <w:p w14:paraId="754B440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21.9</w:t>
            </w:r>
          </w:p>
        </w:tc>
      </w:tr>
      <w:tr w:rsidR="00302953" w:rsidRPr="00770477" w14:paraId="42F6F399"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646D5536"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10-I-2-3</w:t>
            </w:r>
          </w:p>
        </w:tc>
        <w:tc>
          <w:tcPr>
            <w:tcW w:w="1054" w:type="dxa"/>
            <w:hideMark/>
          </w:tcPr>
          <w:p w14:paraId="516AE97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0D8B1C7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c>
          <w:tcPr>
            <w:tcW w:w="764" w:type="dxa"/>
            <w:hideMark/>
          </w:tcPr>
          <w:p w14:paraId="2CD0282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7.5</w:t>
            </w:r>
          </w:p>
        </w:tc>
        <w:tc>
          <w:tcPr>
            <w:tcW w:w="2014" w:type="dxa"/>
            <w:hideMark/>
          </w:tcPr>
          <w:p w14:paraId="48A1EE2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52.3</w:t>
            </w:r>
          </w:p>
        </w:tc>
        <w:tc>
          <w:tcPr>
            <w:tcW w:w="1346" w:type="dxa"/>
            <w:gridSpan w:val="2"/>
            <w:hideMark/>
          </w:tcPr>
          <w:p w14:paraId="0739798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21.9</w:t>
            </w:r>
          </w:p>
        </w:tc>
      </w:tr>
      <w:tr w:rsidR="00302953" w:rsidRPr="00770477" w14:paraId="13839EF3"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6EC1518"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10-I-4-3</w:t>
            </w:r>
          </w:p>
        </w:tc>
        <w:tc>
          <w:tcPr>
            <w:tcW w:w="1054" w:type="dxa"/>
            <w:hideMark/>
          </w:tcPr>
          <w:p w14:paraId="79F1EB6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50E06BF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c>
          <w:tcPr>
            <w:tcW w:w="764" w:type="dxa"/>
            <w:hideMark/>
          </w:tcPr>
          <w:p w14:paraId="4C99C5E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8.03</w:t>
            </w:r>
          </w:p>
        </w:tc>
        <w:tc>
          <w:tcPr>
            <w:tcW w:w="2014" w:type="dxa"/>
            <w:hideMark/>
          </w:tcPr>
          <w:p w14:paraId="424A287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50.6</w:t>
            </w:r>
          </w:p>
        </w:tc>
        <w:tc>
          <w:tcPr>
            <w:tcW w:w="1346" w:type="dxa"/>
            <w:gridSpan w:val="2"/>
            <w:hideMark/>
          </w:tcPr>
          <w:p w14:paraId="31FEB57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22.2</w:t>
            </w:r>
          </w:p>
        </w:tc>
      </w:tr>
      <w:tr w:rsidR="00302953" w:rsidRPr="00770477" w14:paraId="657CA880"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3B757D29"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10-I-6-3</w:t>
            </w:r>
          </w:p>
        </w:tc>
        <w:tc>
          <w:tcPr>
            <w:tcW w:w="1054" w:type="dxa"/>
            <w:hideMark/>
          </w:tcPr>
          <w:p w14:paraId="254F602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7129160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c>
          <w:tcPr>
            <w:tcW w:w="764" w:type="dxa"/>
            <w:hideMark/>
          </w:tcPr>
          <w:p w14:paraId="503F048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7.43</w:t>
            </w:r>
          </w:p>
        </w:tc>
        <w:tc>
          <w:tcPr>
            <w:tcW w:w="2014" w:type="dxa"/>
            <w:hideMark/>
          </w:tcPr>
          <w:p w14:paraId="1C9D7DC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w:t>
            </w:r>
          </w:p>
        </w:tc>
        <w:tc>
          <w:tcPr>
            <w:tcW w:w="1346" w:type="dxa"/>
            <w:gridSpan w:val="2"/>
            <w:hideMark/>
          </w:tcPr>
          <w:p w14:paraId="60EFAAE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21.3</w:t>
            </w:r>
          </w:p>
        </w:tc>
      </w:tr>
      <w:tr w:rsidR="00302953" w:rsidRPr="00770477" w14:paraId="5914FC09"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A591A00"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10-I-10-3</w:t>
            </w:r>
          </w:p>
        </w:tc>
        <w:tc>
          <w:tcPr>
            <w:tcW w:w="1054" w:type="dxa"/>
            <w:hideMark/>
          </w:tcPr>
          <w:p w14:paraId="47477A9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1C36F82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c>
          <w:tcPr>
            <w:tcW w:w="764" w:type="dxa"/>
            <w:hideMark/>
          </w:tcPr>
          <w:p w14:paraId="03DACF5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6.97</w:t>
            </w:r>
          </w:p>
        </w:tc>
        <w:tc>
          <w:tcPr>
            <w:tcW w:w="2014" w:type="dxa"/>
            <w:hideMark/>
          </w:tcPr>
          <w:p w14:paraId="7C50973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w:t>
            </w:r>
          </w:p>
        </w:tc>
        <w:tc>
          <w:tcPr>
            <w:tcW w:w="1346" w:type="dxa"/>
            <w:gridSpan w:val="2"/>
            <w:hideMark/>
          </w:tcPr>
          <w:p w14:paraId="3AC600A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21.8</w:t>
            </w:r>
          </w:p>
        </w:tc>
      </w:tr>
      <w:tr w:rsidR="00302953" w:rsidRPr="00770477" w14:paraId="4BD424FC"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515C388"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10-I-17-3</w:t>
            </w:r>
          </w:p>
        </w:tc>
        <w:tc>
          <w:tcPr>
            <w:tcW w:w="1054" w:type="dxa"/>
            <w:hideMark/>
          </w:tcPr>
          <w:p w14:paraId="7EFAFF3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7E1DAD6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c>
          <w:tcPr>
            <w:tcW w:w="764" w:type="dxa"/>
            <w:hideMark/>
          </w:tcPr>
          <w:p w14:paraId="5392531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7.7</w:t>
            </w:r>
          </w:p>
        </w:tc>
        <w:tc>
          <w:tcPr>
            <w:tcW w:w="2014" w:type="dxa"/>
            <w:hideMark/>
          </w:tcPr>
          <w:p w14:paraId="2F8B3B6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49.1</w:t>
            </w:r>
          </w:p>
        </w:tc>
        <w:tc>
          <w:tcPr>
            <w:tcW w:w="1346" w:type="dxa"/>
            <w:gridSpan w:val="2"/>
            <w:hideMark/>
          </w:tcPr>
          <w:p w14:paraId="0B72BD4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13.7</w:t>
            </w:r>
          </w:p>
        </w:tc>
      </w:tr>
      <w:tr w:rsidR="00302953" w:rsidRPr="00770477" w14:paraId="185B76D3" w14:textId="77777777" w:rsidTr="00622DCD">
        <w:trPr>
          <w:gridAfter w:val="1"/>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249BA95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10-I-27-3</w:t>
            </w:r>
          </w:p>
        </w:tc>
        <w:tc>
          <w:tcPr>
            <w:tcW w:w="1054" w:type="dxa"/>
            <w:hideMark/>
          </w:tcPr>
          <w:p w14:paraId="02BD627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3677A84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w:t>
            </w:r>
          </w:p>
        </w:tc>
        <w:tc>
          <w:tcPr>
            <w:tcW w:w="764" w:type="dxa"/>
            <w:hideMark/>
          </w:tcPr>
          <w:p w14:paraId="278084D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7.19</w:t>
            </w:r>
          </w:p>
        </w:tc>
        <w:tc>
          <w:tcPr>
            <w:tcW w:w="2014" w:type="dxa"/>
            <w:hideMark/>
          </w:tcPr>
          <w:p w14:paraId="0875080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80.6</w:t>
            </w:r>
          </w:p>
        </w:tc>
        <w:tc>
          <w:tcPr>
            <w:tcW w:w="1346" w:type="dxa"/>
            <w:gridSpan w:val="2"/>
            <w:hideMark/>
          </w:tcPr>
          <w:p w14:paraId="0CC262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21.9</w:t>
            </w:r>
          </w:p>
        </w:tc>
      </w:tr>
      <w:tr w:rsidR="00302953" w:rsidRPr="00770477" w14:paraId="4FBA4927" w14:textId="77777777" w:rsidTr="00622DCD">
        <w:trPr>
          <w:gridAfter w:val="1"/>
          <w:cnfStyle w:val="000000100000" w:firstRow="0" w:lastRow="0" w:firstColumn="0" w:lastColumn="0" w:oddVBand="0" w:evenVBand="0" w:oddHBand="1" w:evenHBand="0" w:firstRowFirstColumn="0" w:firstRowLastColumn="0" w:lastRowFirstColumn="0" w:lastRowLastColumn="0"/>
          <w:wAfter w:w="310" w:type="dxa"/>
          <w:trHeight w:val="315"/>
        </w:trPr>
        <w:tc>
          <w:tcPr>
            <w:cnfStyle w:val="001000000000" w:firstRow="0" w:lastRow="0" w:firstColumn="1" w:lastColumn="0" w:oddVBand="0" w:evenVBand="0" w:oddHBand="0" w:evenHBand="0" w:firstRowFirstColumn="0" w:firstRowLastColumn="0" w:lastRowFirstColumn="0" w:lastRowLastColumn="0"/>
            <w:tcW w:w="1300" w:type="dxa"/>
            <w:noWrap/>
            <w:hideMark/>
          </w:tcPr>
          <w:p w14:paraId="07EA2F02"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10-I-999-4</w:t>
            </w:r>
          </w:p>
        </w:tc>
        <w:tc>
          <w:tcPr>
            <w:tcW w:w="1054" w:type="dxa"/>
            <w:hideMark/>
          </w:tcPr>
          <w:p w14:paraId="3E1A15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w:t>
            </w:r>
          </w:p>
        </w:tc>
        <w:tc>
          <w:tcPr>
            <w:tcW w:w="1402" w:type="dxa"/>
            <w:hideMark/>
          </w:tcPr>
          <w:p w14:paraId="09BB7F6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c>
          <w:tcPr>
            <w:tcW w:w="764" w:type="dxa"/>
            <w:hideMark/>
          </w:tcPr>
          <w:p w14:paraId="7914413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w:t>
            </w:r>
          </w:p>
        </w:tc>
        <w:tc>
          <w:tcPr>
            <w:tcW w:w="2014" w:type="dxa"/>
            <w:hideMark/>
          </w:tcPr>
          <w:p w14:paraId="1916421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w:t>
            </w:r>
          </w:p>
        </w:tc>
        <w:tc>
          <w:tcPr>
            <w:tcW w:w="1346" w:type="dxa"/>
            <w:gridSpan w:val="2"/>
            <w:hideMark/>
          </w:tcPr>
          <w:p w14:paraId="05F2D3F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w:t>
            </w:r>
          </w:p>
        </w:tc>
      </w:tr>
    </w:tbl>
    <w:p w14:paraId="38952D44" w14:textId="77777777" w:rsidR="00302953" w:rsidRPr="00770477" w:rsidRDefault="00302953" w:rsidP="00302953">
      <w:pPr>
        <w:spacing w:line="240" w:lineRule="auto"/>
        <w:rPr>
          <w:rFonts w:cs="Times New Roman"/>
        </w:rPr>
        <w:sectPr w:rsidR="00302953" w:rsidRPr="00770477" w:rsidSect="0048531E">
          <w:pgSz w:w="12240" w:h="15840"/>
          <w:pgMar w:top="1440" w:right="1440" w:bottom="1440" w:left="1440" w:header="720" w:footer="720" w:gutter="0"/>
          <w:cols w:space="720"/>
          <w:docGrid w:linePitch="360"/>
        </w:sectPr>
      </w:pPr>
    </w:p>
    <w:p w14:paraId="4DF66A36" w14:textId="4214B197" w:rsidR="00302953" w:rsidRDefault="00302953" w:rsidP="00302953">
      <w:pPr>
        <w:pStyle w:val="Caption"/>
        <w:keepNext/>
      </w:pPr>
      <w:bookmarkStart w:id="183" w:name="_Ref121496223"/>
      <w:bookmarkStart w:id="184" w:name="_Toc121494157"/>
      <w:bookmarkStart w:id="185" w:name="_Toc121495942"/>
      <w:r>
        <w:lastRenderedPageBreak/>
        <w:t xml:space="preserve">Table </w:t>
      </w:r>
      <w:fldSimple w:instr=" STYLEREF 1 \s ">
        <w:r w:rsidR="00061096">
          <w:rPr>
            <w:noProof/>
          </w:rPr>
          <w:t>10</w:t>
        </w:r>
      </w:fldSimple>
      <w:r w:rsidR="00B26DDF">
        <w:noBreakHyphen/>
      </w:r>
      <w:fldSimple w:instr=" SEQ Table \* ARABIC \s 1 ">
        <w:r w:rsidR="00061096">
          <w:rPr>
            <w:noProof/>
          </w:rPr>
          <w:t>4</w:t>
        </w:r>
      </w:fldSimple>
      <w:bookmarkEnd w:id="183"/>
      <w:r w:rsidRPr="00C6587B">
        <w:rPr>
          <w:rFonts w:cs="Times New Roman"/>
        </w:rPr>
        <w:t xml:space="preserve"> </w:t>
      </w:r>
      <w:r w:rsidRPr="00770477">
        <w:rPr>
          <w:rFonts w:cs="Times New Roman"/>
        </w:rPr>
        <w:t>Dissolved metals sample results for Arsenic, beryllium, and calcium. All results in ug L</w:t>
      </w:r>
      <w:r w:rsidRPr="00770477">
        <w:rPr>
          <w:rFonts w:cs="Times New Roman"/>
          <w:vertAlign w:val="superscript"/>
        </w:rPr>
        <w:t>-1</w:t>
      </w:r>
      <w:r w:rsidRPr="00770477">
        <w:rPr>
          <w:rFonts w:cs="Times New Roman"/>
          <w:vertAlign w:val="superscript"/>
        </w:rPr>
        <w:noBreakHyphen/>
      </w:r>
      <w:r w:rsidRPr="00770477">
        <w:rPr>
          <w:rFonts w:cs="Times New Roman"/>
        </w:rPr>
        <w:t>.</w:t>
      </w:r>
      <w:bookmarkEnd w:id="184"/>
      <w:bookmarkEnd w:id="185"/>
    </w:p>
    <w:tbl>
      <w:tblPr>
        <w:tblStyle w:val="PlainTable5"/>
        <w:tblW w:w="12840" w:type="dxa"/>
        <w:tblLook w:val="04A0" w:firstRow="1" w:lastRow="0" w:firstColumn="1" w:lastColumn="0" w:noHBand="0" w:noVBand="1"/>
      </w:tblPr>
      <w:tblGrid>
        <w:gridCol w:w="1720"/>
        <w:gridCol w:w="1300"/>
        <w:gridCol w:w="1440"/>
        <w:gridCol w:w="1240"/>
        <w:gridCol w:w="1520"/>
        <w:gridCol w:w="1240"/>
        <w:gridCol w:w="1540"/>
        <w:gridCol w:w="1300"/>
        <w:gridCol w:w="1540"/>
      </w:tblGrid>
      <w:tr w:rsidR="00302953" w:rsidRPr="00770477" w14:paraId="5EF7D906" w14:textId="77777777" w:rsidTr="00622DCD">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1720" w:type="dxa"/>
            <w:hideMark/>
          </w:tcPr>
          <w:p w14:paraId="015571A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Sample ID</w:t>
            </w:r>
          </w:p>
        </w:tc>
        <w:tc>
          <w:tcPr>
            <w:tcW w:w="1300" w:type="dxa"/>
            <w:noWrap/>
            <w:hideMark/>
          </w:tcPr>
          <w:p w14:paraId="45F62448"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Al</w:t>
            </w:r>
          </w:p>
        </w:tc>
        <w:tc>
          <w:tcPr>
            <w:tcW w:w="1440" w:type="dxa"/>
            <w:hideMark/>
          </w:tcPr>
          <w:p w14:paraId="0EDAA75E"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Al Ratio</w:t>
            </w:r>
          </w:p>
        </w:tc>
        <w:tc>
          <w:tcPr>
            <w:tcW w:w="1240" w:type="dxa"/>
            <w:noWrap/>
            <w:hideMark/>
          </w:tcPr>
          <w:p w14:paraId="75536B7B"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As</w:t>
            </w:r>
          </w:p>
        </w:tc>
        <w:tc>
          <w:tcPr>
            <w:tcW w:w="1520" w:type="dxa"/>
            <w:noWrap/>
            <w:hideMark/>
          </w:tcPr>
          <w:p w14:paraId="1C4F3F94"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As Ratio</w:t>
            </w:r>
          </w:p>
        </w:tc>
        <w:tc>
          <w:tcPr>
            <w:tcW w:w="1240" w:type="dxa"/>
            <w:noWrap/>
            <w:hideMark/>
          </w:tcPr>
          <w:p w14:paraId="2746C7D7"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Be</w:t>
            </w:r>
          </w:p>
        </w:tc>
        <w:tc>
          <w:tcPr>
            <w:tcW w:w="1540" w:type="dxa"/>
            <w:noWrap/>
            <w:hideMark/>
          </w:tcPr>
          <w:p w14:paraId="616D49FC"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Be Ratio</w:t>
            </w:r>
          </w:p>
        </w:tc>
        <w:tc>
          <w:tcPr>
            <w:tcW w:w="1300" w:type="dxa"/>
            <w:noWrap/>
            <w:hideMark/>
          </w:tcPr>
          <w:p w14:paraId="38BC424E"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Ca</w:t>
            </w:r>
          </w:p>
        </w:tc>
        <w:tc>
          <w:tcPr>
            <w:tcW w:w="1540" w:type="dxa"/>
            <w:noWrap/>
            <w:hideMark/>
          </w:tcPr>
          <w:p w14:paraId="29488A8C"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Ca Ratio</w:t>
            </w:r>
          </w:p>
        </w:tc>
      </w:tr>
      <w:tr w:rsidR="00302953" w:rsidRPr="00770477" w14:paraId="7B5DB4D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54DB5E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1-A-010-1</w:t>
            </w:r>
          </w:p>
        </w:tc>
        <w:tc>
          <w:tcPr>
            <w:tcW w:w="1300" w:type="dxa"/>
            <w:hideMark/>
          </w:tcPr>
          <w:p w14:paraId="714899B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6360.73</w:t>
            </w:r>
          </w:p>
        </w:tc>
        <w:tc>
          <w:tcPr>
            <w:tcW w:w="1440" w:type="dxa"/>
            <w:hideMark/>
          </w:tcPr>
          <w:p w14:paraId="093DD4C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83.31</w:t>
            </w:r>
          </w:p>
        </w:tc>
        <w:tc>
          <w:tcPr>
            <w:tcW w:w="1240" w:type="dxa"/>
            <w:hideMark/>
          </w:tcPr>
          <w:p w14:paraId="241995B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13.05</w:t>
            </w:r>
          </w:p>
        </w:tc>
        <w:tc>
          <w:tcPr>
            <w:tcW w:w="1520" w:type="dxa"/>
            <w:hideMark/>
          </w:tcPr>
          <w:p w14:paraId="04914DC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0.68</w:t>
            </w:r>
          </w:p>
        </w:tc>
        <w:tc>
          <w:tcPr>
            <w:tcW w:w="1240" w:type="dxa"/>
            <w:hideMark/>
          </w:tcPr>
          <w:p w14:paraId="5561528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5.93</w:t>
            </w:r>
          </w:p>
        </w:tc>
        <w:tc>
          <w:tcPr>
            <w:tcW w:w="1540" w:type="dxa"/>
            <w:hideMark/>
          </w:tcPr>
          <w:p w14:paraId="11A9298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0.66</w:t>
            </w:r>
          </w:p>
        </w:tc>
        <w:tc>
          <w:tcPr>
            <w:tcW w:w="1300" w:type="dxa"/>
            <w:hideMark/>
          </w:tcPr>
          <w:p w14:paraId="21AB7B0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18251.83</w:t>
            </w:r>
          </w:p>
        </w:tc>
        <w:tc>
          <w:tcPr>
            <w:tcW w:w="1540" w:type="dxa"/>
            <w:hideMark/>
          </w:tcPr>
          <w:p w14:paraId="4A9CC5D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50.36</w:t>
            </w:r>
          </w:p>
        </w:tc>
      </w:tr>
      <w:tr w:rsidR="00302953" w:rsidRPr="00770477" w14:paraId="049966C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4EECA9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1-A-040-1</w:t>
            </w:r>
          </w:p>
        </w:tc>
        <w:tc>
          <w:tcPr>
            <w:tcW w:w="1300" w:type="dxa"/>
            <w:hideMark/>
          </w:tcPr>
          <w:p w14:paraId="67DE9E5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614.83</w:t>
            </w:r>
          </w:p>
        </w:tc>
        <w:tc>
          <w:tcPr>
            <w:tcW w:w="1440" w:type="dxa"/>
            <w:hideMark/>
          </w:tcPr>
          <w:p w14:paraId="626DD5E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8.41</w:t>
            </w:r>
          </w:p>
        </w:tc>
        <w:tc>
          <w:tcPr>
            <w:tcW w:w="1240" w:type="dxa"/>
            <w:hideMark/>
          </w:tcPr>
          <w:p w14:paraId="2AB519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14.15</w:t>
            </w:r>
          </w:p>
        </w:tc>
        <w:tc>
          <w:tcPr>
            <w:tcW w:w="1520" w:type="dxa"/>
            <w:hideMark/>
          </w:tcPr>
          <w:p w14:paraId="00A3F26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0.74</w:t>
            </w:r>
          </w:p>
        </w:tc>
        <w:tc>
          <w:tcPr>
            <w:tcW w:w="1240" w:type="dxa"/>
            <w:hideMark/>
          </w:tcPr>
          <w:p w14:paraId="2C96270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2.12</w:t>
            </w:r>
          </w:p>
        </w:tc>
        <w:tc>
          <w:tcPr>
            <w:tcW w:w="1540" w:type="dxa"/>
            <w:hideMark/>
          </w:tcPr>
          <w:p w14:paraId="17638BA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0.24</w:t>
            </w:r>
          </w:p>
        </w:tc>
        <w:tc>
          <w:tcPr>
            <w:tcW w:w="1300" w:type="dxa"/>
            <w:hideMark/>
          </w:tcPr>
          <w:p w14:paraId="60F0C09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31961.22</w:t>
            </w:r>
          </w:p>
        </w:tc>
        <w:tc>
          <w:tcPr>
            <w:tcW w:w="1540" w:type="dxa"/>
            <w:hideMark/>
          </w:tcPr>
          <w:p w14:paraId="0F1A722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87.72</w:t>
            </w:r>
          </w:p>
        </w:tc>
      </w:tr>
      <w:tr w:rsidR="00302953" w:rsidRPr="00770477" w14:paraId="109A4EF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C07E33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1-A-090-1</w:t>
            </w:r>
          </w:p>
        </w:tc>
        <w:tc>
          <w:tcPr>
            <w:tcW w:w="1300" w:type="dxa"/>
            <w:hideMark/>
          </w:tcPr>
          <w:p w14:paraId="25A56EE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4523.06</w:t>
            </w:r>
          </w:p>
        </w:tc>
        <w:tc>
          <w:tcPr>
            <w:tcW w:w="1440" w:type="dxa"/>
            <w:hideMark/>
          </w:tcPr>
          <w:p w14:paraId="569D7D2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66.71</w:t>
            </w:r>
          </w:p>
        </w:tc>
        <w:tc>
          <w:tcPr>
            <w:tcW w:w="1240" w:type="dxa"/>
            <w:hideMark/>
          </w:tcPr>
          <w:p w14:paraId="72D6E8B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13.67</w:t>
            </w:r>
          </w:p>
        </w:tc>
        <w:tc>
          <w:tcPr>
            <w:tcW w:w="1520" w:type="dxa"/>
            <w:hideMark/>
          </w:tcPr>
          <w:p w14:paraId="39AB242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0.72</w:t>
            </w:r>
          </w:p>
        </w:tc>
        <w:tc>
          <w:tcPr>
            <w:tcW w:w="1240" w:type="dxa"/>
            <w:hideMark/>
          </w:tcPr>
          <w:p w14:paraId="7597AEE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6.41</w:t>
            </w:r>
          </w:p>
        </w:tc>
        <w:tc>
          <w:tcPr>
            <w:tcW w:w="1540" w:type="dxa"/>
            <w:hideMark/>
          </w:tcPr>
          <w:p w14:paraId="571CFA7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0.75</w:t>
            </w:r>
          </w:p>
        </w:tc>
        <w:tc>
          <w:tcPr>
            <w:tcW w:w="1300" w:type="dxa"/>
            <w:hideMark/>
          </w:tcPr>
          <w:p w14:paraId="0DC112C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13871.85</w:t>
            </w:r>
          </w:p>
        </w:tc>
        <w:tc>
          <w:tcPr>
            <w:tcW w:w="1540" w:type="dxa"/>
            <w:hideMark/>
          </w:tcPr>
          <w:p w14:paraId="42FA1F9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37.73</w:t>
            </w:r>
          </w:p>
        </w:tc>
      </w:tr>
      <w:tr w:rsidR="00302953" w:rsidRPr="00770477" w14:paraId="5D435B3F"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AD3A67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1-A-090-2</w:t>
            </w:r>
          </w:p>
        </w:tc>
        <w:tc>
          <w:tcPr>
            <w:tcW w:w="1300" w:type="dxa"/>
            <w:hideMark/>
          </w:tcPr>
          <w:p w14:paraId="74A68D3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4542.11</w:t>
            </w:r>
          </w:p>
        </w:tc>
        <w:tc>
          <w:tcPr>
            <w:tcW w:w="1440" w:type="dxa"/>
            <w:hideMark/>
          </w:tcPr>
          <w:p w14:paraId="3484F46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66.99</w:t>
            </w:r>
          </w:p>
        </w:tc>
        <w:tc>
          <w:tcPr>
            <w:tcW w:w="1240" w:type="dxa"/>
            <w:hideMark/>
          </w:tcPr>
          <w:p w14:paraId="6BA05F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15.08</w:t>
            </w:r>
          </w:p>
        </w:tc>
        <w:tc>
          <w:tcPr>
            <w:tcW w:w="1520" w:type="dxa"/>
            <w:hideMark/>
          </w:tcPr>
          <w:p w14:paraId="0287C2D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0.79</w:t>
            </w:r>
          </w:p>
        </w:tc>
        <w:tc>
          <w:tcPr>
            <w:tcW w:w="1240" w:type="dxa"/>
            <w:hideMark/>
          </w:tcPr>
          <w:p w14:paraId="2D499E4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5.12</w:t>
            </w:r>
          </w:p>
        </w:tc>
        <w:tc>
          <w:tcPr>
            <w:tcW w:w="1540" w:type="dxa"/>
            <w:hideMark/>
          </w:tcPr>
          <w:p w14:paraId="7C49AEC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0.60</w:t>
            </w:r>
          </w:p>
        </w:tc>
        <w:tc>
          <w:tcPr>
            <w:tcW w:w="1300" w:type="dxa"/>
            <w:hideMark/>
          </w:tcPr>
          <w:p w14:paraId="31C421B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14077.61</w:t>
            </w:r>
          </w:p>
        </w:tc>
        <w:tc>
          <w:tcPr>
            <w:tcW w:w="1540" w:type="dxa"/>
            <w:hideMark/>
          </w:tcPr>
          <w:p w14:paraId="4C4DBC7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38.29</w:t>
            </w:r>
          </w:p>
        </w:tc>
      </w:tr>
      <w:tr w:rsidR="00302953" w:rsidRPr="00770477" w14:paraId="7D56785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C10670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1-A-160-1</w:t>
            </w:r>
          </w:p>
        </w:tc>
        <w:tc>
          <w:tcPr>
            <w:tcW w:w="1300" w:type="dxa"/>
            <w:hideMark/>
          </w:tcPr>
          <w:p w14:paraId="1C4EAF3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5333.33</w:t>
            </w:r>
          </w:p>
        </w:tc>
        <w:tc>
          <w:tcPr>
            <w:tcW w:w="1440" w:type="dxa"/>
            <w:hideMark/>
          </w:tcPr>
          <w:p w14:paraId="11A4F27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81.71</w:t>
            </w:r>
          </w:p>
        </w:tc>
        <w:tc>
          <w:tcPr>
            <w:tcW w:w="1240" w:type="dxa"/>
            <w:hideMark/>
          </w:tcPr>
          <w:p w14:paraId="7FF610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14.84</w:t>
            </w:r>
          </w:p>
        </w:tc>
        <w:tc>
          <w:tcPr>
            <w:tcW w:w="1520" w:type="dxa"/>
            <w:hideMark/>
          </w:tcPr>
          <w:p w14:paraId="1DDD253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0.78</w:t>
            </w:r>
          </w:p>
        </w:tc>
        <w:tc>
          <w:tcPr>
            <w:tcW w:w="1240" w:type="dxa"/>
            <w:hideMark/>
          </w:tcPr>
          <w:p w14:paraId="47EA239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5.79</w:t>
            </w:r>
          </w:p>
        </w:tc>
        <w:tc>
          <w:tcPr>
            <w:tcW w:w="1540" w:type="dxa"/>
            <w:hideMark/>
          </w:tcPr>
          <w:p w14:paraId="7C6566C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0.81</w:t>
            </w:r>
          </w:p>
        </w:tc>
        <w:tc>
          <w:tcPr>
            <w:tcW w:w="1300" w:type="dxa"/>
            <w:hideMark/>
          </w:tcPr>
          <w:p w14:paraId="592495D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16248.27</w:t>
            </w:r>
          </w:p>
        </w:tc>
        <w:tc>
          <w:tcPr>
            <w:tcW w:w="1540" w:type="dxa"/>
            <w:hideMark/>
          </w:tcPr>
          <w:p w14:paraId="6B963AB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44.48</w:t>
            </w:r>
          </w:p>
        </w:tc>
      </w:tr>
      <w:tr w:rsidR="00302953" w:rsidRPr="00770477" w14:paraId="359A4ED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954362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1-A-160-2</w:t>
            </w:r>
          </w:p>
        </w:tc>
        <w:tc>
          <w:tcPr>
            <w:tcW w:w="1300" w:type="dxa"/>
            <w:hideMark/>
          </w:tcPr>
          <w:p w14:paraId="2EAED3E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5128.23</w:t>
            </w:r>
          </w:p>
        </w:tc>
        <w:tc>
          <w:tcPr>
            <w:tcW w:w="1440" w:type="dxa"/>
            <w:hideMark/>
          </w:tcPr>
          <w:p w14:paraId="04034AD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78.56</w:t>
            </w:r>
          </w:p>
        </w:tc>
        <w:tc>
          <w:tcPr>
            <w:tcW w:w="1240" w:type="dxa"/>
            <w:hideMark/>
          </w:tcPr>
          <w:p w14:paraId="0D5BB7E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14.15</w:t>
            </w:r>
          </w:p>
        </w:tc>
        <w:tc>
          <w:tcPr>
            <w:tcW w:w="1520" w:type="dxa"/>
            <w:hideMark/>
          </w:tcPr>
          <w:p w14:paraId="12AA2A6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0.75</w:t>
            </w:r>
          </w:p>
        </w:tc>
        <w:tc>
          <w:tcPr>
            <w:tcW w:w="1240" w:type="dxa"/>
            <w:hideMark/>
          </w:tcPr>
          <w:p w14:paraId="252967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5.64</w:t>
            </w:r>
          </w:p>
        </w:tc>
        <w:tc>
          <w:tcPr>
            <w:tcW w:w="1540" w:type="dxa"/>
            <w:hideMark/>
          </w:tcPr>
          <w:p w14:paraId="4086519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0.79</w:t>
            </w:r>
          </w:p>
        </w:tc>
        <w:tc>
          <w:tcPr>
            <w:tcW w:w="1300" w:type="dxa"/>
            <w:hideMark/>
          </w:tcPr>
          <w:p w14:paraId="7BF3CB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15880.78</w:t>
            </w:r>
          </w:p>
        </w:tc>
        <w:tc>
          <w:tcPr>
            <w:tcW w:w="1540" w:type="dxa"/>
            <w:hideMark/>
          </w:tcPr>
          <w:p w14:paraId="52C6F46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43.47</w:t>
            </w:r>
          </w:p>
        </w:tc>
      </w:tr>
      <w:tr w:rsidR="00302953" w:rsidRPr="00770477" w14:paraId="12F83D9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BD0200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1-A-270-1</w:t>
            </w:r>
          </w:p>
        </w:tc>
        <w:tc>
          <w:tcPr>
            <w:tcW w:w="1300" w:type="dxa"/>
            <w:hideMark/>
          </w:tcPr>
          <w:p w14:paraId="7A6A22D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3452.82</w:t>
            </w:r>
          </w:p>
        </w:tc>
        <w:tc>
          <w:tcPr>
            <w:tcW w:w="1440" w:type="dxa"/>
            <w:hideMark/>
          </w:tcPr>
          <w:p w14:paraId="54C7215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71.08</w:t>
            </w:r>
          </w:p>
        </w:tc>
        <w:tc>
          <w:tcPr>
            <w:tcW w:w="1240" w:type="dxa"/>
            <w:hideMark/>
          </w:tcPr>
          <w:p w14:paraId="7655F5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15.51</w:t>
            </w:r>
          </w:p>
        </w:tc>
        <w:tc>
          <w:tcPr>
            <w:tcW w:w="1520" w:type="dxa"/>
            <w:hideMark/>
          </w:tcPr>
          <w:p w14:paraId="5AB6DCA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0.83</w:t>
            </w:r>
          </w:p>
        </w:tc>
        <w:tc>
          <w:tcPr>
            <w:tcW w:w="1240" w:type="dxa"/>
            <w:hideMark/>
          </w:tcPr>
          <w:p w14:paraId="343BC76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6.06</w:t>
            </w:r>
          </w:p>
        </w:tc>
        <w:tc>
          <w:tcPr>
            <w:tcW w:w="1540" w:type="dxa"/>
            <w:hideMark/>
          </w:tcPr>
          <w:p w14:paraId="745DF1B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0.80</w:t>
            </w:r>
          </w:p>
        </w:tc>
        <w:tc>
          <w:tcPr>
            <w:tcW w:w="1300" w:type="dxa"/>
            <w:hideMark/>
          </w:tcPr>
          <w:p w14:paraId="530DF86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11814.09</w:t>
            </w:r>
          </w:p>
        </w:tc>
        <w:tc>
          <w:tcPr>
            <w:tcW w:w="1540" w:type="dxa"/>
            <w:hideMark/>
          </w:tcPr>
          <w:p w14:paraId="59FE7C6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31.14</w:t>
            </w:r>
          </w:p>
        </w:tc>
      </w:tr>
      <w:tr w:rsidR="00302953" w:rsidRPr="00770477" w14:paraId="103010F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860659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1-A-430-1</w:t>
            </w:r>
          </w:p>
        </w:tc>
        <w:tc>
          <w:tcPr>
            <w:tcW w:w="1300" w:type="dxa"/>
            <w:hideMark/>
          </w:tcPr>
          <w:p w14:paraId="0526E6A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2619.97</w:t>
            </w:r>
          </w:p>
        </w:tc>
        <w:tc>
          <w:tcPr>
            <w:tcW w:w="1440" w:type="dxa"/>
            <w:hideMark/>
          </w:tcPr>
          <w:p w14:paraId="406AFAA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123.29</w:t>
            </w:r>
          </w:p>
        </w:tc>
        <w:tc>
          <w:tcPr>
            <w:tcW w:w="1240" w:type="dxa"/>
            <w:hideMark/>
          </w:tcPr>
          <w:p w14:paraId="631F4AD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13.85</w:t>
            </w:r>
          </w:p>
        </w:tc>
        <w:tc>
          <w:tcPr>
            <w:tcW w:w="1520" w:type="dxa"/>
            <w:hideMark/>
          </w:tcPr>
          <w:p w14:paraId="4286CFF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0.76</w:t>
            </w:r>
          </w:p>
        </w:tc>
        <w:tc>
          <w:tcPr>
            <w:tcW w:w="1240" w:type="dxa"/>
            <w:hideMark/>
          </w:tcPr>
          <w:p w14:paraId="48E59AA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6.29</w:t>
            </w:r>
          </w:p>
        </w:tc>
        <w:tc>
          <w:tcPr>
            <w:tcW w:w="1540" w:type="dxa"/>
            <w:hideMark/>
          </w:tcPr>
          <w:p w14:paraId="2B6B345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0.93</w:t>
            </w:r>
          </w:p>
        </w:tc>
        <w:tc>
          <w:tcPr>
            <w:tcW w:w="1300" w:type="dxa"/>
            <w:hideMark/>
          </w:tcPr>
          <w:p w14:paraId="4AC4AE0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9746.07</w:t>
            </w:r>
          </w:p>
        </w:tc>
        <w:tc>
          <w:tcPr>
            <w:tcW w:w="1540" w:type="dxa"/>
            <w:hideMark/>
          </w:tcPr>
          <w:p w14:paraId="7654042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25.01</w:t>
            </w:r>
          </w:p>
        </w:tc>
      </w:tr>
      <w:tr w:rsidR="00302953" w:rsidRPr="00770477" w14:paraId="377CB0F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F0730E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1-A-670-1</w:t>
            </w:r>
          </w:p>
        </w:tc>
        <w:tc>
          <w:tcPr>
            <w:tcW w:w="1300" w:type="dxa"/>
            <w:hideMark/>
          </w:tcPr>
          <w:p w14:paraId="71EB62E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1718.83</w:t>
            </w:r>
          </w:p>
        </w:tc>
        <w:tc>
          <w:tcPr>
            <w:tcW w:w="1440" w:type="dxa"/>
            <w:hideMark/>
          </w:tcPr>
          <w:p w14:paraId="6E3E547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80.88</w:t>
            </w:r>
          </w:p>
        </w:tc>
        <w:tc>
          <w:tcPr>
            <w:tcW w:w="1240" w:type="dxa"/>
            <w:hideMark/>
          </w:tcPr>
          <w:p w14:paraId="683A5E1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15.17</w:t>
            </w:r>
          </w:p>
        </w:tc>
        <w:tc>
          <w:tcPr>
            <w:tcW w:w="1520" w:type="dxa"/>
            <w:hideMark/>
          </w:tcPr>
          <w:p w14:paraId="2239BAD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0.86</w:t>
            </w:r>
          </w:p>
        </w:tc>
        <w:tc>
          <w:tcPr>
            <w:tcW w:w="1240" w:type="dxa"/>
            <w:hideMark/>
          </w:tcPr>
          <w:p w14:paraId="1BC1429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7.01</w:t>
            </w:r>
          </w:p>
        </w:tc>
        <w:tc>
          <w:tcPr>
            <w:tcW w:w="1540" w:type="dxa"/>
            <w:hideMark/>
          </w:tcPr>
          <w:p w14:paraId="6025549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1.22</w:t>
            </w:r>
          </w:p>
        </w:tc>
        <w:tc>
          <w:tcPr>
            <w:tcW w:w="1300" w:type="dxa"/>
            <w:hideMark/>
          </w:tcPr>
          <w:p w14:paraId="132A9FE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7333.18</w:t>
            </w:r>
          </w:p>
        </w:tc>
        <w:tc>
          <w:tcPr>
            <w:tcW w:w="1540" w:type="dxa"/>
            <w:hideMark/>
          </w:tcPr>
          <w:p w14:paraId="654587E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18.02</w:t>
            </w:r>
          </w:p>
        </w:tc>
      </w:tr>
      <w:tr w:rsidR="00302953" w:rsidRPr="00770477" w14:paraId="1FB7CF3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59CF49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1-B-010-1</w:t>
            </w:r>
          </w:p>
        </w:tc>
        <w:tc>
          <w:tcPr>
            <w:tcW w:w="1300" w:type="dxa"/>
            <w:hideMark/>
          </w:tcPr>
          <w:p w14:paraId="315FA23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7469.17</w:t>
            </w:r>
          </w:p>
        </w:tc>
        <w:tc>
          <w:tcPr>
            <w:tcW w:w="1440" w:type="dxa"/>
            <w:hideMark/>
          </w:tcPr>
          <w:p w14:paraId="3CDFDB2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97.83</w:t>
            </w:r>
          </w:p>
        </w:tc>
        <w:tc>
          <w:tcPr>
            <w:tcW w:w="1240" w:type="dxa"/>
            <w:hideMark/>
          </w:tcPr>
          <w:p w14:paraId="72E7043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10.92</w:t>
            </w:r>
          </w:p>
        </w:tc>
        <w:tc>
          <w:tcPr>
            <w:tcW w:w="1520" w:type="dxa"/>
            <w:hideMark/>
          </w:tcPr>
          <w:p w14:paraId="239A844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0.57</w:t>
            </w:r>
          </w:p>
        </w:tc>
        <w:tc>
          <w:tcPr>
            <w:tcW w:w="1240" w:type="dxa"/>
            <w:hideMark/>
          </w:tcPr>
          <w:p w14:paraId="79D19C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5.24</w:t>
            </w:r>
          </w:p>
        </w:tc>
        <w:tc>
          <w:tcPr>
            <w:tcW w:w="1540" w:type="dxa"/>
            <w:hideMark/>
          </w:tcPr>
          <w:p w14:paraId="7961DC1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0.58</w:t>
            </w:r>
          </w:p>
        </w:tc>
        <w:tc>
          <w:tcPr>
            <w:tcW w:w="1300" w:type="dxa"/>
            <w:hideMark/>
          </w:tcPr>
          <w:p w14:paraId="3A44511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21074.90</w:t>
            </w:r>
          </w:p>
        </w:tc>
        <w:tc>
          <w:tcPr>
            <w:tcW w:w="1540" w:type="dxa"/>
            <w:hideMark/>
          </w:tcPr>
          <w:p w14:paraId="69E8B6C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58.15</w:t>
            </w:r>
          </w:p>
        </w:tc>
      </w:tr>
      <w:tr w:rsidR="00302953" w:rsidRPr="00770477" w14:paraId="46C1174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9949D2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1-B-040-1</w:t>
            </w:r>
          </w:p>
        </w:tc>
        <w:tc>
          <w:tcPr>
            <w:tcW w:w="1300" w:type="dxa"/>
            <w:hideMark/>
          </w:tcPr>
          <w:p w14:paraId="055D17B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7166.80</w:t>
            </w:r>
          </w:p>
        </w:tc>
        <w:tc>
          <w:tcPr>
            <w:tcW w:w="1440" w:type="dxa"/>
            <w:hideMark/>
          </w:tcPr>
          <w:p w14:paraId="5F64873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97.98</w:t>
            </w:r>
          </w:p>
        </w:tc>
        <w:tc>
          <w:tcPr>
            <w:tcW w:w="1240" w:type="dxa"/>
            <w:hideMark/>
          </w:tcPr>
          <w:p w14:paraId="2EA38BB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13.11</w:t>
            </w:r>
          </w:p>
        </w:tc>
        <w:tc>
          <w:tcPr>
            <w:tcW w:w="1520" w:type="dxa"/>
            <w:hideMark/>
          </w:tcPr>
          <w:p w14:paraId="5332C8C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0.68</w:t>
            </w:r>
          </w:p>
        </w:tc>
        <w:tc>
          <w:tcPr>
            <w:tcW w:w="1240" w:type="dxa"/>
            <w:hideMark/>
          </w:tcPr>
          <w:p w14:paraId="5E4EA04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4.96</w:t>
            </w:r>
          </w:p>
        </w:tc>
        <w:tc>
          <w:tcPr>
            <w:tcW w:w="1540" w:type="dxa"/>
            <w:hideMark/>
          </w:tcPr>
          <w:p w14:paraId="096810B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0.56</w:t>
            </w:r>
          </w:p>
        </w:tc>
        <w:tc>
          <w:tcPr>
            <w:tcW w:w="1300" w:type="dxa"/>
            <w:hideMark/>
          </w:tcPr>
          <w:p w14:paraId="78565AE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19307.81</w:t>
            </w:r>
          </w:p>
        </w:tc>
        <w:tc>
          <w:tcPr>
            <w:tcW w:w="1540" w:type="dxa"/>
            <w:hideMark/>
          </w:tcPr>
          <w:p w14:paraId="23E943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52.99</w:t>
            </w:r>
          </w:p>
        </w:tc>
      </w:tr>
      <w:tr w:rsidR="00302953" w:rsidRPr="00770477" w14:paraId="296B49F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8A7449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1-B-040-2</w:t>
            </w:r>
          </w:p>
        </w:tc>
        <w:tc>
          <w:tcPr>
            <w:tcW w:w="1300" w:type="dxa"/>
            <w:hideMark/>
          </w:tcPr>
          <w:p w14:paraId="43FFB62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7078.23</w:t>
            </w:r>
          </w:p>
        </w:tc>
        <w:tc>
          <w:tcPr>
            <w:tcW w:w="1440" w:type="dxa"/>
            <w:hideMark/>
          </w:tcPr>
          <w:p w14:paraId="43FC4A9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96.77</w:t>
            </w:r>
          </w:p>
        </w:tc>
        <w:tc>
          <w:tcPr>
            <w:tcW w:w="1240" w:type="dxa"/>
            <w:hideMark/>
          </w:tcPr>
          <w:p w14:paraId="40C65AD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12.12</w:t>
            </w:r>
          </w:p>
        </w:tc>
        <w:tc>
          <w:tcPr>
            <w:tcW w:w="1520" w:type="dxa"/>
            <w:hideMark/>
          </w:tcPr>
          <w:p w14:paraId="14970D9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0.63</w:t>
            </w:r>
          </w:p>
        </w:tc>
        <w:tc>
          <w:tcPr>
            <w:tcW w:w="1240" w:type="dxa"/>
            <w:hideMark/>
          </w:tcPr>
          <w:p w14:paraId="01F0675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3.67</w:t>
            </w:r>
          </w:p>
        </w:tc>
        <w:tc>
          <w:tcPr>
            <w:tcW w:w="1540" w:type="dxa"/>
            <w:hideMark/>
          </w:tcPr>
          <w:p w14:paraId="7EBA460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0.42</w:t>
            </w:r>
          </w:p>
        </w:tc>
        <w:tc>
          <w:tcPr>
            <w:tcW w:w="1300" w:type="dxa"/>
            <w:hideMark/>
          </w:tcPr>
          <w:p w14:paraId="4B1C91C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19288.28</w:t>
            </w:r>
          </w:p>
        </w:tc>
        <w:tc>
          <w:tcPr>
            <w:tcW w:w="1540" w:type="dxa"/>
            <w:hideMark/>
          </w:tcPr>
          <w:p w14:paraId="22120C3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52.94</w:t>
            </w:r>
          </w:p>
        </w:tc>
      </w:tr>
      <w:tr w:rsidR="00302953" w:rsidRPr="00770477" w14:paraId="2236C78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400394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1-B-090-1</w:t>
            </w:r>
          </w:p>
        </w:tc>
        <w:tc>
          <w:tcPr>
            <w:tcW w:w="1300" w:type="dxa"/>
            <w:hideMark/>
          </w:tcPr>
          <w:p w14:paraId="67A14DE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5238.09</w:t>
            </w:r>
          </w:p>
        </w:tc>
        <w:tc>
          <w:tcPr>
            <w:tcW w:w="1440" w:type="dxa"/>
            <w:hideMark/>
          </w:tcPr>
          <w:p w14:paraId="32356D5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77.26</w:t>
            </w:r>
          </w:p>
        </w:tc>
        <w:tc>
          <w:tcPr>
            <w:tcW w:w="1240" w:type="dxa"/>
            <w:hideMark/>
          </w:tcPr>
          <w:p w14:paraId="46B113E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15.01</w:t>
            </w:r>
          </w:p>
        </w:tc>
        <w:tc>
          <w:tcPr>
            <w:tcW w:w="1520" w:type="dxa"/>
            <w:hideMark/>
          </w:tcPr>
          <w:p w14:paraId="12544DB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0.79</w:t>
            </w:r>
          </w:p>
        </w:tc>
        <w:tc>
          <w:tcPr>
            <w:tcW w:w="1240" w:type="dxa"/>
            <w:hideMark/>
          </w:tcPr>
          <w:p w14:paraId="4736616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6.55</w:t>
            </w:r>
          </w:p>
        </w:tc>
        <w:tc>
          <w:tcPr>
            <w:tcW w:w="1540" w:type="dxa"/>
            <w:hideMark/>
          </w:tcPr>
          <w:p w14:paraId="0C43E39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0.77</w:t>
            </w:r>
          </w:p>
        </w:tc>
        <w:tc>
          <w:tcPr>
            <w:tcW w:w="1300" w:type="dxa"/>
            <w:hideMark/>
          </w:tcPr>
          <w:p w14:paraId="2380028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14845.35</w:t>
            </w:r>
          </w:p>
        </w:tc>
        <w:tc>
          <w:tcPr>
            <w:tcW w:w="1540" w:type="dxa"/>
            <w:hideMark/>
          </w:tcPr>
          <w:p w14:paraId="00ED14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40.38</w:t>
            </w:r>
          </w:p>
        </w:tc>
      </w:tr>
      <w:tr w:rsidR="00302953" w:rsidRPr="00770477" w14:paraId="5458B23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A91B65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1-B-160-1</w:t>
            </w:r>
          </w:p>
        </w:tc>
        <w:tc>
          <w:tcPr>
            <w:tcW w:w="1300" w:type="dxa"/>
            <w:hideMark/>
          </w:tcPr>
          <w:p w14:paraId="330D690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4163.58</w:t>
            </w:r>
          </w:p>
        </w:tc>
        <w:tc>
          <w:tcPr>
            <w:tcW w:w="1440" w:type="dxa"/>
            <w:hideMark/>
          </w:tcPr>
          <w:p w14:paraId="2483414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63.79</w:t>
            </w:r>
          </w:p>
        </w:tc>
        <w:tc>
          <w:tcPr>
            <w:tcW w:w="1240" w:type="dxa"/>
            <w:hideMark/>
          </w:tcPr>
          <w:p w14:paraId="5A6CB33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16.16</w:t>
            </w:r>
          </w:p>
        </w:tc>
        <w:tc>
          <w:tcPr>
            <w:tcW w:w="1520" w:type="dxa"/>
            <w:hideMark/>
          </w:tcPr>
          <w:p w14:paraId="1724732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0.85</w:t>
            </w:r>
          </w:p>
        </w:tc>
        <w:tc>
          <w:tcPr>
            <w:tcW w:w="1240" w:type="dxa"/>
            <w:hideMark/>
          </w:tcPr>
          <w:p w14:paraId="6C626E7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6.98</w:t>
            </w:r>
          </w:p>
        </w:tc>
        <w:tc>
          <w:tcPr>
            <w:tcW w:w="1540" w:type="dxa"/>
            <w:hideMark/>
          </w:tcPr>
          <w:p w14:paraId="1733C5A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0.98</w:t>
            </w:r>
          </w:p>
        </w:tc>
        <w:tc>
          <w:tcPr>
            <w:tcW w:w="1300" w:type="dxa"/>
            <w:hideMark/>
          </w:tcPr>
          <w:p w14:paraId="3831B6F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12947.47</w:t>
            </w:r>
          </w:p>
        </w:tc>
        <w:tc>
          <w:tcPr>
            <w:tcW w:w="1540" w:type="dxa"/>
            <w:hideMark/>
          </w:tcPr>
          <w:p w14:paraId="6643DBE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35.44</w:t>
            </w:r>
          </w:p>
        </w:tc>
      </w:tr>
      <w:tr w:rsidR="00302953" w:rsidRPr="00770477" w14:paraId="0F43B47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9B8EA4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1-B-270-1</w:t>
            </w:r>
          </w:p>
        </w:tc>
        <w:tc>
          <w:tcPr>
            <w:tcW w:w="1300" w:type="dxa"/>
            <w:hideMark/>
          </w:tcPr>
          <w:p w14:paraId="75FF7B0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4002.40</w:t>
            </w:r>
          </w:p>
        </w:tc>
        <w:tc>
          <w:tcPr>
            <w:tcW w:w="1440" w:type="dxa"/>
            <w:hideMark/>
          </w:tcPr>
          <w:p w14:paraId="651FBD5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82.39</w:t>
            </w:r>
          </w:p>
        </w:tc>
        <w:tc>
          <w:tcPr>
            <w:tcW w:w="1240" w:type="dxa"/>
            <w:hideMark/>
          </w:tcPr>
          <w:p w14:paraId="0DAEBD5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16.33</w:t>
            </w:r>
          </w:p>
        </w:tc>
        <w:tc>
          <w:tcPr>
            <w:tcW w:w="1520" w:type="dxa"/>
            <w:hideMark/>
          </w:tcPr>
          <w:p w14:paraId="03A2A88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0.88</w:t>
            </w:r>
          </w:p>
        </w:tc>
        <w:tc>
          <w:tcPr>
            <w:tcW w:w="1240" w:type="dxa"/>
            <w:hideMark/>
          </w:tcPr>
          <w:p w14:paraId="1228B29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6.12</w:t>
            </w:r>
          </w:p>
        </w:tc>
        <w:tc>
          <w:tcPr>
            <w:tcW w:w="1540" w:type="dxa"/>
            <w:hideMark/>
          </w:tcPr>
          <w:p w14:paraId="3E58196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0.81</w:t>
            </w:r>
          </w:p>
        </w:tc>
        <w:tc>
          <w:tcPr>
            <w:tcW w:w="1300" w:type="dxa"/>
            <w:hideMark/>
          </w:tcPr>
          <w:p w14:paraId="54D285D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11791.23</w:t>
            </w:r>
          </w:p>
        </w:tc>
        <w:tc>
          <w:tcPr>
            <w:tcW w:w="1540" w:type="dxa"/>
            <w:hideMark/>
          </w:tcPr>
          <w:p w14:paraId="2B66512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31.08</w:t>
            </w:r>
          </w:p>
        </w:tc>
      </w:tr>
      <w:tr w:rsidR="00302953" w:rsidRPr="00770477" w14:paraId="6446E92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36ED94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1-B-270-2</w:t>
            </w:r>
          </w:p>
        </w:tc>
        <w:tc>
          <w:tcPr>
            <w:tcW w:w="1300" w:type="dxa"/>
            <w:hideMark/>
          </w:tcPr>
          <w:p w14:paraId="3E932EE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3893.31</w:t>
            </w:r>
          </w:p>
        </w:tc>
        <w:tc>
          <w:tcPr>
            <w:tcW w:w="1440" w:type="dxa"/>
            <w:hideMark/>
          </w:tcPr>
          <w:p w14:paraId="2F7BE64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80.15</w:t>
            </w:r>
          </w:p>
        </w:tc>
        <w:tc>
          <w:tcPr>
            <w:tcW w:w="1240" w:type="dxa"/>
            <w:hideMark/>
          </w:tcPr>
          <w:p w14:paraId="3F3F1E9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15.00</w:t>
            </w:r>
          </w:p>
        </w:tc>
        <w:tc>
          <w:tcPr>
            <w:tcW w:w="1520" w:type="dxa"/>
            <w:hideMark/>
          </w:tcPr>
          <w:p w14:paraId="73867CE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0.80</w:t>
            </w:r>
          </w:p>
        </w:tc>
        <w:tc>
          <w:tcPr>
            <w:tcW w:w="1240" w:type="dxa"/>
            <w:hideMark/>
          </w:tcPr>
          <w:p w14:paraId="097253C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4.15</w:t>
            </w:r>
          </w:p>
        </w:tc>
        <w:tc>
          <w:tcPr>
            <w:tcW w:w="1540" w:type="dxa"/>
            <w:hideMark/>
          </w:tcPr>
          <w:p w14:paraId="0205CDF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0.55</w:t>
            </w:r>
          </w:p>
        </w:tc>
        <w:tc>
          <w:tcPr>
            <w:tcW w:w="1300" w:type="dxa"/>
            <w:hideMark/>
          </w:tcPr>
          <w:p w14:paraId="33BC600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11621.32</w:t>
            </w:r>
          </w:p>
        </w:tc>
        <w:tc>
          <w:tcPr>
            <w:tcW w:w="1540" w:type="dxa"/>
            <w:hideMark/>
          </w:tcPr>
          <w:p w14:paraId="5CBD468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30.64</w:t>
            </w:r>
          </w:p>
        </w:tc>
      </w:tr>
      <w:tr w:rsidR="00302953" w:rsidRPr="00770477" w14:paraId="3E714B3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F6A732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1-B-430-1</w:t>
            </w:r>
          </w:p>
        </w:tc>
        <w:tc>
          <w:tcPr>
            <w:tcW w:w="1300" w:type="dxa"/>
            <w:hideMark/>
          </w:tcPr>
          <w:p w14:paraId="01D062A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2176.25</w:t>
            </w:r>
          </w:p>
        </w:tc>
        <w:tc>
          <w:tcPr>
            <w:tcW w:w="1440" w:type="dxa"/>
            <w:hideMark/>
          </w:tcPr>
          <w:p w14:paraId="326679F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102.41</w:t>
            </w:r>
          </w:p>
        </w:tc>
        <w:tc>
          <w:tcPr>
            <w:tcW w:w="1240" w:type="dxa"/>
            <w:hideMark/>
          </w:tcPr>
          <w:p w14:paraId="2060C60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17.12</w:t>
            </w:r>
          </w:p>
        </w:tc>
        <w:tc>
          <w:tcPr>
            <w:tcW w:w="1520" w:type="dxa"/>
            <w:hideMark/>
          </w:tcPr>
          <w:p w14:paraId="3B99E33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0.94</w:t>
            </w:r>
          </w:p>
        </w:tc>
        <w:tc>
          <w:tcPr>
            <w:tcW w:w="1240" w:type="dxa"/>
            <w:hideMark/>
          </w:tcPr>
          <w:p w14:paraId="19AEABA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6.10</w:t>
            </w:r>
          </w:p>
        </w:tc>
        <w:tc>
          <w:tcPr>
            <w:tcW w:w="1540" w:type="dxa"/>
            <w:hideMark/>
          </w:tcPr>
          <w:p w14:paraId="5CFC8E2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0.90</w:t>
            </w:r>
          </w:p>
        </w:tc>
        <w:tc>
          <w:tcPr>
            <w:tcW w:w="1300" w:type="dxa"/>
            <w:hideMark/>
          </w:tcPr>
          <w:p w14:paraId="5FE6F9A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7815.73</w:t>
            </w:r>
          </w:p>
        </w:tc>
        <w:tc>
          <w:tcPr>
            <w:tcW w:w="1540" w:type="dxa"/>
            <w:hideMark/>
          </w:tcPr>
          <w:p w14:paraId="3B04B3C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20.05</w:t>
            </w:r>
          </w:p>
        </w:tc>
      </w:tr>
      <w:tr w:rsidR="00302953" w:rsidRPr="00770477" w14:paraId="1B92382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B5F046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1-B-670-1</w:t>
            </w:r>
          </w:p>
        </w:tc>
        <w:tc>
          <w:tcPr>
            <w:tcW w:w="1300" w:type="dxa"/>
            <w:hideMark/>
          </w:tcPr>
          <w:p w14:paraId="2738963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1806.54</w:t>
            </w:r>
          </w:p>
        </w:tc>
        <w:tc>
          <w:tcPr>
            <w:tcW w:w="1440" w:type="dxa"/>
            <w:hideMark/>
          </w:tcPr>
          <w:p w14:paraId="40E7C20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85.01</w:t>
            </w:r>
          </w:p>
        </w:tc>
        <w:tc>
          <w:tcPr>
            <w:tcW w:w="1240" w:type="dxa"/>
            <w:hideMark/>
          </w:tcPr>
          <w:p w14:paraId="160B5EA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16.19</w:t>
            </w:r>
          </w:p>
        </w:tc>
        <w:tc>
          <w:tcPr>
            <w:tcW w:w="1520" w:type="dxa"/>
            <w:hideMark/>
          </w:tcPr>
          <w:p w14:paraId="4D3B443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0.92</w:t>
            </w:r>
          </w:p>
        </w:tc>
        <w:tc>
          <w:tcPr>
            <w:tcW w:w="1240" w:type="dxa"/>
            <w:hideMark/>
          </w:tcPr>
          <w:p w14:paraId="75B6105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6.44</w:t>
            </w:r>
          </w:p>
        </w:tc>
        <w:tc>
          <w:tcPr>
            <w:tcW w:w="1540" w:type="dxa"/>
            <w:hideMark/>
          </w:tcPr>
          <w:p w14:paraId="649D78D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1.12</w:t>
            </w:r>
          </w:p>
        </w:tc>
        <w:tc>
          <w:tcPr>
            <w:tcW w:w="1300" w:type="dxa"/>
            <w:hideMark/>
          </w:tcPr>
          <w:p w14:paraId="0832134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7041.77</w:t>
            </w:r>
          </w:p>
        </w:tc>
        <w:tc>
          <w:tcPr>
            <w:tcW w:w="1540" w:type="dxa"/>
            <w:hideMark/>
          </w:tcPr>
          <w:p w14:paraId="041B04C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17.30</w:t>
            </w:r>
          </w:p>
        </w:tc>
      </w:tr>
      <w:tr w:rsidR="00302953" w:rsidRPr="00770477" w14:paraId="1A32716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3811A6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1-C-010-1</w:t>
            </w:r>
          </w:p>
        </w:tc>
        <w:tc>
          <w:tcPr>
            <w:tcW w:w="1300" w:type="dxa"/>
            <w:hideMark/>
          </w:tcPr>
          <w:p w14:paraId="1ADF441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696.74</w:t>
            </w:r>
          </w:p>
        </w:tc>
        <w:tc>
          <w:tcPr>
            <w:tcW w:w="1440" w:type="dxa"/>
            <w:hideMark/>
          </w:tcPr>
          <w:p w14:paraId="0243788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9.13</w:t>
            </w:r>
          </w:p>
        </w:tc>
        <w:tc>
          <w:tcPr>
            <w:tcW w:w="1240" w:type="dxa"/>
            <w:hideMark/>
          </w:tcPr>
          <w:p w14:paraId="71729A0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8.96</w:t>
            </w:r>
          </w:p>
        </w:tc>
        <w:tc>
          <w:tcPr>
            <w:tcW w:w="1520" w:type="dxa"/>
            <w:hideMark/>
          </w:tcPr>
          <w:p w14:paraId="548C862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0.46</w:t>
            </w:r>
          </w:p>
        </w:tc>
        <w:tc>
          <w:tcPr>
            <w:tcW w:w="1240" w:type="dxa"/>
            <w:hideMark/>
          </w:tcPr>
          <w:p w14:paraId="2E03047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1.69</w:t>
            </w:r>
          </w:p>
        </w:tc>
        <w:tc>
          <w:tcPr>
            <w:tcW w:w="1540" w:type="dxa"/>
            <w:hideMark/>
          </w:tcPr>
          <w:p w14:paraId="44CE5C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0.19</w:t>
            </w:r>
          </w:p>
        </w:tc>
        <w:tc>
          <w:tcPr>
            <w:tcW w:w="1300" w:type="dxa"/>
            <w:hideMark/>
          </w:tcPr>
          <w:p w14:paraId="3BBCF20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32998.62</w:t>
            </w:r>
          </w:p>
        </w:tc>
        <w:tc>
          <w:tcPr>
            <w:tcW w:w="1540" w:type="dxa"/>
            <w:hideMark/>
          </w:tcPr>
          <w:p w14:paraId="5A9ED3D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91.05</w:t>
            </w:r>
          </w:p>
        </w:tc>
      </w:tr>
      <w:tr w:rsidR="00302953" w:rsidRPr="00770477" w14:paraId="1B1AB917"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C35EF3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1-C-040-1</w:t>
            </w:r>
          </w:p>
        </w:tc>
        <w:tc>
          <w:tcPr>
            <w:tcW w:w="1300" w:type="dxa"/>
            <w:hideMark/>
          </w:tcPr>
          <w:p w14:paraId="5C25CB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637.57</w:t>
            </w:r>
          </w:p>
        </w:tc>
        <w:tc>
          <w:tcPr>
            <w:tcW w:w="1440" w:type="dxa"/>
            <w:hideMark/>
          </w:tcPr>
          <w:p w14:paraId="31043B8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8.72</w:t>
            </w:r>
          </w:p>
        </w:tc>
        <w:tc>
          <w:tcPr>
            <w:tcW w:w="1240" w:type="dxa"/>
            <w:hideMark/>
          </w:tcPr>
          <w:p w14:paraId="0A6CE8B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13.80</w:t>
            </w:r>
          </w:p>
        </w:tc>
        <w:tc>
          <w:tcPr>
            <w:tcW w:w="1520" w:type="dxa"/>
            <w:hideMark/>
          </w:tcPr>
          <w:p w14:paraId="0F2958B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0.72</w:t>
            </w:r>
          </w:p>
        </w:tc>
        <w:tc>
          <w:tcPr>
            <w:tcW w:w="1240" w:type="dxa"/>
            <w:hideMark/>
          </w:tcPr>
          <w:p w14:paraId="403CB42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2.20</w:t>
            </w:r>
          </w:p>
        </w:tc>
        <w:tc>
          <w:tcPr>
            <w:tcW w:w="1540" w:type="dxa"/>
            <w:hideMark/>
          </w:tcPr>
          <w:p w14:paraId="73D80FE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0.25</w:t>
            </w:r>
          </w:p>
        </w:tc>
        <w:tc>
          <w:tcPr>
            <w:tcW w:w="1300" w:type="dxa"/>
            <w:hideMark/>
          </w:tcPr>
          <w:p w14:paraId="42E846E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31699.09</w:t>
            </w:r>
          </w:p>
        </w:tc>
        <w:tc>
          <w:tcPr>
            <w:tcW w:w="1540" w:type="dxa"/>
            <w:hideMark/>
          </w:tcPr>
          <w:p w14:paraId="63F3CD6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87.00</w:t>
            </w:r>
          </w:p>
        </w:tc>
      </w:tr>
      <w:tr w:rsidR="00302953" w:rsidRPr="00770477" w14:paraId="04E2870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B3B595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1-C-040-2</w:t>
            </w:r>
          </w:p>
        </w:tc>
        <w:tc>
          <w:tcPr>
            <w:tcW w:w="1300" w:type="dxa"/>
            <w:hideMark/>
          </w:tcPr>
          <w:p w14:paraId="5EDEF1A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632.57</w:t>
            </w:r>
          </w:p>
        </w:tc>
        <w:tc>
          <w:tcPr>
            <w:tcW w:w="1440" w:type="dxa"/>
            <w:hideMark/>
          </w:tcPr>
          <w:p w14:paraId="29E8D97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8.65</w:t>
            </w:r>
          </w:p>
        </w:tc>
        <w:tc>
          <w:tcPr>
            <w:tcW w:w="1240" w:type="dxa"/>
            <w:hideMark/>
          </w:tcPr>
          <w:p w14:paraId="64EAE57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12.88</w:t>
            </w:r>
          </w:p>
        </w:tc>
        <w:tc>
          <w:tcPr>
            <w:tcW w:w="1520" w:type="dxa"/>
            <w:hideMark/>
          </w:tcPr>
          <w:p w14:paraId="227129F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0.67</w:t>
            </w:r>
          </w:p>
        </w:tc>
        <w:tc>
          <w:tcPr>
            <w:tcW w:w="1240" w:type="dxa"/>
            <w:hideMark/>
          </w:tcPr>
          <w:p w14:paraId="6A64DE7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1.16</w:t>
            </w:r>
          </w:p>
        </w:tc>
        <w:tc>
          <w:tcPr>
            <w:tcW w:w="1540" w:type="dxa"/>
            <w:hideMark/>
          </w:tcPr>
          <w:p w14:paraId="3AB7A2B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0.13</w:t>
            </w:r>
          </w:p>
        </w:tc>
        <w:tc>
          <w:tcPr>
            <w:tcW w:w="1300" w:type="dxa"/>
            <w:hideMark/>
          </w:tcPr>
          <w:p w14:paraId="31E95F3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32160.11</w:t>
            </w:r>
          </w:p>
        </w:tc>
        <w:tc>
          <w:tcPr>
            <w:tcW w:w="1540" w:type="dxa"/>
            <w:hideMark/>
          </w:tcPr>
          <w:p w14:paraId="60F728B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88.26</w:t>
            </w:r>
          </w:p>
        </w:tc>
      </w:tr>
      <w:tr w:rsidR="00302953" w:rsidRPr="00770477" w14:paraId="26A2BA8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16292A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1-C-090-1</w:t>
            </w:r>
          </w:p>
        </w:tc>
        <w:tc>
          <w:tcPr>
            <w:tcW w:w="1300" w:type="dxa"/>
            <w:hideMark/>
          </w:tcPr>
          <w:p w14:paraId="3DA1B1B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145.82</w:t>
            </w:r>
          </w:p>
        </w:tc>
        <w:tc>
          <w:tcPr>
            <w:tcW w:w="1440" w:type="dxa"/>
            <w:hideMark/>
          </w:tcPr>
          <w:p w14:paraId="7F2C970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2.15</w:t>
            </w:r>
          </w:p>
        </w:tc>
        <w:tc>
          <w:tcPr>
            <w:tcW w:w="1240" w:type="dxa"/>
            <w:hideMark/>
          </w:tcPr>
          <w:p w14:paraId="6CAA8DA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9.85</w:t>
            </w:r>
          </w:p>
        </w:tc>
        <w:tc>
          <w:tcPr>
            <w:tcW w:w="1520" w:type="dxa"/>
            <w:hideMark/>
          </w:tcPr>
          <w:p w14:paraId="660A379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0.52</w:t>
            </w:r>
          </w:p>
        </w:tc>
        <w:tc>
          <w:tcPr>
            <w:tcW w:w="1240" w:type="dxa"/>
            <w:hideMark/>
          </w:tcPr>
          <w:p w14:paraId="3103343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0.72</w:t>
            </w:r>
          </w:p>
        </w:tc>
        <w:tc>
          <w:tcPr>
            <w:tcW w:w="1540" w:type="dxa"/>
            <w:hideMark/>
          </w:tcPr>
          <w:p w14:paraId="62F6B05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w:t>
            </w:r>
          </w:p>
        </w:tc>
        <w:tc>
          <w:tcPr>
            <w:tcW w:w="1300" w:type="dxa"/>
            <w:hideMark/>
          </w:tcPr>
          <w:p w14:paraId="2CD8DB3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31410.31</w:t>
            </w:r>
          </w:p>
        </w:tc>
        <w:tc>
          <w:tcPr>
            <w:tcW w:w="1540" w:type="dxa"/>
            <w:hideMark/>
          </w:tcPr>
          <w:p w14:paraId="165DC6D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85.44</w:t>
            </w:r>
          </w:p>
        </w:tc>
      </w:tr>
      <w:tr w:rsidR="00302953" w:rsidRPr="00770477" w14:paraId="3A27B46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BDA369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1-C-090-2</w:t>
            </w:r>
          </w:p>
        </w:tc>
        <w:tc>
          <w:tcPr>
            <w:tcW w:w="1300" w:type="dxa"/>
            <w:hideMark/>
          </w:tcPr>
          <w:p w14:paraId="0D6C1FA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586.34</w:t>
            </w:r>
          </w:p>
        </w:tc>
        <w:tc>
          <w:tcPr>
            <w:tcW w:w="1440" w:type="dxa"/>
            <w:hideMark/>
          </w:tcPr>
          <w:p w14:paraId="0806643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8.65</w:t>
            </w:r>
          </w:p>
        </w:tc>
        <w:tc>
          <w:tcPr>
            <w:tcW w:w="1240" w:type="dxa"/>
            <w:hideMark/>
          </w:tcPr>
          <w:p w14:paraId="783F6E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14.51</w:t>
            </w:r>
          </w:p>
        </w:tc>
        <w:tc>
          <w:tcPr>
            <w:tcW w:w="1520" w:type="dxa"/>
            <w:hideMark/>
          </w:tcPr>
          <w:p w14:paraId="346E65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0.76</w:t>
            </w:r>
          </w:p>
        </w:tc>
        <w:tc>
          <w:tcPr>
            <w:tcW w:w="1240" w:type="dxa"/>
            <w:hideMark/>
          </w:tcPr>
          <w:p w14:paraId="0A28A77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2.37</w:t>
            </w:r>
          </w:p>
        </w:tc>
        <w:tc>
          <w:tcPr>
            <w:tcW w:w="1540" w:type="dxa"/>
            <w:hideMark/>
          </w:tcPr>
          <w:p w14:paraId="54ADCCC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0.28</w:t>
            </w:r>
          </w:p>
        </w:tc>
        <w:tc>
          <w:tcPr>
            <w:tcW w:w="1300" w:type="dxa"/>
            <w:hideMark/>
          </w:tcPr>
          <w:p w14:paraId="2A96103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30825.45</w:t>
            </w:r>
          </w:p>
        </w:tc>
        <w:tc>
          <w:tcPr>
            <w:tcW w:w="1540" w:type="dxa"/>
            <w:hideMark/>
          </w:tcPr>
          <w:p w14:paraId="59F8D59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83.85</w:t>
            </w:r>
          </w:p>
        </w:tc>
      </w:tr>
      <w:tr w:rsidR="00302953" w:rsidRPr="00770477" w14:paraId="13C6E0A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040175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1-C-160-1</w:t>
            </w:r>
          </w:p>
        </w:tc>
        <w:tc>
          <w:tcPr>
            <w:tcW w:w="1300" w:type="dxa"/>
            <w:hideMark/>
          </w:tcPr>
          <w:p w14:paraId="55CBB16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560.24</w:t>
            </w:r>
          </w:p>
        </w:tc>
        <w:tc>
          <w:tcPr>
            <w:tcW w:w="1440" w:type="dxa"/>
            <w:hideMark/>
          </w:tcPr>
          <w:p w14:paraId="0262A07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8.58</w:t>
            </w:r>
          </w:p>
        </w:tc>
        <w:tc>
          <w:tcPr>
            <w:tcW w:w="1240" w:type="dxa"/>
            <w:hideMark/>
          </w:tcPr>
          <w:p w14:paraId="1CB3482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13.81</w:t>
            </w:r>
          </w:p>
        </w:tc>
        <w:tc>
          <w:tcPr>
            <w:tcW w:w="1520" w:type="dxa"/>
            <w:hideMark/>
          </w:tcPr>
          <w:p w14:paraId="24E3E6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0.73</w:t>
            </w:r>
          </w:p>
        </w:tc>
        <w:tc>
          <w:tcPr>
            <w:tcW w:w="1240" w:type="dxa"/>
            <w:hideMark/>
          </w:tcPr>
          <w:p w14:paraId="5603F25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2.56</w:t>
            </w:r>
          </w:p>
        </w:tc>
        <w:tc>
          <w:tcPr>
            <w:tcW w:w="1540" w:type="dxa"/>
            <w:hideMark/>
          </w:tcPr>
          <w:p w14:paraId="707416E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0.36</w:t>
            </w:r>
          </w:p>
        </w:tc>
        <w:tc>
          <w:tcPr>
            <w:tcW w:w="1300" w:type="dxa"/>
            <w:hideMark/>
          </w:tcPr>
          <w:p w14:paraId="30A01B2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31025.24</w:t>
            </w:r>
          </w:p>
        </w:tc>
        <w:tc>
          <w:tcPr>
            <w:tcW w:w="1540" w:type="dxa"/>
            <w:hideMark/>
          </w:tcPr>
          <w:p w14:paraId="093D67E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84.93</w:t>
            </w:r>
          </w:p>
        </w:tc>
      </w:tr>
      <w:tr w:rsidR="00302953" w:rsidRPr="00770477" w14:paraId="448BB34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FA45BA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1-C-270-1</w:t>
            </w:r>
          </w:p>
        </w:tc>
        <w:tc>
          <w:tcPr>
            <w:tcW w:w="1300" w:type="dxa"/>
            <w:hideMark/>
          </w:tcPr>
          <w:p w14:paraId="6F5DD7D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470.13</w:t>
            </w:r>
          </w:p>
        </w:tc>
        <w:tc>
          <w:tcPr>
            <w:tcW w:w="1440" w:type="dxa"/>
            <w:hideMark/>
          </w:tcPr>
          <w:p w14:paraId="7E2EEED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9.68</w:t>
            </w:r>
          </w:p>
        </w:tc>
        <w:tc>
          <w:tcPr>
            <w:tcW w:w="1240" w:type="dxa"/>
            <w:hideMark/>
          </w:tcPr>
          <w:p w14:paraId="698E42F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16.34</w:t>
            </w:r>
          </w:p>
        </w:tc>
        <w:tc>
          <w:tcPr>
            <w:tcW w:w="1520" w:type="dxa"/>
            <w:hideMark/>
          </w:tcPr>
          <w:p w14:paraId="11ABDDD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0.88</w:t>
            </w:r>
          </w:p>
        </w:tc>
        <w:tc>
          <w:tcPr>
            <w:tcW w:w="1240" w:type="dxa"/>
            <w:hideMark/>
          </w:tcPr>
          <w:p w14:paraId="096B42D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3.08</w:t>
            </w:r>
          </w:p>
        </w:tc>
        <w:tc>
          <w:tcPr>
            <w:tcW w:w="1540" w:type="dxa"/>
            <w:hideMark/>
          </w:tcPr>
          <w:p w14:paraId="72F057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0.40</w:t>
            </w:r>
          </w:p>
        </w:tc>
        <w:tc>
          <w:tcPr>
            <w:tcW w:w="1300" w:type="dxa"/>
            <w:hideMark/>
          </w:tcPr>
          <w:p w14:paraId="0952D27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27649.59</w:t>
            </w:r>
          </w:p>
        </w:tc>
        <w:tc>
          <w:tcPr>
            <w:tcW w:w="1540" w:type="dxa"/>
            <w:hideMark/>
          </w:tcPr>
          <w:p w14:paraId="4961B5E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72.89</w:t>
            </w:r>
          </w:p>
        </w:tc>
      </w:tr>
      <w:tr w:rsidR="00302953" w:rsidRPr="00770477" w14:paraId="3D02403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E6AC27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1-C-430-1</w:t>
            </w:r>
          </w:p>
        </w:tc>
        <w:tc>
          <w:tcPr>
            <w:tcW w:w="1300" w:type="dxa"/>
            <w:hideMark/>
          </w:tcPr>
          <w:p w14:paraId="20B3A7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419.64</w:t>
            </w:r>
          </w:p>
        </w:tc>
        <w:tc>
          <w:tcPr>
            <w:tcW w:w="1440" w:type="dxa"/>
            <w:hideMark/>
          </w:tcPr>
          <w:p w14:paraId="273DEE4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19.75</w:t>
            </w:r>
          </w:p>
        </w:tc>
        <w:tc>
          <w:tcPr>
            <w:tcW w:w="1240" w:type="dxa"/>
            <w:hideMark/>
          </w:tcPr>
          <w:p w14:paraId="0DEA5EE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14.38</w:t>
            </w:r>
          </w:p>
        </w:tc>
        <w:tc>
          <w:tcPr>
            <w:tcW w:w="1520" w:type="dxa"/>
            <w:hideMark/>
          </w:tcPr>
          <w:p w14:paraId="7347803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0.79</w:t>
            </w:r>
          </w:p>
        </w:tc>
        <w:tc>
          <w:tcPr>
            <w:tcW w:w="1240" w:type="dxa"/>
            <w:hideMark/>
          </w:tcPr>
          <w:p w14:paraId="190F601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3.40</w:t>
            </w:r>
          </w:p>
        </w:tc>
        <w:tc>
          <w:tcPr>
            <w:tcW w:w="1540" w:type="dxa"/>
            <w:hideMark/>
          </w:tcPr>
          <w:p w14:paraId="7DE6AB4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0.50</w:t>
            </w:r>
          </w:p>
        </w:tc>
        <w:tc>
          <w:tcPr>
            <w:tcW w:w="1300" w:type="dxa"/>
            <w:hideMark/>
          </w:tcPr>
          <w:p w14:paraId="1545708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25288.04</w:t>
            </w:r>
          </w:p>
        </w:tc>
        <w:tc>
          <w:tcPr>
            <w:tcW w:w="1540" w:type="dxa"/>
            <w:hideMark/>
          </w:tcPr>
          <w:p w14:paraId="23F9B0D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64.88</w:t>
            </w:r>
          </w:p>
        </w:tc>
      </w:tr>
      <w:tr w:rsidR="00302953" w:rsidRPr="00770477" w14:paraId="2FACB93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A66271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1-C-430-2</w:t>
            </w:r>
          </w:p>
        </w:tc>
        <w:tc>
          <w:tcPr>
            <w:tcW w:w="1300" w:type="dxa"/>
            <w:hideMark/>
          </w:tcPr>
          <w:p w14:paraId="5BF7790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420.67</w:t>
            </w:r>
          </w:p>
        </w:tc>
        <w:tc>
          <w:tcPr>
            <w:tcW w:w="1440" w:type="dxa"/>
            <w:hideMark/>
          </w:tcPr>
          <w:p w14:paraId="3FEAADD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19.80</w:t>
            </w:r>
          </w:p>
        </w:tc>
        <w:tc>
          <w:tcPr>
            <w:tcW w:w="1240" w:type="dxa"/>
            <w:hideMark/>
          </w:tcPr>
          <w:p w14:paraId="291B5EE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14.86</w:t>
            </w:r>
          </w:p>
        </w:tc>
        <w:tc>
          <w:tcPr>
            <w:tcW w:w="1520" w:type="dxa"/>
            <w:hideMark/>
          </w:tcPr>
          <w:p w14:paraId="1A14A94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0.82</w:t>
            </w:r>
          </w:p>
        </w:tc>
        <w:tc>
          <w:tcPr>
            <w:tcW w:w="1240" w:type="dxa"/>
            <w:hideMark/>
          </w:tcPr>
          <w:p w14:paraId="25AF993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2.00</w:t>
            </w:r>
          </w:p>
        </w:tc>
        <w:tc>
          <w:tcPr>
            <w:tcW w:w="1540" w:type="dxa"/>
            <w:hideMark/>
          </w:tcPr>
          <w:p w14:paraId="5C96575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0.30</w:t>
            </w:r>
          </w:p>
        </w:tc>
        <w:tc>
          <w:tcPr>
            <w:tcW w:w="1300" w:type="dxa"/>
            <w:hideMark/>
          </w:tcPr>
          <w:p w14:paraId="0EA21F9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25492.91</w:t>
            </w:r>
          </w:p>
        </w:tc>
        <w:tc>
          <w:tcPr>
            <w:tcW w:w="1540" w:type="dxa"/>
            <w:hideMark/>
          </w:tcPr>
          <w:p w14:paraId="7CA3B6E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65.41</w:t>
            </w:r>
          </w:p>
        </w:tc>
      </w:tr>
      <w:tr w:rsidR="00302953" w:rsidRPr="00770477" w14:paraId="3EB81177"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049A7F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1-C-670-1</w:t>
            </w:r>
          </w:p>
        </w:tc>
        <w:tc>
          <w:tcPr>
            <w:tcW w:w="1300" w:type="dxa"/>
            <w:hideMark/>
          </w:tcPr>
          <w:p w14:paraId="74BE027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365.59</w:t>
            </w:r>
          </w:p>
        </w:tc>
        <w:tc>
          <w:tcPr>
            <w:tcW w:w="1440" w:type="dxa"/>
            <w:hideMark/>
          </w:tcPr>
          <w:p w14:paraId="3871E84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17.20</w:t>
            </w:r>
          </w:p>
        </w:tc>
        <w:tc>
          <w:tcPr>
            <w:tcW w:w="1240" w:type="dxa"/>
            <w:hideMark/>
          </w:tcPr>
          <w:p w14:paraId="04E98DB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15.07</w:t>
            </w:r>
          </w:p>
        </w:tc>
        <w:tc>
          <w:tcPr>
            <w:tcW w:w="1520" w:type="dxa"/>
            <w:hideMark/>
          </w:tcPr>
          <w:p w14:paraId="0EED90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0.86</w:t>
            </w:r>
          </w:p>
        </w:tc>
        <w:tc>
          <w:tcPr>
            <w:tcW w:w="1240" w:type="dxa"/>
            <w:hideMark/>
          </w:tcPr>
          <w:p w14:paraId="4AC2BB2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4.05</w:t>
            </w:r>
          </w:p>
        </w:tc>
        <w:tc>
          <w:tcPr>
            <w:tcW w:w="1540" w:type="dxa"/>
            <w:hideMark/>
          </w:tcPr>
          <w:p w14:paraId="2B92252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0.70</w:t>
            </w:r>
          </w:p>
        </w:tc>
        <w:tc>
          <w:tcPr>
            <w:tcW w:w="1300" w:type="dxa"/>
            <w:hideMark/>
          </w:tcPr>
          <w:p w14:paraId="20A8112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22441.22</w:t>
            </w:r>
          </w:p>
        </w:tc>
        <w:tc>
          <w:tcPr>
            <w:tcW w:w="1540" w:type="dxa"/>
            <w:hideMark/>
          </w:tcPr>
          <w:p w14:paraId="6AA7B42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55.13</w:t>
            </w:r>
          </w:p>
        </w:tc>
      </w:tr>
      <w:tr w:rsidR="00302953" w:rsidRPr="00770477" w14:paraId="473E5879"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682EA6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1-I-000-3</w:t>
            </w:r>
          </w:p>
        </w:tc>
        <w:tc>
          <w:tcPr>
            <w:tcW w:w="1300" w:type="dxa"/>
            <w:hideMark/>
          </w:tcPr>
          <w:p w14:paraId="5766778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73.64</w:t>
            </w:r>
          </w:p>
        </w:tc>
        <w:tc>
          <w:tcPr>
            <w:tcW w:w="1440" w:type="dxa"/>
            <w:hideMark/>
          </w:tcPr>
          <w:p w14:paraId="1103A22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hideMark/>
          </w:tcPr>
          <w:p w14:paraId="536F6EA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19.34</w:t>
            </w:r>
          </w:p>
        </w:tc>
        <w:tc>
          <w:tcPr>
            <w:tcW w:w="1520" w:type="dxa"/>
            <w:hideMark/>
          </w:tcPr>
          <w:p w14:paraId="74F5E6D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hideMark/>
          </w:tcPr>
          <w:p w14:paraId="18A6D4C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9.85</w:t>
            </w:r>
          </w:p>
        </w:tc>
        <w:tc>
          <w:tcPr>
            <w:tcW w:w="1540" w:type="dxa"/>
            <w:hideMark/>
          </w:tcPr>
          <w:p w14:paraId="533E839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04AAD1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367.01</w:t>
            </w:r>
          </w:p>
        </w:tc>
        <w:tc>
          <w:tcPr>
            <w:tcW w:w="1540" w:type="dxa"/>
            <w:hideMark/>
          </w:tcPr>
          <w:p w14:paraId="6BDE390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5C992A7F"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DD4E3E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1-I-160-3</w:t>
            </w:r>
          </w:p>
        </w:tc>
        <w:tc>
          <w:tcPr>
            <w:tcW w:w="1300" w:type="dxa"/>
            <w:hideMark/>
          </w:tcPr>
          <w:p w14:paraId="2B38463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65.27</w:t>
            </w:r>
          </w:p>
        </w:tc>
        <w:tc>
          <w:tcPr>
            <w:tcW w:w="1440" w:type="dxa"/>
            <w:hideMark/>
          </w:tcPr>
          <w:p w14:paraId="28E9E3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hideMark/>
          </w:tcPr>
          <w:p w14:paraId="2FBEF39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18.92</w:t>
            </w:r>
          </w:p>
        </w:tc>
        <w:tc>
          <w:tcPr>
            <w:tcW w:w="1520" w:type="dxa"/>
            <w:hideMark/>
          </w:tcPr>
          <w:p w14:paraId="4B94120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hideMark/>
          </w:tcPr>
          <w:p w14:paraId="0A8410B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7.12</w:t>
            </w:r>
          </w:p>
        </w:tc>
        <w:tc>
          <w:tcPr>
            <w:tcW w:w="1540" w:type="dxa"/>
            <w:hideMark/>
          </w:tcPr>
          <w:p w14:paraId="0781766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CA8ED7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365.30</w:t>
            </w:r>
          </w:p>
        </w:tc>
        <w:tc>
          <w:tcPr>
            <w:tcW w:w="1540" w:type="dxa"/>
            <w:hideMark/>
          </w:tcPr>
          <w:p w14:paraId="47A9EA9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559BFE1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B00383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1-I-670-3</w:t>
            </w:r>
          </w:p>
        </w:tc>
        <w:tc>
          <w:tcPr>
            <w:tcW w:w="1300" w:type="dxa"/>
            <w:hideMark/>
          </w:tcPr>
          <w:p w14:paraId="52791C9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0B4A0CA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hideMark/>
          </w:tcPr>
          <w:p w14:paraId="32D3D63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17.60</w:t>
            </w:r>
          </w:p>
        </w:tc>
        <w:tc>
          <w:tcPr>
            <w:tcW w:w="1520" w:type="dxa"/>
            <w:hideMark/>
          </w:tcPr>
          <w:p w14:paraId="03CE69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hideMark/>
          </w:tcPr>
          <w:p w14:paraId="20AF6C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5.76</w:t>
            </w:r>
          </w:p>
        </w:tc>
        <w:tc>
          <w:tcPr>
            <w:tcW w:w="1540" w:type="dxa"/>
            <w:hideMark/>
          </w:tcPr>
          <w:p w14:paraId="04D6555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D95A82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407.02</w:t>
            </w:r>
          </w:p>
        </w:tc>
        <w:tc>
          <w:tcPr>
            <w:tcW w:w="1540" w:type="dxa"/>
            <w:hideMark/>
          </w:tcPr>
          <w:p w14:paraId="6160B2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41F545F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C703A0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2-A-010-1</w:t>
            </w:r>
          </w:p>
        </w:tc>
        <w:tc>
          <w:tcPr>
            <w:tcW w:w="1300" w:type="dxa"/>
            <w:hideMark/>
          </w:tcPr>
          <w:p w14:paraId="586F382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3DC9CB3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0.38</w:t>
            </w:r>
          </w:p>
        </w:tc>
        <w:tc>
          <w:tcPr>
            <w:tcW w:w="1240" w:type="dxa"/>
            <w:hideMark/>
          </w:tcPr>
          <w:p w14:paraId="0185ECC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15.25</w:t>
            </w:r>
          </w:p>
        </w:tc>
        <w:tc>
          <w:tcPr>
            <w:tcW w:w="1520" w:type="dxa"/>
            <w:hideMark/>
          </w:tcPr>
          <w:p w14:paraId="09D9421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0.75</w:t>
            </w:r>
          </w:p>
        </w:tc>
        <w:tc>
          <w:tcPr>
            <w:tcW w:w="1240" w:type="dxa"/>
            <w:hideMark/>
          </w:tcPr>
          <w:p w14:paraId="6EC873B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7.52</w:t>
            </w:r>
          </w:p>
        </w:tc>
        <w:tc>
          <w:tcPr>
            <w:tcW w:w="1540" w:type="dxa"/>
            <w:hideMark/>
          </w:tcPr>
          <w:p w14:paraId="1B0C549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0.57</w:t>
            </w:r>
          </w:p>
        </w:tc>
        <w:tc>
          <w:tcPr>
            <w:tcW w:w="1300" w:type="dxa"/>
            <w:hideMark/>
          </w:tcPr>
          <w:p w14:paraId="4316E98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780.43</w:t>
            </w:r>
          </w:p>
        </w:tc>
        <w:tc>
          <w:tcPr>
            <w:tcW w:w="1540" w:type="dxa"/>
            <w:hideMark/>
          </w:tcPr>
          <w:p w14:paraId="61096F0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1.98</w:t>
            </w:r>
          </w:p>
        </w:tc>
      </w:tr>
      <w:tr w:rsidR="00302953" w:rsidRPr="00770477" w14:paraId="54A1EFF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98A208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2-A-040-1</w:t>
            </w:r>
          </w:p>
        </w:tc>
        <w:tc>
          <w:tcPr>
            <w:tcW w:w="1300" w:type="dxa"/>
            <w:hideMark/>
          </w:tcPr>
          <w:p w14:paraId="430F727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42A68CA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0.39</w:t>
            </w:r>
          </w:p>
        </w:tc>
        <w:tc>
          <w:tcPr>
            <w:tcW w:w="1240" w:type="dxa"/>
            <w:hideMark/>
          </w:tcPr>
          <w:p w14:paraId="0A6ECB9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16.76</w:t>
            </w:r>
          </w:p>
        </w:tc>
        <w:tc>
          <w:tcPr>
            <w:tcW w:w="1520" w:type="dxa"/>
            <w:hideMark/>
          </w:tcPr>
          <w:p w14:paraId="57845EE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0.83</w:t>
            </w:r>
          </w:p>
        </w:tc>
        <w:tc>
          <w:tcPr>
            <w:tcW w:w="1240" w:type="dxa"/>
            <w:hideMark/>
          </w:tcPr>
          <w:p w14:paraId="0C39ACF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9.11</w:t>
            </w:r>
          </w:p>
        </w:tc>
        <w:tc>
          <w:tcPr>
            <w:tcW w:w="1540" w:type="dxa"/>
            <w:hideMark/>
          </w:tcPr>
          <w:p w14:paraId="1BAD72E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0.70</w:t>
            </w:r>
          </w:p>
        </w:tc>
        <w:tc>
          <w:tcPr>
            <w:tcW w:w="1300" w:type="dxa"/>
            <w:hideMark/>
          </w:tcPr>
          <w:p w14:paraId="681D9BF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652.17</w:t>
            </w:r>
          </w:p>
        </w:tc>
        <w:tc>
          <w:tcPr>
            <w:tcW w:w="1540" w:type="dxa"/>
            <w:hideMark/>
          </w:tcPr>
          <w:p w14:paraId="52F6798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1.65</w:t>
            </w:r>
          </w:p>
        </w:tc>
      </w:tr>
      <w:tr w:rsidR="00302953" w:rsidRPr="00770477" w14:paraId="0A81024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380879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2-A-090-1</w:t>
            </w:r>
          </w:p>
        </w:tc>
        <w:tc>
          <w:tcPr>
            <w:tcW w:w="1300" w:type="dxa"/>
            <w:hideMark/>
          </w:tcPr>
          <w:p w14:paraId="54DF6F8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52.67</w:t>
            </w:r>
          </w:p>
        </w:tc>
        <w:tc>
          <w:tcPr>
            <w:tcW w:w="1440" w:type="dxa"/>
            <w:hideMark/>
          </w:tcPr>
          <w:p w14:paraId="1AC71BB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0.99</w:t>
            </w:r>
          </w:p>
        </w:tc>
        <w:tc>
          <w:tcPr>
            <w:tcW w:w="1240" w:type="dxa"/>
            <w:hideMark/>
          </w:tcPr>
          <w:p w14:paraId="637EE46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16.58</w:t>
            </w:r>
          </w:p>
        </w:tc>
        <w:tc>
          <w:tcPr>
            <w:tcW w:w="1520" w:type="dxa"/>
            <w:hideMark/>
          </w:tcPr>
          <w:p w14:paraId="160CB0E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0.82</w:t>
            </w:r>
          </w:p>
        </w:tc>
        <w:tc>
          <w:tcPr>
            <w:tcW w:w="1240" w:type="dxa"/>
            <w:hideMark/>
          </w:tcPr>
          <w:p w14:paraId="7FEBB9A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10.46</w:t>
            </w:r>
          </w:p>
        </w:tc>
        <w:tc>
          <w:tcPr>
            <w:tcW w:w="1540" w:type="dxa"/>
            <w:hideMark/>
          </w:tcPr>
          <w:p w14:paraId="113E21C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0.81</w:t>
            </w:r>
          </w:p>
        </w:tc>
        <w:tc>
          <w:tcPr>
            <w:tcW w:w="1300" w:type="dxa"/>
            <w:hideMark/>
          </w:tcPr>
          <w:p w14:paraId="17A358C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542.03</w:t>
            </w:r>
          </w:p>
        </w:tc>
        <w:tc>
          <w:tcPr>
            <w:tcW w:w="1540" w:type="dxa"/>
            <w:hideMark/>
          </w:tcPr>
          <w:p w14:paraId="70911FE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1.37</w:t>
            </w:r>
          </w:p>
        </w:tc>
      </w:tr>
      <w:tr w:rsidR="00302953" w:rsidRPr="00770477" w14:paraId="006D9A1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24174A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2-A-090-2</w:t>
            </w:r>
          </w:p>
        </w:tc>
        <w:tc>
          <w:tcPr>
            <w:tcW w:w="1300" w:type="dxa"/>
            <w:hideMark/>
          </w:tcPr>
          <w:p w14:paraId="7423EA4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51.38</w:t>
            </w:r>
          </w:p>
        </w:tc>
        <w:tc>
          <w:tcPr>
            <w:tcW w:w="1440" w:type="dxa"/>
            <w:hideMark/>
          </w:tcPr>
          <w:p w14:paraId="20DE881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0.96</w:t>
            </w:r>
          </w:p>
        </w:tc>
        <w:tc>
          <w:tcPr>
            <w:tcW w:w="1240" w:type="dxa"/>
            <w:hideMark/>
          </w:tcPr>
          <w:p w14:paraId="1416E6E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15.86</w:t>
            </w:r>
          </w:p>
        </w:tc>
        <w:tc>
          <w:tcPr>
            <w:tcW w:w="1520" w:type="dxa"/>
            <w:hideMark/>
          </w:tcPr>
          <w:p w14:paraId="4DA4963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0.79</w:t>
            </w:r>
          </w:p>
        </w:tc>
        <w:tc>
          <w:tcPr>
            <w:tcW w:w="1240" w:type="dxa"/>
            <w:hideMark/>
          </w:tcPr>
          <w:p w14:paraId="3E2295B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10.73</w:t>
            </w:r>
          </w:p>
        </w:tc>
        <w:tc>
          <w:tcPr>
            <w:tcW w:w="1540" w:type="dxa"/>
            <w:hideMark/>
          </w:tcPr>
          <w:p w14:paraId="4FD664F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0.84</w:t>
            </w:r>
          </w:p>
        </w:tc>
        <w:tc>
          <w:tcPr>
            <w:tcW w:w="1300" w:type="dxa"/>
            <w:hideMark/>
          </w:tcPr>
          <w:p w14:paraId="6EED6A7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531.18</w:t>
            </w:r>
          </w:p>
        </w:tc>
        <w:tc>
          <w:tcPr>
            <w:tcW w:w="1540" w:type="dxa"/>
            <w:hideMark/>
          </w:tcPr>
          <w:p w14:paraId="251A63A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1.34</w:t>
            </w:r>
          </w:p>
        </w:tc>
      </w:tr>
      <w:tr w:rsidR="00302953" w:rsidRPr="00770477" w14:paraId="2453CBB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7BC51F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2-A-160-1</w:t>
            </w:r>
          </w:p>
        </w:tc>
        <w:tc>
          <w:tcPr>
            <w:tcW w:w="1300" w:type="dxa"/>
            <w:hideMark/>
          </w:tcPr>
          <w:p w14:paraId="5EA08D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5065265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hideMark/>
          </w:tcPr>
          <w:p w14:paraId="537DEF5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15.60</w:t>
            </w:r>
          </w:p>
        </w:tc>
        <w:tc>
          <w:tcPr>
            <w:tcW w:w="1520" w:type="dxa"/>
            <w:hideMark/>
          </w:tcPr>
          <w:p w14:paraId="2154AF5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0.78</w:t>
            </w:r>
          </w:p>
        </w:tc>
        <w:tc>
          <w:tcPr>
            <w:tcW w:w="1240" w:type="dxa"/>
            <w:hideMark/>
          </w:tcPr>
          <w:p w14:paraId="48D8177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6.19</w:t>
            </w:r>
          </w:p>
        </w:tc>
        <w:tc>
          <w:tcPr>
            <w:tcW w:w="1540" w:type="dxa"/>
            <w:hideMark/>
          </w:tcPr>
          <w:p w14:paraId="25090F2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0.63</w:t>
            </w:r>
          </w:p>
        </w:tc>
        <w:tc>
          <w:tcPr>
            <w:tcW w:w="1300" w:type="dxa"/>
            <w:hideMark/>
          </w:tcPr>
          <w:p w14:paraId="67979D6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546.59</w:t>
            </w:r>
          </w:p>
        </w:tc>
        <w:tc>
          <w:tcPr>
            <w:tcW w:w="1540" w:type="dxa"/>
            <w:hideMark/>
          </w:tcPr>
          <w:p w14:paraId="3E7EDF9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1.24</w:t>
            </w:r>
          </w:p>
        </w:tc>
      </w:tr>
      <w:tr w:rsidR="00302953" w:rsidRPr="00770477" w14:paraId="3D3F59E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DBBFA7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2-A-270-1</w:t>
            </w:r>
          </w:p>
        </w:tc>
        <w:tc>
          <w:tcPr>
            <w:tcW w:w="1300" w:type="dxa"/>
            <w:noWrap/>
            <w:hideMark/>
          </w:tcPr>
          <w:p w14:paraId="6F85454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57.25</w:t>
            </w:r>
          </w:p>
        </w:tc>
        <w:tc>
          <w:tcPr>
            <w:tcW w:w="1440" w:type="dxa"/>
            <w:hideMark/>
          </w:tcPr>
          <w:p w14:paraId="66C0AE8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1.21</w:t>
            </w:r>
          </w:p>
        </w:tc>
        <w:tc>
          <w:tcPr>
            <w:tcW w:w="1240" w:type="dxa"/>
            <w:noWrap/>
            <w:hideMark/>
          </w:tcPr>
          <w:p w14:paraId="08F37DB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21.38</w:t>
            </w:r>
          </w:p>
        </w:tc>
        <w:tc>
          <w:tcPr>
            <w:tcW w:w="1520" w:type="dxa"/>
            <w:hideMark/>
          </w:tcPr>
          <w:p w14:paraId="002B33D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w:t>
            </w:r>
          </w:p>
        </w:tc>
        <w:tc>
          <w:tcPr>
            <w:tcW w:w="1240" w:type="dxa"/>
            <w:noWrap/>
            <w:hideMark/>
          </w:tcPr>
          <w:p w14:paraId="1471A9B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10.51</w:t>
            </w:r>
          </w:p>
        </w:tc>
        <w:tc>
          <w:tcPr>
            <w:tcW w:w="1540" w:type="dxa"/>
            <w:hideMark/>
          </w:tcPr>
          <w:p w14:paraId="678776D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0.86</w:t>
            </w:r>
          </w:p>
        </w:tc>
        <w:tc>
          <w:tcPr>
            <w:tcW w:w="1300" w:type="dxa"/>
            <w:noWrap/>
            <w:hideMark/>
          </w:tcPr>
          <w:p w14:paraId="52E6FD4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684.90</w:t>
            </w:r>
          </w:p>
        </w:tc>
        <w:tc>
          <w:tcPr>
            <w:tcW w:w="1540" w:type="dxa"/>
            <w:hideMark/>
          </w:tcPr>
          <w:p w14:paraId="028ED99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1.70</w:t>
            </w:r>
          </w:p>
        </w:tc>
      </w:tr>
      <w:tr w:rsidR="00302953" w:rsidRPr="00770477" w14:paraId="0823D28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26945D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2-A-430-1</w:t>
            </w:r>
          </w:p>
        </w:tc>
        <w:tc>
          <w:tcPr>
            <w:tcW w:w="1300" w:type="dxa"/>
            <w:hideMark/>
          </w:tcPr>
          <w:p w14:paraId="5BA9462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07F572C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6E420F7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19.23</w:t>
            </w:r>
          </w:p>
        </w:tc>
        <w:tc>
          <w:tcPr>
            <w:tcW w:w="1520" w:type="dxa"/>
            <w:hideMark/>
          </w:tcPr>
          <w:p w14:paraId="775939A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0.97</w:t>
            </w:r>
          </w:p>
        </w:tc>
        <w:tc>
          <w:tcPr>
            <w:tcW w:w="1240" w:type="dxa"/>
            <w:noWrap/>
            <w:hideMark/>
          </w:tcPr>
          <w:p w14:paraId="35049BD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9.32</w:t>
            </w:r>
          </w:p>
        </w:tc>
        <w:tc>
          <w:tcPr>
            <w:tcW w:w="1540" w:type="dxa"/>
            <w:hideMark/>
          </w:tcPr>
          <w:p w14:paraId="0CDB9CE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0.80</w:t>
            </w:r>
          </w:p>
        </w:tc>
        <w:tc>
          <w:tcPr>
            <w:tcW w:w="1300" w:type="dxa"/>
            <w:noWrap/>
            <w:hideMark/>
          </w:tcPr>
          <w:p w14:paraId="601E8E2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585.41</w:t>
            </w:r>
          </w:p>
        </w:tc>
        <w:tc>
          <w:tcPr>
            <w:tcW w:w="1540" w:type="dxa"/>
            <w:hideMark/>
          </w:tcPr>
          <w:p w14:paraId="0F3F3D6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1.44</w:t>
            </w:r>
          </w:p>
        </w:tc>
      </w:tr>
      <w:tr w:rsidR="00302953" w:rsidRPr="00770477" w14:paraId="7ECFE2F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150D97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2-A-430-2</w:t>
            </w:r>
          </w:p>
        </w:tc>
        <w:tc>
          <w:tcPr>
            <w:tcW w:w="1300" w:type="dxa"/>
            <w:noWrap/>
            <w:hideMark/>
          </w:tcPr>
          <w:p w14:paraId="75B382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43.57</w:t>
            </w:r>
          </w:p>
        </w:tc>
        <w:tc>
          <w:tcPr>
            <w:tcW w:w="1440" w:type="dxa"/>
            <w:hideMark/>
          </w:tcPr>
          <w:p w14:paraId="02969B7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2.05</w:t>
            </w:r>
          </w:p>
        </w:tc>
        <w:tc>
          <w:tcPr>
            <w:tcW w:w="1240" w:type="dxa"/>
            <w:noWrap/>
            <w:hideMark/>
          </w:tcPr>
          <w:p w14:paraId="66D631D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19.61</w:t>
            </w:r>
          </w:p>
        </w:tc>
        <w:tc>
          <w:tcPr>
            <w:tcW w:w="1520" w:type="dxa"/>
            <w:hideMark/>
          </w:tcPr>
          <w:p w14:paraId="4241EAC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0.99</w:t>
            </w:r>
          </w:p>
        </w:tc>
        <w:tc>
          <w:tcPr>
            <w:tcW w:w="1240" w:type="dxa"/>
            <w:noWrap/>
            <w:hideMark/>
          </w:tcPr>
          <w:p w14:paraId="75D7D80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9.60</w:t>
            </w:r>
          </w:p>
        </w:tc>
        <w:tc>
          <w:tcPr>
            <w:tcW w:w="1540" w:type="dxa"/>
            <w:hideMark/>
          </w:tcPr>
          <w:p w14:paraId="7488B18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0.82</w:t>
            </w:r>
          </w:p>
        </w:tc>
        <w:tc>
          <w:tcPr>
            <w:tcW w:w="1300" w:type="dxa"/>
            <w:noWrap/>
            <w:hideMark/>
          </w:tcPr>
          <w:p w14:paraId="3B0E9E0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589.99</w:t>
            </w:r>
          </w:p>
        </w:tc>
        <w:tc>
          <w:tcPr>
            <w:tcW w:w="1540" w:type="dxa"/>
            <w:hideMark/>
          </w:tcPr>
          <w:p w14:paraId="3AD0FEE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1.45</w:t>
            </w:r>
          </w:p>
        </w:tc>
      </w:tr>
      <w:tr w:rsidR="00302953" w:rsidRPr="00770477" w14:paraId="7E5CA76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8442CE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2-A-670-1</w:t>
            </w:r>
          </w:p>
        </w:tc>
        <w:tc>
          <w:tcPr>
            <w:tcW w:w="1300" w:type="dxa"/>
            <w:hideMark/>
          </w:tcPr>
          <w:p w14:paraId="3A7A57E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028C150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530FD05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19.59</w:t>
            </w:r>
          </w:p>
        </w:tc>
        <w:tc>
          <w:tcPr>
            <w:tcW w:w="1520" w:type="dxa"/>
            <w:hideMark/>
          </w:tcPr>
          <w:p w14:paraId="20B94E5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7FFE2B5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7.41</w:t>
            </w:r>
          </w:p>
        </w:tc>
        <w:tc>
          <w:tcPr>
            <w:tcW w:w="1540" w:type="dxa"/>
            <w:hideMark/>
          </w:tcPr>
          <w:p w14:paraId="54D10E4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0.65</w:t>
            </w:r>
          </w:p>
        </w:tc>
        <w:tc>
          <w:tcPr>
            <w:tcW w:w="1300" w:type="dxa"/>
            <w:noWrap/>
            <w:hideMark/>
          </w:tcPr>
          <w:p w14:paraId="731EA99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496.65</w:t>
            </w:r>
          </w:p>
        </w:tc>
        <w:tc>
          <w:tcPr>
            <w:tcW w:w="1540" w:type="dxa"/>
            <w:hideMark/>
          </w:tcPr>
          <w:p w14:paraId="7A5DDFB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1.23</w:t>
            </w:r>
          </w:p>
        </w:tc>
      </w:tr>
      <w:tr w:rsidR="00302953" w:rsidRPr="00770477" w14:paraId="00EB957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38FFE1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2-B-010-1</w:t>
            </w:r>
          </w:p>
        </w:tc>
        <w:tc>
          <w:tcPr>
            <w:tcW w:w="1300" w:type="dxa"/>
            <w:hideMark/>
          </w:tcPr>
          <w:p w14:paraId="06140EE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4A8B82A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0.38</w:t>
            </w:r>
          </w:p>
        </w:tc>
        <w:tc>
          <w:tcPr>
            <w:tcW w:w="1240" w:type="dxa"/>
            <w:hideMark/>
          </w:tcPr>
          <w:p w14:paraId="651F8A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16.96</w:t>
            </w:r>
          </w:p>
        </w:tc>
        <w:tc>
          <w:tcPr>
            <w:tcW w:w="1520" w:type="dxa"/>
            <w:hideMark/>
          </w:tcPr>
          <w:p w14:paraId="060577F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0.84</w:t>
            </w:r>
          </w:p>
        </w:tc>
        <w:tc>
          <w:tcPr>
            <w:tcW w:w="1240" w:type="dxa"/>
            <w:hideMark/>
          </w:tcPr>
          <w:p w14:paraId="1AD8AD8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9.55</w:t>
            </w:r>
          </w:p>
        </w:tc>
        <w:tc>
          <w:tcPr>
            <w:tcW w:w="1540" w:type="dxa"/>
            <w:hideMark/>
          </w:tcPr>
          <w:p w14:paraId="0585E99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0.73</w:t>
            </w:r>
          </w:p>
        </w:tc>
        <w:tc>
          <w:tcPr>
            <w:tcW w:w="1300" w:type="dxa"/>
            <w:hideMark/>
          </w:tcPr>
          <w:p w14:paraId="7D5FF02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660.26</w:t>
            </w:r>
          </w:p>
        </w:tc>
        <w:tc>
          <w:tcPr>
            <w:tcW w:w="1540" w:type="dxa"/>
            <w:hideMark/>
          </w:tcPr>
          <w:p w14:paraId="648C998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1.68</w:t>
            </w:r>
          </w:p>
        </w:tc>
      </w:tr>
      <w:tr w:rsidR="00302953" w:rsidRPr="00770477" w14:paraId="39E8937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8D17E2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2-B-040-1</w:t>
            </w:r>
          </w:p>
        </w:tc>
        <w:tc>
          <w:tcPr>
            <w:tcW w:w="1300" w:type="dxa"/>
            <w:hideMark/>
          </w:tcPr>
          <w:p w14:paraId="47E2419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52.43</w:t>
            </w:r>
          </w:p>
        </w:tc>
        <w:tc>
          <w:tcPr>
            <w:tcW w:w="1440" w:type="dxa"/>
            <w:hideMark/>
          </w:tcPr>
          <w:p w14:paraId="4DFA25F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0.95</w:t>
            </w:r>
          </w:p>
        </w:tc>
        <w:tc>
          <w:tcPr>
            <w:tcW w:w="1240" w:type="dxa"/>
            <w:hideMark/>
          </w:tcPr>
          <w:p w14:paraId="108FBA8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17.19</w:t>
            </w:r>
          </w:p>
        </w:tc>
        <w:tc>
          <w:tcPr>
            <w:tcW w:w="1520" w:type="dxa"/>
            <w:hideMark/>
          </w:tcPr>
          <w:p w14:paraId="74F42E5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0.85</w:t>
            </w:r>
          </w:p>
        </w:tc>
        <w:tc>
          <w:tcPr>
            <w:tcW w:w="1240" w:type="dxa"/>
            <w:hideMark/>
          </w:tcPr>
          <w:p w14:paraId="56A313F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10.70</w:t>
            </w:r>
          </w:p>
        </w:tc>
        <w:tc>
          <w:tcPr>
            <w:tcW w:w="1540" w:type="dxa"/>
            <w:hideMark/>
          </w:tcPr>
          <w:p w14:paraId="494148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0.82</w:t>
            </w:r>
          </w:p>
        </w:tc>
        <w:tc>
          <w:tcPr>
            <w:tcW w:w="1300" w:type="dxa"/>
            <w:hideMark/>
          </w:tcPr>
          <w:p w14:paraId="68923C5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661.09</w:t>
            </w:r>
          </w:p>
        </w:tc>
        <w:tc>
          <w:tcPr>
            <w:tcW w:w="1540" w:type="dxa"/>
            <w:hideMark/>
          </w:tcPr>
          <w:p w14:paraId="4D225A2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1.67</w:t>
            </w:r>
          </w:p>
        </w:tc>
      </w:tr>
      <w:tr w:rsidR="00302953" w:rsidRPr="00770477" w14:paraId="196277F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A6EBA5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2-B-090-1</w:t>
            </w:r>
          </w:p>
        </w:tc>
        <w:tc>
          <w:tcPr>
            <w:tcW w:w="1300" w:type="dxa"/>
            <w:hideMark/>
          </w:tcPr>
          <w:p w14:paraId="74EE66B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54.48</w:t>
            </w:r>
          </w:p>
        </w:tc>
        <w:tc>
          <w:tcPr>
            <w:tcW w:w="1440" w:type="dxa"/>
            <w:hideMark/>
          </w:tcPr>
          <w:p w14:paraId="78E7DB5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w:t>
            </w:r>
          </w:p>
        </w:tc>
        <w:tc>
          <w:tcPr>
            <w:tcW w:w="1240" w:type="dxa"/>
            <w:hideMark/>
          </w:tcPr>
          <w:p w14:paraId="71D6767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17.65</w:t>
            </w:r>
          </w:p>
        </w:tc>
        <w:tc>
          <w:tcPr>
            <w:tcW w:w="1520" w:type="dxa"/>
            <w:hideMark/>
          </w:tcPr>
          <w:p w14:paraId="4B8C8A2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0.88</w:t>
            </w:r>
          </w:p>
        </w:tc>
        <w:tc>
          <w:tcPr>
            <w:tcW w:w="1240" w:type="dxa"/>
            <w:hideMark/>
          </w:tcPr>
          <w:p w14:paraId="699DC86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11.81</w:t>
            </w:r>
          </w:p>
        </w:tc>
        <w:tc>
          <w:tcPr>
            <w:tcW w:w="1540" w:type="dxa"/>
            <w:hideMark/>
          </w:tcPr>
          <w:p w14:paraId="651EBC8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0.92</w:t>
            </w:r>
          </w:p>
        </w:tc>
        <w:tc>
          <w:tcPr>
            <w:tcW w:w="1300" w:type="dxa"/>
            <w:hideMark/>
          </w:tcPr>
          <w:p w14:paraId="6733C3C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504.72</w:t>
            </w:r>
          </w:p>
        </w:tc>
        <w:tc>
          <w:tcPr>
            <w:tcW w:w="1540" w:type="dxa"/>
            <w:hideMark/>
          </w:tcPr>
          <w:p w14:paraId="47EAE5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1.27</w:t>
            </w:r>
          </w:p>
        </w:tc>
      </w:tr>
      <w:tr w:rsidR="00302953" w:rsidRPr="00770477" w14:paraId="42E6842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1A23BA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2-B-090-2</w:t>
            </w:r>
          </w:p>
        </w:tc>
        <w:tc>
          <w:tcPr>
            <w:tcW w:w="1300" w:type="dxa"/>
            <w:hideMark/>
          </w:tcPr>
          <w:p w14:paraId="77D7D44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61.77</w:t>
            </w:r>
          </w:p>
        </w:tc>
        <w:tc>
          <w:tcPr>
            <w:tcW w:w="1440" w:type="dxa"/>
            <w:hideMark/>
          </w:tcPr>
          <w:p w14:paraId="2DF79AC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1.16</w:t>
            </w:r>
          </w:p>
        </w:tc>
        <w:tc>
          <w:tcPr>
            <w:tcW w:w="1240" w:type="dxa"/>
            <w:hideMark/>
          </w:tcPr>
          <w:p w14:paraId="0EFACA2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16.62</w:t>
            </w:r>
          </w:p>
        </w:tc>
        <w:tc>
          <w:tcPr>
            <w:tcW w:w="1520" w:type="dxa"/>
            <w:hideMark/>
          </w:tcPr>
          <w:p w14:paraId="4629CA3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0.83</w:t>
            </w:r>
          </w:p>
        </w:tc>
        <w:tc>
          <w:tcPr>
            <w:tcW w:w="1240" w:type="dxa"/>
            <w:hideMark/>
          </w:tcPr>
          <w:p w14:paraId="4C3F01C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11.86</w:t>
            </w:r>
          </w:p>
        </w:tc>
        <w:tc>
          <w:tcPr>
            <w:tcW w:w="1540" w:type="dxa"/>
            <w:hideMark/>
          </w:tcPr>
          <w:p w14:paraId="28344E2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0.92</w:t>
            </w:r>
          </w:p>
        </w:tc>
        <w:tc>
          <w:tcPr>
            <w:tcW w:w="1300" w:type="dxa"/>
            <w:hideMark/>
          </w:tcPr>
          <w:p w14:paraId="79A697E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500.78</w:t>
            </w:r>
          </w:p>
        </w:tc>
        <w:tc>
          <w:tcPr>
            <w:tcW w:w="1540" w:type="dxa"/>
            <w:hideMark/>
          </w:tcPr>
          <w:p w14:paraId="071EC7E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1.26</w:t>
            </w:r>
          </w:p>
        </w:tc>
      </w:tr>
      <w:tr w:rsidR="00302953" w:rsidRPr="00770477" w14:paraId="03E5FC4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069040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2-B-160-1</w:t>
            </w:r>
          </w:p>
        </w:tc>
        <w:tc>
          <w:tcPr>
            <w:tcW w:w="1300" w:type="dxa"/>
            <w:hideMark/>
          </w:tcPr>
          <w:p w14:paraId="77CCEA1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44.91</w:t>
            </w:r>
          </w:p>
        </w:tc>
        <w:tc>
          <w:tcPr>
            <w:tcW w:w="1440" w:type="dxa"/>
            <w:hideMark/>
          </w:tcPr>
          <w:p w14:paraId="0B3D7B3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2.11</w:t>
            </w:r>
          </w:p>
        </w:tc>
        <w:tc>
          <w:tcPr>
            <w:tcW w:w="1240" w:type="dxa"/>
            <w:hideMark/>
          </w:tcPr>
          <w:p w14:paraId="50AD381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15.46</w:t>
            </w:r>
          </w:p>
        </w:tc>
        <w:tc>
          <w:tcPr>
            <w:tcW w:w="1520" w:type="dxa"/>
            <w:hideMark/>
          </w:tcPr>
          <w:p w14:paraId="204E746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0.77</w:t>
            </w:r>
          </w:p>
        </w:tc>
        <w:tc>
          <w:tcPr>
            <w:tcW w:w="1240" w:type="dxa"/>
            <w:hideMark/>
          </w:tcPr>
          <w:p w14:paraId="7CD51C7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9.22</w:t>
            </w:r>
          </w:p>
        </w:tc>
        <w:tc>
          <w:tcPr>
            <w:tcW w:w="1540" w:type="dxa"/>
            <w:hideMark/>
          </w:tcPr>
          <w:p w14:paraId="16B0E04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0.93</w:t>
            </w:r>
          </w:p>
        </w:tc>
        <w:tc>
          <w:tcPr>
            <w:tcW w:w="1300" w:type="dxa"/>
            <w:hideMark/>
          </w:tcPr>
          <w:p w14:paraId="1A99241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495.06</w:t>
            </w:r>
          </w:p>
        </w:tc>
        <w:tc>
          <w:tcPr>
            <w:tcW w:w="1540" w:type="dxa"/>
            <w:hideMark/>
          </w:tcPr>
          <w:p w14:paraId="000967F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1.13</w:t>
            </w:r>
          </w:p>
        </w:tc>
      </w:tr>
      <w:tr w:rsidR="00302953" w:rsidRPr="00770477" w14:paraId="44DE21A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90C9E5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2-B-160-2</w:t>
            </w:r>
          </w:p>
        </w:tc>
        <w:tc>
          <w:tcPr>
            <w:tcW w:w="1300" w:type="dxa"/>
            <w:hideMark/>
          </w:tcPr>
          <w:p w14:paraId="64244A7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65.00</w:t>
            </w:r>
          </w:p>
        </w:tc>
        <w:tc>
          <w:tcPr>
            <w:tcW w:w="1440" w:type="dxa"/>
            <w:hideMark/>
          </w:tcPr>
          <w:p w14:paraId="5F49A87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3.06</w:t>
            </w:r>
          </w:p>
        </w:tc>
        <w:tc>
          <w:tcPr>
            <w:tcW w:w="1240" w:type="dxa"/>
            <w:hideMark/>
          </w:tcPr>
          <w:p w14:paraId="27D008D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16.68</w:t>
            </w:r>
          </w:p>
        </w:tc>
        <w:tc>
          <w:tcPr>
            <w:tcW w:w="1520" w:type="dxa"/>
            <w:hideMark/>
          </w:tcPr>
          <w:p w14:paraId="72F0CBE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0.83</w:t>
            </w:r>
          </w:p>
        </w:tc>
        <w:tc>
          <w:tcPr>
            <w:tcW w:w="1240" w:type="dxa"/>
            <w:hideMark/>
          </w:tcPr>
          <w:p w14:paraId="1ACAE03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11.16</w:t>
            </w:r>
          </w:p>
        </w:tc>
        <w:tc>
          <w:tcPr>
            <w:tcW w:w="1540" w:type="dxa"/>
            <w:hideMark/>
          </w:tcPr>
          <w:p w14:paraId="7408778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1.13</w:t>
            </w:r>
          </w:p>
        </w:tc>
        <w:tc>
          <w:tcPr>
            <w:tcW w:w="1300" w:type="dxa"/>
            <w:hideMark/>
          </w:tcPr>
          <w:p w14:paraId="03DE057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484.02</w:t>
            </w:r>
          </w:p>
        </w:tc>
        <w:tc>
          <w:tcPr>
            <w:tcW w:w="1540" w:type="dxa"/>
            <w:hideMark/>
          </w:tcPr>
          <w:p w14:paraId="7785035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1.10</w:t>
            </w:r>
          </w:p>
        </w:tc>
      </w:tr>
      <w:tr w:rsidR="00302953" w:rsidRPr="00770477" w14:paraId="6658802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8BD159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2-B-270-1</w:t>
            </w:r>
          </w:p>
        </w:tc>
        <w:tc>
          <w:tcPr>
            <w:tcW w:w="1300" w:type="dxa"/>
            <w:hideMark/>
          </w:tcPr>
          <w:p w14:paraId="28F26EF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7796DDA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0.45</w:t>
            </w:r>
          </w:p>
        </w:tc>
        <w:tc>
          <w:tcPr>
            <w:tcW w:w="1240" w:type="dxa"/>
            <w:noWrap/>
            <w:hideMark/>
          </w:tcPr>
          <w:p w14:paraId="71C2422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19.18</w:t>
            </w:r>
          </w:p>
        </w:tc>
        <w:tc>
          <w:tcPr>
            <w:tcW w:w="1520" w:type="dxa"/>
            <w:hideMark/>
          </w:tcPr>
          <w:p w14:paraId="4470E75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0.96</w:t>
            </w:r>
          </w:p>
        </w:tc>
        <w:tc>
          <w:tcPr>
            <w:tcW w:w="1240" w:type="dxa"/>
            <w:noWrap/>
            <w:hideMark/>
          </w:tcPr>
          <w:p w14:paraId="3A68340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10.32</w:t>
            </w:r>
          </w:p>
        </w:tc>
        <w:tc>
          <w:tcPr>
            <w:tcW w:w="1540" w:type="dxa"/>
            <w:hideMark/>
          </w:tcPr>
          <w:p w14:paraId="4AA18DB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0.85</w:t>
            </w:r>
          </w:p>
        </w:tc>
        <w:tc>
          <w:tcPr>
            <w:tcW w:w="1300" w:type="dxa"/>
            <w:noWrap/>
            <w:hideMark/>
          </w:tcPr>
          <w:p w14:paraId="32C6B21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495.20</w:t>
            </w:r>
          </w:p>
        </w:tc>
        <w:tc>
          <w:tcPr>
            <w:tcW w:w="1540" w:type="dxa"/>
            <w:hideMark/>
          </w:tcPr>
          <w:p w14:paraId="0BAC26C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1.23</w:t>
            </w:r>
          </w:p>
        </w:tc>
      </w:tr>
      <w:tr w:rsidR="00302953" w:rsidRPr="00770477" w14:paraId="3027264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C3831A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2-B-430-1</w:t>
            </w:r>
          </w:p>
        </w:tc>
        <w:tc>
          <w:tcPr>
            <w:tcW w:w="1300" w:type="dxa"/>
            <w:noWrap/>
            <w:hideMark/>
          </w:tcPr>
          <w:p w14:paraId="42D6A2D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49.83</w:t>
            </w:r>
          </w:p>
        </w:tc>
        <w:tc>
          <w:tcPr>
            <w:tcW w:w="1440" w:type="dxa"/>
            <w:hideMark/>
          </w:tcPr>
          <w:p w14:paraId="3F313E9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2.34</w:t>
            </w:r>
          </w:p>
        </w:tc>
        <w:tc>
          <w:tcPr>
            <w:tcW w:w="1240" w:type="dxa"/>
            <w:noWrap/>
            <w:hideMark/>
          </w:tcPr>
          <w:p w14:paraId="5F39DFD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19.40</w:t>
            </w:r>
          </w:p>
        </w:tc>
        <w:tc>
          <w:tcPr>
            <w:tcW w:w="1520" w:type="dxa"/>
            <w:hideMark/>
          </w:tcPr>
          <w:p w14:paraId="4A4D50E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0.98</w:t>
            </w:r>
          </w:p>
        </w:tc>
        <w:tc>
          <w:tcPr>
            <w:tcW w:w="1240" w:type="dxa"/>
            <w:noWrap/>
            <w:hideMark/>
          </w:tcPr>
          <w:p w14:paraId="1324F22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11.48</w:t>
            </w:r>
          </w:p>
        </w:tc>
        <w:tc>
          <w:tcPr>
            <w:tcW w:w="1540" w:type="dxa"/>
            <w:hideMark/>
          </w:tcPr>
          <w:p w14:paraId="0B69916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0.99</w:t>
            </w:r>
          </w:p>
        </w:tc>
        <w:tc>
          <w:tcPr>
            <w:tcW w:w="1300" w:type="dxa"/>
            <w:noWrap/>
            <w:hideMark/>
          </w:tcPr>
          <w:p w14:paraId="6BFC568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524.51</w:t>
            </w:r>
          </w:p>
        </w:tc>
        <w:tc>
          <w:tcPr>
            <w:tcW w:w="1540" w:type="dxa"/>
            <w:hideMark/>
          </w:tcPr>
          <w:p w14:paraId="4A90CD7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1.29</w:t>
            </w:r>
          </w:p>
        </w:tc>
      </w:tr>
      <w:tr w:rsidR="00302953" w:rsidRPr="00770477" w14:paraId="0C01BAF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8F40F5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2-B-670-1</w:t>
            </w:r>
          </w:p>
        </w:tc>
        <w:tc>
          <w:tcPr>
            <w:tcW w:w="1300" w:type="dxa"/>
            <w:hideMark/>
          </w:tcPr>
          <w:p w14:paraId="75FC5FA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6DED8F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4D97128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19.22</w:t>
            </w:r>
          </w:p>
        </w:tc>
        <w:tc>
          <w:tcPr>
            <w:tcW w:w="1520" w:type="dxa"/>
            <w:hideMark/>
          </w:tcPr>
          <w:p w14:paraId="37AEFFF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0.98</w:t>
            </w:r>
          </w:p>
        </w:tc>
        <w:tc>
          <w:tcPr>
            <w:tcW w:w="1240" w:type="dxa"/>
            <w:noWrap/>
            <w:hideMark/>
          </w:tcPr>
          <w:p w14:paraId="4F9F6E2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8.79</w:t>
            </w:r>
          </w:p>
        </w:tc>
        <w:tc>
          <w:tcPr>
            <w:tcW w:w="1540" w:type="dxa"/>
            <w:hideMark/>
          </w:tcPr>
          <w:p w14:paraId="3252389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0.77</w:t>
            </w:r>
          </w:p>
        </w:tc>
        <w:tc>
          <w:tcPr>
            <w:tcW w:w="1300" w:type="dxa"/>
            <w:noWrap/>
            <w:hideMark/>
          </w:tcPr>
          <w:p w14:paraId="1752ECC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483.67</w:t>
            </w:r>
          </w:p>
        </w:tc>
        <w:tc>
          <w:tcPr>
            <w:tcW w:w="1540" w:type="dxa"/>
            <w:hideMark/>
          </w:tcPr>
          <w:p w14:paraId="6353416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1.20</w:t>
            </w:r>
          </w:p>
        </w:tc>
      </w:tr>
      <w:tr w:rsidR="00302953" w:rsidRPr="00770477" w14:paraId="3E4732A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96EF47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2-C-010-1</w:t>
            </w:r>
          </w:p>
        </w:tc>
        <w:tc>
          <w:tcPr>
            <w:tcW w:w="1300" w:type="dxa"/>
            <w:hideMark/>
          </w:tcPr>
          <w:p w14:paraId="70A6604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170.37</w:t>
            </w:r>
          </w:p>
        </w:tc>
        <w:tc>
          <w:tcPr>
            <w:tcW w:w="1440" w:type="dxa"/>
            <w:hideMark/>
          </w:tcPr>
          <w:p w14:paraId="39C8BA8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3.05</w:t>
            </w:r>
          </w:p>
        </w:tc>
        <w:tc>
          <w:tcPr>
            <w:tcW w:w="1240" w:type="dxa"/>
            <w:hideMark/>
          </w:tcPr>
          <w:p w14:paraId="64A9413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11.55</w:t>
            </w:r>
          </w:p>
        </w:tc>
        <w:tc>
          <w:tcPr>
            <w:tcW w:w="1520" w:type="dxa"/>
            <w:hideMark/>
          </w:tcPr>
          <w:p w14:paraId="4C38735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0.57</w:t>
            </w:r>
          </w:p>
        </w:tc>
        <w:tc>
          <w:tcPr>
            <w:tcW w:w="1240" w:type="dxa"/>
            <w:hideMark/>
          </w:tcPr>
          <w:p w14:paraId="2CAE851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5.85</w:t>
            </w:r>
          </w:p>
        </w:tc>
        <w:tc>
          <w:tcPr>
            <w:tcW w:w="1540" w:type="dxa"/>
            <w:hideMark/>
          </w:tcPr>
          <w:p w14:paraId="3E346FB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0.45</w:t>
            </w:r>
          </w:p>
        </w:tc>
        <w:tc>
          <w:tcPr>
            <w:tcW w:w="1300" w:type="dxa"/>
            <w:hideMark/>
          </w:tcPr>
          <w:p w14:paraId="7CAE875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13679.96</w:t>
            </w:r>
          </w:p>
        </w:tc>
        <w:tc>
          <w:tcPr>
            <w:tcW w:w="1540" w:type="dxa"/>
            <w:hideMark/>
          </w:tcPr>
          <w:p w14:paraId="4E8ACF8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34.71</w:t>
            </w:r>
          </w:p>
        </w:tc>
      </w:tr>
      <w:tr w:rsidR="00302953" w:rsidRPr="00770477" w14:paraId="31DE320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C6ED94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2-C-040-1</w:t>
            </w:r>
          </w:p>
        </w:tc>
        <w:tc>
          <w:tcPr>
            <w:tcW w:w="1300" w:type="dxa"/>
            <w:hideMark/>
          </w:tcPr>
          <w:p w14:paraId="539263D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147.39</w:t>
            </w:r>
          </w:p>
        </w:tc>
        <w:tc>
          <w:tcPr>
            <w:tcW w:w="1440" w:type="dxa"/>
            <w:hideMark/>
          </w:tcPr>
          <w:p w14:paraId="320E04C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2.68</w:t>
            </w:r>
          </w:p>
        </w:tc>
        <w:tc>
          <w:tcPr>
            <w:tcW w:w="1240" w:type="dxa"/>
            <w:hideMark/>
          </w:tcPr>
          <w:p w14:paraId="5EDA2AE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11.67</w:t>
            </w:r>
          </w:p>
        </w:tc>
        <w:tc>
          <w:tcPr>
            <w:tcW w:w="1520" w:type="dxa"/>
            <w:hideMark/>
          </w:tcPr>
          <w:p w14:paraId="72AD776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0.58</w:t>
            </w:r>
          </w:p>
        </w:tc>
        <w:tc>
          <w:tcPr>
            <w:tcW w:w="1240" w:type="dxa"/>
            <w:hideMark/>
          </w:tcPr>
          <w:p w14:paraId="03CA71D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6.53</w:t>
            </w:r>
          </w:p>
        </w:tc>
        <w:tc>
          <w:tcPr>
            <w:tcW w:w="1540" w:type="dxa"/>
            <w:hideMark/>
          </w:tcPr>
          <w:p w14:paraId="087D898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0.50</w:t>
            </w:r>
          </w:p>
        </w:tc>
        <w:tc>
          <w:tcPr>
            <w:tcW w:w="1300" w:type="dxa"/>
            <w:hideMark/>
          </w:tcPr>
          <w:p w14:paraId="53123D7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11173.10</w:t>
            </w:r>
          </w:p>
        </w:tc>
        <w:tc>
          <w:tcPr>
            <w:tcW w:w="1540" w:type="dxa"/>
            <w:hideMark/>
          </w:tcPr>
          <w:p w14:paraId="7DCCB8E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28.28</w:t>
            </w:r>
          </w:p>
        </w:tc>
      </w:tr>
      <w:tr w:rsidR="00302953" w:rsidRPr="00770477" w14:paraId="5CCDB8E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4316AA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2-C-090-1</w:t>
            </w:r>
          </w:p>
        </w:tc>
        <w:tc>
          <w:tcPr>
            <w:tcW w:w="1300" w:type="dxa"/>
            <w:hideMark/>
          </w:tcPr>
          <w:p w14:paraId="66D4EF5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142.60</w:t>
            </w:r>
          </w:p>
        </w:tc>
        <w:tc>
          <w:tcPr>
            <w:tcW w:w="1440" w:type="dxa"/>
            <w:hideMark/>
          </w:tcPr>
          <w:p w14:paraId="11EECDA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2.68</w:t>
            </w:r>
          </w:p>
        </w:tc>
        <w:tc>
          <w:tcPr>
            <w:tcW w:w="1240" w:type="dxa"/>
            <w:hideMark/>
          </w:tcPr>
          <w:p w14:paraId="11551D0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15.60</w:t>
            </w:r>
          </w:p>
        </w:tc>
        <w:tc>
          <w:tcPr>
            <w:tcW w:w="1520" w:type="dxa"/>
            <w:hideMark/>
          </w:tcPr>
          <w:p w14:paraId="0946307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0.77</w:t>
            </w:r>
          </w:p>
        </w:tc>
        <w:tc>
          <w:tcPr>
            <w:tcW w:w="1240" w:type="dxa"/>
            <w:hideMark/>
          </w:tcPr>
          <w:p w14:paraId="64BEFAA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7.33</w:t>
            </w:r>
          </w:p>
        </w:tc>
        <w:tc>
          <w:tcPr>
            <w:tcW w:w="1540" w:type="dxa"/>
            <w:hideMark/>
          </w:tcPr>
          <w:p w14:paraId="0DA3EC2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0.57</w:t>
            </w:r>
          </w:p>
        </w:tc>
        <w:tc>
          <w:tcPr>
            <w:tcW w:w="1300" w:type="dxa"/>
            <w:hideMark/>
          </w:tcPr>
          <w:p w14:paraId="64A7998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10190.13</w:t>
            </w:r>
          </w:p>
        </w:tc>
        <w:tc>
          <w:tcPr>
            <w:tcW w:w="1540" w:type="dxa"/>
            <w:hideMark/>
          </w:tcPr>
          <w:p w14:paraId="0CBA294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25.70</w:t>
            </w:r>
          </w:p>
        </w:tc>
      </w:tr>
      <w:tr w:rsidR="00302953" w:rsidRPr="00770477" w14:paraId="5DCB065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B3BF77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2-C-160-1</w:t>
            </w:r>
          </w:p>
        </w:tc>
        <w:tc>
          <w:tcPr>
            <w:tcW w:w="1300" w:type="dxa"/>
            <w:hideMark/>
          </w:tcPr>
          <w:p w14:paraId="2690B5B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140.04</w:t>
            </w:r>
          </w:p>
        </w:tc>
        <w:tc>
          <w:tcPr>
            <w:tcW w:w="1440" w:type="dxa"/>
            <w:hideMark/>
          </w:tcPr>
          <w:p w14:paraId="18981D8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6.59</w:t>
            </w:r>
          </w:p>
        </w:tc>
        <w:tc>
          <w:tcPr>
            <w:tcW w:w="1240" w:type="dxa"/>
            <w:hideMark/>
          </w:tcPr>
          <w:p w14:paraId="1EB0802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14.83</w:t>
            </w:r>
          </w:p>
        </w:tc>
        <w:tc>
          <w:tcPr>
            <w:tcW w:w="1520" w:type="dxa"/>
            <w:hideMark/>
          </w:tcPr>
          <w:p w14:paraId="743245E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0.74</w:t>
            </w:r>
          </w:p>
        </w:tc>
        <w:tc>
          <w:tcPr>
            <w:tcW w:w="1240" w:type="dxa"/>
            <w:hideMark/>
          </w:tcPr>
          <w:p w14:paraId="47B02C3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8.09</w:t>
            </w:r>
          </w:p>
        </w:tc>
        <w:tc>
          <w:tcPr>
            <w:tcW w:w="1540" w:type="dxa"/>
            <w:hideMark/>
          </w:tcPr>
          <w:p w14:paraId="4C9D4BD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0.82</w:t>
            </w:r>
          </w:p>
        </w:tc>
        <w:tc>
          <w:tcPr>
            <w:tcW w:w="1300" w:type="dxa"/>
            <w:hideMark/>
          </w:tcPr>
          <w:p w14:paraId="4974503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8969.82</w:t>
            </w:r>
          </w:p>
        </w:tc>
        <w:tc>
          <w:tcPr>
            <w:tcW w:w="1540" w:type="dxa"/>
            <w:hideMark/>
          </w:tcPr>
          <w:p w14:paraId="0E368CF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20.42</w:t>
            </w:r>
          </w:p>
        </w:tc>
      </w:tr>
      <w:tr w:rsidR="00302953" w:rsidRPr="00770477" w14:paraId="3F4B1D2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0C0432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2-C-270-1</w:t>
            </w:r>
          </w:p>
        </w:tc>
        <w:tc>
          <w:tcPr>
            <w:tcW w:w="1300" w:type="dxa"/>
            <w:noWrap/>
            <w:hideMark/>
          </w:tcPr>
          <w:p w14:paraId="7ADD046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136.62</w:t>
            </w:r>
          </w:p>
        </w:tc>
        <w:tc>
          <w:tcPr>
            <w:tcW w:w="1440" w:type="dxa"/>
            <w:hideMark/>
          </w:tcPr>
          <w:p w14:paraId="0C000B4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2.89</w:t>
            </w:r>
          </w:p>
        </w:tc>
        <w:tc>
          <w:tcPr>
            <w:tcW w:w="1240" w:type="dxa"/>
            <w:noWrap/>
            <w:hideMark/>
          </w:tcPr>
          <w:p w14:paraId="78BDDE2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18.71</w:t>
            </w:r>
          </w:p>
        </w:tc>
        <w:tc>
          <w:tcPr>
            <w:tcW w:w="1520" w:type="dxa"/>
            <w:hideMark/>
          </w:tcPr>
          <w:p w14:paraId="2701BC2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0.94</w:t>
            </w:r>
          </w:p>
        </w:tc>
        <w:tc>
          <w:tcPr>
            <w:tcW w:w="1240" w:type="dxa"/>
            <w:noWrap/>
            <w:hideMark/>
          </w:tcPr>
          <w:p w14:paraId="089B8FB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9.41</w:t>
            </w:r>
          </w:p>
        </w:tc>
        <w:tc>
          <w:tcPr>
            <w:tcW w:w="1540" w:type="dxa"/>
            <w:hideMark/>
          </w:tcPr>
          <w:p w14:paraId="52E522C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0.77</w:t>
            </w:r>
          </w:p>
        </w:tc>
        <w:tc>
          <w:tcPr>
            <w:tcW w:w="1300" w:type="dxa"/>
            <w:noWrap/>
            <w:hideMark/>
          </w:tcPr>
          <w:p w14:paraId="3B73976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8644.66</w:t>
            </w:r>
          </w:p>
        </w:tc>
        <w:tc>
          <w:tcPr>
            <w:tcW w:w="1540" w:type="dxa"/>
            <w:hideMark/>
          </w:tcPr>
          <w:p w14:paraId="5C83972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21.51</w:t>
            </w:r>
          </w:p>
        </w:tc>
      </w:tr>
      <w:tr w:rsidR="00302953" w:rsidRPr="00770477" w14:paraId="2A32F0B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FAADE9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2-C-270-2</w:t>
            </w:r>
          </w:p>
        </w:tc>
        <w:tc>
          <w:tcPr>
            <w:tcW w:w="1300" w:type="dxa"/>
            <w:noWrap/>
            <w:hideMark/>
          </w:tcPr>
          <w:p w14:paraId="192993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155.66</w:t>
            </w:r>
          </w:p>
        </w:tc>
        <w:tc>
          <w:tcPr>
            <w:tcW w:w="1440" w:type="dxa"/>
            <w:hideMark/>
          </w:tcPr>
          <w:p w14:paraId="6AFC52C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3.29</w:t>
            </w:r>
          </w:p>
        </w:tc>
        <w:tc>
          <w:tcPr>
            <w:tcW w:w="1240" w:type="dxa"/>
            <w:noWrap/>
            <w:hideMark/>
          </w:tcPr>
          <w:p w14:paraId="6CFFDD4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18.98</w:t>
            </w:r>
          </w:p>
        </w:tc>
        <w:tc>
          <w:tcPr>
            <w:tcW w:w="1520" w:type="dxa"/>
            <w:hideMark/>
          </w:tcPr>
          <w:p w14:paraId="2ED8CFE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0.95</w:t>
            </w:r>
          </w:p>
        </w:tc>
        <w:tc>
          <w:tcPr>
            <w:tcW w:w="1240" w:type="dxa"/>
            <w:noWrap/>
            <w:hideMark/>
          </w:tcPr>
          <w:p w14:paraId="4EAD769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9.21</w:t>
            </w:r>
          </w:p>
        </w:tc>
        <w:tc>
          <w:tcPr>
            <w:tcW w:w="1540" w:type="dxa"/>
            <w:hideMark/>
          </w:tcPr>
          <w:p w14:paraId="6FAA466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0.75</w:t>
            </w:r>
          </w:p>
        </w:tc>
        <w:tc>
          <w:tcPr>
            <w:tcW w:w="1300" w:type="dxa"/>
            <w:noWrap/>
            <w:hideMark/>
          </w:tcPr>
          <w:p w14:paraId="725AEFC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8690.21</w:t>
            </w:r>
          </w:p>
        </w:tc>
        <w:tc>
          <w:tcPr>
            <w:tcW w:w="1540" w:type="dxa"/>
            <w:hideMark/>
          </w:tcPr>
          <w:p w14:paraId="25AE48F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21.62</w:t>
            </w:r>
          </w:p>
        </w:tc>
      </w:tr>
      <w:tr w:rsidR="00302953" w:rsidRPr="00770477" w14:paraId="2199DBE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F48ADE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2-C-430-1</w:t>
            </w:r>
          </w:p>
        </w:tc>
        <w:tc>
          <w:tcPr>
            <w:tcW w:w="1300" w:type="dxa"/>
            <w:noWrap/>
            <w:hideMark/>
          </w:tcPr>
          <w:p w14:paraId="2243B36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134.48</w:t>
            </w:r>
          </w:p>
        </w:tc>
        <w:tc>
          <w:tcPr>
            <w:tcW w:w="1440" w:type="dxa"/>
            <w:hideMark/>
          </w:tcPr>
          <w:p w14:paraId="1A4683C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6.33</w:t>
            </w:r>
          </w:p>
        </w:tc>
        <w:tc>
          <w:tcPr>
            <w:tcW w:w="1240" w:type="dxa"/>
            <w:noWrap/>
            <w:hideMark/>
          </w:tcPr>
          <w:p w14:paraId="1E3B6CA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19.61</w:t>
            </w:r>
          </w:p>
        </w:tc>
        <w:tc>
          <w:tcPr>
            <w:tcW w:w="1520" w:type="dxa"/>
            <w:hideMark/>
          </w:tcPr>
          <w:p w14:paraId="68C4DF7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0.99</w:t>
            </w:r>
          </w:p>
        </w:tc>
        <w:tc>
          <w:tcPr>
            <w:tcW w:w="1240" w:type="dxa"/>
            <w:noWrap/>
            <w:hideMark/>
          </w:tcPr>
          <w:p w14:paraId="63BDE86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10.28</w:t>
            </w:r>
          </w:p>
        </w:tc>
        <w:tc>
          <w:tcPr>
            <w:tcW w:w="1540" w:type="dxa"/>
            <w:hideMark/>
          </w:tcPr>
          <w:p w14:paraId="0789307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0.88</w:t>
            </w:r>
          </w:p>
        </w:tc>
        <w:tc>
          <w:tcPr>
            <w:tcW w:w="1300" w:type="dxa"/>
            <w:noWrap/>
            <w:hideMark/>
          </w:tcPr>
          <w:p w14:paraId="351489B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7789.65</w:t>
            </w:r>
          </w:p>
        </w:tc>
        <w:tc>
          <w:tcPr>
            <w:tcW w:w="1540" w:type="dxa"/>
            <w:hideMark/>
          </w:tcPr>
          <w:p w14:paraId="6FF4E8F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19.15</w:t>
            </w:r>
          </w:p>
        </w:tc>
      </w:tr>
      <w:tr w:rsidR="00302953" w:rsidRPr="00770477" w14:paraId="182044D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69682D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2-C-670-1</w:t>
            </w:r>
          </w:p>
        </w:tc>
        <w:tc>
          <w:tcPr>
            <w:tcW w:w="1300" w:type="dxa"/>
            <w:noWrap/>
            <w:hideMark/>
          </w:tcPr>
          <w:p w14:paraId="77263BF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130.29</w:t>
            </w:r>
          </w:p>
        </w:tc>
        <w:tc>
          <w:tcPr>
            <w:tcW w:w="1440" w:type="dxa"/>
            <w:hideMark/>
          </w:tcPr>
          <w:p w14:paraId="10D8102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6.13</w:t>
            </w:r>
          </w:p>
        </w:tc>
        <w:tc>
          <w:tcPr>
            <w:tcW w:w="1240" w:type="dxa"/>
            <w:noWrap/>
            <w:hideMark/>
          </w:tcPr>
          <w:p w14:paraId="4BEFBD3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18.89</w:t>
            </w:r>
          </w:p>
        </w:tc>
        <w:tc>
          <w:tcPr>
            <w:tcW w:w="1520" w:type="dxa"/>
            <w:hideMark/>
          </w:tcPr>
          <w:p w14:paraId="473BEC0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0.97</w:t>
            </w:r>
          </w:p>
        </w:tc>
        <w:tc>
          <w:tcPr>
            <w:tcW w:w="1240" w:type="dxa"/>
            <w:noWrap/>
            <w:hideMark/>
          </w:tcPr>
          <w:p w14:paraId="60D9E59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8.54</w:t>
            </w:r>
          </w:p>
        </w:tc>
        <w:tc>
          <w:tcPr>
            <w:tcW w:w="1540" w:type="dxa"/>
            <w:hideMark/>
          </w:tcPr>
          <w:p w14:paraId="2248A12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0.75</w:t>
            </w:r>
          </w:p>
        </w:tc>
        <w:tc>
          <w:tcPr>
            <w:tcW w:w="1300" w:type="dxa"/>
            <w:noWrap/>
            <w:hideMark/>
          </w:tcPr>
          <w:p w14:paraId="575C095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6836.26</w:t>
            </w:r>
          </w:p>
        </w:tc>
        <w:tc>
          <w:tcPr>
            <w:tcW w:w="1540" w:type="dxa"/>
            <w:hideMark/>
          </w:tcPr>
          <w:p w14:paraId="00DF788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16.91</w:t>
            </w:r>
          </w:p>
        </w:tc>
      </w:tr>
      <w:tr w:rsidR="00302953" w:rsidRPr="00770477" w14:paraId="5EDC4C0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8FDA58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2-C-670-2</w:t>
            </w:r>
          </w:p>
        </w:tc>
        <w:tc>
          <w:tcPr>
            <w:tcW w:w="1300" w:type="dxa"/>
            <w:noWrap/>
            <w:hideMark/>
          </w:tcPr>
          <w:p w14:paraId="25C30A1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135.87</w:t>
            </w:r>
          </w:p>
        </w:tc>
        <w:tc>
          <w:tcPr>
            <w:tcW w:w="1440" w:type="dxa"/>
            <w:hideMark/>
          </w:tcPr>
          <w:p w14:paraId="4666C35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6.39</w:t>
            </w:r>
          </w:p>
        </w:tc>
        <w:tc>
          <w:tcPr>
            <w:tcW w:w="1240" w:type="dxa"/>
            <w:noWrap/>
            <w:hideMark/>
          </w:tcPr>
          <w:p w14:paraId="6F61FFB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18.63</w:t>
            </w:r>
          </w:p>
        </w:tc>
        <w:tc>
          <w:tcPr>
            <w:tcW w:w="1520" w:type="dxa"/>
            <w:hideMark/>
          </w:tcPr>
          <w:p w14:paraId="1D9D17A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0.95</w:t>
            </w:r>
          </w:p>
        </w:tc>
        <w:tc>
          <w:tcPr>
            <w:tcW w:w="1240" w:type="dxa"/>
            <w:noWrap/>
            <w:hideMark/>
          </w:tcPr>
          <w:p w14:paraId="2EA156C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9.35</w:t>
            </w:r>
          </w:p>
        </w:tc>
        <w:tc>
          <w:tcPr>
            <w:tcW w:w="1540" w:type="dxa"/>
            <w:hideMark/>
          </w:tcPr>
          <w:p w14:paraId="7E8B0CD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0.82</w:t>
            </w:r>
          </w:p>
        </w:tc>
        <w:tc>
          <w:tcPr>
            <w:tcW w:w="1300" w:type="dxa"/>
            <w:noWrap/>
            <w:hideMark/>
          </w:tcPr>
          <w:p w14:paraId="3777D02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6938.59</w:t>
            </w:r>
          </w:p>
        </w:tc>
        <w:tc>
          <w:tcPr>
            <w:tcW w:w="1540" w:type="dxa"/>
            <w:hideMark/>
          </w:tcPr>
          <w:p w14:paraId="0A78FF0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17.16</w:t>
            </w:r>
          </w:p>
        </w:tc>
      </w:tr>
      <w:tr w:rsidR="00302953" w:rsidRPr="00770477" w14:paraId="5269EA0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45D103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2-I-000-3</w:t>
            </w:r>
          </w:p>
        </w:tc>
        <w:tc>
          <w:tcPr>
            <w:tcW w:w="1300" w:type="dxa"/>
            <w:hideMark/>
          </w:tcPr>
          <w:p w14:paraId="4143005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76.58</w:t>
            </w:r>
          </w:p>
        </w:tc>
        <w:tc>
          <w:tcPr>
            <w:tcW w:w="1440" w:type="dxa"/>
            <w:hideMark/>
          </w:tcPr>
          <w:p w14:paraId="4271E47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hideMark/>
          </w:tcPr>
          <w:p w14:paraId="2655E28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20.24</w:t>
            </w:r>
          </w:p>
        </w:tc>
        <w:tc>
          <w:tcPr>
            <w:tcW w:w="1520" w:type="dxa"/>
            <w:hideMark/>
          </w:tcPr>
          <w:p w14:paraId="47DF105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hideMark/>
          </w:tcPr>
          <w:p w14:paraId="5383545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15.22</w:t>
            </w:r>
          </w:p>
        </w:tc>
        <w:tc>
          <w:tcPr>
            <w:tcW w:w="1540" w:type="dxa"/>
            <w:hideMark/>
          </w:tcPr>
          <w:p w14:paraId="7046786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A86AEA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362.96</w:t>
            </w:r>
          </w:p>
        </w:tc>
        <w:tc>
          <w:tcPr>
            <w:tcW w:w="1540" w:type="dxa"/>
            <w:hideMark/>
          </w:tcPr>
          <w:p w14:paraId="7BE6702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05D806C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442EDD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2-I-160-3</w:t>
            </w:r>
          </w:p>
        </w:tc>
        <w:tc>
          <w:tcPr>
            <w:tcW w:w="1300" w:type="dxa"/>
            <w:hideMark/>
          </w:tcPr>
          <w:p w14:paraId="56AA79B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650D297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44FBAF7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20.08</w:t>
            </w:r>
          </w:p>
        </w:tc>
        <w:tc>
          <w:tcPr>
            <w:tcW w:w="1520" w:type="dxa"/>
            <w:hideMark/>
          </w:tcPr>
          <w:p w14:paraId="068732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0BB4189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9.87</w:t>
            </w:r>
          </w:p>
        </w:tc>
        <w:tc>
          <w:tcPr>
            <w:tcW w:w="1540" w:type="dxa"/>
            <w:hideMark/>
          </w:tcPr>
          <w:p w14:paraId="1720555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4E75AC9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439.26</w:t>
            </w:r>
          </w:p>
        </w:tc>
        <w:tc>
          <w:tcPr>
            <w:tcW w:w="1540" w:type="dxa"/>
            <w:hideMark/>
          </w:tcPr>
          <w:p w14:paraId="136ADE1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7F552FF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B87FC7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2-I-670-3</w:t>
            </w:r>
          </w:p>
        </w:tc>
        <w:tc>
          <w:tcPr>
            <w:tcW w:w="1300" w:type="dxa"/>
            <w:hideMark/>
          </w:tcPr>
          <w:p w14:paraId="3AEE5A9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651562F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0083567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19.56</w:t>
            </w:r>
          </w:p>
        </w:tc>
        <w:tc>
          <w:tcPr>
            <w:tcW w:w="1520" w:type="dxa"/>
            <w:hideMark/>
          </w:tcPr>
          <w:p w14:paraId="49998CF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22C1C93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11.43</w:t>
            </w:r>
          </w:p>
        </w:tc>
        <w:tc>
          <w:tcPr>
            <w:tcW w:w="1540" w:type="dxa"/>
            <w:hideMark/>
          </w:tcPr>
          <w:p w14:paraId="7F51B82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7D1249D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404.29</w:t>
            </w:r>
          </w:p>
        </w:tc>
        <w:tc>
          <w:tcPr>
            <w:tcW w:w="1540" w:type="dxa"/>
            <w:hideMark/>
          </w:tcPr>
          <w:p w14:paraId="41A8AF2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672A872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21E99D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10-A-0-1</w:t>
            </w:r>
          </w:p>
        </w:tc>
        <w:tc>
          <w:tcPr>
            <w:tcW w:w="1300" w:type="dxa"/>
            <w:noWrap/>
            <w:hideMark/>
          </w:tcPr>
          <w:p w14:paraId="6B005EB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420.15</w:t>
            </w:r>
          </w:p>
        </w:tc>
        <w:tc>
          <w:tcPr>
            <w:tcW w:w="1440" w:type="dxa"/>
            <w:hideMark/>
          </w:tcPr>
          <w:p w14:paraId="083E604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19.77</w:t>
            </w:r>
          </w:p>
        </w:tc>
        <w:tc>
          <w:tcPr>
            <w:tcW w:w="1240" w:type="dxa"/>
            <w:hideMark/>
          </w:tcPr>
          <w:p w14:paraId="5BFFA35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792AE30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240" w:type="dxa"/>
            <w:hideMark/>
          </w:tcPr>
          <w:p w14:paraId="7D545EE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8C8C7C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39A45E9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52650.07</w:t>
            </w:r>
          </w:p>
        </w:tc>
        <w:tc>
          <w:tcPr>
            <w:tcW w:w="1540" w:type="dxa"/>
            <w:hideMark/>
          </w:tcPr>
          <w:p w14:paraId="71CD2C5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121.11</w:t>
            </w:r>
          </w:p>
        </w:tc>
      </w:tr>
      <w:tr w:rsidR="00302953" w:rsidRPr="00770477" w14:paraId="52ECD0B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590C28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10-A-1-1</w:t>
            </w:r>
          </w:p>
        </w:tc>
        <w:tc>
          <w:tcPr>
            <w:tcW w:w="1300" w:type="dxa"/>
            <w:noWrap/>
            <w:hideMark/>
          </w:tcPr>
          <w:p w14:paraId="7D82C40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383.26</w:t>
            </w:r>
          </w:p>
        </w:tc>
        <w:tc>
          <w:tcPr>
            <w:tcW w:w="1440" w:type="dxa"/>
            <w:hideMark/>
          </w:tcPr>
          <w:p w14:paraId="1CA803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18.03</w:t>
            </w:r>
          </w:p>
        </w:tc>
        <w:tc>
          <w:tcPr>
            <w:tcW w:w="1240" w:type="dxa"/>
            <w:noWrap/>
            <w:hideMark/>
          </w:tcPr>
          <w:p w14:paraId="74A8E05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0.84</w:t>
            </w:r>
          </w:p>
        </w:tc>
        <w:tc>
          <w:tcPr>
            <w:tcW w:w="1520" w:type="dxa"/>
            <w:hideMark/>
          </w:tcPr>
          <w:p w14:paraId="0DB4610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c>
          <w:tcPr>
            <w:tcW w:w="1240" w:type="dxa"/>
            <w:hideMark/>
          </w:tcPr>
          <w:p w14:paraId="5BF9F16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EADC87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0BEF655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52379.89</w:t>
            </w:r>
          </w:p>
        </w:tc>
        <w:tc>
          <w:tcPr>
            <w:tcW w:w="1540" w:type="dxa"/>
            <w:hideMark/>
          </w:tcPr>
          <w:p w14:paraId="7A10006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131.02</w:t>
            </w:r>
          </w:p>
        </w:tc>
      </w:tr>
      <w:tr w:rsidR="00302953" w:rsidRPr="00770477" w14:paraId="430DCE6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21050E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10-A-1-2</w:t>
            </w:r>
          </w:p>
        </w:tc>
        <w:tc>
          <w:tcPr>
            <w:tcW w:w="1300" w:type="dxa"/>
            <w:noWrap/>
            <w:hideMark/>
          </w:tcPr>
          <w:p w14:paraId="26FC85E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403.90</w:t>
            </w:r>
          </w:p>
        </w:tc>
        <w:tc>
          <w:tcPr>
            <w:tcW w:w="1440" w:type="dxa"/>
            <w:hideMark/>
          </w:tcPr>
          <w:p w14:paraId="40A9126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19.01</w:t>
            </w:r>
          </w:p>
        </w:tc>
        <w:tc>
          <w:tcPr>
            <w:tcW w:w="1240" w:type="dxa"/>
            <w:hideMark/>
          </w:tcPr>
          <w:p w14:paraId="313306E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0D9D9D5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240" w:type="dxa"/>
            <w:hideMark/>
          </w:tcPr>
          <w:p w14:paraId="72A929D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EB792F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438D266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52271.87</w:t>
            </w:r>
          </w:p>
        </w:tc>
        <w:tc>
          <w:tcPr>
            <w:tcW w:w="1540" w:type="dxa"/>
            <w:hideMark/>
          </w:tcPr>
          <w:p w14:paraId="19072B1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130.75</w:t>
            </w:r>
          </w:p>
        </w:tc>
      </w:tr>
      <w:tr w:rsidR="00302953" w:rsidRPr="00770477" w14:paraId="094BB02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3B326B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10-A-2-1</w:t>
            </w:r>
          </w:p>
        </w:tc>
        <w:tc>
          <w:tcPr>
            <w:tcW w:w="1300" w:type="dxa"/>
            <w:noWrap/>
            <w:hideMark/>
          </w:tcPr>
          <w:p w14:paraId="0AE145A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345.67</w:t>
            </w:r>
          </w:p>
        </w:tc>
        <w:tc>
          <w:tcPr>
            <w:tcW w:w="1440" w:type="dxa"/>
            <w:hideMark/>
          </w:tcPr>
          <w:p w14:paraId="7F38CA5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16.27</w:t>
            </w:r>
          </w:p>
        </w:tc>
        <w:tc>
          <w:tcPr>
            <w:tcW w:w="1240" w:type="dxa"/>
            <w:noWrap/>
            <w:hideMark/>
          </w:tcPr>
          <w:p w14:paraId="40B837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0.86</w:t>
            </w:r>
          </w:p>
        </w:tc>
        <w:tc>
          <w:tcPr>
            <w:tcW w:w="1520" w:type="dxa"/>
            <w:hideMark/>
          </w:tcPr>
          <w:p w14:paraId="762ED6B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c>
          <w:tcPr>
            <w:tcW w:w="1240" w:type="dxa"/>
            <w:hideMark/>
          </w:tcPr>
          <w:p w14:paraId="7DEF544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1825F6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619299E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36292.52</w:t>
            </w:r>
          </w:p>
        </w:tc>
        <w:tc>
          <w:tcPr>
            <w:tcW w:w="1540" w:type="dxa"/>
            <w:hideMark/>
          </w:tcPr>
          <w:p w14:paraId="5027288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88.87</w:t>
            </w:r>
          </w:p>
        </w:tc>
      </w:tr>
      <w:tr w:rsidR="00302953" w:rsidRPr="00770477" w14:paraId="4A438A1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7B240A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10-A-4-1</w:t>
            </w:r>
          </w:p>
        </w:tc>
        <w:tc>
          <w:tcPr>
            <w:tcW w:w="1300" w:type="dxa"/>
            <w:noWrap/>
            <w:hideMark/>
          </w:tcPr>
          <w:p w14:paraId="4C66469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310.32</w:t>
            </w:r>
          </w:p>
        </w:tc>
        <w:tc>
          <w:tcPr>
            <w:tcW w:w="1440" w:type="dxa"/>
            <w:hideMark/>
          </w:tcPr>
          <w:p w14:paraId="0AAFE4F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14.60</w:t>
            </w:r>
          </w:p>
        </w:tc>
        <w:tc>
          <w:tcPr>
            <w:tcW w:w="1240" w:type="dxa"/>
            <w:hideMark/>
          </w:tcPr>
          <w:p w14:paraId="18F032E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51DD607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240" w:type="dxa"/>
            <w:hideMark/>
          </w:tcPr>
          <w:p w14:paraId="34CBB1C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570816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482213C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30534.25</w:t>
            </w:r>
          </w:p>
        </w:tc>
        <w:tc>
          <w:tcPr>
            <w:tcW w:w="1540" w:type="dxa"/>
            <w:hideMark/>
          </w:tcPr>
          <w:p w14:paraId="5E5DA9A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81.56</w:t>
            </w:r>
          </w:p>
        </w:tc>
      </w:tr>
      <w:tr w:rsidR="00302953" w:rsidRPr="00770477" w14:paraId="45E259C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C15ADA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10-A-6-1</w:t>
            </w:r>
          </w:p>
        </w:tc>
        <w:tc>
          <w:tcPr>
            <w:tcW w:w="1300" w:type="dxa"/>
            <w:noWrap/>
            <w:hideMark/>
          </w:tcPr>
          <w:p w14:paraId="06B3F84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259.74</w:t>
            </w:r>
          </w:p>
        </w:tc>
        <w:tc>
          <w:tcPr>
            <w:tcW w:w="1440" w:type="dxa"/>
            <w:hideMark/>
          </w:tcPr>
          <w:p w14:paraId="4149558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12.22</w:t>
            </w:r>
          </w:p>
        </w:tc>
        <w:tc>
          <w:tcPr>
            <w:tcW w:w="1240" w:type="dxa"/>
            <w:noWrap/>
            <w:hideMark/>
          </w:tcPr>
          <w:p w14:paraId="3562CE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1.75</w:t>
            </w:r>
          </w:p>
        </w:tc>
        <w:tc>
          <w:tcPr>
            <w:tcW w:w="1520" w:type="dxa"/>
            <w:hideMark/>
          </w:tcPr>
          <w:p w14:paraId="2A91F50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0.10</w:t>
            </w:r>
          </w:p>
        </w:tc>
        <w:tc>
          <w:tcPr>
            <w:tcW w:w="1240" w:type="dxa"/>
            <w:hideMark/>
          </w:tcPr>
          <w:p w14:paraId="3C730F0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5152DF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3890C76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31744.23</w:t>
            </w:r>
          </w:p>
        </w:tc>
        <w:tc>
          <w:tcPr>
            <w:tcW w:w="1540" w:type="dxa"/>
            <w:hideMark/>
          </w:tcPr>
          <w:p w14:paraId="253D90A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81.87</w:t>
            </w:r>
          </w:p>
        </w:tc>
      </w:tr>
      <w:tr w:rsidR="00302953" w:rsidRPr="00770477" w14:paraId="68C2D64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79A6F8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10-A-10-1</w:t>
            </w:r>
          </w:p>
        </w:tc>
        <w:tc>
          <w:tcPr>
            <w:tcW w:w="1300" w:type="dxa"/>
            <w:noWrap/>
            <w:hideMark/>
          </w:tcPr>
          <w:p w14:paraId="1AB6224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255.74</w:t>
            </w:r>
          </w:p>
        </w:tc>
        <w:tc>
          <w:tcPr>
            <w:tcW w:w="1440" w:type="dxa"/>
            <w:hideMark/>
          </w:tcPr>
          <w:p w14:paraId="584ED90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12.03</w:t>
            </w:r>
          </w:p>
        </w:tc>
        <w:tc>
          <w:tcPr>
            <w:tcW w:w="1240" w:type="dxa"/>
            <w:noWrap/>
            <w:hideMark/>
          </w:tcPr>
          <w:p w14:paraId="63E8174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3.93</w:t>
            </w:r>
          </w:p>
        </w:tc>
        <w:tc>
          <w:tcPr>
            <w:tcW w:w="1520" w:type="dxa"/>
            <w:hideMark/>
          </w:tcPr>
          <w:p w14:paraId="59D24B7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0.22</w:t>
            </w:r>
          </w:p>
        </w:tc>
        <w:tc>
          <w:tcPr>
            <w:tcW w:w="1240" w:type="dxa"/>
            <w:hideMark/>
          </w:tcPr>
          <w:p w14:paraId="73A72A4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F0D587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6E074DC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31067.34</w:t>
            </w:r>
          </w:p>
        </w:tc>
        <w:tc>
          <w:tcPr>
            <w:tcW w:w="1540" w:type="dxa"/>
            <w:hideMark/>
          </w:tcPr>
          <w:p w14:paraId="293EC97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67.95</w:t>
            </w:r>
          </w:p>
        </w:tc>
      </w:tr>
      <w:tr w:rsidR="00302953" w:rsidRPr="00770477" w14:paraId="2D11C8C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5A3670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10-A-17-1</w:t>
            </w:r>
          </w:p>
        </w:tc>
        <w:tc>
          <w:tcPr>
            <w:tcW w:w="1300" w:type="dxa"/>
            <w:noWrap/>
            <w:hideMark/>
          </w:tcPr>
          <w:p w14:paraId="38B3DCA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242.70</w:t>
            </w:r>
          </w:p>
        </w:tc>
        <w:tc>
          <w:tcPr>
            <w:tcW w:w="1440" w:type="dxa"/>
            <w:hideMark/>
          </w:tcPr>
          <w:p w14:paraId="672477C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11.42</w:t>
            </w:r>
          </w:p>
        </w:tc>
        <w:tc>
          <w:tcPr>
            <w:tcW w:w="1240" w:type="dxa"/>
            <w:noWrap/>
            <w:hideMark/>
          </w:tcPr>
          <w:p w14:paraId="7D135B2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8.92</w:t>
            </w:r>
          </w:p>
        </w:tc>
        <w:tc>
          <w:tcPr>
            <w:tcW w:w="1520" w:type="dxa"/>
            <w:hideMark/>
          </w:tcPr>
          <w:p w14:paraId="6A9D46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0.50</w:t>
            </w:r>
          </w:p>
        </w:tc>
        <w:tc>
          <w:tcPr>
            <w:tcW w:w="1240" w:type="dxa"/>
            <w:hideMark/>
          </w:tcPr>
          <w:p w14:paraId="2EAA74F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C55D4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63BBFDF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28514.91</w:t>
            </w:r>
          </w:p>
        </w:tc>
        <w:tc>
          <w:tcPr>
            <w:tcW w:w="1540" w:type="dxa"/>
            <w:hideMark/>
          </w:tcPr>
          <w:p w14:paraId="3E0A52A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64.42</w:t>
            </w:r>
          </w:p>
        </w:tc>
      </w:tr>
      <w:tr w:rsidR="00302953" w:rsidRPr="00770477" w14:paraId="25F416A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E505AA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10-A-17-2</w:t>
            </w:r>
          </w:p>
        </w:tc>
        <w:tc>
          <w:tcPr>
            <w:tcW w:w="1300" w:type="dxa"/>
            <w:noWrap/>
            <w:hideMark/>
          </w:tcPr>
          <w:p w14:paraId="0BB282C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249.37</w:t>
            </w:r>
          </w:p>
        </w:tc>
        <w:tc>
          <w:tcPr>
            <w:tcW w:w="1440" w:type="dxa"/>
            <w:hideMark/>
          </w:tcPr>
          <w:p w14:paraId="5A4FB20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11.73</w:t>
            </w:r>
          </w:p>
        </w:tc>
        <w:tc>
          <w:tcPr>
            <w:tcW w:w="1240" w:type="dxa"/>
            <w:noWrap/>
            <w:hideMark/>
          </w:tcPr>
          <w:p w14:paraId="3E6EB1E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9.25</w:t>
            </w:r>
          </w:p>
        </w:tc>
        <w:tc>
          <w:tcPr>
            <w:tcW w:w="1520" w:type="dxa"/>
            <w:hideMark/>
          </w:tcPr>
          <w:p w14:paraId="37ABDD8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0.52</w:t>
            </w:r>
          </w:p>
        </w:tc>
        <w:tc>
          <w:tcPr>
            <w:tcW w:w="1240" w:type="dxa"/>
            <w:hideMark/>
          </w:tcPr>
          <w:p w14:paraId="575F8D5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7BE2D0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25D1568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28188.07</w:t>
            </w:r>
          </w:p>
        </w:tc>
        <w:tc>
          <w:tcPr>
            <w:tcW w:w="1540" w:type="dxa"/>
            <w:hideMark/>
          </w:tcPr>
          <w:p w14:paraId="6AF0763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63.68</w:t>
            </w:r>
          </w:p>
        </w:tc>
      </w:tr>
      <w:tr w:rsidR="00302953" w:rsidRPr="00770477" w14:paraId="4258B21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015526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10-A-27-1</w:t>
            </w:r>
          </w:p>
        </w:tc>
        <w:tc>
          <w:tcPr>
            <w:tcW w:w="1300" w:type="dxa"/>
            <w:noWrap/>
            <w:hideMark/>
          </w:tcPr>
          <w:p w14:paraId="6D06A4B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224.79</w:t>
            </w:r>
          </w:p>
        </w:tc>
        <w:tc>
          <w:tcPr>
            <w:tcW w:w="1440" w:type="dxa"/>
            <w:hideMark/>
          </w:tcPr>
          <w:p w14:paraId="32EABB6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10.58</w:t>
            </w:r>
          </w:p>
        </w:tc>
        <w:tc>
          <w:tcPr>
            <w:tcW w:w="1240" w:type="dxa"/>
            <w:noWrap/>
            <w:hideMark/>
          </w:tcPr>
          <w:p w14:paraId="7224490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10.73</w:t>
            </w:r>
          </w:p>
        </w:tc>
        <w:tc>
          <w:tcPr>
            <w:tcW w:w="1520" w:type="dxa"/>
            <w:hideMark/>
          </w:tcPr>
          <w:p w14:paraId="7512F0A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0.61</w:t>
            </w:r>
          </w:p>
        </w:tc>
        <w:tc>
          <w:tcPr>
            <w:tcW w:w="1240" w:type="dxa"/>
            <w:hideMark/>
          </w:tcPr>
          <w:p w14:paraId="72A81A5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607D22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6514F0F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27065.41</w:t>
            </w:r>
          </w:p>
        </w:tc>
        <w:tc>
          <w:tcPr>
            <w:tcW w:w="1540" w:type="dxa"/>
            <w:hideMark/>
          </w:tcPr>
          <w:p w14:paraId="6F6CF7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59.96</w:t>
            </w:r>
          </w:p>
        </w:tc>
      </w:tr>
      <w:tr w:rsidR="00302953" w:rsidRPr="00770477" w14:paraId="6DCC045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FB6250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10-B-0-1</w:t>
            </w:r>
          </w:p>
        </w:tc>
        <w:tc>
          <w:tcPr>
            <w:tcW w:w="1300" w:type="dxa"/>
            <w:hideMark/>
          </w:tcPr>
          <w:p w14:paraId="69B8631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61BEAE3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6B2D6E2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13.89</w:t>
            </w:r>
          </w:p>
        </w:tc>
        <w:tc>
          <w:tcPr>
            <w:tcW w:w="1520" w:type="dxa"/>
            <w:hideMark/>
          </w:tcPr>
          <w:p w14:paraId="48E7E50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0.77</w:t>
            </w:r>
          </w:p>
        </w:tc>
        <w:tc>
          <w:tcPr>
            <w:tcW w:w="1240" w:type="dxa"/>
            <w:hideMark/>
          </w:tcPr>
          <w:p w14:paraId="0348FD3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226835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3A88829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4579.35</w:t>
            </w:r>
          </w:p>
        </w:tc>
        <w:tc>
          <w:tcPr>
            <w:tcW w:w="1540" w:type="dxa"/>
            <w:hideMark/>
          </w:tcPr>
          <w:p w14:paraId="22067BE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10.53</w:t>
            </w:r>
          </w:p>
        </w:tc>
      </w:tr>
      <w:tr w:rsidR="00302953" w:rsidRPr="00770477" w14:paraId="2EA5BD6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6D04D8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10-B-1-1</w:t>
            </w:r>
          </w:p>
        </w:tc>
        <w:tc>
          <w:tcPr>
            <w:tcW w:w="1300" w:type="dxa"/>
            <w:hideMark/>
          </w:tcPr>
          <w:p w14:paraId="403A597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1986A0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5CBC44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15.59</w:t>
            </w:r>
          </w:p>
        </w:tc>
        <w:tc>
          <w:tcPr>
            <w:tcW w:w="1520" w:type="dxa"/>
            <w:hideMark/>
          </w:tcPr>
          <w:p w14:paraId="3DA0A8C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0.90</w:t>
            </w:r>
          </w:p>
        </w:tc>
        <w:tc>
          <w:tcPr>
            <w:tcW w:w="1240" w:type="dxa"/>
            <w:hideMark/>
          </w:tcPr>
          <w:p w14:paraId="5776C1A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1F0708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00198F6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4997.58</w:t>
            </w:r>
          </w:p>
        </w:tc>
        <w:tc>
          <w:tcPr>
            <w:tcW w:w="1540" w:type="dxa"/>
            <w:hideMark/>
          </w:tcPr>
          <w:p w14:paraId="6F9E801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12.50</w:t>
            </w:r>
          </w:p>
        </w:tc>
      </w:tr>
      <w:tr w:rsidR="00302953" w:rsidRPr="00770477" w14:paraId="6109A327"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75F343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10-B-1-2</w:t>
            </w:r>
          </w:p>
        </w:tc>
        <w:tc>
          <w:tcPr>
            <w:tcW w:w="1300" w:type="dxa"/>
            <w:hideMark/>
          </w:tcPr>
          <w:p w14:paraId="0A63E79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35B981F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28BC04A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15.44</w:t>
            </w:r>
          </w:p>
        </w:tc>
        <w:tc>
          <w:tcPr>
            <w:tcW w:w="1520" w:type="dxa"/>
            <w:hideMark/>
          </w:tcPr>
          <w:p w14:paraId="500C24C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0.89</w:t>
            </w:r>
          </w:p>
        </w:tc>
        <w:tc>
          <w:tcPr>
            <w:tcW w:w="1240" w:type="dxa"/>
            <w:hideMark/>
          </w:tcPr>
          <w:p w14:paraId="7CECE95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7C1C8F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504865E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4991.59</w:t>
            </w:r>
          </w:p>
        </w:tc>
        <w:tc>
          <w:tcPr>
            <w:tcW w:w="1540" w:type="dxa"/>
            <w:hideMark/>
          </w:tcPr>
          <w:p w14:paraId="047A408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12.49</w:t>
            </w:r>
          </w:p>
        </w:tc>
      </w:tr>
      <w:tr w:rsidR="00302953" w:rsidRPr="00770477" w14:paraId="34DDEEF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9C4E68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10-B-2-1</w:t>
            </w:r>
          </w:p>
        </w:tc>
        <w:tc>
          <w:tcPr>
            <w:tcW w:w="1300" w:type="dxa"/>
            <w:hideMark/>
          </w:tcPr>
          <w:p w14:paraId="21CCE7A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4CE0530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54DF01F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15.41</w:t>
            </w:r>
          </w:p>
        </w:tc>
        <w:tc>
          <w:tcPr>
            <w:tcW w:w="1520" w:type="dxa"/>
            <w:hideMark/>
          </w:tcPr>
          <w:p w14:paraId="0A5A942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0.86</w:t>
            </w:r>
          </w:p>
        </w:tc>
        <w:tc>
          <w:tcPr>
            <w:tcW w:w="1240" w:type="dxa"/>
            <w:hideMark/>
          </w:tcPr>
          <w:p w14:paraId="4FF283F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5BCA45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50F99E1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4831.21</w:t>
            </w:r>
          </w:p>
        </w:tc>
        <w:tc>
          <w:tcPr>
            <w:tcW w:w="1540" w:type="dxa"/>
            <w:hideMark/>
          </w:tcPr>
          <w:p w14:paraId="13335F5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11.83</w:t>
            </w:r>
          </w:p>
        </w:tc>
      </w:tr>
      <w:tr w:rsidR="00302953" w:rsidRPr="00770477" w14:paraId="04D3FEC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125497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10-B-4-1</w:t>
            </w:r>
          </w:p>
        </w:tc>
        <w:tc>
          <w:tcPr>
            <w:tcW w:w="1300" w:type="dxa"/>
            <w:hideMark/>
          </w:tcPr>
          <w:p w14:paraId="4E7FCB2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17A21D4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4149A21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15.65</w:t>
            </w:r>
          </w:p>
        </w:tc>
        <w:tc>
          <w:tcPr>
            <w:tcW w:w="1520" w:type="dxa"/>
            <w:hideMark/>
          </w:tcPr>
          <w:p w14:paraId="40DBB41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0.88</w:t>
            </w:r>
          </w:p>
        </w:tc>
        <w:tc>
          <w:tcPr>
            <w:tcW w:w="1240" w:type="dxa"/>
            <w:hideMark/>
          </w:tcPr>
          <w:p w14:paraId="479842C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7477CA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4C85E5C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5058.91</w:t>
            </w:r>
          </w:p>
        </w:tc>
        <w:tc>
          <w:tcPr>
            <w:tcW w:w="1540" w:type="dxa"/>
            <w:hideMark/>
          </w:tcPr>
          <w:p w14:paraId="47CC548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13.51</w:t>
            </w:r>
          </w:p>
        </w:tc>
      </w:tr>
      <w:tr w:rsidR="00302953" w:rsidRPr="00770477" w14:paraId="46873DD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3E237E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10-B-6-1</w:t>
            </w:r>
          </w:p>
        </w:tc>
        <w:tc>
          <w:tcPr>
            <w:tcW w:w="1300" w:type="dxa"/>
            <w:noWrap/>
            <w:hideMark/>
          </w:tcPr>
          <w:p w14:paraId="2886FB9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126.74</w:t>
            </w:r>
          </w:p>
        </w:tc>
        <w:tc>
          <w:tcPr>
            <w:tcW w:w="1440" w:type="dxa"/>
            <w:hideMark/>
          </w:tcPr>
          <w:p w14:paraId="5D6FDBC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5.96</w:t>
            </w:r>
          </w:p>
        </w:tc>
        <w:tc>
          <w:tcPr>
            <w:tcW w:w="1240" w:type="dxa"/>
            <w:noWrap/>
            <w:hideMark/>
          </w:tcPr>
          <w:p w14:paraId="274F330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16.58</w:t>
            </w:r>
          </w:p>
        </w:tc>
        <w:tc>
          <w:tcPr>
            <w:tcW w:w="1520" w:type="dxa"/>
            <w:hideMark/>
          </w:tcPr>
          <w:p w14:paraId="2465E6F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0.98</w:t>
            </w:r>
          </w:p>
        </w:tc>
        <w:tc>
          <w:tcPr>
            <w:tcW w:w="1240" w:type="dxa"/>
            <w:hideMark/>
          </w:tcPr>
          <w:p w14:paraId="745B686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1C01D5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723367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5301.73</w:t>
            </w:r>
          </w:p>
        </w:tc>
        <w:tc>
          <w:tcPr>
            <w:tcW w:w="1540" w:type="dxa"/>
            <w:hideMark/>
          </w:tcPr>
          <w:p w14:paraId="391A71A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13.67</w:t>
            </w:r>
          </w:p>
        </w:tc>
      </w:tr>
      <w:tr w:rsidR="00302953" w:rsidRPr="00770477" w14:paraId="77A1D1E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D5BDB4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10-B-10-1</w:t>
            </w:r>
          </w:p>
        </w:tc>
        <w:tc>
          <w:tcPr>
            <w:tcW w:w="1300" w:type="dxa"/>
            <w:hideMark/>
          </w:tcPr>
          <w:p w14:paraId="57F76CB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4A13488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60D15F6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16.11</w:t>
            </w:r>
          </w:p>
        </w:tc>
        <w:tc>
          <w:tcPr>
            <w:tcW w:w="1520" w:type="dxa"/>
            <w:hideMark/>
          </w:tcPr>
          <w:p w14:paraId="5B457A0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0.89</w:t>
            </w:r>
          </w:p>
        </w:tc>
        <w:tc>
          <w:tcPr>
            <w:tcW w:w="1240" w:type="dxa"/>
            <w:hideMark/>
          </w:tcPr>
          <w:p w14:paraId="13687F8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AF0E4A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76801A7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5560.84</w:t>
            </w:r>
          </w:p>
        </w:tc>
        <w:tc>
          <w:tcPr>
            <w:tcW w:w="1540" w:type="dxa"/>
            <w:hideMark/>
          </w:tcPr>
          <w:p w14:paraId="2B83BAC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12.16</w:t>
            </w:r>
          </w:p>
        </w:tc>
      </w:tr>
      <w:tr w:rsidR="00302953" w:rsidRPr="00770477" w14:paraId="5633787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5FDF0F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10-B-17-1</w:t>
            </w:r>
          </w:p>
        </w:tc>
        <w:tc>
          <w:tcPr>
            <w:tcW w:w="1300" w:type="dxa"/>
            <w:noWrap/>
            <w:hideMark/>
          </w:tcPr>
          <w:p w14:paraId="4A13201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203.71</w:t>
            </w:r>
          </w:p>
        </w:tc>
        <w:tc>
          <w:tcPr>
            <w:tcW w:w="1440" w:type="dxa"/>
            <w:hideMark/>
          </w:tcPr>
          <w:p w14:paraId="5AC391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9.59</w:t>
            </w:r>
          </w:p>
        </w:tc>
        <w:tc>
          <w:tcPr>
            <w:tcW w:w="1240" w:type="dxa"/>
            <w:noWrap/>
            <w:hideMark/>
          </w:tcPr>
          <w:p w14:paraId="1BBF8DE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17.18</w:t>
            </w:r>
          </w:p>
        </w:tc>
        <w:tc>
          <w:tcPr>
            <w:tcW w:w="1520" w:type="dxa"/>
            <w:hideMark/>
          </w:tcPr>
          <w:p w14:paraId="1EB3766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0.97</w:t>
            </w:r>
          </w:p>
        </w:tc>
        <w:tc>
          <w:tcPr>
            <w:tcW w:w="1240" w:type="dxa"/>
            <w:hideMark/>
          </w:tcPr>
          <w:p w14:paraId="65D198E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4E3565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1075317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5797.80</w:t>
            </w:r>
          </w:p>
        </w:tc>
        <w:tc>
          <w:tcPr>
            <w:tcW w:w="1540" w:type="dxa"/>
            <w:hideMark/>
          </w:tcPr>
          <w:p w14:paraId="7AF64EA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13.10</w:t>
            </w:r>
          </w:p>
        </w:tc>
      </w:tr>
      <w:tr w:rsidR="00302953" w:rsidRPr="00770477" w14:paraId="50738AF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FA232F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10-B-27-1</w:t>
            </w:r>
          </w:p>
        </w:tc>
        <w:tc>
          <w:tcPr>
            <w:tcW w:w="1300" w:type="dxa"/>
            <w:noWrap/>
            <w:hideMark/>
          </w:tcPr>
          <w:p w14:paraId="5C89381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189.99</w:t>
            </w:r>
          </w:p>
        </w:tc>
        <w:tc>
          <w:tcPr>
            <w:tcW w:w="1440" w:type="dxa"/>
            <w:hideMark/>
          </w:tcPr>
          <w:p w14:paraId="1739C3D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8.94</w:t>
            </w:r>
          </w:p>
        </w:tc>
        <w:tc>
          <w:tcPr>
            <w:tcW w:w="1240" w:type="dxa"/>
            <w:noWrap/>
            <w:hideMark/>
          </w:tcPr>
          <w:p w14:paraId="1E19ED4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17.85</w:t>
            </w:r>
          </w:p>
        </w:tc>
        <w:tc>
          <w:tcPr>
            <w:tcW w:w="1520" w:type="dxa"/>
            <w:hideMark/>
          </w:tcPr>
          <w:p w14:paraId="63AFEFF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w:t>
            </w:r>
          </w:p>
        </w:tc>
        <w:tc>
          <w:tcPr>
            <w:tcW w:w="1240" w:type="dxa"/>
            <w:hideMark/>
          </w:tcPr>
          <w:p w14:paraId="6F96B62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3D67F3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56DBF9E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5965.25</w:t>
            </w:r>
          </w:p>
        </w:tc>
        <w:tc>
          <w:tcPr>
            <w:tcW w:w="1540" w:type="dxa"/>
            <w:hideMark/>
          </w:tcPr>
          <w:p w14:paraId="500E522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13.22</w:t>
            </w:r>
          </w:p>
        </w:tc>
      </w:tr>
      <w:tr w:rsidR="00302953" w:rsidRPr="00770477" w14:paraId="16D6F0C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BA656C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10-B-27-2</w:t>
            </w:r>
          </w:p>
        </w:tc>
        <w:tc>
          <w:tcPr>
            <w:tcW w:w="1300" w:type="dxa"/>
            <w:noWrap/>
            <w:hideMark/>
          </w:tcPr>
          <w:p w14:paraId="375B19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195.22</w:t>
            </w:r>
          </w:p>
        </w:tc>
        <w:tc>
          <w:tcPr>
            <w:tcW w:w="1440" w:type="dxa"/>
            <w:hideMark/>
          </w:tcPr>
          <w:p w14:paraId="3CDE14E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9.19</w:t>
            </w:r>
          </w:p>
        </w:tc>
        <w:tc>
          <w:tcPr>
            <w:tcW w:w="1240" w:type="dxa"/>
            <w:noWrap/>
            <w:hideMark/>
          </w:tcPr>
          <w:p w14:paraId="2ED5507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16.99</w:t>
            </w:r>
          </w:p>
        </w:tc>
        <w:tc>
          <w:tcPr>
            <w:tcW w:w="1520" w:type="dxa"/>
            <w:hideMark/>
          </w:tcPr>
          <w:p w14:paraId="487DB27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0.97</w:t>
            </w:r>
          </w:p>
        </w:tc>
        <w:tc>
          <w:tcPr>
            <w:tcW w:w="1240" w:type="dxa"/>
            <w:hideMark/>
          </w:tcPr>
          <w:p w14:paraId="1933432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EA458E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61F2998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5980.85</w:t>
            </w:r>
          </w:p>
        </w:tc>
        <w:tc>
          <w:tcPr>
            <w:tcW w:w="1540" w:type="dxa"/>
            <w:hideMark/>
          </w:tcPr>
          <w:p w14:paraId="32F908E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13.25</w:t>
            </w:r>
          </w:p>
        </w:tc>
      </w:tr>
      <w:tr w:rsidR="00302953" w:rsidRPr="00770477" w14:paraId="7CCD531F"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EE046A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10-C-0-1</w:t>
            </w:r>
          </w:p>
        </w:tc>
        <w:tc>
          <w:tcPr>
            <w:tcW w:w="1300" w:type="dxa"/>
            <w:noWrap/>
            <w:hideMark/>
          </w:tcPr>
          <w:p w14:paraId="0D045E2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20894.29</w:t>
            </w:r>
          </w:p>
        </w:tc>
        <w:tc>
          <w:tcPr>
            <w:tcW w:w="1440" w:type="dxa"/>
            <w:hideMark/>
          </w:tcPr>
          <w:p w14:paraId="7B9BAE1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983.20</w:t>
            </w:r>
          </w:p>
        </w:tc>
        <w:tc>
          <w:tcPr>
            <w:tcW w:w="1240" w:type="dxa"/>
            <w:noWrap/>
            <w:hideMark/>
          </w:tcPr>
          <w:p w14:paraId="1E7298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9.44</w:t>
            </w:r>
          </w:p>
        </w:tc>
        <w:tc>
          <w:tcPr>
            <w:tcW w:w="1520" w:type="dxa"/>
            <w:hideMark/>
          </w:tcPr>
          <w:p w14:paraId="2D55035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0.53</w:t>
            </w:r>
          </w:p>
        </w:tc>
        <w:tc>
          <w:tcPr>
            <w:tcW w:w="1240" w:type="dxa"/>
            <w:hideMark/>
          </w:tcPr>
          <w:p w14:paraId="316D1D2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20556F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61E6E34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35624.93</w:t>
            </w:r>
          </w:p>
        </w:tc>
        <w:tc>
          <w:tcPr>
            <w:tcW w:w="1540" w:type="dxa"/>
            <w:hideMark/>
          </w:tcPr>
          <w:p w14:paraId="71A9090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81.94</w:t>
            </w:r>
          </w:p>
        </w:tc>
      </w:tr>
      <w:tr w:rsidR="00302953" w:rsidRPr="00770477" w14:paraId="399092F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BFAC1F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10-C-1-1</w:t>
            </w:r>
          </w:p>
        </w:tc>
        <w:tc>
          <w:tcPr>
            <w:tcW w:w="1300" w:type="dxa"/>
            <w:noWrap/>
            <w:hideMark/>
          </w:tcPr>
          <w:p w14:paraId="0DF0551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19259.60</w:t>
            </w:r>
          </w:p>
        </w:tc>
        <w:tc>
          <w:tcPr>
            <w:tcW w:w="1440" w:type="dxa"/>
            <w:hideMark/>
          </w:tcPr>
          <w:p w14:paraId="57FCE88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906.28</w:t>
            </w:r>
          </w:p>
        </w:tc>
        <w:tc>
          <w:tcPr>
            <w:tcW w:w="1240" w:type="dxa"/>
            <w:noWrap/>
            <w:hideMark/>
          </w:tcPr>
          <w:p w14:paraId="1C729F4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11.62</w:t>
            </w:r>
          </w:p>
        </w:tc>
        <w:tc>
          <w:tcPr>
            <w:tcW w:w="1520" w:type="dxa"/>
            <w:hideMark/>
          </w:tcPr>
          <w:p w14:paraId="74560F4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0.67</w:t>
            </w:r>
          </w:p>
        </w:tc>
        <w:tc>
          <w:tcPr>
            <w:tcW w:w="1240" w:type="dxa"/>
            <w:hideMark/>
          </w:tcPr>
          <w:p w14:paraId="249533D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AF2B48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1C041DF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27852.73</w:t>
            </w:r>
          </w:p>
        </w:tc>
        <w:tc>
          <w:tcPr>
            <w:tcW w:w="1540" w:type="dxa"/>
            <w:hideMark/>
          </w:tcPr>
          <w:p w14:paraId="64FF84A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69.67</w:t>
            </w:r>
          </w:p>
        </w:tc>
      </w:tr>
      <w:tr w:rsidR="00302953" w:rsidRPr="00770477" w14:paraId="278FFBA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A62220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10-C-1-2</w:t>
            </w:r>
          </w:p>
        </w:tc>
        <w:tc>
          <w:tcPr>
            <w:tcW w:w="1300" w:type="dxa"/>
            <w:noWrap/>
            <w:hideMark/>
          </w:tcPr>
          <w:p w14:paraId="21C1729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19209.51</w:t>
            </w:r>
          </w:p>
        </w:tc>
        <w:tc>
          <w:tcPr>
            <w:tcW w:w="1440" w:type="dxa"/>
            <w:hideMark/>
          </w:tcPr>
          <w:p w14:paraId="1556D0D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903.92</w:t>
            </w:r>
          </w:p>
        </w:tc>
        <w:tc>
          <w:tcPr>
            <w:tcW w:w="1240" w:type="dxa"/>
            <w:noWrap/>
            <w:hideMark/>
          </w:tcPr>
          <w:p w14:paraId="3E97BAB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12.20</w:t>
            </w:r>
          </w:p>
        </w:tc>
        <w:tc>
          <w:tcPr>
            <w:tcW w:w="1520" w:type="dxa"/>
            <w:hideMark/>
          </w:tcPr>
          <w:p w14:paraId="5DE24E0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0.70</w:t>
            </w:r>
          </w:p>
        </w:tc>
        <w:tc>
          <w:tcPr>
            <w:tcW w:w="1240" w:type="dxa"/>
            <w:hideMark/>
          </w:tcPr>
          <w:p w14:paraId="4DD7423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6135D1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3FE72EE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27839.70</w:t>
            </w:r>
          </w:p>
        </w:tc>
        <w:tc>
          <w:tcPr>
            <w:tcW w:w="1540" w:type="dxa"/>
            <w:hideMark/>
          </w:tcPr>
          <w:p w14:paraId="22FEE47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69.64</w:t>
            </w:r>
          </w:p>
        </w:tc>
      </w:tr>
      <w:tr w:rsidR="00302953" w:rsidRPr="00770477" w14:paraId="68F5657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9B52B2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10-C-2-1</w:t>
            </w:r>
          </w:p>
        </w:tc>
        <w:tc>
          <w:tcPr>
            <w:tcW w:w="1300" w:type="dxa"/>
            <w:noWrap/>
            <w:hideMark/>
          </w:tcPr>
          <w:p w14:paraId="16444A1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21846.61</w:t>
            </w:r>
          </w:p>
        </w:tc>
        <w:tc>
          <w:tcPr>
            <w:tcW w:w="1440" w:type="dxa"/>
            <w:hideMark/>
          </w:tcPr>
          <w:p w14:paraId="54DAF13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1028.01</w:t>
            </w:r>
          </w:p>
        </w:tc>
        <w:tc>
          <w:tcPr>
            <w:tcW w:w="1240" w:type="dxa"/>
            <w:noWrap/>
            <w:hideMark/>
          </w:tcPr>
          <w:p w14:paraId="6E642F1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11.99</w:t>
            </w:r>
          </w:p>
        </w:tc>
        <w:tc>
          <w:tcPr>
            <w:tcW w:w="1520" w:type="dxa"/>
            <w:hideMark/>
          </w:tcPr>
          <w:p w14:paraId="1470092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0.67</w:t>
            </w:r>
          </w:p>
        </w:tc>
        <w:tc>
          <w:tcPr>
            <w:tcW w:w="1240" w:type="dxa"/>
            <w:hideMark/>
          </w:tcPr>
          <w:p w14:paraId="291B2D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2B1350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334C1D5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30070.25</w:t>
            </w:r>
          </w:p>
        </w:tc>
        <w:tc>
          <w:tcPr>
            <w:tcW w:w="1540" w:type="dxa"/>
            <w:hideMark/>
          </w:tcPr>
          <w:p w14:paraId="0A0E7D9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73.63</w:t>
            </w:r>
          </w:p>
        </w:tc>
      </w:tr>
      <w:tr w:rsidR="00302953" w:rsidRPr="00770477" w14:paraId="044CD37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942955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10-C-4-1</w:t>
            </w:r>
          </w:p>
        </w:tc>
        <w:tc>
          <w:tcPr>
            <w:tcW w:w="1300" w:type="dxa"/>
            <w:noWrap/>
            <w:hideMark/>
          </w:tcPr>
          <w:p w14:paraId="7A6828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16315.49</w:t>
            </w:r>
          </w:p>
        </w:tc>
        <w:tc>
          <w:tcPr>
            <w:tcW w:w="1440" w:type="dxa"/>
            <w:hideMark/>
          </w:tcPr>
          <w:p w14:paraId="08DD5D4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767.74</w:t>
            </w:r>
          </w:p>
        </w:tc>
        <w:tc>
          <w:tcPr>
            <w:tcW w:w="1240" w:type="dxa"/>
            <w:noWrap/>
            <w:hideMark/>
          </w:tcPr>
          <w:p w14:paraId="2F4FEC1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12.53</w:t>
            </w:r>
          </w:p>
        </w:tc>
        <w:tc>
          <w:tcPr>
            <w:tcW w:w="1520" w:type="dxa"/>
            <w:hideMark/>
          </w:tcPr>
          <w:p w14:paraId="282222C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0.70</w:t>
            </w:r>
          </w:p>
        </w:tc>
        <w:tc>
          <w:tcPr>
            <w:tcW w:w="1240" w:type="dxa"/>
            <w:hideMark/>
          </w:tcPr>
          <w:p w14:paraId="409BF02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958B7D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1B90E13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28550.26</w:t>
            </w:r>
          </w:p>
        </w:tc>
        <w:tc>
          <w:tcPr>
            <w:tcW w:w="1540" w:type="dxa"/>
            <w:hideMark/>
          </w:tcPr>
          <w:p w14:paraId="201C9A0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76.26</w:t>
            </w:r>
          </w:p>
        </w:tc>
      </w:tr>
      <w:tr w:rsidR="00302953" w:rsidRPr="00770477" w14:paraId="5CBD71A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259FB9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10-C-6-1</w:t>
            </w:r>
          </w:p>
        </w:tc>
        <w:tc>
          <w:tcPr>
            <w:tcW w:w="1300" w:type="dxa"/>
            <w:noWrap/>
            <w:hideMark/>
          </w:tcPr>
          <w:p w14:paraId="2115848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13680.37</w:t>
            </w:r>
          </w:p>
        </w:tc>
        <w:tc>
          <w:tcPr>
            <w:tcW w:w="1440" w:type="dxa"/>
            <w:hideMark/>
          </w:tcPr>
          <w:p w14:paraId="518A237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643.74</w:t>
            </w:r>
          </w:p>
        </w:tc>
        <w:tc>
          <w:tcPr>
            <w:tcW w:w="1240" w:type="dxa"/>
            <w:noWrap/>
            <w:hideMark/>
          </w:tcPr>
          <w:p w14:paraId="3B8009D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12.74</w:t>
            </w:r>
          </w:p>
        </w:tc>
        <w:tc>
          <w:tcPr>
            <w:tcW w:w="1520" w:type="dxa"/>
            <w:hideMark/>
          </w:tcPr>
          <w:p w14:paraId="3A07378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0.75</w:t>
            </w:r>
          </w:p>
        </w:tc>
        <w:tc>
          <w:tcPr>
            <w:tcW w:w="1240" w:type="dxa"/>
            <w:hideMark/>
          </w:tcPr>
          <w:p w14:paraId="41E92FF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9E3253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0A16EE0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27977.93</w:t>
            </w:r>
          </w:p>
        </w:tc>
        <w:tc>
          <w:tcPr>
            <w:tcW w:w="1540" w:type="dxa"/>
            <w:hideMark/>
          </w:tcPr>
          <w:p w14:paraId="2CB5FD2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72.16</w:t>
            </w:r>
          </w:p>
        </w:tc>
      </w:tr>
      <w:tr w:rsidR="00302953" w:rsidRPr="00770477" w14:paraId="5105B92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ABDB4C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10-C-10-1</w:t>
            </w:r>
          </w:p>
        </w:tc>
        <w:tc>
          <w:tcPr>
            <w:tcW w:w="1300" w:type="dxa"/>
            <w:noWrap/>
            <w:hideMark/>
          </w:tcPr>
          <w:p w14:paraId="0ACD67C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15492.05</w:t>
            </w:r>
          </w:p>
        </w:tc>
        <w:tc>
          <w:tcPr>
            <w:tcW w:w="1440" w:type="dxa"/>
            <w:hideMark/>
          </w:tcPr>
          <w:p w14:paraId="0513E2B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728.99</w:t>
            </w:r>
          </w:p>
        </w:tc>
        <w:tc>
          <w:tcPr>
            <w:tcW w:w="1240" w:type="dxa"/>
            <w:noWrap/>
            <w:hideMark/>
          </w:tcPr>
          <w:p w14:paraId="66ED45A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13.17</w:t>
            </w:r>
          </w:p>
        </w:tc>
        <w:tc>
          <w:tcPr>
            <w:tcW w:w="1520" w:type="dxa"/>
            <w:hideMark/>
          </w:tcPr>
          <w:p w14:paraId="3795A98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0.73</w:t>
            </w:r>
          </w:p>
        </w:tc>
        <w:tc>
          <w:tcPr>
            <w:tcW w:w="1240" w:type="dxa"/>
            <w:hideMark/>
          </w:tcPr>
          <w:p w14:paraId="0394762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186A50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5575704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32132.98</w:t>
            </w:r>
          </w:p>
        </w:tc>
        <w:tc>
          <w:tcPr>
            <w:tcW w:w="1540" w:type="dxa"/>
            <w:hideMark/>
          </w:tcPr>
          <w:p w14:paraId="15614E4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70.28</w:t>
            </w:r>
          </w:p>
        </w:tc>
      </w:tr>
      <w:tr w:rsidR="00302953" w:rsidRPr="00770477" w14:paraId="32653EF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39C536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10-C-17-1</w:t>
            </w:r>
          </w:p>
        </w:tc>
        <w:tc>
          <w:tcPr>
            <w:tcW w:w="1300" w:type="dxa"/>
            <w:noWrap/>
            <w:hideMark/>
          </w:tcPr>
          <w:p w14:paraId="7F38482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6591.53</w:t>
            </w:r>
          </w:p>
        </w:tc>
        <w:tc>
          <w:tcPr>
            <w:tcW w:w="1440" w:type="dxa"/>
            <w:hideMark/>
          </w:tcPr>
          <w:p w14:paraId="2D358AD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310.17</w:t>
            </w:r>
          </w:p>
        </w:tc>
        <w:tc>
          <w:tcPr>
            <w:tcW w:w="1240" w:type="dxa"/>
            <w:noWrap/>
            <w:hideMark/>
          </w:tcPr>
          <w:p w14:paraId="7A1C1F4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13.73</w:t>
            </w:r>
          </w:p>
        </w:tc>
        <w:tc>
          <w:tcPr>
            <w:tcW w:w="1520" w:type="dxa"/>
            <w:hideMark/>
          </w:tcPr>
          <w:p w14:paraId="23E8404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0.78</w:t>
            </w:r>
          </w:p>
        </w:tc>
        <w:tc>
          <w:tcPr>
            <w:tcW w:w="1240" w:type="dxa"/>
            <w:hideMark/>
          </w:tcPr>
          <w:p w14:paraId="1FF6D63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B84971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08A5B73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20922.46</w:t>
            </w:r>
          </w:p>
        </w:tc>
        <w:tc>
          <w:tcPr>
            <w:tcW w:w="1540" w:type="dxa"/>
            <w:hideMark/>
          </w:tcPr>
          <w:p w14:paraId="5872424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47.27</w:t>
            </w:r>
          </w:p>
        </w:tc>
      </w:tr>
      <w:tr w:rsidR="00302953" w:rsidRPr="00770477" w14:paraId="3D10ADC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12E354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10-C-27-1</w:t>
            </w:r>
          </w:p>
        </w:tc>
        <w:tc>
          <w:tcPr>
            <w:tcW w:w="1300" w:type="dxa"/>
            <w:noWrap/>
            <w:hideMark/>
          </w:tcPr>
          <w:p w14:paraId="14BF5FB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5347.63</w:t>
            </w:r>
          </w:p>
        </w:tc>
        <w:tc>
          <w:tcPr>
            <w:tcW w:w="1440" w:type="dxa"/>
            <w:hideMark/>
          </w:tcPr>
          <w:p w14:paraId="0CC8488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251.64</w:t>
            </w:r>
          </w:p>
        </w:tc>
        <w:tc>
          <w:tcPr>
            <w:tcW w:w="1240" w:type="dxa"/>
            <w:noWrap/>
            <w:hideMark/>
          </w:tcPr>
          <w:p w14:paraId="7A9404D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15.30</w:t>
            </w:r>
          </w:p>
        </w:tc>
        <w:tc>
          <w:tcPr>
            <w:tcW w:w="1520" w:type="dxa"/>
            <w:hideMark/>
          </w:tcPr>
          <w:p w14:paraId="1B8B829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0.87</w:t>
            </w:r>
          </w:p>
        </w:tc>
        <w:tc>
          <w:tcPr>
            <w:tcW w:w="1240" w:type="dxa"/>
            <w:hideMark/>
          </w:tcPr>
          <w:p w14:paraId="521E329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B87091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3673BEF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19485.77</w:t>
            </w:r>
          </w:p>
        </w:tc>
        <w:tc>
          <w:tcPr>
            <w:tcW w:w="1540" w:type="dxa"/>
            <w:hideMark/>
          </w:tcPr>
          <w:p w14:paraId="117127C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43.17</w:t>
            </w:r>
          </w:p>
        </w:tc>
      </w:tr>
      <w:tr w:rsidR="00302953" w:rsidRPr="00770477" w14:paraId="312EE861"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3E8728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10-C-27-2</w:t>
            </w:r>
          </w:p>
        </w:tc>
        <w:tc>
          <w:tcPr>
            <w:tcW w:w="1300" w:type="dxa"/>
            <w:noWrap/>
            <w:hideMark/>
          </w:tcPr>
          <w:p w14:paraId="477DA1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5342.95</w:t>
            </w:r>
          </w:p>
        </w:tc>
        <w:tc>
          <w:tcPr>
            <w:tcW w:w="1440" w:type="dxa"/>
            <w:hideMark/>
          </w:tcPr>
          <w:p w14:paraId="39A294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251.42</w:t>
            </w:r>
          </w:p>
        </w:tc>
        <w:tc>
          <w:tcPr>
            <w:tcW w:w="1240" w:type="dxa"/>
            <w:noWrap/>
            <w:hideMark/>
          </w:tcPr>
          <w:p w14:paraId="2D1BE7A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14.63</w:t>
            </w:r>
          </w:p>
        </w:tc>
        <w:tc>
          <w:tcPr>
            <w:tcW w:w="1520" w:type="dxa"/>
            <w:hideMark/>
          </w:tcPr>
          <w:p w14:paraId="2291DE7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0.84</w:t>
            </w:r>
          </w:p>
        </w:tc>
        <w:tc>
          <w:tcPr>
            <w:tcW w:w="1240" w:type="dxa"/>
            <w:hideMark/>
          </w:tcPr>
          <w:p w14:paraId="510F251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D0E91E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42FF839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19169.72</w:t>
            </w:r>
          </w:p>
        </w:tc>
        <w:tc>
          <w:tcPr>
            <w:tcW w:w="1540" w:type="dxa"/>
            <w:hideMark/>
          </w:tcPr>
          <w:p w14:paraId="5F67EE5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42.47</w:t>
            </w:r>
          </w:p>
        </w:tc>
      </w:tr>
      <w:tr w:rsidR="00302953" w:rsidRPr="00770477" w14:paraId="02FA8A5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F959F3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10-D-0-1</w:t>
            </w:r>
          </w:p>
        </w:tc>
        <w:tc>
          <w:tcPr>
            <w:tcW w:w="1300" w:type="dxa"/>
            <w:noWrap/>
            <w:hideMark/>
          </w:tcPr>
          <w:p w14:paraId="5A0AC45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111.63</w:t>
            </w:r>
          </w:p>
        </w:tc>
        <w:tc>
          <w:tcPr>
            <w:tcW w:w="1440" w:type="dxa"/>
            <w:hideMark/>
          </w:tcPr>
          <w:p w14:paraId="6A1C48D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5.25</w:t>
            </w:r>
          </w:p>
        </w:tc>
        <w:tc>
          <w:tcPr>
            <w:tcW w:w="1240" w:type="dxa"/>
            <w:noWrap/>
            <w:hideMark/>
          </w:tcPr>
          <w:p w14:paraId="5A23B2F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13.58</w:t>
            </w:r>
          </w:p>
        </w:tc>
        <w:tc>
          <w:tcPr>
            <w:tcW w:w="1520" w:type="dxa"/>
            <w:hideMark/>
          </w:tcPr>
          <w:p w14:paraId="269519B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0.76</w:t>
            </w:r>
          </w:p>
        </w:tc>
        <w:tc>
          <w:tcPr>
            <w:tcW w:w="1240" w:type="dxa"/>
            <w:hideMark/>
          </w:tcPr>
          <w:p w14:paraId="4108BB4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70664C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1B55A83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11832.90</w:t>
            </w:r>
          </w:p>
        </w:tc>
        <w:tc>
          <w:tcPr>
            <w:tcW w:w="1540" w:type="dxa"/>
            <w:hideMark/>
          </w:tcPr>
          <w:p w14:paraId="402267F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27.22</w:t>
            </w:r>
          </w:p>
        </w:tc>
      </w:tr>
      <w:tr w:rsidR="00302953" w:rsidRPr="00770477" w14:paraId="339DC40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099831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10-D-1-1</w:t>
            </w:r>
          </w:p>
        </w:tc>
        <w:tc>
          <w:tcPr>
            <w:tcW w:w="1300" w:type="dxa"/>
            <w:noWrap/>
            <w:hideMark/>
          </w:tcPr>
          <w:p w14:paraId="7C46191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149.86</w:t>
            </w:r>
          </w:p>
        </w:tc>
        <w:tc>
          <w:tcPr>
            <w:tcW w:w="1440" w:type="dxa"/>
            <w:hideMark/>
          </w:tcPr>
          <w:p w14:paraId="283E5AA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7.05</w:t>
            </w:r>
          </w:p>
        </w:tc>
        <w:tc>
          <w:tcPr>
            <w:tcW w:w="1240" w:type="dxa"/>
            <w:noWrap/>
            <w:hideMark/>
          </w:tcPr>
          <w:p w14:paraId="7B27BE4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17.57</w:t>
            </w:r>
          </w:p>
        </w:tc>
        <w:tc>
          <w:tcPr>
            <w:tcW w:w="1520" w:type="dxa"/>
            <w:hideMark/>
          </w:tcPr>
          <w:p w14:paraId="3EBCC52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w:t>
            </w:r>
          </w:p>
        </w:tc>
        <w:tc>
          <w:tcPr>
            <w:tcW w:w="1240" w:type="dxa"/>
            <w:hideMark/>
          </w:tcPr>
          <w:p w14:paraId="6AE424B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D6229A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49E487C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9704.47</w:t>
            </w:r>
          </w:p>
        </w:tc>
        <w:tc>
          <w:tcPr>
            <w:tcW w:w="1540" w:type="dxa"/>
            <w:hideMark/>
          </w:tcPr>
          <w:p w14:paraId="5F39487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24.27</w:t>
            </w:r>
          </w:p>
        </w:tc>
      </w:tr>
      <w:tr w:rsidR="00302953" w:rsidRPr="00770477" w14:paraId="4FAA8A9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676800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10-D-1-2</w:t>
            </w:r>
          </w:p>
        </w:tc>
        <w:tc>
          <w:tcPr>
            <w:tcW w:w="1300" w:type="dxa"/>
            <w:noWrap/>
            <w:hideMark/>
          </w:tcPr>
          <w:p w14:paraId="4B1BA3C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160.33</w:t>
            </w:r>
          </w:p>
        </w:tc>
        <w:tc>
          <w:tcPr>
            <w:tcW w:w="1440" w:type="dxa"/>
            <w:hideMark/>
          </w:tcPr>
          <w:p w14:paraId="7E66EB7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7.54</w:t>
            </w:r>
          </w:p>
        </w:tc>
        <w:tc>
          <w:tcPr>
            <w:tcW w:w="1240" w:type="dxa"/>
            <w:noWrap/>
            <w:hideMark/>
          </w:tcPr>
          <w:p w14:paraId="4D6372A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17.02</w:t>
            </w:r>
          </w:p>
        </w:tc>
        <w:tc>
          <w:tcPr>
            <w:tcW w:w="1520" w:type="dxa"/>
            <w:hideMark/>
          </w:tcPr>
          <w:p w14:paraId="7B32E68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0.98</w:t>
            </w:r>
          </w:p>
        </w:tc>
        <w:tc>
          <w:tcPr>
            <w:tcW w:w="1240" w:type="dxa"/>
            <w:hideMark/>
          </w:tcPr>
          <w:p w14:paraId="6AC1E1A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AFA374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5C28864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9663.26</w:t>
            </w:r>
          </w:p>
        </w:tc>
        <w:tc>
          <w:tcPr>
            <w:tcW w:w="1540" w:type="dxa"/>
            <w:hideMark/>
          </w:tcPr>
          <w:p w14:paraId="19B4FF1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24.17</w:t>
            </w:r>
          </w:p>
        </w:tc>
      </w:tr>
      <w:tr w:rsidR="00302953" w:rsidRPr="00770477" w14:paraId="3ABE296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C92B08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10-D-2-1</w:t>
            </w:r>
          </w:p>
        </w:tc>
        <w:tc>
          <w:tcPr>
            <w:tcW w:w="1300" w:type="dxa"/>
            <w:noWrap/>
            <w:hideMark/>
          </w:tcPr>
          <w:p w14:paraId="028AC1F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184.92</w:t>
            </w:r>
          </w:p>
        </w:tc>
        <w:tc>
          <w:tcPr>
            <w:tcW w:w="1440" w:type="dxa"/>
            <w:hideMark/>
          </w:tcPr>
          <w:p w14:paraId="2040374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8.70</w:t>
            </w:r>
          </w:p>
        </w:tc>
        <w:tc>
          <w:tcPr>
            <w:tcW w:w="1240" w:type="dxa"/>
            <w:noWrap/>
            <w:hideMark/>
          </w:tcPr>
          <w:p w14:paraId="5A94DBF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16.74</w:t>
            </w:r>
          </w:p>
        </w:tc>
        <w:tc>
          <w:tcPr>
            <w:tcW w:w="1520" w:type="dxa"/>
            <w:hideMark/>
          </w:tcPr>
          <w:p w14:paraId="1BC735F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0.94</w:t>
            </w:r>
          </w:p>
        </w:tc>
        <w:tc>
          <w:tcPr>
            <w:tcW w:w="1240" w:type="dxa"/>
            <w:hideMark/>
          </w:tcPr>
          <w:p w14:paraId="446D6CF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4FB0B3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1DEA06A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8366.51</w:t>
            </w:r>
          </w:p>
        </w:tc>
        <w:tc>
          <w:tcPr>
            <w:tcW w:w="1540" w:type="dxa"/>
            <w:hideMark/>
          </w:tcPr>
          <w:p w14:paraId="360D63E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20.49</w:t>
            </w:r>
          </w:p>
        </w:tc>
      </w:tr>
      <w:tr w:rsidR="00302953" w:rsidRPr="00770477" w14:paraId="5D54EAB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C4611E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10-D-4-1</w:t>
            </w:r>
          </w:p>
        </w:tc>
        <w:tc>
          <w:tcPr>
            <w:tcW w:w="1300" w:type="dxa"/>
            <w:noWrap/>
            <w:hideMark/>
          </w:tcPr>
          <w:p w14:paraId="1729B67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222.06</w:t>
            </w:r>
          </w:p>
        </w:tc>
        <w:tc>
          <w:tcPr>
            <w:tcW w:w="1440" w:type="dxa"/>
            <w:hideMark/>
          </w:tcPr>
          <w:p w14:paraId="3648D9A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10.45</w:t>
            </w:r>
          </w:p>
        </w:tc>
        <w:tc>
          <w:tcPr>
            <w:tcW w:w="1240" w:type="dxa"/>
            <w:noWrap/>
            <w:hideMark/>
          </w:tcPr>
          <w:p w14:paraId="23D1C16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17.19</w:t>
            </w:r>
          </w:p>
        </w:tc>
        <w:tc>
          <w:tcPr>
            <w:tcW w:w="1520" w:type="dxa"/>
            <w:hideMark/>
          </w:tcPr>
          <w:p w14:paraId="40F4F33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0.97</w:t>
            </w:r>
          </w:p>
        </w:tc>
        <w:tc>
          <w:tcPr>
            <w:tcW w:w="1240" w:type="dxa"/>
            <w:hideMark/>
          </w:tcPr>
          <w:p w14:paraId="10246A2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009A28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6CACE3A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8155.07</w:t>
            </w:r>
          </w:p>
        </w:tc>
        <w:tc>
          <w:tcPr>
            <w:tcW w:w="1540" w:type="dxa"/>
            <w:hideMark/>
          </w:tcPr>
          <w:p w14:paraId="3FA5F92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21.78</w:t>
            </w:r>
          </w:p>
        </w:tc>
      </w:tr>
      <w:tr w:rsidR="00302953" w:rsidRPr="00770477" w14:paraId="144654B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DBD779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10-D-6-1</w:t>
            </w:r>
          </w:p>
        </w:tc>
        <w:tc>
          <w:tcPr>
            <w:tcW w:w="1300" w:type="dxa"/>
            <w:noWrap/>
            <w:hideMark/>
          </w:tcPr>
          <w:p w14:paraId="08A211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233.30</w:t>
            </w:r>
          </w:p>
        </w:tc>
        <w:tc>
          <w:tcPr>
            <w:tcW w:w="1440" w:type="dxa"/>
            <w:hideMark/>
          </w:tcPr>
          <w:p w14:paraId="4C93E04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10.98</w:t>
            </w:r>
          </w:p>
        </w:tc>
        <w:tc>
          <w:tcPr>
            <w:tcW w:w="1240" w:type="dxa"/>
            <w:noWrap/>
            <w:hideMark/>
          </w:tcPr>
          <w:p w14:paraId="600F652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16.30</w:t>
            </w:r>
          </w:p>
        </w:tc>
        <w:tc>
          <w:tcPr>
            <w:tcW w:w="1520" w:type="dxa"/>
            <w:hideMark/>
          </w:tcPr>
          <w:p w14:paraId="49A8317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0.96</w:t>
            </w:r>
          </w:p>
        </w:tc>
        <w:tc>
          <w:tcPr>
            <w:tcW w:w="1240" w:type="dxa"/>
            <w:hideMark/>
          </w:tcPr>
          <w:p w14:paraId="547F0AE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8D159B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026BA49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10224.65</w:t>
            </w:r>
          </w:p>
        </w:tc>
        <w:tc>
          <w:tcPr>
            <w:tcW w:w="1540" w:type="dxa"/>
            <w:hideMark/>
          </w:tcPr>
          <w:p w14:paraId="7696DA6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26.37</w:t>
            </w:r>
          </w:p>
        </w:tc>
      </w:tr>
      <w:tr w:rsidR="00302953" w:rsidRPr="00770477" w14:paraId="659C840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92C445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10-D-10-1</w:t>
            </w:r>
          </w:p>
        </w:tc>
        <w:tc>
          <w:tcPr>
            <w:tcW w:w="1300" w:type="dxa"/>
            <w:noWrap/>
            <w:hideMark/>
          </w:tcPr>
          <w:p w14:paraId="6246E4B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218.98</w:t>
            </w:r>
          </w:p>
        </w:tc>
        <w:tc>
          <w:tcPr>
            <w:tcW w:w="1440" w:type="dxa"/>
            <w:hideMark/>
          </w:tcPr>
          <w:p w14:paraId="54C05CC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10.30</w:t>
            </w:r>
          </w:p>
        </w:tc>
        <w:tc>
          <w:tcPr>
            <w:tcW w:w="1240" w:type="dxa"/>
            <w:noWrap/>
            <w:hideMark/>
          </w:tcPr>
          <w:p w14:paraId="72B314A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15.76</w:t>
            </w:r>
          </w:p>
        </w:tc>
        <w:tc>
          <w:tcPr>
            <w:tcW w:w="1520" w:type="dxa"/>
            <w:hideMark/>
          </w:tcPr>
          <w:p w14:paraId="5B2C41E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0.87</w:t>
            </w:r>
          </w:p>
        </w:tc>
        <w:tc>
          <w:tcPr>
            <w:tcW w:w="1240" w:type="dxa"/>
            <w:hideMark/>
          </w:tcPr>
          <w:p w14:paraId="4BE82E4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54435F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44D6BB8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7260.26</w:t>
            </w:r>
          </w:p>
        </w:tc>
        <w:tc>
          <w:tcPr>
            <w:tcW w:w="1540" w:type="dxa"/>
            <w:hideMark/>
          </w:tcPr>
          <w:p w14:paraId="7CE483A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15.88</w:t>
            </w:r>
          </w:p>
        </w:tc>
      </w:tr>
      <w:tr w:rsidR="00302953" w:rsidRPr="00770477" w14:paraId="23830499"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082B87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10-D-17-1</w:t>
            </w:r>
          </w:p>
        </w:tc>
        <w:tc>
          <w:tcPr>
            <w:tcW w:w="1300" w:type="dxa"/>
            <w:noWrap/>
            <w:hideMark/>
          </w:tcPr>
          <w:p w14:paraId="71EBB3F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190.41</w:t>
            </w:r>
          </w:p>
        </w:tc>
        <w:tc>
          <w:tcPr>
            <w:tcW w:w="1440" w:type="dxa"/>
            <w:hideMark/>
          </w:tcPr>
          <w:p w14:paraId="7A6361B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8.96</w:t>
            </w:r>
          </w:p>
        </w:tc>
        <w:tc>
          <w:tcPr>
            <w:tcW w:w="1240" w:type="dxa"/>
            <w:noWrap/>
            <w:hideMark/>
          </w:tcPr>
          <w:p w14:paraId="51A9A89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17.98</w:t>
            </w:r>
          </w:p>
        </w:tc>
        <w:tc>
          <w:tcPr>
            <w:tcW w:w="1520" w:type="dxa"/>
            <w:hideMark/>
          </w:tcPr>
          <w:p w14:paraId="74B5785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w:t>
            </w:r>
          </w:p>
        </w:tc>
        <w:tc>
          <w:tcPr>
            <w:tcW w:w="1240" w:type="dxa"/>
            <w:hideMark/>
          </w:tcPr>
          <w:p w14:paraId="70D70A2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4AE7FB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35669D2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7021.45</w:t>
            </w:r>
          </w:p>
        </w:tc>
        <w:tc>
          <w:tcPr>
            <w:tcW w:w="1540" w:type="dxa"/>
            <w:hideMark/>
          </w:tcPr>
          <w:p w14:paraId="3CA866F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15.86</w:t>
            </w:r>
          </w:p>
        </w:tc>
      </w:tr>
      <w:tr w:rsidR="00302953" w:rsidRPr="00770477" w14:paraId="5FAF4CB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454268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10-D-17-2</w:t>
            </w:r>
          </w:p>
        </w:tc>
        <w:tc>
          <w:tcPr>
            <w:tcW w:w="1300" w:type="dxa"/>
            <w:noWrap/>
            <w:hideMark/>
          </w:tcPr>
          <w:p w14:paraId="5B5673F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197.08</w:t>
            </w:r>
          </w:p>
        </w:tc>
        <w:tc>
          <w:tcPr>
            <w:tcW w:w="1440" w:type="dxa"/>
            <w:hideMark/>
          </w:tcPr>
          <w:p w14:paraId="1EAC894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9.27</w:t>
            </w:r>
          </w:p>
        </w:tc>
        <w:tc>
          <w:tcPr>
            <w:tcW w:w="1240" w:type="dxa"/>
            <w:noWrap/>
            <w:hideMark/>
          </w:tcPr>
          <w:p w14:paraId="5C1A3C0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17.04</w:t>
            </w:r>
          </w:p>
        </w:tc>
        <w:tc>
          <w:tcPr>
            <w:tcW w:w="1520" w:type="dxa"/>
            <w:hideMark/>
          </w:tcPr>
          <w:p w14:paraId="757CF7C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0.96</w:t>
            </w:r>
          </w:p>
        </w:tc>
        <w:tc>
          <w:tcPr>
            <w:tcW w:w="1240" w:type="dxa"/>
            <w:hideMark/>
          </w:tcPr>
          <w:p w14:paraId="563BAD4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A74021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5F802EA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6990.33</w:t>
            </w:r>
          </w:p>
        </w:tc>
        <w:tc>
          <w:tcPr>
            <w:tcW w:w="1540" w:type="dxa"/>
            <w:hideMark/>
          </w:tcPr>
          <w:p w14:paraId="538991E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15.79</w:t>
            </w:r>
          </w:p>
        </w:tc>
      </w:tr>
      <w:tr w:rsidR="00302953" w:rsidRPr="00770477" w14:paraId="7A75D4A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31E133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10-D-27-1</w:t>
            </w:r>
          </w:p>
        </w:tc>
        <w:tc>
          <w:tcPr>
            <w:tcW w:w="1300" w:type="dxa"/>
            <w:noWrap/>
            <w:hideMark/>
          </w:tcPr>
          <w:p w14:paraId="13D41AE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165.54</w:t>
            </w:r>
          </w:p>
        </w:tc>
        <w:tc>
          <w:tcPr>
            <w:tcW w:w="1440" w:type="dxa"/>
            <w:hideMark/>
          </w:tcPr>
          <w:p w14:paraId="4B197F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7.79</w:t>
            </w:r>
          </w:p>
        </w:tc>
        <w:tc>
          <w:tcPr>
            <w:tcW w:w="1240" w:type="dxa"/>
            <w:noWrap/>
            <w:hideMark/>
          </w:tcPr>
          <w:p w14:paraId="2C3BC6C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17.69</w:t>
            </w:r>
          </w:p>
        </w:tc>
        <w:tc>
          <w:tcPr>
            <w:tcW w:w="1520" w:type="dxa"/>
            <w:hideMark/>
          </w:tcPr>
          <w:p w14:paraId="0C44C1B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w:t>
            </w:r>
          </w:p>
        </w:tc>
        <w:tc>
          <w:tcPr>
            <w:tcW w:w="1240" w:type="dxa"/>
            <w:hideMark/>
          </w:tcPr>
          <w:p w14:paraId="44C9518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A49175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611104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6755.01</w:t>
            </w:r>
          </w:p>
        </w:tc>
        <w:tc>
          <w:tcPr>
            <w:tcW w:w="1540" w:type="dxa"/>
            <w:hideMark/>
          </w:tcPr>
          <w:p w14:paraId="64ED30C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14.97</w:t>
            </w:r>
          </w:p>
        </w:tc>
      </w:tr>
      <w:tr w:rsidR="00302953" w:rsidRPr="00770477" w14:paraId="01F2623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56CF77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10-D-27-2</w:t>
            </w:r>
          </w:p>
        </w:tc>
        <w:tc>
          <w:tcPr>
            <w:tcW w:w="1300" w:type="dxa"/>
            <w:noWrap/>
            <w:hideMark/>
          </w:tcPr>
          <w:p w14:paraId="105F865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168.12</w:t>
            </w:r>
          </w:p>
        </w:tc>
        <w:tc>
          <w:tcPr>
            <w:tcW w:w="1440" w:type="dxa"/>
            <w:hideMark/>
          </w:tcPr>
          <w:p w14:paraId="3BB1DB8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7.91</w:t>
            </w:r>
          </w:p>
        </w:tc>
        <w:tc>
          <w:tcPr>
            <w:tcW w:w="1240" w:type="dxa"/>
            <w:noWrap/>
            <w:hideMark/>
          </w:tcPr>
          <w:p w14:paraId="3140742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16.59</w:t>
            </w:r>
          </w:p>
        </w:tc>
        <w:tc>
          <w:tcPr>
            <w:tcW w:w="1520" w:type="dxa"/>
            <w:hideMark/>
          </w:tcPr>
          <w:p w14:paraId="10B5FF4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0.95</w:t>
            </w:r>
          </w:p>
        </w:tc>
        <w:tc>
          <w:tcPr>
            <w:tcW w:w="1240" w:type="dxa"/>
            <w:hideMark/>
          </w:tcPr>
          <w:p w14:paraId="310DFB5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070F2B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081BCE0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6750.19</w:t>
            </w:r>
          </w:p>
        </w:tc>
        <w:tc>
          <w:tcPr>
            <w:tcW w:w="1540" w:type="dxa"/>
            <w:hideMark/>
          </w:tcPr>
          <w:p w14:paraId="2DBB352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14.96</w:t>
            </w:r>
          </w:p>
        </w:tc>
      </w:tr>
      <w:tr w:rsidR="00302953" w:rsidRPr="00770477" w14:paraId="6D35725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AAE6F5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10-I-0-3</w:t>
            </w:r>
          </w:p>
        </w:tc>
        <w:tc>
          <w:tcPr>
            <w:tcW w:w="1300" w:type="dxa"/>
            <w:hideMark/>
          </w:tcPr>
          <w:p w14:paraId="20F179B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6AD831C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02F9C11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17.95</w:t>
            </w:r>
          </w:p>
        </w:tc>
        <w:tc>
          <w:tcPr>
            <w:tcW w:w="1520" w:type="dxa"/>
            <w:hideMark/>
          </w:tcPr>
          <w:p w14:paraId="42721CB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2EC4BEF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9.29</w:t>
            </w:r>
          </w:p>
        </w:tc>
        <w:tc>
          <w:tcPr>
            <w:tcW w:w="1540" w:type="dxa"/>
            <w:hideMark/>
          </w:tcPr>
          <w:p w14:paraId="4CDF382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2A7A77B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434.74</w:t>
            </w:r>
          </w:p>
        </w:tc>
        <w:tc>
          <w:tcPr>
            <w:tcW w:w="1540" w:type="dxa"/>
            <w:hideMark/>
          </w:tcPr>
          <w:p w14:paraId="374F031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4522FE9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671A67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10-I-1-3</w:t>
            </w:r>
          </w:p>
        </w:tc>
        <w:tc>
          <w:tcPr>
            <w:tcW w:w="1300" w:type="dxa"/>
            <w:hideMark/>
          </w:tcPr>
          <w:p w14:paraId="410CEC8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27DB4FE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2394849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17.36</w:t>
            </w:r>
          </w:p>
        </w:tc>
        <w:tc>
          <w:tcPr>
            <w:tcW w:w="1520" w:type="dxa"/>
            <w:hideMark/>
          </w:tcPr>
          <w:p w14:paraId="13AE84F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2930E7B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9.01</w:t>
            </w:r>
          </w:p>
        </w:tc>
        <w:tc>
          <w:tcPr>
            <w:tcW w:w="1540" w:type="dxa"/>
            <w:hideMark/>
          </w:tcPr>
          <w:p w14:paraId="5435BFA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2D064CA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399.78</w:t>
            </w:r>
          </w:p>
        </w:tc>
        <w:tc>
          <w:tcPr>
            <w:tcW w:w="1540" w:type="dxa"/>
            <w:hideMark/>
          </w:tcPr>
          <w:p w14:paraId="65B7541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3E9CF0B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A8E55E0"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10-I-2-3</w:t>
            </w:r>
          </w:p>
        </w:tc>
        <w:tc>
          <w:tcPr>
            <w:tcW w:w="1300" w:type="dxa"/>
            <w:hideMark/>
          </w:tcPr>
          <w:p w14:paraId="71815CD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0AD3CEF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7AB6D2C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17.86</w:t>
            </w:r>
          </w:p>
        </w:tc>
        <w:tc>
          <w:tcPr>
            <w:tcW w:w="1520" w:type="dxa"/>
            <w:hideMark/>
          </w:tcPr>
          <w:p w14:paraId="52C13DB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5A686CA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9.13</w:t>
            </w:r>
          </w:p>
        </w:tc>
        <w:tc>
          <w:tcPr>
            <w:tcW w:w="1540" w:type="dxa"/>
            <w:hideMark/>
          </w:tcPr>
          <w:p w14:paraId="731DACE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547E9FB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408.40</w:t>
            </w:r>
          </w:p>
        </w:tc>
        <w:tc>
          <w:tcPr>
            <w:tcW w:w="1540" w:type="dxa"/>
            <w:hideMark/>
          </w:tcPr>
          <w:p w14:paraId="18C0FC5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23C8B31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5CC74C7"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10-I-4-3</w:t>
            </w:r>
          </w:p>
        </w:tc>
        <w:tc>
          <w:tcPr>
            <w:tcW w:w="1300" w:type="dxa"/>
            <w:hideMark/>
          </w:tcPr>
          <w:p w14:paraId="2FA8C24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7831B1F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25848BC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17.80</w:t>
            </w:r>
          </w:p>
        </w:tc>
        <w:tc>
          <w:tcPr>
            <w:tcW w:w="1520" w:type="dxa"/>
            <w:hideMark/>
          </w:tcPr>
          <w:p w14:paraId="68F3E6C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6FE845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9.16</w:t>
            </w:r>
          </w:p>
        </w:tc>
        <w:tc>
          <w:tcPr>
            <w:tcW w:w="1540" w:type="dxa"/>
            <w:hideMark/>
          </w:tcPr>
          <w:p w14:paraId="3CB342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44161F1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374.37</w:t>
            </w:r>
          </w:p>
        </w:tc>
        <w:tc>
          <w:tcPr>
            <w:tcW w:w="1540" w:type="dxa"/>
            <w:hideMark/>
          </w:tcPr>
          <w:p w14:paraId="1FB2A74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71283EC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58BB187"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10-I-6-3</w:t>
            </w:r>
          </w:p>
        </w:tc>
        <w:tc>
          <w:tcPr>
            <w:tcW w:w="1300" w:type="dxa"/>
            <w:hideMark/>
          </w:tcPr>
          <w:p w14:paraId="3B26740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4D3D8D7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4D695A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16.91</w:t>
            </w:r>
          </w:p>
        </w:tc>
        <w:tc>
          <w:tcPr>
            <w:tcW w:w="1520" w:type="dxa"/>
            <w:hideMark/>
          </w:tcPr>
          <w:p w14:paraId="5DCF86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7D57BD8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9.18</w:t>
            </w:r>
          </w:p>
        </w:tc>
        <w:tc>
          <w:tcPr>
            <w:tcW w:w="1540" w:type="dxa"/>
            <w:hideMark/>
          </w:tcPr>
          <w:p w14:paraId="2A0DCA9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6E21DCB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387.74</w:t>
            </w:r>
          </w:p>
        </w:tc>
        <w:tc>
          <w:tcPr>
            <w:tcW w:w="1540" w:type="dxa"/>
            <w:hideMark/>
          </w:tcPr>
          <w:p w14:paraId="241C6A5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056A810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FFD5AD2"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10-I-10-3</w:t>
            </w:r>
          </w:p>
        </w:tc>
        <w:tc>
          <w:tcPr>
            <w:tcW w:w="1300" w:type="dxa"/>
            <w:hideMark/>
          </w:tcPr>
          <w:p w14:paraId="2591EDF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6A625DF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5ABAB82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18.11</w:t>
            </w:r>
          </w:p>
        </w:tc>
        <w:tc>
          <w:tcPr>
            <w:tcW w:w="1520" w:type="dxa"/>
            <w:hideMark/>
          </w:tcPr>
          <w:p w14:paraId="48375C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0ED9EF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9.32</w:t>
            </w:r>
          </w:p>
        </w:tc>
        <w:tc>
          <w:tcPr>
            <w:tcW w:w="1540" w:type="dxa"/>
            <w:hideMark/>
          </w:tcPr>
          <w:p w14:paraId="59C2A73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1B9711C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457.24</w:t>
            </w:r>
          </w:p>
        </w:tc>
        <w:tc>
          <w:tcPr>
            <w:tcW w:w="1540" w:type="dxa"/>
            <w:hideMark/>
          </w:tcPr>
          <w:p w14:paraId="0D90C1E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717EB9F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1E48411"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10-I-17-3</w:t>
            </w:r>
          </w:p>
        </w:tc>
        <w:tc>
          <w:tcPr>
            <w:tcW w:w="1300" w:type="dxa"/>
            <w:hideMark/>
          </w:tcPr>
          <w:p w14:paraId="16AB658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4863C93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372AE12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17.68</w:t>
            </w:r>
          </w:p>
        </w:tc>
        <w:tc>
          <w:tcPr>
            <w:tcW w:w="1520" w:type="dxa"/>
            <w:hideMark/>
          </w:tcPr>
          <w:p w14:paraId="030D5CE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32B1F6C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8.75</w:t>
            </w:r>
          </w:p>
        </w:tc>
        <w:tc>
          <w:tcPr>
            <w:tcW w:w="1540" w:type="dxa"/>
            <w:hideMark/>
          </w:tcPr>
          <w:p w14:paraId="70557A4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1A41C16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442.66</w:t>
            </w:r>
          </w:p>
        </w:tc>
        <w:tc>
          <w:tcPr>
            <w:tcW w:w="1540" w:type="dxa"/>
            <w:hideMark/>
          </w:tcPr>
          <w:p w14:paraId="67A64A5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26B680A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5B1ABE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10-I-27-3</w:t>
            </w:r>
          </w:p>
        </w:tc>
        <w:tc>
          <w:tcPr>
            <w:tcW w:w="1300" w:type="dxa"/>
            <w:hideMark/>
          </w:tcPr>
          <w:p w14:paraId="2C1B74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344517A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59AA113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17.49</w:t>
            </w:r>
          </w:p>
        </w:tc>
        <w:tc>
          <w:tcPr>
            <w:tcW w:w="1520" w:type="dxa"/>
            <w:hideMark/>
          </w:tcPr>
          <w:p w14:paraId="6C62CB0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2514F01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9.07</w:t>
            </w:r>
          </w:p>
        </w:tc>
        <w:tc>
          <w:tcPr>
            <w:tcW w:w="1540" w:type="dxa"/>
            <w:hideMark/>
          </w:tcPr>
          <w:p w14:paraId="2F4C778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23916A1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451.36</w:t>
            </w:r>
          </w:p>
        </w:tc>
        <w:tc>
          <w:tcPr>
            <w:tcW w:w="1540" w:type="dxa"/>
            <w:hideMark/>
          </w:tcPr>
          <w:p w14:paraId="1C9F4F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07CB19E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2727D21"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10-I-999-4</w:t>
            </w:r>
          </w:p>
        </w:tc>
        <w:tc>
          <w:tcPr>
            <w:tcW w:w="1300" w:type="dxa"/>
            <w:hideMark/>
          </w:tcPr>
          <w:p w14:paraId="3D373B7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0AF24F2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c>
          <w:tcPr>
            <w:tcW w:w="1240" w:type="dxa"/>
            <w:hideMark/>
          </w:tcPr>
          <w:p w14:paraId="0CD45B9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49CAC5C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c>
          <w:tcPr>
            <w:tcW w:w="1240" w:type="dxa"/>
            <w:hideMark/>
          </w:tcPr>
          <w:p w14:paraId="03129B9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BE8CFF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c>
          <w:tcPr>
            <w:tcW w:w="1300" w:type="dxa"/>
            <w:noWrap/>
            <w:hideMark/>
          </w:tcPr>
          <w:p w14:paraId="2D7E3EB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50.27</w:t>
            </w:r>
          </w:p>
        </w:tc>
        <w:tc>
          <w:tcPr>
            <w:tcW w:w="1540" w:type="dxa"/>
            <w:hideMark/>
          </w:tcPr>
          <w:p w14:paraId="5F38240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r>
    </w:tbl>
    <w:p w14:paraId="15AE7CD5" w14:textId="77777777" w:rsidR="00302953" w:rsidRPr="00770477" w:rsidRDefault="00302953" w:rsidP="00302953">
      <w:pPr>
        <w:spacing w:line="240" w:lineRule="auto"/>
        <w:rPr>
          <w:rFonts w:cs="Times New Roman"/>
        </w:rPr>
      </w:pPr>
    </w:p>
    <w:p w14:paraId="61F7A1C9" w14:textId="77777777" w:rsidR="00302953" w:rsidRPr="00770477" w:rsidRDefault="00302953" w:rsidP="00302953">
      <w:pPr>
        <w:spacing w:line="240" w:lineRule="auto"/>
        <w:jc w:val="left"/>
        <w:rPr>
          <w:rFonts w:cs="Times New Roman"/>
        </w:rPr>
      </w:pPr>
      <w:r w:rsidRPr="00770477">
        <w:rPr>
          <w:rFonts w:cs="Times New Roman"/>
        </w:rPr>
        <w:br w:type="page"/>
      </w:r>
    </w:p>
    <w:p w14:paraId="740694E0" w14:textId="09205120" w:rsidR="00302953" w:rsidRPr="00C6587B" w:rsidRDefault="00302953" w:rsidP="00302953">
      <w:pPr>
        <w:pStyle w:val="Caption"/>
        <w:keepNext/>
        <w:rPr>
          <w:rFonts w:cs="Times New Roman"/>
        </w:rPr>
      </w:pPr>
      <w:bookmarkStart w:id="186" w:name="_Ref121496255"/>
      <w:bookmarkStart w:id="187" w:name="_Toc121494158"/>
      <w:bookmarkStart w:id="188" w:name="_Toc121495943"/>
      <w:r>
        <w:lastRenderedPageBreak/>
        <w:t xml:space="preserve">Table </w:t>
      </w:r>
      <w:fldSimple w:instr=" STYLEREF 1 \s ">
        <w:r w:rsidR="00061096">
          <w:rPr>
            <w:noProof/>
          </w:rPr>
          <w:t>10</w:t>
        </w:r>
      </w:fldSimple>
      <w:r w:rsidR="00B26DDF">
        <w:noBreakHyphen/>
      </w:r>
      <w:fldSimple w:instr=" SEQ Table \* ARABIC \s 1 ">
        <w:r w:rsidR="00061096">
          <w:rPr>
            <w:noProof/>
          </w:rPr>
          <w:t>5</w:t>
        </w:r>
      </w:fldSimple>
      <w:bookmarkEnd w:id="186"/>
      <w:r w:rsidRPr="00C6587B">
        <w:rPr>
          <w:rFonts w:cs="Times New Roman"/>
        </w:rPr>
        <w:t xml:space="preserve"> </w:t>
      </w:r>
      <w:r w:rsidRPr="00770477">
        <w:rPr>
          <w:rFonts w:cs="Times New Roman"/>
        </w:rPr>
        <w:t>Dissolved metals sample results for cobalt, copper, iron, and potassium. All results in ug L</w:t>
      </w:r>
      <w:r w:rsidRPr="00770477">
        <w:rPr>
          <w:rFonts w:cs="Times New Roman"/>
          <w:vertAlign w:val="superscript"/>
        </w:rPr>
        <w:t>-1</w:t>
      </w:r>
      <w:r w:rsidRPr="00770477">
        <w:rPr>
          <w:rFonts w:cs="Times New Roman"/>
          <w:vertAlign w:val="superscript"/>
        </w:rPr>
        <w:noBreakHyphen/>
      </w:r>
      <w:r w:rsidRPr="00770477">
        <w:rPr>
          <w:rFonts w:cs="Times New Roman"/>
        </w:rPr>
        <w:t>.</w:t>
      </w:r>
      <w:bookmarkEnd w:id="187"/>
      <w:bookmarkEnd w:id="188"/>
    </w:p>
    <w:tbl>
      <w:tblPr>
        <w:tblStyle w:val="PlainTable5"/>
        <w:tblW w:w="12800" w:type="dxa"/>
        <w:tblLook w:val="04A0" w:firstRow="1" w:lastRow="0" w:firstColumn="1" w:lastColumn="0" w:noHBand="0" w:noVBand="1"/>
      </w:tblPr>
      <w:tblGrid>
        <w:gridCol w:w="1720"/>
        <w:gridCol w:w="1180"/>
        <w:gridCol w:w="1540"/>
        <w:gridCol w:w="1300"/>
        <w:gridCol w:w="1540"/>
        <w:gridCol w:w="1300"/>
        <w:gridCol w:w="1520"/>
        <w:gridCol w:w="1300"/>
        <w:gridCol w:w="1400"/>
      </w:tblGrid>
      <w:tr w:rsidR="00302953" w:rsidRPr="00770477" w14:paraId="07DA80E5" w14:textId="77777777" w:rsidTr="00622DCD">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1720" w:type="dxa"/>
            <w:hideMark/>
          </w:tcPr>
          <w:p w14:paraId="3B8A550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Sample ID</w:t>
            </w:r>
          </w:p>
        </w:tc>
        <w:tc>
          <w:tcPr>
            <w:tcW w:w="1180" w:type="dxa"/>
            <w:noWrap/>
            <w:hideMark/>
          </w:tcPr>
          <w:p w14:paraId="44EDC158"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Co</w:t>
            </w:r>
          </w:p>
        </w:tc>
        <w:tc>
          <w:tcPr>
            <w:tcW w:w="1540" w:type="dxa"/>
            <w:noWrap/>
            <w:hideMark/>
          </w:tcPr>
          <w:p w14:paraId="701F1CD7"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Co Ratio</w:t>
            </w:r>
          </w:p>
        </w:tc>
        <w:tc>
          <w:tcPr>
            <w:tcW w:w="1300" w:type="dxa"/>
            <w:hideMark/>
          </w:tcPr>
          <w:p w14:paraId="74A25612"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Cu</w:t>
            </w:r>
          </w:p>
        </w:tc>
        <w:tc>
          <w:tcPr>
            <w:tcW w:w="1540" w:type="dxa"/>
            <w:noWrap/>
            <w:hideMark/>
          </w:tcPr>
          <w:p w14:paraId="12CCD505"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Cu Ratio</w:t>
            </w:r>
          </w:p>
        </w:tc>
        <w:tc>
          <w:tcPr>
            <w:tcW w:w="1300" w:type="dxa"/>
            <w:noWrap/>
            <w:hideMark/>
          </w:tcPr>
          <w:p w14:paraId="5714EA9F"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Fe</w:t>
            </w:r>
          </w:p>
        </w:tc>
        <w:tc>
          <w:tcPr>
            <w:tcW w:w="1520" w:type="dxa"/>
            <w:noWrap/>
            <w:hideMark/>
          </w:tcPr>
          <w:p w14:paraId="5879AC61"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Fe Ratio</w:t>
            </w:r>
          </w:p>
        </w:tc>
        <w:tc>
          <w:tcPr>
            <w:tcW w:w="1300" w:type="dxa"/>
            <w:noWrap/>
            <w:hideMark/>
          </w:tcPr>
          <w:p w14:paraId="4ED6DE2D"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K</w:t>
            </w:r>
          </w:p>
        </w:tc>
        <w:tc>
          <w:tcPr>
            <w:tcW w:w="1400" w:type="dxa"/>
            <w:noWrap/>
            <w:hideMark/>
          </w:tcPr>
          <w:p w14:paraId="2416557E"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K Ratio</w:t>
            </w:r>
          </w:p>
        </w:tc>
      </w:tr>
      <w:tr w:rsidR="00302953" w:rsidRPr="00770477" w14:paraId="683F796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48F748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1-A-010-1</w:t>
            </w:r>
          </w:p>
        </w:tc>
        <w:tc>
          <w:tcPr>
            <w:tcW w:w="1180" w:type="dxa"/>
            <w:hideMark/>
          </w:tcPr>
          <w:p w14:paraId="6E77619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4E807A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047A0F8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9B14AC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18EDE1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4.58</w:t>
            </w:r>
          </w:p>
        </w:tc>
        <w:tc>
          <w:tcPr>
            <w:tcW w:w="1520" w:type="dxa"/>
            <w:hideMark/>
          </w:tcPr>
          <w:p w14:paraId="60EA960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0.13</w:t>
            </w:r>
          </w:p>
        </w:tc>
        <w:tc>
          <w:tcPr>
            <w:tcW w:w="1300" w:type="dxa"/>
            <w:hideMark/>
          </w:tcPr>
          <w:p w14:paraId="228A98E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1548.44</w:t>
            </w:r>
          </w:p>
        </w:tc>
        <w:tc>
          <w:tcPr>
            <w:tcW w:w="1400" w:type="dxa"/>
            <w:hideMark/>
          </w:tcPr>
          <w:p w14:paraId="3A18E6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1.24</w:t>
            </w:r>
          </w:p>
        </w:tc>
      </w:tr>
      <w:tr w:rsidR="00302953" w:rsidRPr="00770477" w14:paraId="2F7C0B6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620A8E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1-A-040-1</w:t>
            </w:r>
          </w:p>
        </w:tc>
        <w:tc>
          <w:tcPr>
            <w:tcW w:w="1180" w:type="dxa"/>
            <w:hideMark/>
          </w:tcPr>
          <w:p w14:paraId="0DFD5D6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BF4C8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08C09EC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098022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2982F9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6365C8D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c>
          <w:tcPr>
            <w:tcW w:w="1300" w:type="dxa"/>
            <w:hideMark/>
          </w:tcPr>
          <w:p w14:paraId="52D76B1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1320.79</w:t>
            </w:r>
          </w:p>
        </w:tc>
        <w:tc>
          <w:tcPr>
            <w:tcW w:w="1400" w:type="dxa"/>
            <w:hideMark/>
          </w:tcPr>
          <w:p w14:paraId="2D3398D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w:t>
            </w:r>
          </w:p>
        </w:tc>
      </w:tr>
      <w:tr w:rsidR="00302953" w:rsidRPr="00770477" w14:paraId="22F90AF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4CE8CA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1-A-090-1</w:t>
            </w:r>
          </w:p>
        </w:tc>
        <w:tc>
          <w:tcPr>
            <w:tcW w:w="1180" w:type="dxa"/>
            <w:hideMark/>
          </w:tcPr>
          <w:p w14:paraId="42F7479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381A8D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40383E0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8AFF27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0F5EFB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6.17</w:t>
            </w:r>
          </w:p>
        </w:tc>
        <w:tc>
          <w:tcPr>
            <w:tcW w:w="1520" w:type="dxa"/>
            <w:hideMark/>
          </w:tcPr>
          <w:p w14:paraId="15F903B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0.19</w:t>
            </w:r>
          </w:p>
        </w:tc>
        <w:tc>
          <w:tcPr>
            <w:tcW w:w="1300" w:type="dxa"/>
            <w:hideMark/>
          </w:tcPr>
          <w:p w14:paraId="0D102F9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1433.59</w:t>
            </w:r>
          </w:p>
        </w:tc>
        <w:tc>
          <w:tcPr>
            <w:tcW w:w="1400" w:type="dxa"/>
            <w:hideMark/>
          </w:tcPr>
          <w:p w14:paraId="40FF735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1.15</w:t>
            </w:r>
          </w:p>
        </w:tc>
      </w:tr>
      <w:tr w:rsidR="00302953" w:rsidRPr="00770477" w14:paraId="2A73398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726028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1-A-090-2</w:t>
            </w:r>
          </w:p>
        </w:tc>
        <w:tc>
          <w:tcPr>
            <w:tcW w:w="1180" w:type="dxa"/>
            <w:hideMark/>
          </w:tcPr>
          <w:p w14:paraId="183B4D8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61B24F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4A66E70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8BA180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639145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5.28</w:t>
            </w:r>
          </w:p>
        </w:tc>
        <w:tc>
          <w:tcPr>
            <w:tcW w:w="1520" w:type="dxa"/>
            <w:hideMark/>
          </w:tcPr>
          <w:p w14:paraId="16CD5BB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0.17</w:t>
            </w:r>
          </w:p>
        </w:tc>
        <w:tc>
          <w:tcPr>
            <w:tcW w:w="1300" w:type="dxa"/>
            <w:hideMark/>
          </w:tcPr>
          <w:p w14:paraId="5F4451B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1446.90</w:t>
            </w:r>
          </w:p>
        </w:tc>
        <w:tc>
          <w:tcPr>
            <w:tcW w:w="1400" w:type="dxa"/>
            <w:hideMark/>
          </w:tcPr>
          <w:p w14:paraId="5B0002A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1.16</w:t>
            </w:r>
          </w:p>
        </w:tc>
      </w:tr>
      <w:tr w:rsidR="00302953" w:rsidRPr="00770477" w14:paraId="71841A1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171EC7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1-A-160-1</w:t>
            </w:r>
          </w:p>
        </w:tc>
        <w:tc>
          <w:tcPr>
            <w:tcW w:w="1180" w:type="dxa"/>
            <w:hideMark/>
          </w:tcPr>
          <w:p w14:paraId="2A8992E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AD69E6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1687F5D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8EF0EE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61B669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5.62</w:t>
            </w:r>
          </w:p>
        </w:tc>
        <w:tc>
          <w:tcPr>
            <w:tcW w:w="1520" w:type="dxa"/>
            <w:hideMark/>
          </w:tcPr>
          <w:p w14:paraId="643AC0C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0.26</w:t>
            </w:r>
          </w:p>
        </w:tc>
        <w:tc>
          <w:tcPr>
            <w:tcW w:w="1300" w:type="dxa"/>
            <w:hideMark/>
          </w:tcPr>
          <w:p w14:paraId="3D02BF6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1465.56</w:t>
            </w:r>
          </w:p>
        </w:tc>
        <w:tc>
          <w:tcPr>
            <w:tcW w:w="1400" w:type="dxa"/>
            <w:hideMark/>
          </w:tcPr>
          <w:p w14:paraId="2D74B65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1.18</w:t>
            </w:r>
          </w:p>
        </w:tc>
      </w:tr>
      <w:tr w:rsidR="00302953" w:rsidRPr="00770477" w14:paraId="215CE8C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3E9F98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1-A-160-2</w:t>
            </w:r>
          </w:p>
        </w:tc>
        <w:tc>
          <w:tcPr>
            <w:tcW w:w="1180" w:type="dxa"/>
            <w:hideMark/>
          </w:tcPr>
          <w:p w14:paraId="7216EF7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4EE457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73EC6D0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01E99C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0FF30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4.52</w:t>
            </w:r>
          </w:p>
        </w:tc>
        <w:tc>
          <w:tcPr>
            <w:tcW w:w="1520" w:type="dxa"/>
            <w:hideMark/>
          </w:tcPr>
          <w:p w14:paraId="18F869B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0.21</w:t>
            </w:r>
          </w:p>
        </w:tc>
        <w:tc>
          <w:tcPr>
            <w:tcW w:w="1300" w:type="dxa"/>
            <w:hideMark/>
          </w:tcPr>
          <w:p w14:paraId="0CFBC52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1458.29</w:t>
            </w:r>
          </w:p>
        </w:tc>
        <w:tc>
          <w:tcPr>
            <w:tcW w:w="1400" w:type="dxa"/>
            <w:hideMark/>
          </w:tcPr>
          <w:p w14:paraId="31C6594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1.18</w:t>
            </w:r>
          </w:p>
        </w:tc>
      </w:tr>
      <w:tr w:rsidR="00302953" w:rsidRPr="00770477" w14:paraId="7AF70C3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45A827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1-A-270-1</w:t>
            </w:r>
          </w:p>
        </w:tc>
        <w:tc>
          <w:tcPr>
            <w:tcW w:w="1180" w:type="dxa"/>
            <w:hideMark/>
          </w:tcPr>
          <w:p w14:paraId="1F4BF23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F97D9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3F7D4CA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4F311B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BFA776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8.37</w:t>
            </w:r>
          </w:p>
        </w:tc>
        <w:tc>
          <w:tcPr>
            <w:tcW w:w="1520" w:type="dxa"/>
            <w:hideMark/>
          </w:tcPr>
          <w:p w14:paraId="12C3D54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0.37</w:t>
            </w:r>
          </w:p>
        </w:tc>
        <w:tc>
          <w:tcPr>
            <w:tcW w:w="1300" w:type="dxa"/>
            <w:hideMark/>
          </w:tcPr>
          <w:p w14:paraId="7DD8FDD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1363.60</w:t>
            </w:r>
          </w:p>
        </w:tc>
        <w:tc>
          <w:tcPr>
            <w:tcW w:w="1400" w:type="dxa"/>
            <w:hideMark/>
          </w:tcPr>
          <w:p w14:paraId="088F428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1.09</w:t>
            </w:r>
          </w:p>
        </w:tc>
      </w:tr>
      <w:tr w:rsidR="00302953" w:rsidRPr="00770477" w14:paraId="092D026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29D043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1-A-430-1</w:t>
            </w:r>
          </w:p>
        </w:tc>
        <w:tc>
          <w:tcPr>
            <w:tcW w:w="1180" w:type="dxa"/>
            <w:hideMark/>
          </w:tcPr>
          <w:p w14:paraId="0CB737E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0.93</w:t>
            </w:r>
          </w:p>
        </w:tc>
        <w:tc>
          <w:tcPr>
            <w:tcW w:w="1540" w:type="dxa"/>
            <w:hideMark/>
          </w:tcPr>
          <w:p w14:paraId="6BE859E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0.06</w:t>
            </w:r>
          </w:p>
        </w:tc>
        <w:tc>
          <w:tcPr>
            <w:tcW w:w="1300" w:type="dxa"/>
            <w:hideMark/>
          </w:tcPr>
          <w:p w14:paraId="4BCCF91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17C8DA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7252C5C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10.11</w:t>
            </w:r>
          </w:p>
        </w:tc>
        <w:tc>
          <w:tcPr>
            <w:tcW w:w="1520" w:type="dxa"/>
            <w:hideMark/>
          </w:tcPr>
          <w:p w14:paraId="6C7B925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0.68</w:t>
            </w:r>
          </w:p>
        </w:tc>
        <w:tc>
          <w:tcPr>
            <w:tcW w:w="1300" w:type="dxa"/>
            <w:hideMark/>
          </w:tcPr>
          <w:p w14:paraId="5BAA862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1324.23</w:t>
            </w:r>
          </w:p>
        </w:tc>
        <w:tc>
          <w:tcPr>
            <w:tcW w:w="1400" w:type="dxa"/>
            <w:hideMark/>
          </w:tcPr>
          <w:p w14:paraId="37E9389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w:t>
            </w:r>
          </w:p>
        </w:tc>
      </w:tr>
      <w:tr w:rsidR="00302953" w:rsidRPr="00770477" w14:paraId="0E7924D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EC2D5F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1-A-670-1</w:t>
            </w:r>
          </w:p>
        </w:tc>
        <w:tc>
          <w:tcPr>
            <w:tcW w:w="1180" w:type="dxa"/>
            <w:hideMark/>
          </w:tcPr>
          <w:p w14:paraId="3396E0F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2.18</w:t>
            </w:r>
          </w:p>
        </w:tc>
        <w:tc>
          <w:tcPr>
            <w:tcW w:w="1540" w:type="dxa"/>
            <w:hideMark/>
          </w:tcPr>
          <w:p w14:paraId="3E41FA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0.13</w:t>
            </w:r>
          </w:p>
        </w:tc>
        <w:tc>
          <w:tcPr>
            <w:tcW w:w="1300" w:type="dxa"/>
            <w:hideMark/>
          </w:tcPr>
          <w:p w14:paraId="0429D61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406373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D805E0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18.63</w:t>
            </w:r>
          </w:p>
        </w:tc>
        <w:tc>
          <w:tcPr>
            <w:tcW w:w="1520" w:type="dxa"/>
            <w:hideMark/>
          </w:tcPr>
          <w:p w14:paraId="10A3AC0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3.85</w:t>
            </w:r>
          </w:p>
        </w:tc>
        <w:tc>
          <w:tcPr>
            <w:tcW w:w="1300" w:type="dxa"/>
            <w:hideMark/>
          </w:tcPr>
          <w:p w14:paraId="720B439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1325.27</w:t>
            </w:r>
          </w:p>
        </w:tc>
        <w:tc>
          <w:tcPr>
            <w:tcW w:w="1400" w:type="dxa"/>
            <w:hideMark/>
          </w:tcPr>
          <w:p w14:paraId="352CB06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r>
      <w:tr w:rsidR="00302953" w:rsidRPr="00770477" w14:paraId="0619883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886D40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1-B-010-1</w:t>
            </w:r>
          </w:p>
        </w:tc>
        <w:tc>
          <w:tcPr>
            <w:tcW w:w="1180" w:type="dxa"/>
            <w:hideMark/>
          </w:tcPr>
          <w:p w14:paraId="4781B3F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5E0E76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30199BB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17720F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238254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5.65</w:t>
            </w:r>
          </w:p>
        </w:tc>
        <w:tc>
          <w:tcPr>
            <w:tcW w:w="1520" w:type="dxa"/>
            <w:hideMark/>
          </w:tcPr>
          <w:p w14:paraId="2EFBF40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0.16</w:t>
            </w:r>
          </w:p>
        </w:tc>
        <w:tc>
          <w:tcPr>
            <w:tcW w:w="1300" w:type="dxa"/>
            <w:hideMark/>
          </w:tcPr>
          <w:p w14:paraId="12CEAB4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1525.48</w:t>
            </w:r>
          </w:p>
        </w:tc>
        <w:tc>
          <w:tcPr>
            <w:tcW w:w="1400" w:type="dxa"/>
            <w:hideMark/>
          </w:tcPr>
          <w:p w14:paraId="1D8EB09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1.22</w:t>
            </w:r>
          </w:p>
        </w:tc>
      </w:tr>
      <w:tr w:rsidR="00302953" w:rsidRPr="00770477" w14:paraId="6A0E004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C8B8D6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1-B-040-1</w:t>
            </w:r>
          </w:p>
        </w:tc>
        <w:tc>
          <w:tcPr>
            <w:tcW w:w="1180" w:type="dxa"/>
            <w:hideMark/>
          </w:tcPr>
          <w:p w14:paraId="30BBB58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C30D0F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67CD7F6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19D6CE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F68D07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4.11</w:t>
            </w:r>
          </w:p>
        </w:tc>
        <w:tc>
          <w:tcPr>
            <w:tcW w:w="1520" w:type="dxa"/>
            <w:hideMark/>
          </w:tcPr>
          <w:p w14:paraId="1312FFB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0.12</w:t>
            </w:r>
          </w:p>
        </w:tc>
        <w:tc>
          <w:tcPr>
            <w:tcW w:w="1300" w:type="dxa"/>
            <w:hideMark/>
          </w:tcPr>
          <w:p w14:paraId="5AE8BAB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1540.55</w:t>
            </w:r>
          </w:p>
        </w:tc>
        <w:tc>
          <w:tcPr>
            <w:tcW w:w="1400" w:type="dxa"/>
            <w:hideMark/>
          </w:tcPr>
          <w:p w14:paraId="2D4FD0E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1.23</w:t>
            </w:r>
          </w:p>
        </w:tc>
      </w:tr>
      <w:tr w:rsidR="00302953" w:rsidRPr="00770477" w14:paraId="26E2F1C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62CFC1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1-B-040-2</w:t>
            </w:r>
          </w:p>
        </w:tc>
        <w:tc>
          <w:tcPr>
            <w:tcW w:w="1180" w:type="dxa"/>
            <w:hideMark/>
          </w:tcPr>
          <w:p w14:paraId="76CF812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1999E1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4D53912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9F578F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792E5AB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025C220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c>
          <w:tcPr>
            <w:tcW w:w="1300" w:type="dxa"/>
            <w:hideMark/>
          </w:tcPr>
          <w:p w14:paraId="239191A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1510.31</w:t>
            </w:r>
          </w:p>
        </w:tc>
        <w:tc>
          <w:tcPr>
            <w:tcW w:w="1400" w:type="dxa"/>
            <w:hideMark/>
          </w:tcPr>
          <w:p w14:paraId="228D6ED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1.21</w:t>
            </w:r>
          </w:p>
        </w:tc>
      </w:tr>
      <w:tr w:rsidR="00302953" w:rsidRPr="00770477" w14:paraId="11B2B91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B62ECF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1-B-090-1</w:t>
            </w:r>
          </w:p>
        </w:tc>
        <w:tc>
          <w:tcPr>
            <w:tcW w:w="1180" w:type="dxa"/>
            <w:hideMark/>
          </w:tcPr>
          <w:p w14:paraId="4D2968A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8A03C4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46368FA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6318AD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5A7B15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8.45</w:t>
            </w:r>
          </w:p>
        </w:tc>
        <w:tc>
          <w:tcPr>
            <w:tcW w:w="1520" w:type="dxa"/>
            <w:hideMark/>
          </w:tcPr>
          <w:p w14:paraId="2D4B5E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0.27</w:t>
            </w:r>
          </w:p>
        </w:tc>
        <w:tc>
          <w:tcPr>
            <w:tcW w:w="1300" w:type="dxa"/>
            <w:hideMark/>
          </w:tcPr>
          <w:p w14:paraId="3F62087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1464.76</w:t>
            </w:r>
          </w:p>
        </w:tc>
        <w:tc>
          <w:tcPr>
            <w:tcW w:w="1400" w:type="dxa"/>
            <w:hideMark/>
          </w:tcPr>
          <w:p w14:paraId="2EEB3DE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1.17</w:t>
            </w:r>
          </w:p>
        </w:tc>
      </w:tr>
      <w:tr w:rsidR="00302953" w:rsidRPr="00770477" w14:paraId="12DF5F6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0743A1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1-B-160-1</w:t>
            </w:r>
          </w:p>
        </w:tc>
        <w:tc>
          <w:tcPr>
            <w:tcW w:w="1180" w:type="dxa"/>
            <w:hideMark/>
          </w:tcPr>
          <w:p w14:paraId="55E66DA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409C14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0549060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D78313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67044D6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10.93</w:t>
            </w:r>
          </w:p>
        </w:tc>
        <w:tc>
          <w:tcPr>
            <w:tcW w:w="1520" w:type="dxa"/>
            <w:hideMark/>
          </w:tcPr>
          <w:p w14:paraId="2B19C35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0.51</w:t>
            </w:r>
          </w:p>
        </w:tc>
        <w:tc>
          <w:tcPr>
            <w:tcW w:w="1300" w:type="dxa"/>
            <w:hideMark/>
          </w:tcPr>
          <w:p w14:paraId="16674AB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1490.82</w:t>
            </w:r>
          </w:p>
        </w:tc>
        <w:tc>
          <w:tcPr>
            <w:tcW w:w="1400" w:type="dxa"/>
            <w:hideMark/>
          </w:tcPr>
          <w:p w14:paraId="13AA99E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1.20</w:t>
            </w:r>
          </w:p>
        </w:tc>
      </w:tr>
      <w:tr w:rsidR="00302953" w:rsidRPr="00770477" w14:paraId="3FB9FDF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E5BD18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1-B-270-1</w:t>
            </w:r>
          </w:p>
        </w:tc>
        <w:tc>
          <w:tcPr>
            <w:tcW w:w="1180" w:type="dxa"/>
            <w:hideMark/>
          </w:tcPr>
          <w:p w14:paraId="4381089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8339B0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7ECFB71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1AF826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52AD1A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7.34</w:t>
            </w:r>
          </w:p>
        </w:tc>
        <w:tc>
          <w:tcPr>
            <w:tcW w:w="1520" w:type="dxa"/>
            <w:hideMark/>
          </w:tcPr>
          <w:p w14:paraId="16B9056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0.32</w:t>
            </w:r>
          </w:p>
        </w:tc>
        <w:tc>
          <w:tcPr>
            <w:tcW w:w="1300" w:type="dxa"/>
            <w:hideMark/>
          </w:tcPr>
          <w:p w14:paraId="5310165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1416.79</w:t>
            </w:r>
          </w:p>
        </w:tc>
        <w:tc>
          <w:tcPr>
            <w:tcW w:w="1400" w:type="dxa"/>
            <w:hideMark/>
          </w:tcPr>
          <w:p w14:paraId="2B35884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1.13</w:t>
            </w:r>
          </w:p>
        </w:tc>
      </w:tr>
      <w:tr w:rsidR="00302953" w:rsidRPr="00770477" w14:paraId="7E752D6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D517F7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1-B-270-2</w:t>
            </w:r>
          </w:p>
        </w:tc>
        <w:tc>
          <w:tcPr>
            <w:tcW w:w="1180" w:type="dxa"/>
            <w:hideMark/>
          </w:tcPr>
          <w:p w14:paraId="1A94E18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C9D19A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11EE60E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107749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610074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7FF389B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c>
          <w:tcPr>
            <w:tcW w:w="1300" w:type="dxa"/>
            <w:hideMark/>
          </w:tcPr>
          <w:p w14:paraId="3CF6A71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1372.04</w:t>
            </w:r>
          </w:p>
        </w:tc>
        <w:tc>
          <w:tcPr>
            <w:tcW w:w="1400" w:type="dxa"/>
            <w:hideMark/>
          </w:tcPr>
          <w:p w14:paraId="5D75777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1.10</w:t>
            </w:r>
          </w:p>
        </w:tc>
      </w:tr>
      <w:tr w:rsidR="00302953" w:rsidRPr="00770477" w14:paraId="1A34858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05CB1F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1-B-430-1</w:t>
            </w:r>
          </w:p>
        </w:tc>
        <w:tc>
          <w:tcPr>
            <w:tcW w:w="1180" w:type="dxa"/>
            <w:hideMark/>
          </w:tcPr>
          <w:p w14:paraId="2F237AC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1.68</w:t>
            </w:r>
          </w:p>
        </w:tc>
        <w:tc>
          <w:tcPr>
            <w:tcW w:w="1540" w:type="dxa"/>
            <w:hideMark/>
          </w:tcPr>
          <w:p w14:paraId="7F2A642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0.10</w:t>
            </w:r>
          </w:p>
        </w:tc>
        <w:tc>
          <w:tcPr>
            <w:tcW w:w="1300" w:type="dxa"/>
            <w:hideMark/>
          </w:tcPr>
          <w:p w14:paraId="18523FE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6698EA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A9276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15.54</w:t>
            </w:r>
          </w:p>
        </w:tc>
        <w:tc>
          <w:tcPr>
            <w:tcW w:w="1520" w:type="dxa"/>
            <w:hideMark/>
          </w:tcPr>
          <w:p w14:paraId="1FD64B0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w:t>
            </w:r>
          </w:p>
        </w:tc>
        <w:tc>
          <w:tcPr>
            <w:tcW w:w="1300" w:type="dxa"/>
            <w:hideMark/>
          </w:tcPr>
          <w:p w14:paraId="7B09290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1344.85</w:t>
            </w:r>
          </w:p>
        </w:tc>
        <w:tc>
          <w:tcPr>
            <w:tcW w:w="1400" w:type="dxa"/>
            <w:hideMark/>
          </w:tcPr>
          <w:p w14:paraId="2978CBF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w:t>
            </w:r>
          </w:p>
        </w:tc>
      </w:tr>
      <w:tr w:rsidR="00302953" w:rsidRPr="00770477" w14:paraId="4DAD8C9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BF3C05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1-B-670-1</w:t>
            </w:r>
          </w:p>
        </w:tc>
        <w:tc>
          <w:tcPr>
            <w:tcW w:w="1180" w:type="dxa"/>
            <w:hideMark/>
          </w:tcPr>
          <w:p w14:paraId="0125E4A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1.95</w:t>
            </w:r>
          </w:p>
        </w:tc>
        <w:tc>
          <w:tcPr>
            <w:tcW w:w="1540" w:type="dxa"/>
            <w:hideMark/>
          </w:tcPr>
          <w:p w14:paraId="25C2A76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0.12</w:t>
            </w:r>
          </w:p>
        </w:tc>
        <w:tc>
          <w:tcPr>
            <w:tcW w:w="1300" w:type="dxa"/>
            <w:hideMark/>
          </w:tcPr>
          <w:p w14:paraId="379DCDA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BE64DF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D4A3FB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15.60</w:t>
            </w:r>
          </w:p>
        </w:tc>
        <w:tc>
          <w:tcPr>
            <w:tcW w:w="1520" w:type="dxa"/>
            <w:hideMark/>
          </w:tcPr>
          <w:p w14:paraId="747A5B4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3.22</w:t>
            </w:r>
          </w:p>
        </w:tc>
        <w:tc>
          <w:tcPr>
            <w:tcW w:w="1300" w:type="dxa"/>
            <w:hideMark/>
          </w:tcPr>
          <w:p w14:paraId="150C241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1312.16</w:t>
            </w:r>
          </w:p>
        </w:tc>
        <w:tc>
          <w:tcPr>
            <w:tcW w:w="1400" w:type="dxa"/>
            <w:hideMark/>
          </w:tcPr>
          <w:p w14:paraId="0DD208F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w:t>
            </w:r>
          </w:p>
        </w:tc>
      </w:tr>
      <w:tr w:rsidR="00302953" w:rsidRPr="00770477" w14:paraId="322F1F5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5F77FE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1-C-010-1</w:t>
            </w:r>
          </w:p>
        </w:tc>
        <w:tc>
          <w:tcPr>
            <w:tcW w:w="1180" w:type="dxa"/>
            <w:hideMark/>
          </w:tcPr>
          <w:p w14:paraId="52F2B53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41E887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62674C9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FF268F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1B1AE5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1879F49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c>
          <w:tcPr>
            <w:tcW w:w="1300" w:type="dxa"/>
            <w:hideMark/>
          </w:tcPr>
          <w:p w14:paraId="19A8BBB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1267.75</w:t>
            </w:r>
          </w:p>
        </w:tc>
        <w:tc>
          <w:tcPr>
            <w:tcW w:w="1400" w:type="dxa"/>
            <w:hideMark/>
          </w:tcPr>
          <w:p w14:paraId="7936462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w:t>
            </w:r>
          </w:p>
        </w:tc>
      </w:tr>
      <w:tr w:rsidR="00302953" w:rsidRPr="00770477" w14:paraId="288D031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4D305B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1-C-040-1</w:t>
            </w:r>
          </w:p>
        </w:tc>
        <w:tc>
          <w:tcPr>
            <w:tcW w:w="1180" w:type="dxa"/>
            <w:hideMark/>
          </w:tcPr>
          <w:p w14:paraId="3E8FB3B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9ED888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189CA81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CE8976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20419B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5.88</w:t>
            </w:r>
          </w:p>
        </w:tc>
        <w:tc>
          <w:tcPr>
            <w:tcW w:w="1520" w:type="dxa"/>
            <w:hideMark/>
          </w:tcPr>
          <w:p w14:paraId="425C35A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0.17</w:t>
            </w:r>
          </w:p>
        </w:tc>
        <w:tc>
          <w:tcPr>
            <w:tcW w:w="1300" w:type="dxa"/>
            <w:hideMark/>
          </w:tcPr>
          <w:p w14:paraId="668371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1285.58</w:t>
            </w:r>
          </w:p>
        </w:tc>
        <w:tc>
          <w:tcPr>
            <w:tcW w:w="1400" w:type="dxa"/>
            <w:hideMark/>
          </w:tcPr>
          <w:p w14:paraId="5BAA1FA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1.03</w:t>
            </w:r>
          </w:p>
        </w:tc>
      </w:tr>
      <w:tr w:rsidR="00302953" w:rsidRPr="00770477" w14:paraId="2C91B58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4BB5BE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1-C-040-2</w:t>
            </w:r>
          </w:p>
        </w:tc>
        <w:tc>
          <w:tcPr>
            <w:tcW w:w="1180" w:type="dxa"/>
            <w:hideMark/>
          </w:tcPr>
          <w:p w14:paraId="62C14D4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CBED55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300B530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D7E21D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AE61D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58F5B95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c>
          <w:tcPr>
            <w:tcW w:w="1300" w:type="dxa"/>
            <w:hideMark/>
          </w:tcPr>
          <w:p w14:paraId="65D51AB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1292.81</w:t>
            </w:r>
          </w:p>
        </w:tc>
        <w:tc>
          <w:tcPr>
            <w:tcW w:w="1400" w:type="dxa"/>
            <w:hideMark/>
          </w:tcPr>
          <w:p w14:paraId="3B6F014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w:t>
            </w:r>
          </w:p>
        </w:tc>
      </w:tr>
      <w:tr w:rsidR="00302953" w:rsidRPr="00770477" w14:paraId="20CC69D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CECB0C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1-C-090-1</w:t>
            </w:r>
          </w:p>
        </w:tc>
        <w:tc>
          <w:tcPr>
            <w:tcW w:w="1180" w:type="dxa"/>
            <w:hideMark/>
          </w:tcPr>
          <w:p w14:paraId="4F460AB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D15313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410D1F8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F7F927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C2325A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7B67DDD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c>
          <w:tcPr>
            <w:tcW w:w="1300" w:type="dxa"/>
            <w:hideMark/>
          </w:tcPr>
          <w:p w14:paraId="5AB5819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1331.50</w:t>
            </w:r>
          </w:p>
        </w:tc>
        <w:tc>
          <w:tcPr>
            <w:tcW w:w="1400" w:type="dxa"/>
            <w:hideMark/>
          </w:tcPr>
          <w:p w14:paraId="0038DEE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w:t>
            </w:r>
          </w:p>
        </w:tc>
      </w:tr>
      <w:tr w:rsidR="00302953" w:rsidRPr="00770477" w14:paraId="1721A3F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D0409E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1-C-090-2</w:t>
            </w:r>
          </w:p>
        </w:tc>
        <w:tc>
          <w:tcPr>
            <w:tcW w:w="1180" w:type="dxa"/>
            <w:hideMark/>
          </w:tcPr>
          <w:p w14:paraId="7EFC09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609455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4CB6FAB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2BC467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BE75DB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4.23</w:t>
            </w:r>
          </w:p>
        </w:tc>
        <w:tc>
          <w:tcPr>
            <w:tcW w:w="1520" w:type="dxa"/>
            <w:hideMark/>
          </w:tcPr>
          <w:p w14:paraId="6602978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0.13</w:t>
            </w:r>
          </w:p>
        </w:tc>
        <w:tc>
          <w:tcPr>
            <w:tcW w:w="1300" w:type="dxa"/>
            <w:hideMark/>
          </w:tcPr>
          <w:p w14:paraId="0C7B3D4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1283.39</w:t>
            </w:r>
          </w:p>
        </w:tc>
        <w:tc>
          <w:tcPr>
            <w:tcW w:w="1400" w:type="dxa"/>
            <w:hideMark/>
          </w:tcPr>
          <w:p w14:paraId="6EE9B7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1.03</w:t>
            </w:r>
          </w:p>
        </w:tc>
      </w:tr>
      <w:tr w:rsidR="00302953" w:rsidRPr="00770477" w14:paraId="2423E78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09C97B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1-C-160-1</w:t>
            </w:r>
          </w:p>
        </w:tc>
        <w:tc>
          <w:tcPr>
            <w:tcW w:w="1180" w:type="dxa"/>
            <w:hideMark/>
          </w:tcPr>
          <w:p w14:paraId="1274546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3D65A2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214E00C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88153C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47814A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5.89</w:t>
            </w:r>
          </w:p>
        </w:tc>
        <w:tc>
          <w:tcPr>
            <w:tcW w:w="1520" w:type="dxa"/>
            <w:hideMark/>
          </w:tcPr>
          <w:p w14:paraId="2DBD4FE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0.27</w:t>
            </w:r>
          </w:p>
        </w:tc>
        <w:tc>
          <w:tcPr>
            <w:tcW w:w="1300" w:type="dxa"/>
            <w:hideMark/>
          </w:tcPr>
          <w:p w14:paraId="52AEB60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1300.89</w:t>
            </w:r>
          </w:p>
        </w:tc>
        <w:tc>
          <w:tcPr>
            <w:tcW w:w="1400" w:type="dxa"/>
            <w:hideMark/>
          </w:tcPr>
          <w:p w14:paraId="1389AFA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r>
      <w:tr w:rsidR="00302953" w:rsidRPr="00770477" w14:paraId="41C0798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076857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1-C-270-1</w:t>
            </w:r>
          </w:p>
        </w:tc>
        <w:tc>
          <w:tcPr>
            <w:tcW w:w="1180" w:type="dxa"/>
            <w:hideMark/>
          </w:tcPr>
          <w:p w14:paraId="2DEB8C3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06DD25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502C648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21A272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05BCF6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7.11</w:t>
            </w:r>
          </w:p>
        </w:tc>
        <w:tc>
          <w:tcPr>
            <w:tcW w:w="1520" w:type="dxa"/>
            <w:hideMark/>
          </w:tcPr>
          <w:p w14:paraId="6D30F8B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0.31</w:t>
            </w:r>
          </w:p>
        </w:tc>
        <w:tc>
          <w:tcPr>
            <w:tcW w:w="1300" w:type="dxa"/>
            <w:hideMark/>
          </w:tcPr>
          <w:p w14:paraId="0AC24AD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1303.30</w:t>
            </w:r>
          </w:p>
        </w:tc>
        <w:tc>
          <w:tcPr>
            <w:tcW w:w="1400" w:type="dxa"/>
            <w:hideMark/>
          </w:tcPr>
          <w:p w14:paraId="5ABDE32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w:t>
            </w:r>
          </w:p>
        </w:tc>
      </w:tr>
      <w:tr w:rsidR="00302953" w:rsidRPr="00770477" w14:paraId="1E4593D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004186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1-C-430-1</w:t>
            </w:r>
          </w:p>
        </w:tc>
        <w:tc>
          <w:tcPr>
            <w:tcW w:w="1180" w:type="dxa"/>
            <w:hideMark/>
          </w:tcPr>
          <w:p w14:paraId="0827E1E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D12629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455DF90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126586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771B4F3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5.92</w:t>
            </w:r>
          </w:p>
        </w:tc>
        <w:tc>
          <w:tcPr>
            <w:tcW w:w="1520" w:type="dxa"/>
            <w:hideMark/>
          </w:tcPr>
          <w:p w14:paraId="6DBB20A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0.40</w:t>
            </w:r>
          </w:p>
        </w:tc>
        <w:tc>
          <w:tcPr>
            <w:tcW w:w="1300" w:type="dxa"/>
            <w:hideMark/>
          </w:tcPr>
          <w:p w14:paraId="3EE1D7D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1291.16</w:t>
            </w:r>
          </w:p>
        </w:tc>
        <w:tc>
          <w:tcPr>
            <w:tcW w:w="1400" w:type="dxa"/>
            <w:hideMark/>
          </w:tcPr>
          <w:p w14:paraId="7921BC6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1.03</w:t>
            </w:r>
          </w:p>
        </w:tc>
      </w:tr>
      <w:tr w:rsidR="00302953" w:rsidRPr="00770477" w14:paraId="496FB56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E45391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1-C-430-2</w:t>
            </w:r>
          </w:p>
        </w:tc>
        <w:tc>
          <w:tcPr>
            <w:tcW w:w="1180" w:type="dxa"/>
            <w:hideMark/>
          </w:tcPr>
          <w:p w14:paraId="70AC9BC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8E0C23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51867B6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F38578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F83030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0018F33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0.11</w:t>
            </w:r>
          </w:p>
        </w:tc>
        <w:tc>
          <w:tcPr>
            <w:tcW w:w="1300" w:type="dxa"/>
            <w:hideMark/>
          </w:tcPr>
          <w:p w14:paraId="5837A1F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1312.02</w:t>
            </w:r>
          </w:p>
        </w:tc>
        <w:tc>
          <w:tcPr>
            <w:tcW w:w="1400" w:type="dxa"/>
            <w:hideMark/>
          </w:tcPr>
          <w:p w14:paraId="694CFC1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r>
      <w:tr w:rsidR="00302953" w:rsidRPr="00770477" w14:paraId="345BFA5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D9003D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1-C-670-1</w:t>
            </w:r>
          </w:p>
        </w:tc>
        <w:tc>
          <w:tcPr>
            <w:tcW w:w="1180" w:type="dxa"/>
            <w:hideMark/>
          </w:tcPr>
          <w:p w14:paraId="78F048D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528267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6059924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74E8EB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BC57D7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6.30</w:t>
            </w:r>
          </w:p>
        </w:tc>
        <w:tc>
          <w:tcPr>
            <w:tcW w:w="1520" w:type="dxa"/>
            <w:hideMark/>
          </w:tcPr>
          <w:p w14:paraId="726AEB2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1.30</w:t>
            </w:r>
          </w:p>
        </w:tc>
        <w:tc>
          <w:tcPr>
            <w:tcW w:w="1300" w:type="dxa"/>
            <w:hideMark/>
          </w:tcPr>
          <w:p w14:paraId="0ACD69A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1290.38</w:t>
            </w:r>
          </w:p>
        </w:tc>
        <w:tc>
          <w:tcPr>
            <w:tcW w:w="1400" w:type="dxa"/>
            <w:hideMark/>
          </w:tcPr>
          <w:p w14:paraId="055BF89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1.03</w:t>
            </w:r>
          </w:p>
        </w:tc>
      </w:tr>
      <w:tr w:rsidR="00302953" w:rsidRPr="00770477" w14:paraId="39DC366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7A0AF4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1-I-000-3</w:t>
            </w:r>
          </w:p>
        </w:tc>
        <w:tc>
          <w:tcPr>
            <w:tcW w:w="1180" w:type="dxa"/>
            <w:hideMark/>
          </w:tcPr>
          <w:p w14:paraId="7A7038E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15.50</w:t>
            </w:r>
          </w:p>
        </w:tc>
        <w:tc>
          <w:tcPr>
            <w:tcW w:w="1540" w:type="dxa"/>
            <w:hideMark/>
          </w:tcPr>
          <w:p w14:paraId="3E443CD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ADF5AE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5B006D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D046B8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41.13</w:t>
            </w:r>
          </w:p>
        </w:tc>
        <w:tc>
          <w:tcPr>
            <w:tcW w:w="1520" w:type="dxa"/>
            <w:hideMark/>
          </w:tcPr>
          <w:p w14:paraId="7D9D338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2CF22C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1254.52</w:t>
            </w:r>
          </w:p>
        </w:tc>
        <w:tc>
          <w:tcPr>
            <w:tcW w:w="1400" w:type="dxa"/>
            <w:hideMark/>
          </w:tcPr>
          <w:p w14:paraId="2F7516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58FDE58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01F2DE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1-I-160-3</w:t>
            </w:r>
          </w:p>
        </w:tc>
        <w:tc>
          <w:tcPr>
            <w:tcW w:w="1180" w:type="dxa"/>
            <w:hideMark/>
          </w:tcPr>
          <w:p w14:paraId="5730209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16.10</w:t>
            </w:r>
          </w:p>
        </w:tc>
        <w:tc>
          <w:tcPr>
            <w:tcW w:w="1540" w:type="dxa"/>
            <w:hideMark/>
          </w:tcPr>
          <w:p w14:paraId="6C5F843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75F3A3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B4A52D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D58AE5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21.54</w:t>
            </w:r>
          </w:p>
        </w:tc>
        <w:tc>
          <w:tcPr>
            <w:tcW w:w="1520" w:type="dxa"/>
            <w:hideMark/>
          </w:tcPr>
          <w:p w14:paraId="0E24135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907007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1239.39</w:t>
            </w:r>
          </w:p>
        </w:tc>
        <w:tc>
          <w:tcPr>
            <w:tcW w:w="1400" w:type="dxa"/>
            <w:hideMark/>
          </w:tcPr>
          <w:p w14:paraId="3CA9CBD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04B8D69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F5C220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1-I-670-3</w:t>
            </w:r>
          </w:p>
        </w:tc>
        <w:tc>
          <w:tcPr>
            <w:tcW w:w="1180" w:type="dxa"/>
            <w:hideMark/>
          </w:tcPr>
          <w:p w14:paraId="2C9204D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16.72</w:t>
            </w:r>
          </w:p>
        </w:tc>
        <w:tc>
          <w:tcPr>
            <w:tcW w:w="1540" w:type="dxa"/>
            <w:hideMark/>
          </w:tcPr>
          <w:p w14:paraId="78CF881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CA49CB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21DFC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36B3A1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4.84</w:t>
            </w:r>
          </w:p>
        </w:tc>
        <w:tc>
          <w:tcPr>
            <w:tcW w:w="1520" w:type="dxa"/>
            <w:hideMark/>
          </w:tcPr>
          <w:p w14:paraId="33A094E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27CD76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1256.88</w:t>
            </w:r>
          </w:p>
        </w:tc>
        <w:tc>
          <w:tcPr>
            <w:tcW w:w="1400" w:type="dxa"/>
            <w:hideMark/>
          </w:tcPr>
          <w:p w14:paraId="7A6160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69BB3F2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20D770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2-A-010-1</w:t>
            </w:r>
          </w:p>
        </w:tc>
        <w:tc>
          <w:tcPr>
            <w:tcW w:w="1180" w:type="dxa"/>
            <w:hideMark/>
          </w:tcPr>
          <w:p w14:paraId="199C6AB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1.39</w:t>
            </w:r>
          </w:p>
        </w:tc>
        <w:tc>
          <w:tcPr>
            <w:tcW w:w="1540" w:type="dxa"/>
            <w:hideMark/>
          </w:tcPr>
          <w:p w14:paraId="20B79FA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w:t>
            </w:r>
          </w:p>
        </w:tc>
        <w:tc>
          <w:tcPr>
            <w:tcW w:w="1300" w:type="dxa"/>
            <w:hideMark/>
          </w:tcPr>
          <w:p w14:paraId="3F750FC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8EB290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0.35</w:t>
            </w:r>
          </w:p>
        </w:tc>
        <w:tc>
          <w:tcPr>
            <w:tcW w:w="1300" w:type="dxa"/>
            <w:hideMark/>
          </w:tcPr>
          <w:p w14:paraId="40919BF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55.75</w:t>
            </w:r>
          </w:p>
        </w:tc>
        <w:tc>
          <w:tcPr>
            <w:tcW w:w="1520" w:type="dxa"/>
            <w:hideMark/>
          </w:tcPr>
          <w:p w14:paraId="2D18B22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1.57</w:t>
            </w:r>
          </w:p>
        </w:tc>
        <w:tc>
          <w:tcPr>
            <w:tcW w:w="1300" w:type="dxa"/>
            <w:hideMark/>
          </w:tcPr>
          <w:p w14:paraId="2776C20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2415.81</w:t>
            </w:r>
          </w:p>
        </w:tc>
        <w:tc>
          <w:tcPr>
            <w:tcW w:w="1400" w:type="dxa"/>
            <w:hideMark/>
          </w:tcPr>
          <w:p w14:paraId="11FE742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1.83</w:t>
            </w:r>
          </w:p>
        </w:tc>
      </w:tr>
      <w:tr w:rsidR="00302953" w:rsidRPr="00770477" w14:paraId="79CE491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F71C6F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2-A-040-1</w:t>
            </w:r>
          </w:p>
        </w:tc>
        <w:tc>
          <w:tcPr>
            <w:tcW w:w="1180" w:type="dxa"/>
            <w:hideMark/>
          </w:tcPr>
          <w:p w14:paraId="5AEA630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2.23</w:t>
            </w:r>
          </w:p>
        </w:tc>
        <w:tc>
          <w:tcPr>
            <w:tcW w:w="1540" w:type="dxa"/>
            <w:hideMark/>
          </w:tcPr>
          <w:p w14:paraId="6CE6861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0.12</w:t>
            </w:r>
          </w:p>
        </w:tc>
        <w:tc>
          <w:tcPr>
            <w:tcW w:w="1300" w:type="dxa"/>
            <w:hideMark/>
          </w:tcPr>
          <w:p w14:paraId="62B4270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44A3AB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0.36</w:t>
            </w:r>
          </w:p>
        </w:tc>
        <w:tc>
          <w:tcPr>
            <w:tcW w:w="1300" w:type="dxa"/>
            <w:hideMark/>
          </w:tcPr>
          <w:p w14:paraId="1EBC66E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57.28</w:t>
            </w:r>
          </w:p>
        </w:tc>
        <w:tc>
          <w:tcPr>
            <w:tcW w:w="1520" w:type="dxa"/>
            <w:hideMark/>
          </w:tcPr>
          <w:p w14:paraId="3CC3E0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1.68</w:t>
            </w:r>
          </w:p>
        </w:tc>
        <w:tc>
          <w:tcPr>
            <w:tcW w:w="1300" w:type="dxa"/>
            <w:hideMark/>
          </w:tcPr>
          <w:p w14:paraId="4187127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2001.00</w:t>
            </w:r>
          </w:p>
        </w:tc>
        <w:tc>
          <w:tcPr>
            <w:tcW w:w="1400" w:type="dxa"/>
            <w:hideMark/>
          </w:tcPr>
          <w:p w14:paraId="75DB516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1.51</w:t>
            </w:r>
          </w:p>
        </w:tc>
      </w:tr>
      <w:tr w:rsidR="00302953" w:rsidRPr="00770477" w14:paraId="3CF4481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9D6B03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2-A-090-1</w:t>
            </w:r>
          </w:p>
        </w:tc>
        <w:tc>
          <w:tcPr>
            <w:tcW w:w="1180" w:type="dxa"/>
            <w:hideMark/>
          </w:tcPr>
          <w:p w14:paraId="3C3375D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3.29</w:t>
            </w:r>
          </w:p>
        </w:tc>
        <w:tc>
          <w:tcPr>
            <w:tcW w:w="1540" w:type="dxa"/>
            <w:hideMark/>
          </w:tcPr>
          <w:p w14:paraId="1D3B97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0.18</w:t>
            </w:r>
          </w:p>
        </w:tc>
        <w:tc>
          <w:tcPr>
            <w:tcW w:w="1300" w:type="dxa"/>
            <w:hideMark/>
          </w:tcPr>
          <w:p w14:paraId="1223D22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340C6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0.37</w:t>
            </w:r>
          </w:p>
        </w:tc>
        <w:tc>
          <w:tcPr>
            <w:tcW w:w="1300" w:type="dxa"/>
            <w:hideMark/>
          </w:tcPr>
          <w:p w14:paraId="6702810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62.41</w:t>
            </w:r>
          </w:p>
        </w:tc>
        <w:tc>
          <w:tcPr>
            <w:tcW w:w="1520" w:type="dxa"/>
            <w:hideMark/>
          </w:tcPr>
          <w:p w14:paraId="661CEC7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1.97</w:t>
            </w:r>
          </w:p>
        </w:tc>
        <w:tc>
          <w:tcPr>
            <w:tcW w:w="1300" w:type="dxa"/>
            <w:hideMark/>
          </w:tcPr>
          <w:p w14:paraId="7EA7A86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1682.06</w:t>
            </w:r>
          </w:p>
        </w:tc>
        <w:tc>
          <w:tcPr>
            <w:tcW w:w="1400" w:type="dxa"/>
            <w:hideMark/>
          </w:tcPr>
          <w:p w14:paraId="00F4733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1.26</w:t>
            </w:r>
          </w:p>
        </w:tc>
      </w:tr>
      <w:tr w:rsidR="00302953" w:rsidRPr="00770477" w14:paraId="491C4319"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27D742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2-A-090-2</w:t>
            </w:r>
          </w:p>
        </w:tc>
        <w:tc>
          <w:tcPr>
            <w:tcW w:w="1180" w:type="dxa"/>
            <w:hideMark/>
          </w:tcPr>
          <w:p w14:paraId="21DE593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3.46</w:t>
            </w:r>
          </w:p>
        </w:tc>
        <w:tc>
          <w:tcPr>
            <w:tcW w:w="1540" w:type="dxa"/>
            <w:hideMark/>
          </w:tcPr>
          <w:p w14:paraId="6A1119F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0.19</w:t>
            </w:r>
          </w:p>
        </w:tc>
        <w:tc>
          <w:tcPr>
            <w:tcW w:w="1300" w:type="dxa"/>
            <w:hideMark/>
          </w:tcPr>
          <w:p w14:paraId="2D1D6C0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CC504F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0.37</w:t>
            </w:r>
          </w:p>
        </w:tc>
        <w:tc>
          <w:tcPr>
            <w:tcW w:w="1300" w:type="dxa"/>
            <w:hideMark/>
          </w:tcPr>
          <w:p w14:paraId="0D5CE7E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64.16</w:t>
            </w:r>
          </w:p>
        </w:tc>
        <w:tc>
          <w:tcPr>
            <w:tcW w:w="1520" w:type="dxa"/>
            <w:hideMark/>
          </w:tcPr>
          <w:p w14:paraId="40385C4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2.03</w:t>
            </w:r>
          </w:p>
        </w:tc>
        <w:tc>
          <w:tcPr>
            <w:tcW w:w="1300" w:type="dxa"/>
            <w:hideMark/>
          </w:tcPr>
          <w:p w14:paraId="4D39232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1648.14</w:t>
            </w:r>
          </w:p>
        </w:tc>
        <w:tc>
          <w:tcPr>
            <w:tcW w:w="1400" w:type="dxa"/>
            <w:hideMark/>
          </w:tcPr>
          <w:p w14:paraId="24075A3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1.24</w:t>
            </w:r>
          </w:p>
        </w:tc>
      </w:tr>
      <w:tr w:rsidR="00302953" w:rsidRPr="00770477" w14:paraId="299E1AB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C46F77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2-A-160-1</w:t>
            </w:r>
          </w:p>
        </w:tc>
        <w:tc>
          <w:tcPr>
            <w:tcW w:w="1180" w:type="dxa"/>
            <w:hideMark/>
          </w:tcPr>
          <w:p w14:paraId="2991555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4.53</w:t>
            </w:r>
          </w:p>
        </w:tc>
        <w:tc>
          <w:tcPr>
            <w:tcW w:w="1540" w:type="dxa"/>
            <w:hideMark/>
          </w:tcPr>
          <w:p w14:paraId="4783F02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0.23</w:t>
            </w:r>
          </w:p>
        </w:tc>
        <w:tc>
          <w:tcPr>
            <w:tcW w:w="1300" w:type="dxa"/>
            <w:hideMark/>
          </w:tcPr>
          <w:p w14:paraId="2B9FEF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1BB1AA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71F9C80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34.46</w:t>
            </w:r>
          </w:p>
        </w:tc>
        <w:tc>
          <w:tcPr>
            <w:tcW w:w="1520" w:type="dxa"/>
            <w:hideMark/>
          </w:tcPr>
          <w:p w14:paraId="167C05E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w:t>
            </w:r>
          </w:p>
        </w:tc>
        <w:tc>
          <w:tcPr>
            <w:tcW w:w="1300" w:type="dxa"/>
            <w:hideMark/>
          </w:tcPr>
          <w:p w14:paraId="2EFAE92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1631.04</w:t>
            </w:r>
          </w:p>
        </w:tc>
        <w:tc>
          <w:tcPr>
            <w:tcW w:w="1400" w:type="dxa"/>
            <w:hideMark/>
          </w:tcPr>
          <w:p w14:paraId="6ACF312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w:t>
            </w:r>
          </w:p>
        </w:tc>
      </w:tr>
      <w:tr w:rsidR="00302953" w:rsidRPr="00770477" w14:paraId="1BA94FB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17374B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2-A-270-1</w:t>
            </w:r>
          </w:p>
        </w:tc>
        <w:tc>
          <w:tcPr>
            <w:tcW w:w="1180" w:type="dxa"/>
            <w:noWrap/>
            <w:hideMark/>
          </w:tcPr>
          <w:p w14:paraId="3552281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8.92</w:t>
            </w:r>
          </w:p>
        </w:tc>
        <w:tc>
          <w:tcPr>
            <w:tcW w:w="1540" w:type="dxa"/>
            <w:hideMark/>
          </w:tcPr>
          <w:p w14:paraId="2BD9B5E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0.48</w:t>
            </w:r>
          </w:p>
        </w:tc>
        <w:tc>
          <w:tcPr>
            <w:tcW w:w="1300" w:type="dxa"/>
            <w:noWrap/>
            <w:hideMark/>
          </w:tcPr>
          <w:p w14:paraId="5A234E4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6.54</w:t>
            </w:r>
          </w:p>
        </w:tc>
        <w:tc>
          <w:tcPr>
            <w:tcW w:w="1540" w:type="dxa"/>
            <w:hideMark/>
          </w:tcPr>
          <w:p w14:paraId="177FF0D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0.95</w:t>
            </w:r>
          </w:p>
        </w:tc>
        <w:tc>
          <w:tcPr>
            <w:tcW w:w="1300" w:type="dxa"/>
            <w:noWrap/>
            <w:hideMark/>
          </w:tcPr>
          <w:p w14:paraId="224613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54.69</w:t>
            </w:r>
          </w:p>
        </w:tc>
        <w:tc>
          <w:tcPr>
            <w:tcW w:w="1520" w:type="dxa"/>
            <w:hideMark/>
          </w:tcPr>
          <w:p w14:paraId="755F9CE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2.40</w:t>
            </w:r>
          </w:p>
        </w:tc>
        <w:tc>
          <w:tcPr>
            <w:tcW w:w="1300" w:type="dxa"/>
            <w:noWrap/>
            <w:hideMark/>
          </w:tcPr>
          <w:p w14:paraId="7014517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1704.95</w:t>
            </w:r>
          </w:p>
        </w:tc>
        <w:tc>
          <w:tcPr>
            <w:tcW w:w="1400" w:type="dxa"/>
            <w:hideMark/>
          </w:tcPr>
          <w:p w14:paraId="5687328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1.25</w:t>
            </w:r>
          </w:p>
        </w:tc>
      </w:tr>
      <w:tr w:rsidR="00302953" w:rsidRPr="00770477" w14:paraId="6B19D01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963D29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2-A-430-1</w:t>
            </w:r>
          </w:p>
        </w:tc>
        <w:tc>
          <w:tcPr>
            <w:tcW w:w="1180" w:type="dxa"/>
            <w:noWrap/>
            <w:hideMark/>
          </w:tcPr>
          <w:p w14:paraId="1592735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10.82</w:t>
            </w:r>
          </w:p>
        </w:tc>
        <w:tc>
          <w:tcPr>
            <w:tcW w:w="1540" w:type="dxa"/>
            <w:hideMark/>
          </w:tcPr>
          <w:p w14:paraId="2E5EFEC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0.57</w:t>
            </w:r>
          </w:p>
        </w:tc>
        <w:tc>
          <w:tcPr>
            <w:tcW w:w="1300" w:type="dxa"/>
            <w:hideMark/>
          </w:tcPr>
          <w:p w14:paraId="0D61316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4AFE6D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4B38DF4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45.37</w:t>
            </w:r>
          </w:p>
        </w:tc>
        <w:tc>
          <w:tcPr>
            <w:tcW w:w="1520" w:type="dxa"/>
            <w:hideMark/>
          </w:tcPr>
          <w:p w14:paraId="5FDAF16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3.03</w:t>
            </w:r>
          </w:p>
        </w:tc>
        <w:tc>
          <w:tcPr>
            <w:tcW w:w="1300" w:type="dxa"/>
            <w:noWrap/>
            <w:hideMark/>
          </w:tcPr>
          <w:p w14:paraId="6D6BB5E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1485.10</w:t>
            </w:r>
          </w:p>
        </w:tc>
        <w:tc>
          <w:tcPr>
            <w:tcW w:w="1400" w:type="dxa"/>
            <w:hideMark/>
          </w:tcPr>
          <w:p w14:paraId="582DAB8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w:t>
            </w:r>
          </w:p>
        </w:tc>
      </w:tr>
      <w:tr w:rsidR="00302953" w:rsidRPr="00770477" w14:paraId="3F60C7F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850630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2-A-430-2</w:t>
            </w:r>
          </w:p>
        </w:tc>
        <w:tc>
          <w:tcPr>
            <w:tcW w:w="1180" w:type="dxa"/>
            <w:noWrap/>
            <w:hideMark/>
          </w:tcPr>
          <w:p w14:paraId="1EF42D1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11.05</w:t>
            </w:r>
          </w:p>
        </w:tc>
        <w:tc>
          <w:tcPr>
            <w:tcW w:w="1540" w:type="dxa"/>
            <w:hideMark/>
          </w:tcPr>
          <w:p w14:paraId="187340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0.58</w:t>
            </w:r>
          </w:p>
        </w:tc>
        <w:tc>
          <w:tcPr>
            <w:tcW w:w="1300" w:type="dxa"/>
            <w:hideMark/>
          </w:tcPr>
          <w:p w14:paraId="1884D47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AD8764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1D3D9A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46.25</w:t>
            </w:r>
          </w:p>
        </w:tc>
        <w:tc>
          <w:tcPr>
            <w:tcW w:w="1520" w:type="dxa"/>
            <w:hideMark/>
          </w:tcPr>
          <w:p w14:paraId="5F55F52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3.09</w:t>
            </w:r>
          </w:p>
        </w:tc>
        <w:tc>
          <w:tcPr>
            <w:tcW w:w="1300" w:type="dxa"/>
            <w:noWrap/>
            <w:hideMark/>
          </w:tcPr>
          <w:p w14:paraId="7FABEB2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1507.96</w:t>
            </w:r>
          </w:p>
        </w:tc>
        <w:tc>
          <w:tcPr>
            <w:tcW w:w="1400" w:type="dxa"/>
            <w:hideMark/>
          </w:tcPr>
          <w:p w14:paraId="01694AA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w:t>
            </w:r>
          </w:p>
        </w:tc>
      </w:tr>
      <w:tr w:rsidR="00302953" w:rsidRPr="00770477" w14:paraId="248C44B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EE3775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2-A-670-1</w:t>
            </w:r>
          </w:p>
        </w:tc>
        <w:tc>
          <w:tcPr>
            <w:tcW w:w="1180" w:type="dxa"/>
            <w:noWrap/>
            <w:hideMark/>
          </w:tcPr>
          <w:p w14:paraId="7767180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10.80</w:t>
            </w:r>
          </w:p>
        </w:tc>
        <w:tc>
          <w:tcPr>
            <w:tcW w:w="1540" w:type="dxa"/>
            <w:hideMark/>
          </w:tcPr>
          <w:p w14:paraId="4911BE7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0.56</w:t>
            </w:r>
          </w:p>
        </w:tc>
        <w:tc>
          <w:tcPr>
            <w:tcW w:w="1300" w:type="dxa"/>
            <w:hideMark/>
          </w:tcPr>
          <w:p w14:paraId="48C42FF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9722AE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1BE4643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30.86</w:t>
            </w:r>
          </w:p>
        </w:tc>
        <w:tc>
          <w:tcPr>
            <w:tcW w:w="1520" w:type="dxa"/>
            <w:hideMark/>
          </w:tcPr>
          <w:p w14:paraId="23E46CD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0.84</w:t>
            </w:r>
          </w:p>
        </w:tc>
        <w:tc>
          <w:tcPr>
            <w:tcW w:w="1300" w:type="dxa"/>
            <w:noWrap/>
            <w:hideMark/>
          </w:tcPr>
          <w:p w14:paraId="0D30410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1431.13</w:t>
            </w:r>
          </w:p>
        </w:tc>
        <w:tc>
          <w:tcPr>
            <w:tcW w:w="1400" w:type="dxa"/>
            <w:hideMark/>
          </w:tcPr>
          <w:p w14:paraId="0F3CA4D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w:t>
            </w:r>
          </w:p>
        </w:tc>
      </w:tr>
      <w:tr w:rsidR="00302953" w:rsidRPr="00770477" w14:paraId="1F2EC72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433EE7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2-B-010-1</w:t>
            </w:r>
          </w:p>
        </w:tc>
        <w:tc>
          <w:tcPr>
            <w:tcW w:w="1180" w:type="dxa"/>
            <w:hideMark/>
          </w:tcPr>
          <w:p w14:paraId="474F9BC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5.91</w:t>
            </w:r>
          </w:p>
        </w:tc>
        <w:tc>
          <w:tcPr>
            <w:tcW w:w="1540" w:type="dxa"/>
            <w:hideMark/>
          </w:tcPr>
          <w:p w14:paraId="5418E22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0.32</w:t>
            </w:r>
          </w:p>
        </w:tc>
        <w:tc>
          <w:tcPr>
            <w:tcW w:w="1300" w:type="dxa"/>
            <w:hideMark/>
          </w:tcPr>
          <w:p w14:paraId="59A82A4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36C117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0.35</w:t>
            </w:r>
          </w:p>
        </w:tc>
        <w:tc>
          <w:tcPr>
            <w:tcW w:w="1300" w:type="dxa"/>
            <w:hideMark/>
          </w:tcPr>
          <w:p w14:paraId="03E7946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54.21</w:t>
            </w:r>
          </w:p>
        </w:tc>
        <w:tc>
          <w:tcPr>
            <w:tcW w:w="1520" w:type="dxa"/>
            <w:hideMark/>
          </w:tcPr>
          <w:p w14:paraId="6634B21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1.52</w:t>
            </w:r>
          </w:p>
        </w:tc>
        <w:tc>
          <w:tcPr>
            <w:tcW w:w="1300" w:type="dxa"/>
            <w:hideMark/>
          </w:tcPr>
          <w:p w14:paraId="0EA02C0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2004.73</w:t>
            </w:r>
          </w:p>
        </w:tc>
        <w:tc>
          <w:tcPr>
            <w:tcW w:w="1400" w:type="dxa"/>
            <w:hideMark/>
          </w:tcPr>
          <w:p w14:paraId="31C64AC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1.52</w:t>
            </w:r>
          </w:p>
        </w:tc>
      </w:tr>
      <w:tr w:rsidR="00302953" w:rsidRPr="00770477" w14:paraId="55C51B3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099D78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2-B-040-1</w:t>
            </w:r>
          </w:p>
        </w:tc>
        <w:tc>
          <w:tcPr>
            <w:tcW w:w="1180" w:type="dxa"/>
            <w:hideMark/>
          </w:tcPr>
          <w:p w14:paraId="08EDA1F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7.95</w:t>
            </w:r>
          </w:p>
        </w:tc>
        <w:tc>
          <w:tcPr>
            <w:tcW w:w="1540" w:type="dxa"/>
            <w:hideMark/>
          </w:tcPr>
          <w:p w14:paraId="1F6B77B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0.43</w:t>
            </w:r>
          </w:p>
        </w:tc>
        <w:tc>
          <w:tcPr>
            <w:tcW w:w="1300" w:type="dxa"/>
            <w:hideMark/>
          </w:tcPr>
          <w:p w14:paraId="78DC926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0E95AF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0.36</w:t>
            </w:r>
          </w:p>
        </w:tc>
        <w:tc>
          <w:tcPr>
            <w:tcW w:w="1300" w:type="dxa"/>
            <w:hideMark/>
          </w:tcPr>
          <w:p w14:paraId="5353EF7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58.35</w:t>
            </w:r>
          </w:p>
        </w:tc>
        <w:tc>
          <w:tcPr>
            <w:tcW w:w="1520" w:type="dxa"/>
            <w:hideMark/>
          </w:tcPr>
          <w:p w14:paraId="5617002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1.71</w:t>
            </w:r>
          </w:p>
        </w:tc>
        <w:tc>
          <w:tcPr>
            <w:tcW w:w="1300" w:type="dxa"/>
            <w:hideMark/>
          </w:tcPr>
          <w:p w14:paraId="4B6E848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1770.58</w:t>
            </w:r>
          </w:p>
        </w:tc>
        <w:tc>
          <w:tcPr>
            <w:tcW w:w="1400" w:type="dxa"/>
            <w:hideMark/>
          </w:tcPr>
          <w:p w14:paraId="69E01CF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1.34</w:t>
            </w:r>
          </w:p>
        </w:tc>
      </w:tr>
      <w:tr w:rsidR="00302953" w:rsidRPr="00770477" w14:paraId="1AFF34F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5B19F6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2-B-090-1</w:t>
            </w:r>
          </w:p>
        </w:tc>
        <w:tc>
          <w:tcPr>
            <w:tcW w:w="1180" w:type="dxa"/>
            <w:hideMark/>
          </w:tcPr>
          <w:p w14:paraId="0A3D733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9.95</w:t>
            </w:r>
          </w:p>
        </w:tc>
        <w:tc>
          <w:tcPr>
            <w:tcW w:w="1540" w:type="dxa"/>
            <w:hideMark/>
          </w:tcPr>
          <w:p w14:paraId="72799FF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0.54</w:t>
            </w:r>
          </w:p>
        </w:tc>
        <w:tc>
          <w:tcPr>
            <w:tcW w:w="1300" w:type="dxa"/>
            <w:hideMark/>
          </w:tcPr>
          <w:p w14:paraId="3EFA3C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6.02</w:t>
            </w:r>
          </w:p>
        </w:tc>
        <w:tc>
          <w:tcPr>
            <w:tcW w:w="1540" w:type="dxa"/>
            <w:hideMark/>
          </w:tcPr>
          <w:p w14:paraId="20EE7F9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0.75</w:t>
            </w:r>
          </w:p>
        </w:tc>
        <w:tc>
          <w:tcPr>
            <w:tcW w:w="1300" w:type="dxa"/>
            <w:hideMark/>
          </w:tcPr>
          <w:p w14:paraId="78A0AB7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61.74</w:t>
            </w:r>
          </w:p>
        </w:tc>
        <w:tc>
          <w:tcPr>
            <w:tcW w:w="1520" w:type="dxa"/>
            <w:hideMark/>
          </w:tcPr>
          <w:p w14:paraId="46DE497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1.95</w:t>
            </w:r>
          </w:p>
        </w:tc>
        <w:tc>
          <w:tcPr>
            <w:tcW w:w="1300" w:type="dxa"/>
            <w:hideMark/>
          </w:tcPr>
          <w:p w14:paraId="58B47F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1638.93</w:t>
            </w:r>
          </w:p>
        </w:tc>
        <w:tc>
          <w:tcPr>
            <w:tcW w:w="1400" w:type="dxa"/>
            <w:hideMark/>
          </w:tcPr>
          <w:p w14:paraId="1F80606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1.23</w:t>
            </w:r>
          </w:p>
        </w:tc>
      </w:tr>
      <w:tr w:rsidR="00302953" w:rsidRPr="00770477" w14:paraId="33EF19D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B9F067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2-B-090-2</w:t>
            </w:r>
          </w:p>
        </w:tc>
        <w:tc>
          <w:tcPr>
            <w:tcW w:w="1180" w:type="dxa"/>
            <w:hideMark/>
          </w:tcPr>
          <w:p w14:paraId="2EC832A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9.99</w:t>
            </w:r>
          </w:p>
        </w:tc>
        <w:tc>
          <w:tcPr>
            <w:tcW w:w="1540" w:type="dxa"/>
            <w:hideMark/>
          </w:tcPr>
          <w:p w14:paraId="514B798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0.54</w:t>
            </w:r>
          </w:p>
        </w:tc>
        <w:tc>
          <w:tcPr>
            <w:tcW w:w="1300" w:type="dxa"/>
            <w:hideMark/>
          </w:tcPr>
          <w:p w14:paraId="5781C92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6.29</w:t>
            </w:r>
          </w:p>
        </w:tc>
        <w:tc>
          <w:tcPr>
            <w:tcW w:w="1540" w:type="dxa"/>
            <w:hideMark/>
          </w:tcPr>
          <w:p w14:paraId="290E648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0.79</w:t>
            </w:r>
          </w:p>
        </w:tc>
        <w:tc>
          <w:tcPr>
            <w:tcW w:w="1300" w:type="dxa"/>
            <w:hideMark/>
          </w:tcPr>
          <w:p w14:paraId="2832C7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62.12</w:t>
            </w:r>
          </w:p>
        </w:tc>
        <w:tc>
          <w:tcPr>
            <w:tcW w:w="1520" w:type="dxa"/>
            <w:hideMark/>
          </w:tcPr>
          <w:p w14:paraId="3F274DD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1.96</w:t>
            </w:r>
          </w:p>
        </w:tc>
        <w:tc>
          <w:tcPr>
            <w:tcW w:w="1300" w:type="dxa"/>
            <w:hideMark/>
          </w:tcPr>
          <w:p w14:paraId="61E16F6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1611.49</w:t>
            </w:r>
          </w:p>
        </w:tc>
        <w:tc>
          <w:tcPr>
            <w:tcW w:w="1400" w:type="dxa"/>
            <w:hideMark/>
          </w:tcPr>
          <w:p w14:paraId="207B441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1.21</w:t>
            </w:r>
          </w:p>
        </w:tc>
      </w:tr>
      <w:tr w:rsidR="00302953" w:rsidRPr="00770477" w14:paraId="6A757D3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6C01D6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2-B-160-1</w:t>
            </w:r>
          </w:p>
        </w:tc>
        <w:tc>
          <w:tcPr>
            <w:tcW w:w="1180" w:type="dxa"/>
            <w:hideMark/>
          </w:tcPr>
          <w:p w14:paraId="43341A3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9.98</w:t>
            </w:r>
          </w:p>
        </w:tc>
        <w:tc>
          <w:tcPr>
            <w:tcW w:w="1540" w:type="dxa"/>
            <w:hideMark/>
          </w:tcPr>
          <w:p w14:paraId="40DF3D5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0.50</w:t>
            </w:r>
          </w:p>
        </w:tc>
        <w:tc>
          <w:tcPr>
            <w:tcW w:w="1300" w:type="dxa"/>
            <w:hideMark/>
          </w:tcPr>
          <w:p w14:paraId="4F41591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903DEC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486A28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46.33</w:t>
            </w:r>
          </w:p>
        </w:tc>
        <w:tc>
          <w:tcPr>
            <w:tcW w:w="1520" w:type="dxa"/>
            <w:hideMark/>
          </w:tcPr>
          <w:p w14:paraId="7C16094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1.45</w:t>
            </w:r>
          </w:p>
        </w:tc>
        <w:tc>
          <w:tcPr>
            <w:tcW w:w="1300" w:type="dxa"/>
            <w:hideMark/>
          </w:tcPr>
          <w:p w14:paraId="746DF83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1535.74</w:t>
            </w:r>
          </w:p>
        </w:tc>
        <w:tc>
          <w:tcPr>
            <w:tcW w:w="1400" w:type="dxa"/>
            <w:hideMark/>
          </w:tcPr>
          <w:p w14:paraId="39D98FF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r>
      <w:tr w:rsidR="00302953" w:rsidRPr="00770477" w14:paraId="6B587AD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85118B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2-B-160-2</w:t>
            </w:r>
          </w:p>
        </w:tc>
        <w:tc>
          <w:tcPr>
            <w:tcW w:w="1180" w:type="dxa"/>
            <w:hideMark/>
          </w:tcPr>
          <w:p w14:paraId="1A2F1D9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10.03</w:t>
            </w:r>
          </w:p>
        </w:tc>
        <w:tc>
          <w:tcPr>
            <w:tcW w:w="1540" w:type="dxa"/>
            <w:hideMark/>
          </w:tcPr>
          <w:p w14:paraId="1C8F31A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0.50</w:t>
            </w:r>
          </w:p>
        </w:tc>
        <w:tc>
          <w:tcPr>
            <w:tcW w:w="1300" w:type="dxa"/>
            <w:hideMark/>
          </w:tcPr>
          <w:p w14:paraId="3C6FA60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2426C9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694D6A5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57.84</w:t>
            </w:r>
          </w:p>
        </w:tc>
        <w:tc>
          <w:tcPr>
            <w:tcW w:w="1520" w:type="dxa"/>
            <w:hideMark/>
          </w:tcPr>
          <w:p w14:paraId="59F6A63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1.81</w:t>
            </w:r>
          </w:p>
        </w:tc>
        <w:tc>
          <w:tcPr>
            <w:tcW w:w="1300" w:type="dxa"/>
            <w:hideMark/>
          </w:tcPr>
          <w:p w14:paraId="66534E7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1472.86</w:t>
            </w:r>
          </w:p>
        </w:tc>
        <w:tc>
          <w:tcPr>
            <w:tcW w:w="1400" w:type="dxa"/>
            <w:hideMark/>
          </w:tcPr>
          <w:p w14:paraId="24F5235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w:t>
            </w:r>
          </w:p>
        </w:tc>
      </w:tr>
      <w:tr w:rsidR="00302953" w:rsidRPr="00770477" w14:paraId="6609D43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C6E897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2-B-270-1</w:t>
            </w:r>
          </w:p>
        </w:tc>
        <w:tc>
          <w:tcPr>
            <w:tcW w:w="1180" w:type="dxa"/>
            <w:noWrap/>
            <w:hideMark/>
          </w:tcPr>
          <w:p w14:paraId="779B720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13.42</w:t>
            </w:r>
          </w:p>
        </w:tc>
        <w:tc>
          <w:tcPr>
            <w:tcW w:w="1540" w:type="dxa"/>
            <w:hideMark/>
          </w:tcPr>
          <w:p w14:paraId="2171E59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0.72</w:t>
            </w:r>
          </w:p>
        </w:tc>
        <w:tc>
          <w:tcPr>
            <w:tcW w:w="1300" w:type="dxa"/>
            <w:noWrap/>
            <w:hideMark/>
          </w:tcPr>
          <w:p w14:paraId="298269B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6.22</w:t>
            </w:r>
          </w:p>
        </w:tc>
        <w:tc>
          <w:tcPr>
            <w:tcW w:w="1540" w:type="dxa"/>
            <w:hideMark/>
          </w:tcPr>
          <w:p w14:paraId="0B1E555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0.91</w:t>
            </w:r>
          </w:p>
        </w:tc>
        <w:tc>
          <w:tcPr>
            <w:tcW w:w="1300" w:type="dxa"/>
            <w:noWrap/>
            <w:hideMark/>
          </w:tcPr>
          <w:p w14:paraId="25BDC05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45.70</w:t>
            </w:r>
          </w:p>
        </w:tc>
        <w:tc>
          <w:tcPr>
            <w:tcW w:w="1520" w:type="dxa"/>
            <w:hideMark/>
          </w:tcPr>
          <w:p w14:paraId="7B89284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2.00</w:t>
            </w:r>
          </w:p>
        </w:tc>
        <w:tc>
          <w:tcPr>
            <w:tcW w:w="1300" w:type="dxa"/>
            <w:noWrap/>
            <w:hideMark/>
          </w:tcPr>
          <w:p w14:paraId="57DB98C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1557.89</w:t>
            </w:r>
          </w:p>
        </w:tc>
        <w:tc>
          <w:tcPr>
            <w:tcW w:w="1400" w:type="dxa"/>
            <w:hideMark/>
          </w:tcPr>
          <w:p w14:paraId="1E816B9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1.14</w:t>
            </w:r>
          </w:p>
        </w:tc>
      </w:tr>
      <w:tr w:rsidR="00302953" w:rsidRPr="00770477" w14:paraId="040B05B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21E9FE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2-B-430-1</w:t>
            </w:r>
          </w:p>
        </w:tc>
        <w:tc>
          <w:tcPr>
            <w:tcW w:w="1180" w:type="dxa"/>
            <w:noWrap/>
            <w:hideMark/>
          </w:tcPr>
          <w:p w14:paraId="0BE8AED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14.86</w:t>
            </w:r>
          </w:p>
        </w:tc>
        <w:tc>
          <w:tcPr>
            <w:tcW w:w="1540" w:type="dxa"/>
            <w:hideMark/>
          </w:tcPr>
          <w:p w14:paraId="7889479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0.78</w:t>
            </w:r>
          </w:p>
        </w:tc>
        <w:tc>
          <w:tcPr>
            <w:tcW w:w="1300" w:type="dxa"/>
            <w:noWrap/>
            <w:hideMark/>
          </w:tcPr>
          <w:p w14:paraId="458CA75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7.11</w:t>
            </w:r>
          </w:p>
        </w:tc>
        <w:tc>
          <w:tcPr>
            <w:tcW w:w="1540" w:type="dxa"/>
            <w:hideMark/>
          </w:tcPr>
          <w:p w14:paraId="3FFC06F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2.37</w:t>
            </w:r>
          </w:p>
        </w:tc>
        <w:tc>
          <w:tcPr>
            <w:tcW w:w="1300" w:type="dxa"/>
            <w:noWrap/>
            <w:hideMark/>
          </w:tcPr>
          <w:p w14:paraId="42A466E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52.75</w:t>
            </w:r>
          </w:p>
        </w:tc>
        <w:tc>
          <w:tcPr>
            <w:tcW w:w="1520" w:type="dxa"/>
            <w:hideMark/>
          </w:tcPr>
          <w:p w14:paraId="380CB41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3.52</w:t>
            </w:r>
          </w:p>
        </w:tc>
        <w:tc>
          <w:tcPr>
            <w:tcW w:w="1300" w:type="dxa"/>
            <w:noWrap/>
            <w:hideMark/>
          </w:tcPr>
          <w:p w14:paraId="5A64A53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1533.36</w:t>
            </w:r>
          </w:p>
        </w:tc>
        <w:tc>
          <w:tcPr>
            <w:tcW w:w="1400" w:type="dxa"/>
            <w:hideMark/>
          </w:tcPr>
          <w:p w14:paraId="62236C9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1.10</w:t>
            </w:r>
          </w:p>
        </w:tc>
      </w:tr>
      <w:tr w:rsidR="00302953" w:rsidRPr="00770477" w14:paraId="1D25618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5E67A1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2-B-670-1</w:t>
            </w:r>
          </w:p>
        </w:tc>
        <w:tc>
          <w:tcPr>
            <w:tcW w:w="1180" w:type="dxa"/>
            <w:noWrap/>
            <w:hideMark/>
          </w:tcPr>
          <w:p w14:paraId="65E7C5C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14.77</w:t>
            </w:r>
          </w:p>
        </w:tc>
        <w:tc>
          <w:tcPr>
            <w:tcW w:w="1540" w:type="dxa"/>
            <w:hideMark/>
          </w:tcPr>
          <w:p w14:paraId="079B97A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0.77</w:t>
            </w:r>
          </w:p>
        </w:tc>
        <w:tc>
          <w:tcPr>
            <w:tcW w:w="1300" w:type="dxa"/>
            <w:hideMark/>
          </w:tcPr>
          <w:p w14:paraId="771576C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D7B527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4F18724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32.76</w:t>
            </w:r>
          </w:p>
        </w:tc>
        <w:tc>
          <w:tcPr>
            <w:tcW w:w="1520" w:type="dxa"/>
            <w:hideMark/>
          </w:tcPr>
          <w:p w14:paraId="77E50B1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0.89</w:t>
            </w:r>
          </w:p>
        </w:tc>
        <w:tc>
          <w:tcPr>
            <w:tcW w:w="1300" w:type="dxa"/>
            <w:noWrap/>
            <w:hideMark/>
          </w:tcPr>
          <w:p w14:paraId="28E6A65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1461.34</w:t>
            </w:r>
          </w:p>
        </w:tc>
        <w:tc>
          <w:tcPr>
            <w:tcW w:w="1400" w:type="dxa"/>
            <w:hideMark/>
          </w:tcPr>
          <w:p w14:paraId="3388AB6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w:t>
            </w:r>
          </w:p>
        </w:tc>
      </w:tr>
      <w:tr w:rsidR="00302953" w:rsidRPr="00770477" w14:paraId="5750D93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E1BEF6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2-C-010-1</w:t>
            </w:r>
          </w:p>
        </w:tc>
        <w:tc>
          <w:tcPr>
            <w:tcW w:w="1180" w:type="dxa"/>
            <w:hideMark/>
          </w:tcPr>
          <w:p w14:paraId="50BB4CE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4.87</w:t>
            </w:r>
          </w:p>
        </w:tc>
        <w:tc>
          <w:tcPr>
            <w:tcW w:w="1540" w:type="dxa"/>
            <w:hideMark/>
          </w:tcPr>
          <w:p w14:paraId="3C83277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0.27</w:t>
            </w:r>
          </w:p>
        </w:tc>
        <w:tc>
          <w:tcPr>
            <w:tcW w:w="1300" w:type="dxa"/>
            <w:hideMark/>
          </w:tcPr>
          <w:p w14:paraId="0E8EEF3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C7C77D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0.35</w:t>
            </w:r>
          </w:p>
        </w:tc>
        <w:tc>
          <w:tcPr>
            <w:tcW w:w="1300" w:type="dxa"/>
            <w:hideMark/>
          </w:tcPr>
          <w:p w14:paraId="6E0E189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32.74</w:t>
            </w:r>
          </w:p>
        </w:tc>
        <w:tc>
          <w:tcPr>
            <w:tcW w:w="1520" w:type="dxa"/>
            <w:hideMark/>
          </w:tcPr>
          <w:p w14:paraId="2DD16BF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0.92</w:t>
            </w:r>
          </w:p>
        </w:tc>
        <w:tc>
          <w:tcPr>
            <w:tcW w:w="1300" w:type="dxa"/>
            <w:hideMark/>
          </w:tcPr>
          <w:p w14:paraId="56287F6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1337.37</w:t>
            </w:r>
          </w:p>
        </w:tc>
        <w:tc>
          <w:tcPr>
            <w:tcW w:w="1400" w:type="dxa"/>
            <w:hideMark/>
          </w:tcPr>
          <w:p w14:paraId="6AABAE7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w:t>
            </w:r>
          </w:p>
        </w:tc>
      </w:tr>
      <w:tr w:rsidR="00302953" w:rsidRPr="00770477" w14:paraId="2540664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3AA89A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2-C-040-1</w:t>
            </w:r>
          </w:p>
        </w:tc>
        <w:tc>
          <w:tcPr>
            <w:tcW w:w="1180" w:type="dxa"/>
            <w:hideMark/>
          </w:tcPr>
          <w:p w14:paraId="506F574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4.59</w:t>
            </w:r>
          </w:p>
        </w:tc>
        <w:tc>
          <w:tcPr>
            <w:tcW w:w="1540" w:type="dxa"/>
            <w:hideMark/>
          </w:tcPr>
          <w:p w14:paraId="5A7444E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0.25</w:t>
            </w:r>
          </w:p>
        </w:tc>
        <w:tc>
          <w:tcPr>
            <w:tcW w:w="1300" w:type="dxa"/>
            <w:hideMark/>
          </w:tcPr>
          <w:p w14:paraId="3984A41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097F37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0.36</w:t>
            </w:r>
          </w:p>
        </w:tc>
        <w:tc>
          <w:tcPr>
            <w:tcW w:w="1300" w:type="dxa"/>
            <w:hideMark/>
          </w:tcPr>
          <w:p w14:paraId="50636E9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35.66</w:t>
            </w:r>
          </w:p>
        </w:tc>
        <w:tc>
          <w:tcPr>
            <w:tcW w:w="1520" w:type="dxa"/>
            <w:hideMark/>
          </w:tcPr>
          <w:p w14:paraId="1196CC0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c>
          <w:tcPr>
            <w:tcW w:w="1300" w:type="dxa"/>
            <w:hideMark/>
          </w:tcPr>
          <w:p w14:paraId="611E30B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1308.27</w:t>
            </w:r>
          </w:p>
        </w:tc>
        <w:tc>
          <w:tcPr>
            <w:tcW w:w="1400" w:type="dxa"/>
            <w:hideMark/>
          </w:tcPr>
          <w:p w14:paraId="5E3EAB5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0.99</w:t>
            </w:r>
          </w:p>
        </w:tc>
      </w:tr>
      <w:tr w:rsidR="00302953" w:rsidRPr="00770477" w14:paraId="5C534C8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29F74D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2-C-090-1</w:t>
            </w:r>
          </w:p>
        </w:tc>
        <w:tc>
          <w:tcPr>
            <w:tcW w:w="1180" w:type="dxa"/>
            <w:hideMark/>
          </w:tcPr>
          <w:p w14:paraId="2A5198B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4.52</w:t>
            </w:r>
          </w:p>
        </w:tc>
        <w:tc>
          <w:tcPr>
            <w:tcW w:w="1540" w:type="dxa"/>
            <w:hideMark/>
          </w:tcPr>
          <w:p w14:paraId="175DA5E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0.25</w:t>
            </w:r>
          </w:p>
        </w:tc>
        <w:tc>
          <w:tcPr>
            <w:tcW w:w="1300" w:type="dxa"/>
            <w:hideMark/>
          </w:tcPr>
          <w:p w14:paraId="7EB2C34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AFA0F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0.37</w:t>
            </w:r>
          </w:p>
        </w:tc>
        <w:tc>
          <w:tcPr>
            <w:tcW w:w="1300" w:type="dxa"/>
            <w:hideMark/>
          </w:tcPr>
          <w:p w14:paraId="5641B34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38.07</w:t>
            </w:r>
          </w:p>
        </w:tc>
        <w:tc>
          <w:tcPr>
            <w:tcW w:w="1520" w:type="dxa"/>
            <w:hideMark/>
          </w:tcPr>
          <w:p w14:paraId="31870C1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1.20</w:t>
            </w:r>
          </w:p>
        </w:tc>
        <w:tc>
          <w:tcPr>
            <w:tcW w:w="1300" w:type="dxa"/>
            <w:hideMark/>
          </w:tcPr>
          <w:p w14:paraId="24E6FC9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1254.71</w:t>
            </w:r>
          </w:p>
        </w:tc>
        <w:tc>
          <w:tcPr>
            <w:tcW w:w="1400" w:type="dxa"/>
            <w:hideMark/>
          </w:tcPr>
          <w:p w14:paraId="4C75BFF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0.94</w:t>
            </w:r>
          </w:p>
        </w:tc>
      </w:tr>
      <w:tr w:rsidR="00302953" w:rsidRPr="00770477" w14:paraId="2C97BA2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2AB243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2-C-160-1</w:t>
            </w:r>
          </w:p>
        </w:tc>
        <w:tc>
          <w:tcPr>
            <w:tcW w:w="1180" w:type="dxa"/>
            <w:hideMark/>
          </w:tcPr>
          <w:p w14:paraId="7A9A328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4.41</w:t>
            </w:r>
          </w:p>
        </w:tc>
        <w:tc>
          <w:tcPr>
            <w:tcW w:w="1540" w:type="dxa"/>
            <w:hideMark/>
          </w:tcPr>
          <w:p w14:paraId="0890E38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0.22</w:t>
            </w:r>
          </w:p>
        </w:tc>
        <w:tc>
          <w:tcPr>
            <w:tcW w:w="1300" w:type="dxa"/>
            <w:hideMark/>
          </w:tcPr>
          <w:p w14:paraId="39764A8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A14E5C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EBF852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42.64</w:t>
            </w:r>
          </w:p>
        </w:tc>
        <w:tc>
          <w:tcPr>
            <w:tcW w:w="1520" w:type="dxa"/>
            <w:hideMark/>
          </w:tcPr>
          <w:p w14:paraId="74648AD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1.33</w:t>
            </w:r>
          </w:p>
        </w:tc>
        <w:tc>
          <w:tcPr>
            <w:tcW w:w="1300" w:type="dxa"/>
            <w:hideMark/>
          </w:tcPr>
          <w:p w14:paraId="502FAAE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1261.58</w:t>
            </w:r>
          </w:p>
        </w:tc>
        <w:tc>
          <w:tcPr>
            <w:tcW w:w="1400" w:type="dxa"/>
            <w:hideMark/>
          </w:tcPr>
          <w:p w14:paraId="4FBD4F4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0.86</w:t>
            </w:r>
          </w:p>
        </w:tc>
      </w:tr>
      <w:tr w:rsidR="00302953" w:rsidRPr="00770477" w14:paraId="5BB2B8C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3CC3B3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2-C-270-1</w:t>
            </w:r>
          </w:p>
        </w:tc>
        <w:tc>
          <w:tcPr>
            <w:tcW w:w="1180" w:type="dxa"/>
            <w:noWrap/>
            <w:hideMark/>
          </w:tcPr>
          <w:p w14:paraId="5D085B6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5.91</w:t>
            </w:r>
          </w:p>
        </w:tc>
        <w:tc>
          <w:tcPr>
            <w:tcW w:w="1540" w:type="dxa"/>
            <w:hideMark/>
          </w:tcPr>
          <w:p w14:paraId="24A8A2D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0.32</w:t>
            </w:r>
          </w:p>
        </w:tc>
        <w:tc>
          <w:tcPr>
            <w:tcW w:w="1300" w:type="dxa"/>
            <w:noWrap/>
            <w:hideMark/>
          </w:tcPr>
          <w:p w14:paraId="747BF30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6.46</w:t>
            </w:r>
          </w:p>
        </w:tc>
        <w:tc>
          <w:tcPr>
            <w:tcW w:w="1540" w:type="dxa"/>
            <w:hideMark/>
          </w:tcPr>
          <w:p w14:paraId="5228884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0.94</w:t>
            </w:r>
          </w:p>
        </w:tc>
        <w:tc>
          <w:tcPr>
            <w:tcW w:w="1300" w:type="dxa"/>
            <w:noWrap/>
            <w:hideMark/>
          </w:tcPr>
          <w:p w14:paraId="7801C39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48.49</w:t>
            </w:r>
          </w:p>
        </w:tc>
        <w:tc>
          <w:tcPr>
            <w:tcW w:w="1520" w:type="dxa"/>
            <w:hideMark/>
          </w:tcPr>
          <w:p w14:paraId="76B88A7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2.13</w:t>
            </w:r>
          </w:p>
        </w:tc>
        <w:tc>
          <w:tcPr>
            <w:tcW w:w="1300" w:type="dxa"/>
            <w:noWrap/>
            <w:hideMark/>
          </w:tcPr>
          <w:p w14:paraId="20A4A33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1435.99</w:t>
            </w:r>
          </w:p>
        </w:tc>
        <w:tc>
          <w:tcPr>
            <w:tcW w:w="1400" w:type="dxa"/>
            <w:hideMark/>
          </w:tcPr>
          <w:p w14:paraId="6716406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r>
      <w:tr w:rsidR="00302953" w:rsidRPr="00770477" w14:paraId="6ABE1AA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2680EB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2-C-270-2</w:t>
            </w:r>
          </w:p>
        </w:tc>
        <w:tc>
          <w:tcPr>
            <w:tcW w:w="1180" w:type="dxa"/>
            <w:noWrap/>
            <w:hideMark/>
          </w:tcPr>
          <w:p w14:paraId="1D0AAEC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5.25</w:t>
            </w:r>
          </w:p>
        </w:tc>
        <w:tc>
          <w:tcPr>
            <w:tcW w:w="1540" w:type="dxa"/>
            <w:hideMark/>
          </w:tcPr>
          <w:p w14:paraId="3DDF9F4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0.28</w:t>
            </w:r>
          </w:p>
        </w:tc>
        <w:tc>
          <w:tcPr>
            <w:tcW w:w="1300" w:type="dxa"/>
            <w:noWrap/>
            <w:hideMark/>
          </w:tcPr>
          <w:p w14:paraId="46EEF76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6.06</w:t>
            </w:r>
          </w:p>
        </w:tc>
        <w:tc>
          <w:tcPr>
            <w:tcW w:w="1540" w:type="dxa"/>
            <w:hideMark/>
          </w:tcPr>
          <w:p w14:paraId="58953D1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0.89</w:t>
            </w:r>
          </w:p>
        </w:tc>
        <w:tc>
          <w:tcPr>
            <w:tcW w:w="1300" w:type="dxa"/>
            <w:noWrap/>
            <w:hideMark/>
          </w:tcPr>
          <w:p w14:paraId="7055C16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45.52</w:t>
            </w:r>
          </w:p>
        </w:tc>
        <w:tc>
          <w:tcPr>
            <w:tcW w:w="1520" w:type="dxa"/>
            <w:hideMark/>
          </w:tcPr>
          <w:p w14:paraId="24E92D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1.99</w:t>
            </w:r>
          </w:p>
        </w:tc>
        <w:tc>
          <w:tcPr>
            <w:tcW w:w="1300" w:type="dxa"/>
            <w:noWrap/>
            <w:hideMark/>
          </w:tcPr>
          <w:p w14:paraId="207C260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1437.50</w:t>
            </w:r>
          </w:p>
        </w:tc>
        <w:tc>
          <w:tcPr>
            <w:tcW w:w="1400" w:type="dxa"/>
            <w:hideMark/>
          </w:tcPr>
          <w:p w14:paraId="55CB13A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r>
      <w:tr w:rsidR="00302953" w:rsidRPr="00770477" w14:paraId="24AE71F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A12485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2-C-430-1</w:t>
            </w:r>
          </w:p>
        </w:tc>
        <w:tc>
          <w:tcPr>
            <w:tcW w:w="1180" w:type="dxa"/>
            <w:noWrap/>
            <w:hideMark/>
          </w:tcPr>
          <w:p w14:paraId="4A6E4E9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5.88</w:t>
            </w:r>
          </w:p>
        </w:tc>
        <w:tc>
          <w:tcPr>
            <w:tcW w:w="1540" w:type="dxa"/>
            <w:hideMark/>
          </w:tcPr>
          <w:p w14:paraId="04C9723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0.31</w:t>
            </w:r>
          </w:p>
        </w:tc>
        <w:tc>
          <w:tcPr>
            <w:tcW w:w="1300" w:type="dxa"/>
            <w:noWrap/>
            <w:hideMark/>
          </w:tcPr>
          <w:p w14:paraId="3F2F51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7.24</w:t>
            </w:r>
          </w:p>
        </w:tc>
        <w:tc>
          <w:tcPr>
            <w:tcW w:w="1540" w:type="dxa"/>
            <w:hideMark/>
          </w:tcPr>
          <w:p w14:paraId="15533A8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2.42</w:t>
            </w:r>
          </w:p>
        </w:tc>
        <w:tc>
          <w:tcPr>
            <w:tcW w:w="1300" w:type="dxa"/>
            <w:noWrap/>
            <w:hideMark/>
          </w:tcPr>
          <w:p w14:paraId="34F84F6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53.81</w:t>
            </w:r>
          </w:p>
        </w:tc>
        <w:tc>
          <w:tcPr>
            <w:tcW w:w="1520" w:type="dxa"/>
            <w:hideMark/>
          </w:tcPr>
          <w:p w14:paraId="350A71B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3.59</w:t>
            </w:r>
          </w:p>
        </w:tc>
        <w:tc>
          <w:tcPr>
            <w:tcW w:w="1300" w:type="dxa"/>
            <w:noWrap/>
            <w:hideMark/>
          </w:tcPr>
          <w:p w14:paraId="6CB950C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1472.98</w:t>
            </w:r>
          </w:p>
        </w:tc>
        <w:tc>
          <w:tcPr>
            <w:tcW w:w="1400" w:type="dxa"/>
            <w:hideMark/>
          </w:tcPr>
          <w:p w14:paraId="1C5C86D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w:t>
            </w:r>
          </w:p>
        </w:tc>
      </w:tr>
      <w:tr w:rsidR="00302953" w:rsidRPr="00770477" w14:paraId="67C2149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357454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2-C-670-1</w:t>
            </w:r>
          </w:p>
        </w:tc>
        <w:tc>
          <w:tcPr>
            <w:tcW w:w="1180" w:type="dxa"/>
            <w:noWrap/>
            <w:hideMark/>
          </w:tcPr>
          <w:p w14:paraId="560AB81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4.89</w:t>
            </w:r>
          </w:p>
        </w:tc>
        <w:tc>
          <w:tcPr>
            <w:tcW w:w="1540" w:type="dxa"/>
            <w:hideMark/>
          </w:tcPr>
          <w:p w14:paraId="74456D1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0.25</w:t>
            </w:r>
          </w:p>
        </w:tc>
        <w:tc>
          <w:tcPr>
            <w:tcW w:w="1300" w:type="dxa"/>
            <w:noWrap/>
            <w:hideMark/>
          </w:tcPr>
          <w:p w14:paraId="267746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6.20</w:t>
            </w:r>
          </w:p>
        </w:tc>
        <w:tc>
          <w:tcPr>
            <w:tcW w:w="1540" w:type="dxa"/>
            <w:hideMark/>
          </w:tcPr>
          <w:p w14:paraId="48C559D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2.07</w:t>
            </w:r>
          </w:p>
        </w:tc>
        <w:tc>
          <w:tcPr>
            <w:tcW w:w="1300" w:type="dxa"/>
            <w:noWrap/>
            <w:hideMark/>
          </w:tcPr>
          <w:p w14:paraId="5613B5B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49.05</w:t>
            </w:r>
          </w:p>
        </w:tc>
        <w:tc>
          <w:tcPr>
            <w:tcW w:w="1520" w:type="dxa"/>
            <w:hideMark/>
          </w:tcPr>
          <w:p w14:paraId="4D2FF57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1.34</w:t>
            </w:r>
          </w:p>
        </w:tc>
        <w:tc>
          <w:tcPr>
            <w:tcW w:w="1300" w:type="dxa"/>
            <w:noWrap/>
            <w:hideMark/>
          </w:tcPr>
          <w:p w14:paraId="43E7CB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1384.30</w:t>
            </w:r>
          </w:p>
        </w:tc>
        <w:tc>
          <w:tcPr>
            <w:tcW w:w="1400" w:type="dxa"/>
            <w:hideMark/>
          </w:tcPr>
          <w:p w14:paraId="2E755EC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0.99</w:t>
            </w:r>
          </w:p>
        </w:tc>
      </w:tr>
      <w:tr w:rsidR="00302953" w:rsidRPr="00770477" w14:paraId="2A2E06B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B9CE15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2-C-670-2</w:t>
            </w:r>
          </w:p>
        </w:tc>
        <w:tc>
          <w:tcPr>
            <w:tcW w:w="1180" w:type="dxa"/>
            <w:noWrap/>
            <w:hideMark/>
          </w:tcPr>
          <w:p w14:paraId="6C7C889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5.49</w:t>
            </w:r>
          </w:p>
        </w:tc>
        <w:tc>
          <w:tcPr>
            <w:tcW w:w="1540" w:type="dxa"/>
            <w:hideMark/>
          </w:tcPr>
          <w:p w14:paraId="0090CA1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0.29</w:t>
            </w:r>
          </w:p>
        </w:tc>
        <w:tc>
          <w:tcPr>
            <w:tcW w:w="1300" w:type="dxa"/>
            <w:noWrap/>
            <w:hideMark/>
          </w:tcPr>
          <w:p w14:paraId="4DA6C2D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7.30</w:t>
            </w:r>
          </w:p>
        </w:tc>
        <w:tc>
          <w:tcPr>
            <w:tcW w:w="1540" w:type="dxa"/>
            <w:hideMark/>
          </w:tcPr>
          <w:p w14:paraId="118D285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2.44</w:t>
            </w:r>
          </w:p>
        </w:tc>
        <w:tc>
          <w:tcPr>
            <w:tcW w:w="1300" w:type="dxa"/>
            <w:noWrap/>
            <w:hideMark/>
          </w:tcPr>
          <w:p w14:paraId="6F526BE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55.23</w:t>
            </w:r>
          </w:p>
        </w:tc>
        <w:tc>
          <w:tcPr>
            <w:tcW w:w="1520" w:type="dxa"/>
            <w:hideMark/>
          </w:tcPr>
          <w:p w14:paraId="48032B6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1.50</w:t>
            </w:r>
          </w:p>
        </w:tc>
        <w:tc>
          <w:tcPr>
            <w:tcW w:w="1300" w:type="dxa"/>
            <w:noWrap/>
            <w:hideMark/>
          </w:tcPr>
          <w:p w14:paraId="3CA4F33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1406.94</w:t>
            </w:r>
          </w:p>
        </w:tc>
        <w:tc>
          <w:tcPr>
            <w:tcW w:w="1400" w:type="dxa"/>
            <w:hideMark/>
          </w:tcPr>
          <w:p w14:paraId="1F12AAC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1D9CF04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2C5127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2-I-000-3</w:t>
            </w:r>
          </w:p>
        </w:tc>
        <w:tc>
          <w:tcPr>
            <w:tcW w:w="1180" w:type="dxa"/>
            <w:hideMark/>
          </w:tcPr>
          <w:p w14:paraId="1D634E7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17.12</w:t>
            </w:r>
          </w:p>
        </w:tc>
        <w:tc>
          <w:tcPr>
            <w:tcW w:w="1540" w:type="dxa"/>
            <w:hideMark/>
          </w:tcPr>
          <w:p w14:paraId="05C59A7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8C2ED3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10.18</w:t>
            </w:r>
          </w:p>
        </w:tc>
        <w:tc>
          <w:tcPr>
            <w:tcW w:w="1540" w:type="dxa"/>
            <w:hideMark/>
          </w:tcPr>
          <w:p w14:paraId="3914379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7A5946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67.59</w:t>
            </w:r>
          </w:p>
        </w:tc>
        <w:tc>
          <w:tcPr>
            <w:tcW w:w="1520" w:type="dxa"/>
            <w:hideMark/>
          </w:tcPr>
          <w:p w14:paraId="063B8A5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535F6C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1224.99</w:t>
            </w:r>
          </w:p>
        </w:tc>
        <w:tc>
          <w:tcPr>
            <w:tcW w:w="1400" w:type="dxa"/>
            <w:hideMark/>
          </w:tcPr>
          <w:p w14:paraId="724A0B3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382E144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8BBCA8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2-I-160-3</w:t>
            </w:r>
          </w:p>
        </w:tc>
        <w:tc>
          <w:tcPr>
            <w:tcW w:w="1180" w:type="dxa"/>
            <w:noWrap/>
            <w:hideMark/>
          </w:tcPr>
          <w:p w14:paraId="4754C5D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19.96</w:t>
            </w:r>
          </w:p>
        </w:tc>
        <w:tc>
          <w:tcPr>
            <w:tcW w:w="1540" w:type="dxa"/>
            <w:hideMark/>
          </w:tcPr>
          <w:p w14:paraId="1A361F6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95E52A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296CEE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0E8B564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31.98</w:t>
            </w:r>
          </w:p>
        </w:tc>
        <w:tc>
          <w:tcPr>
            <w:tcW w:w="1520" w:type="dxa"/>
            <w:hideMark/>
          </w:tcPr>
          <w:p w14:paraId="1279685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56A3975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1465.04</w:t>
            </w:r>
          </w:p>
        </w:tc>
        <w:tc>
          <w:tcPr>
            <w:tcW w:w="1400" w:type="dxa"/>
            <w:hideMark/>
          </w:tcPr>
          <w:p w14:paraId="5CF182A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203FB4A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ACD29A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2-I-670-3</w:t>
            </w:r>
          </w:p>
        </w:tc>
        <w:tc>
          <w:tcPr>
            <w:tcW w:w="1180" w:type="dxa"/>
            <w:noWrap/>
            <w:hideMark/>
          </w:tcPr>
          <w:p w14:paraId="0BC3020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19.23</w:t>
            </w:r>
          </w:p>
        </w:tc>
        <w:tc>
          <w:tcPr>
            <w:tcW w:w="1540" w:type="dxa"/>
            <w:hideMark/>
          </w:tcPr>
          <w:p w14:paraId="53314F4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5BC6D3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8B6461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13ACF22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36.74</w:t>
            </w:r>
          </w:p>
        </w:tc>
        <w:tc>
          <w:tcPr>
            <w:tcW w:w="1520" w:type="dxa"/>
            <w:hideMark/>
          </w:tcPr>
          <w:p w14:paraId="6CD1677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87A9EF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1402.87</w:t>
            </w:r>
          </w:p>
        </w:tc>
        <w:tc>
          <w:tcPr>
            <w:tcW w:w="1400" w:type="dxa"/>
            <w:hideMark/>
          </w:tcPr>
          <w:p w14:paraId="53312AB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518FD81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70210C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10-A-0-1</w:t>
            </w:r>
          </w:p>
        </w:tc>
        <w:tc>
          <w:tcPr>
            <w:tcW w:w="1180" w:type="dxa"/>
            <w:hideMark/>
          </w:tcPr>
          <w:p w14:paraId="354B9A2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064E86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2A33F63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67A0E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38083E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64516E5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2303D52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3871.57</w:t>
            </w:r>
          </w:p>
        </w:tc>
        <w:tc>
          <w:tcPr>
            <w:tcW w:w="1400" w:type="dxa"/>
            <w:hideMark/>
          </w:tcPr>
          <w:p w14:paraId="651429A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13.31</w:t>
            </w:r>
          </w:p>
        </w:tc>
      </w:tr>
      <w:tr w:rsidR="00302953" w:rsidRPr="00770477" w14:paraId="3D5B030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662E3E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10-A-1-1</w:t>
            </w:r>
          </w:p>
        </w:tc>
        <w:tc>
          <w:tcPr>
            <w:tcW w:w="1180" w:type="dxa"/>
            <w:hideMark/>
          </w:tcPr>
          <w:p w14:paraId="6ACE933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1F2DE4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2D462B4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7F7025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A2151E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4B50728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0.38</w:t>
            </w:r>
          </w:p>
        </w:tc>
        <w:tc>
          <w:tcPr>
            <w:tcW w:w="1300" w:type="dxa"/>
            <w:noWrap/>
            <w:hideMark/>
          </w:tcPr>
          <w:p w14:paraId="6846437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2781.17</w:t>
            </w:r>
          </w:p>
        </w:tc>
        <w:tc>
          <w:tcPr>
            <w:tcW w:w="1400" w:type="dxa"/>
            <w:hideMark/>
          </w:tcPr>
          <w:p w14:paraId="6A96FC5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9.50</w:t>
            </w:r>
          </w:p>
        </w:tc>
      </w:tr>
      <w:tr w:rsidR="00302953" w:rsidRPr="00770477" w14:paraId="6A8905E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78FD53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10-A-1-2</w:t>
            </w:r>
          </w:p>
        </w:tc>
        <w:tc>
          <w:tcPr>
            <w:tcW w:w="1180" w:type="dxa"/>
            <w:hideMark/>
          </w:tcPr>
          <w:p w14:paraId="13F3AF9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6A4236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61EFD1D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851ABE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03D6AE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4F3A140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0.38</w:t>
            </w:r>
          </w:p>
        </w:tc>
        <w:tc>
          <w:tcPr>
            <w:tcW w:w="1300" w:type="dxa"/>
            <w:noWrap/>
            <w:hideMark/>
          </w:tcPr>
          <w:p w14:paraId="021F25A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2751.81</w:t>
            </w:r>
          </w:p>
        </w:tc>
        <w:tc>
          <w:tcPr>
            <w:tcW w:w="1400" w:type="dxa"/>
            <w:hideMark/>
          </w:tcPr>
          <w:p w14:paraId="7FF4B9C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9.40</w:t>
            </w:r>
          </w:p>
        </w:tc>
      </w:tr>
      <w:tr w:rsidR="00302953" w:rsidRPr="00770477" w14:paraId="67700D5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5B364D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10-A-2-1</w:t>
            </w:r>
          </w:p>
        </w:tc>
        <w:tc>
          <w:tcPr>
            <w:tcW w:w="1180" w:type="dxa"/>
            <w:hideMark/>
          </w:tcPr>
          <w:p w14:paraId="6E2FD58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C209FC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4A9F2EA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7CD72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7FAD291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310EBD8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1D8A0A9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1611.94</w:t>
            </w:r>
          </w:p>
        </w:tc>
        <w:tc>
          <w:tcPr>
            <w:tcW w:w="1400" w:type="dxa"/>
            <w:hideMark/>
          </w:tcPr>
          <w:p w14:paraId="53C5D45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5.87</w:t>
            </w:r>
          </w:p>
        </w:tc>
      </w:tr>
      <w:tr w:rsidR="00302953" w:rsidRPr="00770477" w14:paraId="67685BB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0BD50A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10-A-4-1</w:t>
            </w:r>
          </w:p>
        </w:tc>
        <w:tc>
          <w:tcPr>
            <w:tcW w:w="1180" w:type="dxa"/>
            <w:hideMark/>
          </w:tcPr>
          <w:p w14:paraId="09CBBC1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7FA576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09F8D17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989303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F0B108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368622D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52F3B8D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897.96</w:t>
            </w:r>
          </w:p>
        </w:tc>
        <w:tc>
          <w:tcPr>
            <w:tcW w:w="1400" w:type="dxa"/>
            <w:hideMark/>
          </w:tcPr>
          <w:p w14:paraId="6B062FE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3.16</w:t>
            </w:r>
          </w:p>
        </w:tc>
      </w:tr>
      <w:tr w:rsidR="00302953" w:rsidRPr="00770477" w14:paraId="526DCBB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992D77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10-A-6-1</w:t>
            </w:r>
          </w:p>
        </w:tc>
        <w:tc>
          <w:tcPr>
            <w:tcW w:w="1180" w:type="dxa"/>
            <w:hideMark/>
          </w:tcPr>
          <w:p w14:paraId="015FD5B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4972BF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467DA18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CABA4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FC6E3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4C0B430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67179B5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521.74</w:t>
            </w:r>
          </w:p>
        </w:tc>
        <w:tc>
          <w:tcPr>
            <w:tcW w:w="1400" w:type="dxa"/>
            <w:hideMark/>
          </w:tcPr>
          <w:p w14:paraId="0FAF481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1.67</w:t>
            </w:r>
          </w:p>
        </w:tc>
      </w:tr>
      <w:tr w:rsidR="00302953" w:rsidRPr="00770477" w14:paraId="0FD306C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92CDCC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10-A-10-1</w:t>
            </w:r>
          </w:p>
        </w:tc>
        <w:tc>
          <w:tcPr>
            <w:tcW w:w="1180" w:type="dxa"/>
            <w:hideMark/>
          </w:tcPr>
          <w:p w14:paraId="291ED26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E7B7D6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0286E88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C92820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6B92B58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764B30A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D97981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507.02</w:t>
            </w:r>
          </w:p>
        </w:tc>
        <w:tc>
          <w:tcPr>
            <w:tcW w:w="1400" w:type="dxa"/>
            <w:hideMark/>
          </w:tcPr>
          <w:p w14:paraId="7BB2A78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1.62</w:t>
            </w:r>
          </w:p>
        </w:tc>
      </w:tr>
      <w:tr w:rsidR="00302953" w:rsidRPr="00770477" w14:paraId="4ED40B4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DB87EA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10-A-17-1</w:t>
            </w:r>
          </w:p>
        </w:tc>
        <w:tc>
          <w:tcPr>
            <w:tcW w:w="1180" w:type="dxa"/>
            <w:hideMark/>
          </w:tcPr>
          <w:p w14:paraId="19E0800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49C43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09D50B8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D2888C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0.21</w:t>
            </w:r>
          </w:p>
        </w:tc>
        <w:tc>
          <w:tcPr>
            <w:tcW w:w="1300" w:type="dxa"/>
            <w:hideMark/>
          </w:tcPr>
          <w:p w14:paraId="2713CD0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3DAD48C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BCCEB5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403.17</w:t>
            </w:r>
          </w:p>
        </w:tc>
        <w:tc>
          <w:tcPr>
            <w:tcW w:w="1400" w:type="dxa"/>
            <w:hideMark/>
          </w:tcPr>
          <w:p w14:paraId="3F6CDFD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1.56</w:t>
            </w:r>
          </w:p>
        </w:tc>
      </w:tr>
      <w:tr w:rsidR="00302953" w:rsidRPr="00770477" w14:paraId="2134049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7C18A4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10-A-17-2</w:t>
            </w:r>
          </w:p>
        </w:tc>
        <w:tc>
          <w:tcPr>
            <w:tcW w:w="1180" w:type="dxa"/>
            <w:hideMark/>
          </w:tcPr>
          <w:p w14:paraId="16E24CF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2B04A2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401A3FA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A095A1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0.21</w:t>
            </w:r>
          </w:p>
        </w:tc>
        <w:tc>
          <w:tcPr>
            <w:tcW w:w="1300" w:type="dxa"/>
            <w:hideMark/>
          </w:tcPr>
          <w:p w14:paraId="63D2F6F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2F58E87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00DB512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375.95</w:t>
            </w:r>
          </w:p>
        </w:tc>
        <w:tc>
          <w:tcPr>
            <w:tcW w:w="1400" w:type="dxa"/>
            <w:hideMark/>
          </w:tcPr>
          <w:p w14:paraId="78C463C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1.45</w:t>
            </w:r>
          </w:p>
        </w:tc>
      </w:tr>
      <w:tr w:rsidR="00302953" w:rsidRPr="00770477" w14:paraId="4DF2563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3A0BE4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10-A-27-1</w:t>
            </w:r>
          </w:p>
        </w:tc>
        <w:tc>
          <w:tcPr>
            <w:tcW w:w="1180" w:type="dxa"/>
            <w:hideMark/>
          </w:tcPr>
          <w:p w14:paraId="28B107E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A882B4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44F0921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C2153A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592D2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6C9813D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213E53A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358.68</w:t>
            </w:r>
          </w:p>
        </w:tc>
        <w:tc>
          <w:tcPr>
            <w:tcW w:w="1400" w:type="dxa"/>
            <w:hideMark/>
          </w:tcPr>
          <w:p w14:paraId="6F1D311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1.44</w:t>
            </w:r>
          </w:p>
        </w:tc>
      </w:tr>
      <w:tr w:rsidR="00302953" w:rsidRPr="00770477" w14:paraId="0C7CB85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4E261C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10-B-0-1</w:t>
            </w:r>
          </w:p>
        </w:tc>
        <w:tc>
          <w:tcPr>
            <w:tcW w:w="1180" w:type="dxa"/>
            <w:hideMark/>
          </w:tcPr>
          <w:p w14:paraId="5BCF164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296274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456D192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56A78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6091717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46BA227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6DC9195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7841.25</w:t>
            </w:r>
          </w:p>
        </w:tc>
        <w:tc>
          <w:tcPr>
            <w:tcW w:w="1400" w:type="dxa"/>
            <w:hideMark/>
          </w:tcPr>
          <w:p w14:paraId="56DD8D2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26.95</w:t>
            </w:r>
          </w:p>
        </w:tc>
      </w:tr>
      <w:tr w:rsidR="00302953" w:rsidRPr="00770477" w14:paraId="028B8C8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7B954D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10-B-1-1</w:t>
            </w:r>
          </w:p>
        </w:tc>
        <w:tc>
          <w:tcPr>
            <w:tcW w:w="1180" w:type="dxa"/>
            <w:hideMark/>
          </w:tcPr>
          <w:p w14:paraId="0BF7ED5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159999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256543E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8EA511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036330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0A50728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0.38</w:t>
            </w:r>
          </w:p>
        </w:tc>
        <w:tc>
          <w:tcPr>
            <w:tcW w:w="1300" w:type="dxa"/>
            <w:noWrap/>
            <w:hideMark/>
          </w:tcPr>
          <w:p w14:paraId="4B47715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5933.95</w:t>
            </w:r>
          </w:p>
        </w:tc>
        <w:tc>
          <w:tcPr>
            <w:tcW w:w="1400" w:type="dxa"/>
            <w:hideMark/>
          </w:tcPr>
          <w:p w14:paraId="0ED4534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20.27</w:t>
            </w:r>
          </w:p>
        </w:tc>
      </w:tr>
      <w:tr w:rsidR="00302953" w:rsidRPr="00770477" w14:paraId="3F3462D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E9A162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10-B-1-2</w:t>
            </w:r>
          </w:p>
        </w:tc>
        <w:tc>
          <w:tcPr>
            <w:tcW w:w="1180" w:type="dxa"/>
            <w:hideMark/>
          </w:tcPr>
          <w:p w14:paraId="3851394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F0F387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25F6787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B772B8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5CE389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735D71E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0.38</w:t>
            </w:r>
          </w:p>
        </w:tc>
        <w:tc>
          <w:tcPr>
            <w:tcW w:w="1300" w:type="dxa"/>
            <w:noWrap/>
            <w:hideMark/>
          </w:tcPr>
          <w:p w14:paraId="62E6EF6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5971.22</w:t>
            </w:r>
          </w:p>
        </w:tc>
        <w:tc>
          <w:tcPr>
            <w:tcW w:w="1400" w:type="dxa"/>
            <w:hideMark/>
          </w:tcPr>
          <w:p w14:paraId="507BFA0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20.39</w:t>
            </w:r>
          </w:p>
        </w:tc>
      </w:tr>
      <w:tr w:rsidR="00302953" w:rsidRPr="00770477" w14:paraId="4664A9B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7C0D30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10-B-2-1</w:t>
            </w:r>
          </w:p>
        </w:tc>
        <w:tc>
          <w:tcPr>
            <w:tcW w:w="1180" w:type="dxa"/>
            <w:hideMark/>
          </w:tcPr>
          <w:p w14:paraId="1B6DB1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A2F22C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5D57312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50633E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A01493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6E62438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4AC4901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4700.12</w:t>
            </w:r>
          </w:p>
        </w:tc>
        <w:tc>
          <w:tcPr>
            <w:tcW w:w="1400" w:type="dxa"/>
            <w:hideMark/>
          </w:tcPr>
          <w:p w14:paraId="71D9AA3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17.13</w:t>
            </w:r>
          </w:p>
        </w:tc>
      </w:tr>
      <w:tr w:rsidR="00302953" w:rsidRPr="00770477" w14:paraId="0E890C1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ED0D83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10-B-4-1</w:t>
            </w:r>
          </w:p>
        </w:tc>
        <w:tc>
          <w:tcPr>
            <w:tcW w:w="1180" w:type="dxa"/>
            <w:noWrap/>
            <w:hideMark/>
          </w:tcPr>
          <w:p w14:paraId="4D04331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0.77</w:t>
            </w:r>
          </w:p>
        </w:tc>
        <w:tc>
          <w:tcPr>
            <w:tcW w:w="1540" w:type="dxa"/>
            <w:hideMark/>
          </w:tcPr>
          <w:p w14:paraId="3528C32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0.04</w:t>
            </w:r>
          </w:p>
        </w:tc>
        <w:tc>
          <w:tcPr>
            <w:tcW w:w="1300" w:type="dxa"/>
            <w:hideMark/>
          </w:tcPr>
          <w:p w14:paraId="77D3D28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43FC48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6D6360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1870AF6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606AE5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3621.26</w:t>
            </w:r>
          </w:p>
        </w:tc>
        <w:tc>
          <w:tcPr>
            <w:tcW w:w="1400" w:type="dxa"/>
            <w:hideMark/>
          </w:tcPr>
          <w:p w14:paraId="395BB70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12.76</w:t>
            </w:r>
          </w:p>
        </w:tc>
      </w:tr>
      <w:tr w:rsidR="00302953" w:rsidRPr="00770477" w14:paraId="5BA6E93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AA2917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10-B-6-1</w:t>
            </w:r>
          </w:p>
        </w:tc>
        <w:tc>
          <w:tcPr>
            <w:tcW w:w="1180" w:type="dxa"/>
            <w:hideMark/>
          </w:tcPr>
          <w:p w14:paraId="09B2A54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57A2BC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5AEDDBC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215A93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408FB0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2793B60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68BB0CF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2472.17</w:t>
            </w:r>
          </w:p>
        </w:tc>
        <w:tc>
          <w:tcPr>
            <w:tcW w:w="1400" w:type="dxa"/>
            <w:hideMark/>
          </w:tcPr>
          <w:p w14:paraId="6AEE866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7.92</w:t>
            </w:r>
          </w:p>
        </w:tc>
      </w:tr>
      <w:tr w:rsidR="00302953" w:rsidRPr="00770477" w14:paraId="4004850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D4EE8D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10-B-10-1</w:t>
            </w:r>
          </w:p>
        </w:tc>
        <w:tc>
          <w:tcPr>
            <w:tcW w:w="1180" w:type="dxa"/>
            <w:hideMark/>
          </w:tcPr>
          <w:p w14:paraId="4747102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C4309F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02E2679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2AC75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6D2870C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3.64</w:t>
            </w:r>
          </w:p>
        </w:tc>
        <w:tc>
          <w:tcPr>
            <w:tcW w:w="1520" w:type="dxa"/>
            <w:hideMark/>
          </w:tcPr>
          <w:p w14:paraId="437C9A3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2.15</w:t>
            </w:r>
          </w:p>
        </w:tc>
        <w:tc>
          <w:tcPr>
            <w:tcW w:w="1300" w:type="dxa"/>
            <w:noWrap/>
            <w:hideMark/>
          </w:tcPr>
          <w:p w14:paraId="1E34910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2014.52</w:t>
            </w:r>
          </w:p>
        </w:tc>
        <w:tc>
          <w:tcPr>
            <w:tcW w:w="1400" w:type="dxa"/>
            <w:hideMark/>
          </w:tcPr>
          <w:p w14:paraId="61ACDF6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6.45</w:t>
            </w:r>
          </w:p>
        </w:tc>
      </w:tr>
      <w:tr w:rsidR="00302953" w:rsidRPr="00770477" w14:paraId="5BC56F8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86F75D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10-B-17-1</w:t>
            </w:r>
          </w:p>
        </w:tc>
        <w:tc>
          <w:tcPr>
            <w:tcW w:w="1180" w:type="dxa"/>
            <w:hideMark/>
          </w:tcPr>
          <w:p w14:paraId="3708AA5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27AF73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226BA4C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69CE99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0.21</w:t>
            </w:r>
          </w:p>
        </w:tc>
        <w:tc>
          <w:tcPr>
            <w:tcW w:w="1300" w:type="dxa"/>
            <w:hideMark/>
          </w:tcPr>
          <w:p w14:paraId="1CBA1F6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2B5341D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412321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1376.29</w:t>
            </w:r>
          </w:p>
        </w:tc>
        <w:tc>
          <w:tcPr>
            <w:tcW w:w="1400" w:type="dxa"/>
            <w:hideMark/>
          </w:tcPr>
          <w:p w14:paraId="3917A94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5.32</w:t>
            </w:r>
          </w:p>
        </w:tc>
      </w:tr>
      <w:tr w:rsidR="00302953" w:rsidRPr="00770477" w14:paraId="04534C0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054F92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10-B-27-1</w:t>
            </w:r>
          </w:p>
        </w:tc>
        <w:tc>
          <w:tcPr>
            <w:tcW w:w="1180" w:type="dxa"/>
            <w:hideMark/>
          </w:tcPr>
          <w:p w14:paraId="16E7C00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3BE015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3B454C2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C884CB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3F2DCD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570E38E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57A912B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1093.27</w:t>
            </w:r>
          </w:p>
        </w:tc>
        <w:tc>
          <w:tcPr>
            <w:tcW w:w="1400" w:type="dxa"/>
            <w:hideMark/>
          </w:tcPr>
          <w:p w14:paraId="0C3FBD7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4.38</w:t>
            </w:r>
          </w:p>
        </w:tc>
      </w:tr>
      <w:tr w:rsidR="00302953" w:rsidRPr="00770477" w14:paraId="0D54432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A996AD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10-B-27-2</w:t>
            </w:r>
          </w:p>
        </w:tc>
        <w:tc>
          <w:tcPr>
            <w:tcW w:w="1180" w:type="dxa"/>
            <w:hideMark/>
          </w:tcPr>
          <w:p w14:paraId="3AA36A1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A2A5EA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367E2C7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17DD95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7407598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5901C2F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3A074F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1091.67</w:t>
            </w:r>
          </w:p>
        </w:tc>
        <w:tc>
          <w:tcPr>
            <w:tcW w:w="1400" w:type="dxa"/>
            <w:hideMark/>
          </w:tcPr>
          <w:p w14:paraId="2DB4D4C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4.37</w:t>
            </w:r>
          </w:p>
        </w:tc>
      </w:tr>
      <w:tr w:rsidR="00302953" w:rsidRPr="00770477" w14:paraId="60EEA1C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4A09C4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10-C-0-1</w:t>
            </w:r>
          </w:p>
        </w:tc>
        <w:tc>
          <w:tcPr>
            <w:tcW w:w="1180" w:type="dxa"/>
            <w:hideMark/>
          </w:tcPr>
          <w:p w14:paraId="50987F0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54EEA2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3F7A424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04E2CC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6219DAD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3.86</w:t>
            </w:r>
          </w:p>
        </w:tc>
        <w:tc>
          <w:tcPr>
            <w:tcW w:w="1520" w:type="dxa"/>
            <w:hideMark/>
          </w:tcPr>
          <w:p w14:paraId="14EC40B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2.28</w:t>
            </w:r>
          </w:p>
        </w:tc>
        <w:tc>
          <w:tcPr>
            <w:tcW w:w="1300" w:type="dxa"/>
            <w:noWrap/>
            <w:hideMark/>
          </w:tcPr>
          <w:p w14:paraId="467AAC0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10882.94</w:t>
            </w:r>
          </w:p>
        </w:tc>
        <w:tc>
          <w:tcPr>
            <w:tcW w:w="1400" w:type="dxa"/>
            <w:hideMark/>
          </w:tcPr>
          <w:p w14:paraId="6B27622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37.40</w:t>
            </w:r>
          </w:p>
        </w:tc>
      </w:tr>
      <w:tr w:rsidR="00302953" w:rsidRPr="00770477" w14:paraId="5CBAC31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DC04C8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10-C-1-1</w:t>
            </w:r>
          </w:p>
        </w:tc>
        <w:tc>
          <w:tcPr>
            <w:tcW w:w="1180" w:type="dxa"/>
            <w:hideMark/>
          </w:tcPr>
          <w:p w14:paraId="15454BC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E78347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0481445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E26D3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627E94E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4.96</w:t>
            </w:r>
          </w:p>
        </w:tc>
        <w:tc>
          <w:tcPr>
            <w:tcW w:w="1520" w:type="dxa"/>
            <w:hideMark/>
          </w:tcPr>
          <w:p w14:paraId="2D23E5F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1.12</w:t>
            </w:r>
          </w:p>
        </w:tc>
        <w:tc>
          <w:tcPr>
            <w:tcW w:w="1300" w:type="dxa"/>
            <w:noWrap/>
            <w:hideMark/>
          </w:tcPr>
          <w:p w14:paraId="553B2D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7496.92</w:t>
            </w:r>
          </w:p>
        </w:tc>
        <w:tc>
          <w:tcPr>
            <w:tcW w:w="1400" w:type="dxa"/>
            <w:hideMark/>
          </w:tcPr>
          <w:p w14:paraId="5A4679C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25.60</w:t>
            </w:r>
          </w:p>
        </w:tc>
      </w:tr>
      <w:tr w:rsidR="00302953" w:rsidRPr="00770477" w14:paraId="5F43E7B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3DA8C7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10-C-1-2</w:t>
            </w:r>
          </w:p>
        </w:tc>
        <w:tc>
          <w:tcPr>
            <w:tcW w:w="1180" w:type="dxa"/>
            <w:hideMark/>
          </w:tcPr>
          <w:p w14:paraId="724A8B0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0C4DD1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0B63A3B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88B5DF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65A0D46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5.15</w:t>
            </w:r>
          </w:p>
        </w:tc>
        <w:tc>
          <w:tcPr>
            <w:tcW w:w="1520" w:type="dxa"/>
            <w:hideMark/>
          </w:tcPr>
          <w:p w14:paraId="6602319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1.17</w:t>
            </w:r>
          </w:p>
        </w:tc>
        <w:tc>
          <w:tcPr>
            <w:tcW w:w="1300" w:type="dxa"/>
            <w:noWrap/>
            <w:hideMark/>
          </w:tcPr>
          <w:p w14:paraId="7D34449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7475.81</w:t>
            </w:r>
          </w:p>
        </w:tc>
        <w:tc>
          <w:tcPr>
            <w:tcW w:w="1400" w:type="dxa"/>
            <w:hideMark/>
          </w:tcPr>
          <w:p w14:paraId="5938488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25.53</w:t>
            </w:r>
          </w:p>
        </w:tc>
      </w:tr>
      <w:tr w:rsidR="00302953" w:rsidRPr="00770477" w14:paraId="482B0AB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B1D54E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10-C-2-1</w:t>
            </w:r>
          </w:p>
        </w:tc>
        <w:tc>
          <w:tcPr>
            <w:tcW w:w="1180" w:type="dxa"/>
            <w:hideMark/>
          </w:tcPr>
          <w:p w14:paraId="3F4F4B0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FFE4A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3976128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1B12CE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0514FA7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6.45</w:t>
            </w:r>
          </w:p>
        </w:tc>
        <w:tc>
          <w:tcPr>
            <w:tcW w:w="1520" w:type="dxa"/>
            <w:hideMark/>
          </w:tcPr>
          <w:p w14:paraId="10DA02A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3.81</w:t>
            </w:r>
          </w:p>
        </w:tc>
        <w:tc>
          <w:tcPr>
            <w:tcW w:w="1300" w:type="dxa"/>
            <w:noWrap/>
            <w:hideMark/>
          </w:tcPr>
          <w:p w14:paraId="16A378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7540.65</w:t>
            </w:r>
          </w:p>
        </w:tc>
        <w:tc>
          <w:tcPr>
            <w:tcW w:w="1400" w:type="dxa"/>
            <w:hideMark/>
          </w:tcPr>
          <w:p w14:paraId="1856774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27.48</w:t>
            </w:r>
          </w:p>
        </w:tc>
      </w:tr>
      <w:tr w:rsidR="00302953" w:rsidRPr="00770477" w14:paraId="2C4891F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646F2D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10-C-4-1</w:t>
            </w:r>
          </w:p>
        </w:tc>
        <w:tc>
          <w:tcPr>
            <w:tcW w:w="1180" w:type="dxa"/>
            <w:hideMark/>
          </w:tcPr>
          <w:p w14:paraId="5ADF414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1D72CF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76E4A4B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C9102E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2288DA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08CF8C6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1D48FBA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4490.34</w:t>
            </w:r>
          </w:p>
        </w:tc>
        <w:tc>
          <w:tcPr>
            <w:tcW w:w="1400" w:type="dxa"/>
            <w:hideMark/>
          </w:tcPr>
          <w:p w14:paraId="13EAA85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15.83</w:t>
            </w:r>
          </w:p>
        </w:tc>
      </w:tr>
      <w:tr w:rsidR="00302953" w:rsidRPr="00770477" w14:paraId="1DBFF14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715207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10-C-6-1</w:t>
            </w:r>
          </w:p>
        </w:tc>
        <w:tc>
          <w:tcPr>
            <w:tcW w:w="1180" w:type="dxa"/>
            <w:hideMark/>
          </w:tcPr>
          <w:p w14:paraId="008CB1E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092D2C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0BADC6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4940CA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5EB5FA4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16.23</w:t>
            </w:r>
          </w:p>
        </w:tc>
        <w:tc>
          <w:tcPr>
            <w:tcW w:w="1520" w:type="dxa"/>
            <w:hideMark/>
          </w:tcPr>
          <w:p w14:paraId="06507B2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9.58</w:t>
            </w:r>
          </w:p>
        </w:tc>
        <w:tc>
          <w:tcPr>
            <w:tcW w:w="1300" w:type="dxa"/>
            <w:noWrap/>
            <w:hideMark/>
          </w:tcPr>
          <w:p w14:paraId="5891969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2645.81</w:t>
            </w:r>
          </w:p>
        </w:tc>
        <w:tc>
          <w:tcPr>
            <w:tcW w:w="1400" w:type="dxa"/>
            <w:hideMark/>
          </w:tcPr>
          <w:p w14:paraId="644A9EE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8.47</w:t>
            </w:r>
          </w:p>
        </w:tc>
      </w:tr>
      <w:tr w:rsidR="00302953" w:rsidRPr="00770477" w14:paraId="28B9716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797B19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10-C-10-1</w:t>
            </w:r>
          </w:p>
        </w:tc>
        <w:tc>
          <w:tcPr>
            <w:tcW w:w="1180" w:type="dxa"/>
            <w:hideMark/>
          </w:tcPr>
          <w:p w14:paraId="4185D42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62919F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31D5CFE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294B89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E7A482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442DFAB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2F851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2121.74</w:t>
            </w:r>
          </w:p>
        </w:tc>
        <w:tc>
          <w:tcPr>
            <w:tcW w:w="1400" w:type="dxa"/>
            <w:hideMark/>
          </w:tcPr>
          <w:p w14:paraId="7B66904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6.80</w:t>
            </w:r>
          </w:p>
        </w:tc>
      </w:tr>
      <w:tr w:rsidR="00302953" w:rsidRPr="00770477" w14:paraId="5E54E9B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D4010B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10-C-17-1</w:t>
            </w:r>
          </w:p>
        </w:tc>
        <w:tc>
          <w:tcPr>
            <w:tcW w:w="1180" w:type="dxa"/>
            <w:hideMark/>
          </w:tcPr>
          <w:p w14:paraId="4DCE6BA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30526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779B7E7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34F65F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0.21</w:t>
            </w:r>
          </w:p>
        </w:tc>
        <w:tc>
          <w:tcPr>
            <w:tcW w:w="1300" w:type="dxa"/>
            <w:hideMark/>
          </w:tcPr>
          <w:p w14:paraId="3806765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6AF6AC6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1440486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724.09</w:t>
            </w:r>
          </w:p>
        </w:tc>
        <w:tc>
          <w:tcPr>
            <w:tcW w:w="1400" w:type="dxa"/>
            <w:hideMark/>
          </w:tcPr>
          <w:p w14:paraId="01275E2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2.80</w:t>
            </w:r>
          </w:p>
        </w:tc>
      </w:tr>
      <w:tr w:rsidR="00302953" w:rsidRPr="00770477" w14:paraId="0C8AE11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A971DF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10-C-27-1</w:t>
            </w:r>
          </w:p>
        </w:tc>
        <w:tc>
          <w:tcPr>
            <w:tcW w:w="1180" w:type="dxa"/>
            <w:hideMark/>
          </w:tcPr>
          <w:p w14:paraId="1265AE8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1E444A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0D29D6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913790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B15BC5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2BE6DFB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532183B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703.51</w:t>
            </w:r>
          </w:p>
        </w:tc>
        <w:tc>
          <w:tcPr>
            <w:tcW w:w="1400" w:type="dxa"/>
            <w:hideMark/>
          </w:tcPr>
          <w:p w14:paraId="47C5DBB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2.82</w:t>
            </w:r>
          </w:p>
        </w:tc>
      </w:tr>
      <w:tr w:rsidR="00302953" w:rsidRPr="00770477" w14:paraId="1B3F358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6E9C82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10-C-27-2</w:t>
            </w:r>
          </w:p>
        </w:tc>
        <w:tc>
          <w:tcPr>
            <w:tcW w:w="1180" w:type="dxa"/>
            <w:hideMark/>
          </w:tcPr>
          <w:p w14:paraId="11B0851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BEEA60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4D64899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4FEB23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A08558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0CC508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7DD30B4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707.22</w:t>
            </w:r>
          </w:p>
        </w:tc>
        <w:tc>
          <w:tcPr>
            <w:tcW w:w="1400" w:type="dxa"/>
            <w:hideMark/>
          </w:tcPr>
          <w:p w14:paraId="2463945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2.83</w:t>
            </w:r>
          </w:p>
        </w:tc>
      </w:tr>
      <w:tr w:rsidR="00302953" w:rsidRPr="00770477" w14:paraId="34C6907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2F49CE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10-D-0-1</w:t>
            </w:r>
          </w:p>
        </w:tc>
        <w:tc>
          <w:tcPr>
            <w:tcW w:w="1180" w:type="dxa"/>
            <w:hideMark/>
          </w:tcPr>
          <w:p w14:paraId="5D33701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95F914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0254F46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030382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24E7273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77.68</w:t>
            </w:r>
          </w:p>
        </w:tc>
        <w:tc>
          <w:tcPr>
            <w:tcW w:w="1520" w:type="dxa"/>
            <w:hideMark/>
          </w:tcPr>
          <w:p w14:paraId="52D8E4F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45.86</w:t>
            </w:r>
          </w:p>
        </w:tc>
        <w:tc>
          <w:tcPr>
            <w:tcW w:w="1300" w:type="dxa"/>
            <w:noWrap/>
            <w:hideMark/>
          </w:tcPr>
          <w:p w14:paraId="65D4AC1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2647.17</w:t>
            </w:r>
          </w:p>
        </w:tc>
        <w:tc>
          <w:tcPr>
            <w:tcW w:w="1400" w:type="dxa"/>
            <w:hideMark/>
          </w:tcPr>
          <w:p w14:paraId="2ADB292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9.10</w:t>
            </w:r>
          </w:p>
        </w:tc>
      </w:tr>
      <w:tr w:rsidR="00302953" w:rsidRPr="00770477" w14:paraId="4ECBB87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0A1E4A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10-D-1-1</w:t>
            </w:r>
          </w:p>
        </w:tc>
        <w:tc>
          <w:tcPr>
            <w:tcW w:w="1180" w:type="dxa"/>
            <w:hideMark/>
          </w:tcPr>
          <w:p w14:paraId="1DCD9AF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3BE7CF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6DCE343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AB67D0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65E61A1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47834A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0.38</w:t>
            </w:r>
          </w:p>
        </w:tc>
        <w:tc>
          <w:tcPr>
            <w:tcW w:w="1300" w:type="dxa"/>
            <w:noWrap/>
            <w:hideMark/>
          </w:tcPr>
          <w:p w14:paraId="12BFBE2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1618.09</w:t>
            </w:r>
          </w:p>
        </w:tc>
        <w:tc>
          <w:tcPr>
            <w:tcW w:w="1400" w:type="dxa"/>
            <w:hideMark/>
          </w:tcPr>
          <w:p w14:paraId="60EF137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5.53</w:t>
            </w:r>
          </w:p>
        </w:tc>
      </w:tr>
      <w:tr w:rsidR="00302953" w:rsidRPr="00770477" w14:paraId="435D370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8718CF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10-D-1-2</w:t>
            </w:r>
          </w:p>
        </w:tc>
        <w:tc>
          <w:tcPr>
            <w:tcW w:w="1180" w:type="dxa"/>
            <w:hideMark/>
          </w:tcPr>
          <w:p w14:paraId="3738EB3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DA48BF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4C99C37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1ED86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05DF6E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3FD50C3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0.38</w:t>
            </w:r>
          </w:p>
        </w:tc>
        <w:tc>
          <w:tcPr>
            <w:tcW w:w="1300" w:type="dxa"/>
            <w:noWrap/>
            <w:hideMark/>
          </w:tcPr>
          <w:p w14:paraId="6B41E10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1622.92</w:t>
            </w:r>
          </w:p>
        </w:tc>
        <w:tc>
          <w:tcPr>
            <w:tcW w:w="1400" w:type="dxa"/>
            <w:hideMark/>
          </w:tcPr>
          <w:p w14:paraId="5962EE4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5.54</w:t>
            </w:r>
          </w:p>
        </w:tc>
      </w:tr>
      <w:tr w:rsidR="00302953" w:rsidRPr="00770477" w14:paraId="69E3D7C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A14B15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10-D-2-1</w:t>
            </w:r>
          </w:p>
        </w:tc>
        <w:tc>
          <w:tcPr>
            <w:tcW w:w="1180" w:type="dxa"/>
            <w:hideMark/>
          </w:tcPr>
          <w:p w14:paraId="36E4B12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E6DB8E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525B608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6937A4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2C5ED9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6E37F1B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73403CF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979.02</w:t>
            </w:r>
          </w:p>
        </w:tc>
        <w:tc>
          <w:tcPr>
            <w:tcW w:w="1400" w:type="dxa"/>
            <w:hideMark/>
          </w:tcPr>
          <w:p w14:paraId="026EA60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3.57</w:t>
            </w:r>
          </w:p>
        </w:tc>
      </w:tr>
      <w:tr w:rsidR="00302953" w:rsidRPr="00770477" w14:paraId="72EA0F4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4D9851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10-D-4-1</w:t>
            </w:r>
          </w:p>
        </w:tc>
        <w:tc>
          <w:tcPr>
            <w:tcW w:w="1180" w:type="dxa"/>
            <w:hideMark/>
          </w:tcPr>
          <w:p w14:paraId="07D4DDF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C540F3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0FD7A91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F7D919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6F484D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43C60EC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2031577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574.95</w:t>
            </w:r>
          </w:p>
        </w:tc>
        <w:tc>
          <w:tcPr>
            <w:tcW w:w="1400" w:type="dxa"/>
            <w:hideMark/>
          </w:tcPr>
          <w:p w14:paraId="1FF41C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2.03</w:t>
            </w:r>
          </w:p>
        </w:tc>
      </w:tr>
      <w:tr w:rsidR="00302953" w:rsidRPr="00770477" w14:paraId="1F3B928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858758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10-D-6-1</w:t>
            </w:r>
          </w:p>
        </w:tc>
        <w:tc>
          <w:tcPr>
            <w:tcW w:w="1180" w:type="dxa"/>
            <w:noWrap/>
            <w:hideMark/>
          </w:tcPr>
          <w:p w14:paraId="14A17D0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0.86</w:t>
            </w:r>
          </w:p>
        </w:tc>
        <w:tc>
          <w:tcPr>
            <w:tcW w:w="1540" w:type="dxa"/>
            <w:hideMark/>
          </w:tcPr>
          <w:p w14:paraId="12457BB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c>
          <w:tcPr>
            <w:tcW w:w="1300" w:type="dxa"/>
            <w:hideMark/>
          </w:tcPr>
          <w:p w14:paraId="0EA7C19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4BBB5B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0364BB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7E02EA4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50E3180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504.45</w:t>
            </w:r>
          </w:p>
        </w:tc>
        <w:tc>
          <w:tcPr>
            <w:tcW w:w="1400" w:type="dxa"/>
            <w:hideMark/>
          </w:tcPr>
          <w:p w14:paraId="331DF48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1.62</w:t>
            </w:r>
          </w:p>
        </w:tc>
      </w:tr>
      <w:tr w:rsidR="00302953" w:rsidRPr="00770477" w14:paraId="4C9A64F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B71F01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10-D-10-1</w:t>
            </w:r>
          </w:p>
        </w:tc>
        <w:tc>
          <w:tcPr>
            <w:tcW w:w="1180" w:type="dxa"/>
            <w:noWrap/>
            <w:hideMark/>
          </w:tcPr>
          <w:p w14:paraId="6D142C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0.71</w:t>
            </w:r>
          </w:p>
        </w:tc>
        <w:tc>
          <w:tcPr>
            <w:tcW w:w="1540" w:type="dxa"/>
            <w:hideMark/>
          </w:tcPr>
          <w:p w14:paraId="3A03850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0.04</w:t>
            </w:r>
          </w:p>
        </w:tc>
        <w:tc>
          <w:tcPr>
            <w:tcW w:w="1300" w:type="dxa"/>
            <w:hideMark/>
          </w:tcPr>
          <w:p w14:paraId="34141C3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28B315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0EFA0E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73FCABC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F56539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343.12</w:t>
            </w:r>
          </w:p>
        </w:tc>
        <w:tc>
          <w:tcPr>
            <w:tcW w:w="1400" w:type="dxa"/>
            <w:hideMark/>
          </w:tcPr>
          <w:p w14:paraId="6DD2D74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1.10</w:t>
            </w:r>
          </w:p>
        </w:tc>
      </w:tr>
      <w:tr w:rsidR="00302953" w:rsidRPr="00770477" w14:paraId="60D7DC6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A20100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10-D-17-1</w:t>
            </w:r>
          </w:p>
        </w:tc>
        <w:tc>
          <w:tcPr>
            <w:tcW w:w="1180" w:type="dxa"/>
            <w:hideMark/>
          </w:tcPr>
          <w:p w14:paraId="1B12B9A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868F37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2D51E89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A559F9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0.21</w:t>
            </w:r>
          </w:p>
        </w:tc>
        <w:tc>
          <w:tcPr>
            <w:tcW w:w="1300" w:type="dxa"/>
            <w:noWrap/>
            <w:hideMark/>
          </w:tcPr>
          <w:p w14:paraId="01D7FB1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6.54</w:t>
            </w:r>
          </w:p>
        </w:tc>
        <w:tc>
          <w:tcPr>
            <w:tcW w:w="1520" w:type="dxa"/>
            <w:hideMark/>
          </w:tcPr>
          <w:p w14:paraId="55C83A4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3.86</w:t>
            </w:r>
          </w:p>
        </w:tc>
        <w:tc>
          <w:tcPr>
            <w:tcW w:w="1300" w:type="dxa"/>
            <w:noWrap/>
            <w:hideMark/>
          </w:tcPr>
          <w:p w14:paraId="7D71AED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345.09</w:t>
            </w:r>
          </w:p>
        </w:tc>
        <w:tc>
          <w:tcPr>
            <w:tcW w:w="1400" w:type="dxa"/>
            <w:hideMark/>
          </w:tcPr>
          <w:p w14:paraId="0D4D12D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1.33</w:t>
            </w:r>
          </w:p>
        </w:tc>
      </w:tr>
      <w:tr w:rsidR="00302953" w:rsidRPr="00770477" w14:paraId="62882B4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4302F2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10-D-17-2</w:t>
            </w:r>
          </w:p>
        </w:tc>
        <w:tc>
          <w:tcPr>
            <w:tcW w:w="1180" w:type="dxa"/>
            <w:hideMark/>
          </w:tcPr>
          <w:p w14:paraId="578D675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6C2910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5143AA1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BE2072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0.21</w:t>
            </w:r>
          </w:p>
        </w:tc>
        <w:tc>
          <w:tcPr>
            <w:tcW w:w="1300" w:type="dxa"/>
            <w:hideMark/>
          </w:tcPr>
          <w:p w14:paraId="193A581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6E521EC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5F74A45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358.32</w:t>
            </w:r>
          </w:p>
        </w:tc>
        <w:tc>
          <w:tcPr>
            <w:tcW w:w="1400" w:type="dxa"/>
            <w:hideMark/>
          </w:tcPr>
          <w:p w14:paraId="18D29AC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1.39</w:t>
            </w:r>
          </w:p>
        </w:tc>
      </w:tr>
      <w:tr w:rsidR="00302953" w:rsidRPr="00770477" w14:paraId="6A8596D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CF0B64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10-D-27-1</w:t>
            </w:r>
          </w:p>
        </w:tc>
        <w:tc>
          <w:tcPr>
            <w:tcW w:w="1180" w:type="dxa"/>
            <w:hideMark/>
          </w:tcPr>
          <w:p w14:paraId="598DB52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C6C9B6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5D9365C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AB4AAE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00D6CC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1E13211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5EE8CFB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304.58</w:t>
            </w:r>
          </w:p>
        </w:tc>
        <w:tc>
          <w:tcPr>
            <w:tcW w:w="1400" w:type="dxa"/>
            <w:hideMark/>
          </w:tcPr>
          <w:p w14:paraId="2476541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1.22</w:t>
            </w:r>
          </w:p>
        </w:tc>
      </w:tr>
      <w:tr w:rsidR="00302953" w:rsidRPr="00770477" w14:paraId="7514003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1F828F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10-D-27-2</w:t>
            </w:r>
          </w:p>
        </w:tc>
        <w:tc>
          <w:tcPr>
            <w:tcW w:w="1180" w:type="dxa"/>
            <w:hideMark/>
          </w:tcPr>
          <w:p w14:paraId="48497A4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5E4E61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795CA4B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228444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DCFD6A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796B429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22E6D7A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306.59</w:t>
            </w:r>
          </w:p>
        </w:tc>
        <w:tc>
          <w:tcPr>
            <w:tcW w:w="1400" w:type="dxa"/>
            <w:hideMark/>
          </w:tcPr>
          <w:p w14:paraId="0CECD78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1.23</w:t>
            </w:r>
          </w:p>
        </w:tc>
      </w:tr>
      <w:tr w:rsidR="00302953" w:rsidRPr="00770477" w14:paraId="7364346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B586EE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10-I-0-3</w:t>
            </w:r>
          </w:p>
        </w:tc>
        <w:tc>
          <w:tcPr>
            <w:tcW w:w="1180" w:type="dxa"/>
            <w:noWrap/>
            <w:hideMark/>
          </w:tcPr>
          <w:p w14:paraId="2AA4888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16.33</w:t>
            </w:r>
          </w:p>
        </w:tc>
        <w:tc>
          <w:tcPr>
            <w:tcW w:w="1540" w:type="dxa"/>
            <w:hideMark/>
          </w:tcPr>
          <w:p w14:paraId="0516D51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7F9038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70A4DA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150FA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0AAD628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8A9271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290.96</w:t>
            </w:r>
          </w:p>
        </w:tc>
        <w:tc>
          <w:tcPr>
            <w:tcW w:w="1400" w:type="dxa"/>
            <w:hideMark/>
          </w:tcPr>
          <w:p w14:paraId="4C4E501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4601CCD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63C869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10-I-1-3</w:t>
            </w:r>
          </w:p>
        </w:tc>
        <w:tc>
          <w:tcPr>
            <w:tcW w:w="1180" w:type="dxa"/>
            <w:noWrap/>
            <w:hideMark/>
          </w:tcPr>
          <w:p w14:paraId="3B049A9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17.22</w:t>
            </w:r>
          </w:p>
        </w:tc>
        <w:tc>
          <w:tcPr>
            <w:tcW w:w="1540" w:type="dxa"/>
            <w:hideMark/>
          </w:tcPr>
          <w:p w14:paraId="3AAB41C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706A47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4DF4B4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7557E6E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4.42</w:t>
            </w:r>
          </w:p>
        </w:tc>
        <w:tc>
          <w:tcPr>
            <w:tcW w:w="1520" w:type="dxa"/>
            <w:hideMark/>
          </w:tcPr>
          <w:p w14:paraId="48419B9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17FA8C8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292.81</w:t>
            </w:r>
          </w:p>
        </w:tc>
        <w:tc>
          <w:tcPr>
            <w:tcW w:w="1400" w:type="dxa"/>
            <w:hideMark/>
          </w:tcPr>
          <w:p w14:paraId="01EEECD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43E8DBE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E1C969F"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10-I-2-3</w:t>
            </w:r>
          </w:p>
        </w:tc>
        <w:tc>
          <w:tcPr>
            <w:tcW w:w="1180" w:type="dxa"/>
            <w:noWrap/>
            <w:hideMark/>
          </w:tcPr>
          <w:p w14:paraId="39CB30E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17.12</w:t>
            </w:r>
          </w:p>
        </w:tc>
        <w:tc>
          <w:tcPr>
            <w:tcW w:w="1540" w:type="dxa"/>
            <w:hideMark/>
          </w:tcPr>
          <w:p w14:paraId="43209B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4F7D90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34DA4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49998A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6380F8E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65DAB54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274.45</w:t>
            </w:r>
          </w:p>
        </w:tc>
        <w:tc>
          <w:tcPr>
            <w:tcW w:w="1400" w:type="dxa"/>
            <w:hideMark/>
          </w:tcPr>
          <w:p w14:paraId="12683C9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284F8DE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749C4A0"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10-I-4-3</w:t>
            </w:r>
          </w:p>
        </w:tc>
        <w:tc>
          <w:tcPr>
            <w:tcW w:w="1180" w:type="dxa"/>
            <w:noWrap/>
            <w:hideMark/>
          </w:tcPr>
          <w:p w14:paraId="44090A7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17.58</w:t>
            </w:r>
          </w:p>
        </w:tc>
        <w:tc>
          <w:tcPr>
            <w:tcW w:w="1540" w:type="dxa"/>
            <w:hideMark/>
          </w:tcPr>
          <w:p w14:paraId="29E23C2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6729CF3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9FEB21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B03F38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71A2589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7C2D447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283.74</w:t>
            </w:r>
          </w:p>
        </w:tc>
        <w:tc>
          <w:tcPr>
            <w:tcW w:w="1400" w:type="dxa"/>
            <w:hideMark/>
          </w:tcPr>
          <w:p w14:paraId="6FA8584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27350C9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F03EFB3"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10-I-6-3</w:t>
            </w:r>
          </w:p>
        </w:tc>
        <w:tc>
          <w:tcPr>
            <w:tcW w:w="1180" w:type="dxa"/>
            <w:noWrap/>
            <w:hideMark/>
          </w:tcPr>
          <w:p w14:paraId="250F678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17.99</w:t>
            </w:r>
          </w:p>
        </w:tc>
        <w:tc>
          <w:tcPr>
            <w:tcW w:w="1540" w:type="dxa"/>
            <w:hideMark/>
          </w:tcPr>
          <w:p w14:paraId="5B03035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DA469B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778590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6EFC9A0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6BAD6CE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7738F2C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312.22</w:t>
            </w:r>
          </w:p>
        </w:tc>
        <w:tc>
          <w:tcPr>
            <w:tcW w:w="1400" w:type="dxa"/>
            <w:hideMark/>
          </w:tcPr>
          <w:p w14:paraId="5EC7848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253D814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9309788"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10-I-10-3</w:t>
            </w:r>
          </w:p>
        </w:tc>
        <w:tc>
          <w:tcPr>
            <w:tcW w:w="1180" w:type="dxa"/>
            <w:noWrap/>
            <w:hideMark/>
          </w:tcPr>
          <w:p w14:paraId="1832095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17.53</w:t>
            </w:r>
          </w:p>
        </w:tc>
        <w:tc>
          <w:tcPr>
            <w:tcW w:w="1540" w:type="dxa"/>
            <w:hideMark/>
          </w:tcPr>
          <w:p w14:paraId="529DD6C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C46622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32FFFF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637B1DA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052DDD6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4B9460D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312.24</w:t>
            </w:r>
          </w:p>
        </w:tc>
        <w:tc>
          <w:tcPr>
            <w:tcW w:w="1400" w:type="dxa"/>
            <w:hideMark/>
          </w:tcPr>
          <w:p w14:paraId="1653BB1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522B1D1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39465EB"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10-I-17-3</w:t>
            </w:r>
          </w:p>
        </w:tc>
        <w:tc>
          <w:tcPr>
            <w:tcW w:w="1180" w:type="dxa"/>
            <w:noWrap/>
            <w:hideMark/>
          </w:tcPr>
          <w:p w14:paraId="2F16B0E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17.97</w:t>
            </w:r>
          </w:p>
        </w:tc>
        <w:tc>
          <w:tcPr>
            <w:tcW w:w="1540" w:type="dxa"/>
            <w:hideMark/>
          </w:tcPr>
          <w:p w14:paraId="148D612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0ED55A8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13.99</w:t>
            </w:r>
          </w:p>
        </w:tc>
        <w:tc>
          <w:tcPr>
            <w:tcW w:w="1540" w:type="dxa"/>
            <w:hideMark/>
          </w:tcPr>
          <w:p w14:paraId="29FED7D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0AA408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0E7B099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212C7BD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258.50</w:t>
            </w:r>
          </w:p>
        </w:tc>
        <w:tc>
          <w:tcPr>
            <w:tcW w:w="1400" w:type="dxa"/>
            <w:hideMark/>
          </w:tcPr>
          <w:p w14:paraId="4297BC9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70BD9FE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B07B73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10-I-27-3</w:t>
            </w:r>
          </w:p>
        </w:tc>
        <w:tc>
          <w:tcPr>
            <w:tcW w:w="1180" w:type="dxa"/>
            <w:noWrap/>
            <w:hideMark/>
          </w:tcPr>
          <w:p w14:paraId="520CE49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17.59</w:t>
            </w:r>
          </w:p>
        </w:tc>
        <w:tc>
          <w:tcPr>
            <w:tcW w:w="1540" w:type="dxa"/>
            <w:hideMark/>
          </w:tcPr>
          <w:p w14:paraId="53A966D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4DC247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C6FF6E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E6081B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375D3C5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0EE0E74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249.85</w:t>
            </w:r>
          </w:p>
        </w:tc>
        <w:tc>
          <w:tcPr>
            <w:tcW w:w="1400" w:type="dxa"/>
            <w:hideMark/>
          </w:tcPr>
          <w:p w14:paraId="6514F9B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5FE080F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5AD1FE3"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10-I-999-4</w:t>
            </w:r>
          </w:p>
        </w:tc>
        <w:tc>
          <w:tcPr>
            <w:tcW w:w="1180" w:type="dxa"/>
            <w:hideMark/>
          </w:tcPr>
          <w:p w14:paraId="4DAD2AB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74DAEB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c>
          <w:tcPr>
            <w:tcW w:w="1300" w:type="dxa"/>
            <w:hideMark/>
          </w:tcPr>
          <w:p w14:paraId="4A34675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76D4B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c>
          <w:tcPr>
            <w:tcW w:w="1300" w:type="dxa"/>
            <w:hideMark/>
          </w:tcPr>
          <w:p w14:paraId="16FCE1E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7E72006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c>
          <w:tcPr>
            <w:tcW w:w="1300" w:type="dxa"/>
            <w:noWrap/>
            <w:hideMark/>
          </w:tcPr>
          <w:p w14:paraId="76873C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99.38</w:t>
            </w:r>
          </w:p>
        </w:tc>
        <w:tc>
          <w:tcPr>
            <w:tcW w:w="1400" w:type="dxa"/>
            <w:hideMark/>
          </w:tcPr>
          <w:p w14:paraId="3D2217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r>
    </w:tbl>
    <w:p w14:paraId="42BFD56D" w14:textId="77777777" w:rsidR="00302953" w:rsidRPr="00770477" w:rsidRDefault="00302953" w:rsidP="00302953">
      <w:pPr>
        <w:spacing w:line="240" w:lineRule="auto"/>
        <w:jc w:val="left"/>
        <w:rPr>
          <w:rFonts w:cs="Times New Roman"/>
        </w:rPr>
      </w:pPr>
    </w:p>
    <w:p w14:paraId="546B86B2" w14:textId="77777777" w:rsidR="00302953" w:rsidRPr="00770477" w:rsidRDefault="00302953" w:rsidP="00302953">
      <w:pPr>
        <w:spacing w:line="240" w:lineRule="auto"/>
        <w:jc w:val="left"/>
        <w:rPr>
          <w:rFonts w:cs="Times New Roman"/>
        </w:rPr>
      </w:pPr>
      <w:r w:rsidRPr="00770477">
        <w:rPr>
          <w:rFonts w:cs="Times New Roman"/>
        </w:rPr>
        <w:br w:type="page"/>
      </w:r>
    </w:p>
    <w:p w14:paraId="3C1B3B2C" w14:textId="6F056BE7" w:rsidR="00302953" w:rsidRPr="00C6587B" w:rsidRDefault="00302953" w:rsidP="00302953">
      <w:pPr>
        <w:pStyle w:val="Caption"/>
        <w:keepNext/>
        <w:rPr>
          <w:rFonts w:cs="Times New Roman"/>
        </w:rPr>
      </w:pPr>
      <w:bookmarkStart w:id="189" w:name="_Ref121496256"/>
      <w:bookmarkStart w:id="190" w:name="_Toc121494159"/>
      <w:bookmarkStart w:id="191" w:name="_Toc121495944"/>
      <w:r>
        <w:lastRenderedPageBreak/>
        <w:t xml:space="preserve">Table </w:t>
      </w:r>
      <w:fldSimple w:instr=" STYLEREF 1 \s ">
        <w:r w:rsidR="00061096">
          <w:rPr>
            <w:noProof/>
          </w:rPr>
          <w:t>10</w:t>
        </w:r>
      </w:fldSimple>
      <w:r w:rsidR="00B26DDF">
        <w:noBreakHyphen/>
      </w:r>
      <w:fldSimple w:instr=" SEQ Table \* ARABIC \s 1 ">
        <w:r w:rsidR="00061096">
          <w:rPr>
            <w:noProof/>
          </w:rPr>
          <w:t>6</w:t>
        </w:r>
      </w:fldSimple>
      <w:bookmarkEnd w:id="189"/>
      <w:r w:rsidRPr="00C6587B">
        <w:rPr>
          <w:rFonts w:cs="Times New Roman"/>
        </w:rPr>
        <w:t xml:space="preserve"> </w:t>
      </w:r>
      <w:r w:rsidRPr="00770477">
        <w:rPr>
          <w:rFonts w:cs="Times New Roman"/>
        </w:rPr>
        <w:t>Dissolved metals sample results for magnesium, manganese, sodium, and nickel. All results in ug L</w:t>
      </w:r>
      <w:r w:rsidRPr="00770477">
        <w:rPr>
          <w:rFonts w:cs="Times New Roman"/>
          <w:vertAlign w:val="superscript"/>
        </w:rPr>
        <w:t>-</w:t>
      </w:r>
      <w:proofErr w:type="gramStart"/>
      <w:r w:rsidRPr="00770477">
        <w:rPr>
          <w:rFonts w:cs="Times New Roman"/>
          <w:vertAlign w:val="superscript"/>
        </w:rPr>
        <w:t>1</w:t>
      </w:r>
      <w:r w:rsidRPr="00770477">
        <w:rPr>
          <w:rFonts w:cs="Times New Roman"/>
        </w:rPr>
        <w:t xml:space="preserve"> .</w:t>
      </w:r>
      <w:bookmarkEnd w:id="190"/>
      <w:bookmarkEnd w:id="191"/>
      <w:proofErr w:type="gramEnd"/>
    </w:p>
    <w:tbl>
      <w:tblPr>
        <w:tblStyle w:val="PlainTable5"/>
        <w:tblW w:w="12720" w:type="dxa"/>
        <w:tblLook w:val="04A0" w:firstRow="1" w:lastRow="0" w:firstColumn="1" w:lastColumn="0" w:noHBand="0" w:noVBand="1"/>
      </w:tblPr>
      <w:tblGrid>
        <w:gridCol w:w="1720"/>
        <w:gridCol w:w="1180"/>
        <w:gridCol w:w="1560"/>
        <w:gridCol w:w="1240"/>
        <w:gridCol w:w="1560"/>
        <w:gridCol w:w="1300"/>
        <w:gridCol w:w="1540"/>
        <w:gridCol w:w="1180"/>
        <w:gridCol w:w="1440"/>
      </w:tblGrid>
      <w:tr w:rsidR="00302953" w:rsidRPr="00770477" w14:paraId="71339223" w14:textId="77777777" w:rsidTr="00622DCD">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1720" w:type="dxa"/>
            <w:hideMark/>
          </w:tcPr>
          <w:p w14:paraId="7BB9DF0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Sample ID</w:t>
            </w:r>
          </w:p>
        </w:tc>
        <w:tc>
          <w:tcPr>
            <w:tcW w:w="1180" w:type="dxa"/>
            <w:noWrap/>
            <w:hideMark/>
          </w:tcPr>
          <w:p w14:paraId="24ADD36E"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Mg</w:t>
            </w:r>
          </w:p>
        </w:tc>
        <w:tc>
          <w:tcPr>
            <w:tcW w:w="1560" w:type="dxa"/>
            <w:noWrap/>
            <w:hideMark/>
          </w:tcPr>
          <w:p w14:paraId="3B94EC51"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Mg Ratio</w:t>
            </w:r>
          </w:p>
        </w:tc>
        <w:tc>
          <w:tcPr>
            <w:tcW w:w="1240" w:type="dxa"/>
            <w:noWrap/>
            <w:hideMark/>
          </w:tcPr>
          <w:p w14:paraId="5B3AB298"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Mn</w:t>
            </w:r>
          </w:p>
        </w:tc>
        <w:tc>
          <w:tcPr>
            <w:tcW w:w="1560" w:type="dxa"/>
            <w:noWrap/>
            <w:hideMark/>
          </w:tcPr>
          <w:p w14:paraId="75E262E2"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Mn Ratio</w:t>
            </w:r>
          </w:p>
        </w:tc>
        <w:tc>
          <w:tcPr>
            <w:tcW w:w="1300" w:type="dxa"/>
            <w:noWrap/>
            <w:hideMark/>
          </w:tcPr>
          <w:p w14:paraId="08F86700"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Na</w:t>
            </w:r>
          </w:p>
        </w:tc>
        <w:tc>
          <w:tcPr>
            <w:tcW w:w="1540" w:type="dxa"/>
            <w:noWrap/>
            <w:hideMark/>
          </w:tcPr>
          <w:p w14:paraId="3C9417E2"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Na Ratio</w:t>
            </w:r>
          </w:p>
        </w:tc>
        <w:tc>
          <w:tcPr>
            <w:tcW w:w="1180" w:type="dxa"/>
            <w:noWrap/>
            <w:hideMark/>
          </w:tcPr>
          <w:p w14:paraId="18650B60"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Ni</w:t>
            </w:r>
          </w:p>
        </w:tc>
        <w:tc>
          <w:tcPr>
            <w:tcW w:w="1440" w:type="dxa"/>
            <w:noWrap/>
            <w:hideMark/>
          </w:tcPr>
          <w:p w14:paraId="77722648"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Ni Ratio</w:t>
            </w:r>
          </w:p>
        </w:tc>
      </w:tr>
      <w:tr w:rsidR="00302953" w:rsidRPr="00770477" w14:paraId="2034234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27A3DD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1-A-010-1</w:t>
            </w:r>
          </w:p>
        </w:tc>
        <w:tc>
          <w:tcPr>
            <w:tcW w:w="1180" w:type="dxa"/>
            <w:hideMark/>
          </w:tcPr>
          <w:p w14:paraId="06A2C44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180.22</w:t>
            </w:r>
          </w:p>
        </w:tc>
        <w:tc>
          <w:tcPr>
            <w:tcW w:w="1560" w:type="dxa"/>
            <w:hideMark/>
          </w:tcPr>
          <w:p w14:paraId="2D4FF47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w:t>
            </w:r>
          </w:p>
        </w:tc>
        <w:tc>
          <w:tcPr>
            <w:tcW w:w="1240" w:type="dxa"/>
            <w:hideMark/>
          </w:tcPr>
          <w:p w14:paraId="6F614C1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1.69</w:t>
            </w:r>
          </w:p>
        </w:tc>
        <w:tc>
          <w:tcPr>
            <w:tcW w:w="1560" w:type="dxa"/>
            <w:hideMark/>
          </w:tcPr>
          <w:p w14:paraId="02B0312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0.10</w:t>
            </w:r>
          </w:p>
        </w:tc>
        <w:tc>
          <w:tcPr>
            <w:tcW w:w="1300" w:type="dxa"/>
            <w:hideMark/>
          </w:tcPr>
          <w:p w14:paraId="3C5A33C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7326.62</w:t>
            </w:r>
          </w:p>
        </w:tc>
        <w:tc>
          <w:tcPr>
            <w:tcW w:w="1540" w:type="dxa"/>
            <w:hideMark/>
          </w:tcPr>
          <w:p w14:paraId="6B81433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w:t>
            </w:r>
          </w:p>
        </w:tc>
        <w:tc>
          <w:tcPr>
            <w:tcW w:w="1180" w:type="dxa"/>
            <w:hideMark/>
          </w:tcPr>
          <w:p w14:paraId="58FD8C3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11F9335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6CAC09F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B3ACA0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1-A-040-1</w:t>
            </w:r>
          </w:p>
        </w:tc>
        <w:tc>
          <w:tcPr>
            <w:tcW w:w="1180" w:type="dxa"/>
            <w:hideMark/>
          </w:tcPr>
          <w:p w14:paraId="6965BAA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160.42</w:t>
            </w:r>
          </w:p>
        </w:tc>
        <w:tc>
          <w:tcPr>
            <w:tcW w:w="1560" w:type="dxa"/>
            <w:hideMark/>
          </w:tcPr>
          <w:p w14:paraId="7EB6440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0.98</w:t>
            </w:r>
          </w:p>
        </w:tc>
        <w:tc>
          <w:tcPr>
            <w:tcW w:w="1240" w:type="dxa"/>
            <w:hideMark/>
          </w:tcPr>
          <w:p w14:paraId="315D871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0.42</w:t>
            </w:r>
          </w:p>
        </w:tc>
        <w:tc>
          <w:tcPr>
            <w:tcW w:w="1560" w:type="dxa"/>
            <w:hideMark/>
          </w:tcPr>
          <w:p w14:paraId="6C13FAE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558C8A2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7076.65</w:t>
            </w:r>
          </w:p>
        </w:tc>
        <w:tc>
          <w:tcPr>
            <w:tcW w:w="1540" w:type="dxa"/>
            <w:hideMark/>
          </w:tcPr>
          <w:p w14:paraId="0B9D53F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w:t>
            </w:r>
          </w:p>
        </w:tc>
        <w:tc>
          <w:tcPr>
            <w:tcW w:w="1180" w:type="dxa"/>
            <w:hideMark/>
          </w:tcPr>
          <w:p w14:paraId="2DABC58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31C4F9B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56BD660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F071C9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1-A-090-1</w:t>
            </w:r>
          </w:p>
        </w:tc>
        <w:tc>
          <w:tcPr>
            <w:tcW w:w="1180" w:type="dxa"/>
            <w:hideMark/>
          </w:tcPr>
          <w:p w14:paraId="6EE017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197.89</w:t>
            </w:r>
          </w:p>
        </w:tc>
        <w:tc>
          <w:tcPr>
            <w:tcW w:w="1560" w:type="dxa"/>
            <w:hideMark/>
          </w:tcPr>
          <w:p w14:paraId="25E4442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1.21</w:t>
            </w:r>
          </w:p>
        </w:tc>
        <w:tc>
          <w:tcPr>
            <w:tcW w:w="1240" w:type="dxa"/>
            <w:hideMark/>
          </w:tcPr>
          <w:p w14:paraId="4116524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1.59</w:t>
            </w:r>
          </w:p>
        </w:tc>
        <w:tc>
          <w:tcPr>
            <w:tcW w:w="1560" w:type="dxa"/>
            <w:hideMark/>
          </w:tcPr>
          <w:p w14:paraId="105F08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0.09</w:t>
            </w:r>
          </w:p>
        </w:tc>
        <w:tc>
          <w:tcPr>
            <w:tcW w:w="1300" w:type="dxa"/>
            <w:hideMark/>
          </w:tcPr>
          <w:p w14:paraId="28CEF0C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7085.91</w:t>
            </w:r>
          </w:p>
        </w:tc>
        <w:tc>
          <w:tcPr>
            <w:tcW w:w="1540" w:type="dxa"/>
            <w:hideMark/>
          </w:tcPr>
          <w:p w14:paraId="25F8DF7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w:t>
            </w:r>
          </w:p>
        </w:tc>
        <w:tc>
          <w:tcPr>
            <w:tcW w:w="1180" w:type="dxa"/>
            <w:hideMark/>
          </w:tcPr>
          <w:p w14:paraId="57A1766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6849152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4583DC7F"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B00648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1-A-090-2</w:t>
            </w:r>
          </w:p>
        </w:tc>
        <w:tc>
          <w:tcPr>
            <w:tcW w:w="1180" w:type="dxa"/>
            <w:hideMark/>
          </w:tcPr>
          <w:p w14:paraId="191E43A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200.29</w:t>
            </w:r>
          </w:p>
        </w:tc>
        <w:tc>
          <w:tcPr>
            <w:tcW w:w="1560" w:type="dxa"/>
            <w:hideMark/>
          </w:tcPr>
          <w:p w14:paraId="3916FE2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1.22</w:t>
            </w:r>
          </w:p>
        </w:tc>
        <w:tc>
          <w:tcPr>
            <w:tcW w:w="1240" w:type="dxa"/>
            <w:hideMark/>
          </w:tcPr>
          <w:p w14:paraId="4220910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0.53</w:t>
            </w:r>
          </w:p>
        </w:tc>
        <w:tc>
          <w:tcPr>
            <w:tcW w:w="1560" w:type="dxa"/>
            <w:hideMark/>
          </w:tcPr>
          <w:p w14:paraId="7669A81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0.03</w:t>
            </w:r>
          </w:p>
        </w:tc>
        <w:tc>
          <w:tcPr>
            <w:tcW w:w="1300" w:type="dxa"/>
            <w:hideMark/>
          </w:tcPr>
          <w:p w14:paraId="4E626AA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7227.26</w:t>
            </w:r>
          </w:p>
        </w:tc>
        <w:tc>
          <w:tcPr>
            <w:tcW w:w="1540" w:type="dxa"/>
            <w:hideMark/>
          </w:tcPr>
          <w:p w14:paraId="30A32D1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1.10</w:t>
            </w:r>
          </w:p>
        </w:tc>
        <w:tc>
          <w:tcPr>
            <w:tcW w:w="1180" w:type="dxa"/>
            <w:hideMark/>
          </w:tcPr>
          <w:p w14:paraId="7F06893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38CA574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4F58AE5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EAEBE7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1-A-160-1</w:t>
            </w:r>
          </w:p>
        </w:tc>
        <w:tc>
          <w:tcPr>
            <w:tcW w:w="1180" w:type="dxa"/>
            <w:hideMark/>
          </w:tcPr>
          <w:p w14:paraId="40CDBC4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201.56</w:t>
            </w:r>
          </w:p>
        </w:tc>
        <w:tc>
          <w:tcPr>
            <w:tcW w:w="1560" w:type="dxa"/>
            <w:hideMark/>
          </w:tcPr>
          <w:p w14:paraId="2FBC38D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1.21</w:t>
            </w:r>
          </w:p>
        </w:tc>
        <w:tc>
          <w:tcPr>
            <w:tcW w:w="1240" w:type="dxa"/>
            <w:hideMark/>
          </w:tcPr>
          <w:p w14:paraId="62DE976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1.70</w:t>
            </w:r>
          </w:p>
        </w:tc>
        <w:tc>
          <w:tcPr>
            <w:tcW w:w="1560" w:type="dxa"/>
            <w:hideMark/>
          </w:tcPr>
          <w:p w14:paraId="106252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0.10</w:t>
            </w:r>
          </w:p>
        </w:tc>
        <w:tc>
          <w:tcPr>
            <w:tcW w:w="1300" w:type="dxa"/>
            <w:hideMark/>
          </w:tcPr>
          <w:p w14:paraId="26FC740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7234.28</w:t>
            </w:r>
          </w:p>
        </w:tc>
        <w:tc>
          <w:tcPr>
            <w:tcW w:w="1540" w:type="dxa"/>
            <w:hideMark/>
          </w:tcPr>
          <w:p w14:paraId="3DFBBD0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1.09</w:t>
            </w:r>
          </w:p>
        </w:tc>
        <w:tc>
          <w:tcPr>
            <w:tcW w:w="1180" w:type="dxa"/>
            <w:hideMark/>
          </w:tcPr>
          <w:p w14:paraId="7D90A8B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31A62EA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7BCF131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824E1C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1-A-160-2</w:t>
            </w:r>
          </w:p>
        </w:tc>
        <w:tc>
          <w:tcPr>
            <w:tcW w:w="1180" w:type="dxa"/>
            <w:hideMark/>
          </w:tcPr>
          <w:p w14:paraId="59F63C2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206.06</w:t>
            </w:r>
          </w:p>
        </w:tc>
        <w:tc>
          <w:tcPr>
            <w:tcW w:w="1560" w:type="dxa"/>
            <w:hideMark/>
          </w:tcPr>
          <w:p w14:paraId="566F5C9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1.24</w:t>
            </w:r>
          </w:p>
        </w:tc>
        <w:tc>
          <w:tcPr>
            <w:tcW w:w="1240" w:type="dxa"/>
            <w:hideMark/>
          </w:tcPr>
          <w:p w14:paraId="0941042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1.63</w:t>
            </w:r>
          </w:p>
        </w:tc>
        <w:tc>
          <w:tcPr>
            <w:tcW w:w="1560" w:type="dxa"/>
            <w:hideMark/>
          </w:tcPr>
          <w:p w14:paraId="1E49DF9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0.09</w:t>
            </w:r>
          </w:p>
        </w:tc>
        <w:tc>
          <w:tcPr>
            <w:tcW w:w="1300" w:type="dxa"/>
            <w:hideMark/>
          </w:tcPr>
          <w:p w14:paraId="13140C1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7300.71</w:t>
            </w:r>
          </w:p>
        </w:tc>
        <w:tc>
          <w:tcPr>
            <w:tcW w:w="1540" w:type="dxa"/>
            <w:hideMark/>
          </w:tcPr>
          <w:p w14:paraId="031F719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1.10</w:t>
            </w:r>
          </w:p>
        </w:tc>
        <w:tc>
          <w:tcPr>
            <w:tcW w:w="1180" w:type="dxa"/>
            <w:hideMark/>
          </w:tcPr>
          <w:p w14:paraId="68568FE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5BDB015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14847CA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21D155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1-A-270-1</w:t>
            </w:r>
          </w:p>
        </w:tc>
        <w:tc>
          <w:tcPr>
            <w:tcW w:w="1180" w:type="dxa"/>
            <w:hideMark/>
          </w:tcPr>
          <w:p w14:paraId="40C8109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217.58</w:t>
            </w:r>
          </w:p>
        </w:tc>
        <w:tc>
          <w:tcPr>
            <w:tcW w:w="1560" w:type="dxa"/>
            <w:hideMark/>
          </w:tcPr>
          <w:p w14:paraId="5631E30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1.32</w:t>
            </w:r>
          </w:p>
        </w:tc>
        <w:tc>
          <w:tcPr>
            <w:tcW w:w="1240" w:type="dxa"/>
            <w:hideMark/>
          </w:tcPr>
          <w:p w14:paraId="52DF396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2.16</w:t>
            </w:r>
          </w:p>
        </w:tc>
        <w:tc>
          <w:tcPr>
            <w:tcW w:w="1560" w:type="dxa"/>
            <w:hideMark/>
          </w:tcPr>
          <w:p w14:paraId="58AA885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0.12</w:t>
            </w:r>
          </w:p>
        </w:tc>
        <w:tc>
          <w:tcPr>
            <w:tcW w:w="1300" w:type="dxa"/>
            <w:hideMark/>
          </w:tcPr>
          <w:p w14:paraId="213DAD4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6973.85</w:t>
            </w:r>
          </w:p>
        </w:tc>
        <w:tc>
          <w:tcPr>
            <w:tcW w:w="1540" w:type="dxa"/>
            <w:hideMark/>
          </w:tcPr>
          <w:p w14:paraId="562E3D2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c>
          <w:tcPr>
            <w:tcW w:w="1180" w:type="dxa"/>
            <w:hideMark/>
          </w:tcPr>
          <w:p w14:paraId="46EE289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3997EDA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689D852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9AFD95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1-A-430-1</w:t>
            </w:r>
          </w:p>
        </w:tc>
        <w:tc>
          <w:tcPr>
            <w:tcW w:w="1180" w:type="dxa"/>
            <w:hideMark/>
          </w:tcPr>
          <w:p w14:paraId="2A32501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224.42</w:t>
            </w:r>
          </w:p>
        </w:tc>
        <w:tc>
          <w:tcPr>
            <w:tcW w:w="1560" w:type="dxa"/>
            <w:hideMark/>
          </w:tcPr>
          <w:p w14:paraId="6737B95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1.35</w:t>
            </w:r>
          </w:p>
        </w:tc>
        <w:tc>
          <w:tcPr>
            <w:tcW w:w="1240" w:type="dxa"/>
            <w:hideMark/>
          </w:tcPr>
          <w:p w14:paraId="5FCDBB1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2.76</w:t>
            </w:r>
          </w:p>
        </w:tc>
        <w:tc>
          <w:tcPr>
            <w:tcW w:w="1560" w:type="dxa"/>
            <w:hideMark/>
          </w:tcPr>
          <w:p w14:paraId="728F003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0.16</w:t>
            </w:r>
          </w:p>
        </w:tc>
        <w:tc>
          <w:tcPr>
            <w:tcW w:w="1300" w:type="dxa"/>
            <w:hideMark/>
          </w:tcPr>
          <w:p w14:paraId="7308849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6978.58</w:t>
            </w:r>
          </w:p>
        </w:tc>
        <w:tc>
          <w:tcPr>
            <w:tcW w:w="1540" w:type="dxa"/>
            <w:hideMark/>
          </w:tcPr>
          <w:p w14:paraId="28D469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c>
          <w:tcPr>
            <w:tcW w:w="1180" w:type="dxa"/>
            <w:hideMark/>
          </w:tcPr>
          <w:p w14:paraId="77D6C3F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0527F2E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29C6385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E0A9DE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1-A-670-1</w:t>
            </w:r>
          </w:p>
        </w:tc>
        <w:tc>
          <w:tcPr>
            <w:tcW w:w="1180" w:type="dxa"/>
            <w:hideMark/>
          </w:tcPr>
          <w:p w14:paraId="7857CA1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254.13</w:t>
            </w:r>
          </w:p>
        </w:tc>
        <w:tc>
          <w:tcPr>
            <w:tcW w:w="1560" w:type="dxa"/>
            <w:hideMark/>
          </w:tcPr>
          <w:p w14:paraId="5AF05F8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1.51</w:t>
            </w:r>
          </w:p>
        </w:tc>
        <w:tc>
          <w:tcPr>
            <w:tcW w:w="1240" w:type="dxa"/>
            <w:hideMark/>
          </w:tcPr>
          <w:p w14:paraId="528D4DB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4.48</w:t>
            </w:r>
          </w:p>
        </w:tc>
        <w:tc>
          <w:tcPr>
            <w:tcW w:w="1560" w:type="dxa"/>
            <w:hideMark/>
          </w:tcPr>
          <w:p w14:paraId="11EACAC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0.25</w:t>
            </w:r>
          </w:p>
        </w:tc>
        <w:tc>
          <w:tcPr>
            <w:tcW w:w="1300" w:type="dxa"/>
            <w:hideMark/>
          </w:tcPr>
          <w:p w14:paraId="7773278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7038.72</w:t>
            </w:r>
          </w:p>
        </w:tc>
        <w:tc>
          <w:tcPr>
            <w:tcW w:w="1540" w:type="dxa"/>
            <w:hideMark/>
          </w:tcPr>
          <w:p w14:paraId="17C19A4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c>
          <w:tcPr>
            <w:tcW w:w="1180" w:type="dxa"/>
            <w:hideMark/>
          </w:tcPr>
          <w:p w14:paraId="79485D0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2.51</w:t>
            </w:r>
          </w:p>
        </w:tc>
        <w:tc>
          <w:tcPr>
            <w:tcW w:w="1440" w:type="dxa"/>
            <w:hideMark/>
          </w:tcPr>
          <w:p w14:paraId="68268B9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0.15</w:t>
            </w:r>
          </w:p>
        </w:tc>
      </w:tr>
      <w:tr w:rsidR="00302953" w:rsidRPr="00770477" w14:paraId="6E3953F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46C073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1-B-010-1</w:t>
            </w:r>
          </w:p>
        </w:tc>
        <w:tc>
          <w:tcPr>
            <w:tcW w:w="1180" w:type="dxa"/>
            <w:hideMark/>
          </w:tcPr>
          <w:p w14:paraId="2F5DD0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238.31</w:t>
            </w:r>
          </w:p>
        </w:tc>
        <w:tc>
          <w:tcPr>
            <w:tcW w:w="1560" w:type="dxa"/>
            <w:hideMark/>
          </w:tcPr>
          <w:p w14:paraId="3D0A159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1.46</w:t>
            </w:r>
          </w:p>
        </w:tc>
        <w:tc>
          <w:tcPr>
            <w:tcW w:w="1240" w:type="dxa"/>
            <w:hideMark/>
          </w:tcPr>
          <w:p w14:paraId="46EB178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1.34</w:t>
            </w:r>
          </w:p>
        </w:tc>
        <w:tc>
          <w:tcPr>
            <w:tcW w:w="1560" w:type="dxa"/>
            <w:hideMark/>
          </w:tcPr>
          <w:p w14:paraId="43F1549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w:t>
            </w:r>
          </w:p>
        </w:tc>
        <w:tc>
          <w:tcPr>
            <w:tcW w:w="1300" w:type="dxa"/>
            <w:hideMark/>
          </w:tcPr>
          <w:p w14:paraId="1C468BC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7344.19</w:t>
            </w:r>
          </w:p>
        </w:tc>
        <w:tc>
          <w:tcPr>
            <w:tcW w:w="1540" w:type="dxa"/>
            <w:hideMark/>
          </w:tcPr>
          <w:p w14:paraId="596C4AB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1.12</w:t>
            </w:r>
          </w:p>
        </w:tc>
        <w:tc>
          <w:tcPr>
            <w:tcW w:w="1180" w:type="dxa"/>
            <w:hideMark/>
          </w:tcPr>
          <w:p w14:paraId="2A7B6C5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5BF8AE0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2B94A33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8578D5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1-B-040-1</w:t>
            </w:r>
          </w:p>
        </w:tc>
        <w:tc>
          <w:tcPr>
            <w:tcW w:w="1180" w:type="dxa"/>
            <w:hideMark/>
          </w:tcPr>
          <w:p w14:paraId="41D51AB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233.64</w:t>
            </w:r>
          </w:p>
        </w:tc>
        <w:tc>
          <w:tcPr>
            <w:tcW w:w="1560" w:type="dxa"/>
            <w:hideMark/>
          </w:tcPr>
          <w:p w14:paraId="276DCFF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1.43</w:t>
            </w:r>
          </w:p>
        </w:tc>
        <w:tc>
          <w:tcPr>
            <w:tcW w:w="1240" w:type="dxa"/>
            <w:hideMark/>
          </w:tcPr>
          <w:p w14:paraId="3AD0248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1.16</w:t>
            </w:r>
          </w:p>
        </w:tc>
        <w:tc>
          <w:tcPr>
            <w:tcW w:w="1560" w:type="dxa"/>
            <w:hideMark/>
          </w:tcPr>
          <w:p w14:paraId="5E15204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c>
          <w:tcPr>
            <w:tcW w:w="1300" w:type="dxa"/>
            <w:hideMark/>
          </w:tcPr>
          <w:p w14:paraId="6B85606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7327.98</w:t>
            </w:r>
          </w:p>
        </w:tc>
        <w:tc>
          <w:tcPr>
            <w:tcW w:w="1540" w:type="dxa"/>
            <w:hideMark/>
          </w:tcPr>
          <w:p w14:paraId="76D0F46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w:t>
            </w:r>
          </w:p>
        </w:tc>
        <w:tc>
          <w:tcPr>
            <w:tcW w:w="1180" w:type="dxa"/>
            <w:hideMark/>
          </w:tcPr>
          <w:p w14:paraId="493C5C3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2BA9C91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0639679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0474F3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1-B-040-2</w:t>
            </w:r>
          </w:p>
        </w:tc>
        <w:tc>
          <w:tcPr>
            <w:tcW w:w="1180" w:type="dxa"/>
            <w:hideMark/>
          </w:tcPr>
          <w:p w14:paraId="4AB7256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152.12</w:t>
            </w:r>
          </w:p>
        </w:tc>
        <w:tc>
          <w:tcPr>
            <w:tcW w:w="1560" w:type="dxa"/>
            <w:hideMark/>
          </w:tcPr>
          <w:p w14:paraId="6F22EF9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0.93</w:t>
            </w:r>
          </w:p>
        </w:tc>
        <w:tc>
          <w:tcPr>
            <w:tcW w:w="1240" w:type="dxa"/>
            <w:hideMark/>
          </w:tcPr>
          <w:p w14:paraId="2A4EF9F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0.18</w:t>
            </w:r>
          </w:p>
        </w:tc>
        <w:tc>
          <w:tcPr>
            <w:tcW w:w="1560" w:type="dxa"/>
            <w:hideMark/>
          </w:tcPr>
          <w:p w14:paraId="32D7EE2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0.01</w:t>
            </w:r>
          </w:p>
        </w:tc>
        <w:tc>
          <w:tcPr>
            <w:tcW w:w="1300" w:type="dxa"/>
            <w:hideMark/>
          </w:tcPr>
          <w:p w14:paraId="20D8AA0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7292.79</w:t>
            </w:r>
          </w:p>
        </w:tc>
        <w:tc>
          <w:tcPr>
            <w:tcW w:w="1540" w:type="dxa"/>
            <w:hideMark/>
          </w:tcPr>
          <w:p w14:paraId="32FEE60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w:t>
            </w:r>
          </w:p>
        </w:tc>
        <w:tc>
          <w:tcPr>
            <w:tcW w:w="1180" w:type="dxa"/>
            <w:hideMark/>
          </w:tcPr>
          <w:p w14:paraId="77CB18B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4581237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4D01855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348C96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1-B-090-1</w:t>
            </w:r>
          </w:p>
        </w:tc>
        <w:tc>
          <w:tcPr>
            <w:tcW w:w="1180" w:type="dxa"/>
            <w:hideMark/>
          </w:tcPr>
          <w:p w14:paraId="7A6346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247.51</w:t>
            </w:r>
          </w:p>
        </w:tc>
        <w:tc>
          <w:tcPr>
            <w:tcW w:w="1560" w:type="dxa"/>
            <w:hideMark/>
          </w:tcPr>
          <w:p w14:paraId="4D8D595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1.51</w:t>
            </w:r>
          </w:p>
        </w:tc>
        <w:tc>
          <w:tcPr>
            <w:tcW w:w="1240" w:type="dxa"/>
            <w:hideMark/>
          </w:tcPr>
          <w:p w14:paraId="42A9E04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2.46</w:t>
            </w:r>
          </w:p>
        </w:tc>
        <w:tc>
          <w:tcPr>
            <w:tcW w:w="1560" w:type="dxa"/>
            <w:hideMark/>
          </w:tcPr>
          <w:p w14:paraId="0A0E1D6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c>
          <w:tcPr>
            <w:tcW w:w="1300" w:type="dxa"/>
            <w:hideMark/>
          </w:tcPr>
          <w:p w14:paraId="5A8A93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7220.60</w:t>
            </w:r>
          </w:p>
        </w:tc>
        <w:tc>
          <w:tcPr>
            <w:tcW w:w="1540" w:type="dxa"/>
            <w:hideMark/>
          </w:tcPr>
          <w:p w14:paraId="11482C0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1.09</w:t>
            </w:r>
          </w:p>
        </w:tc>
        <w:tc>
          <w:tcPr>
            <w:tcW w:w="1180" w:type="dxa"/>
            <w:hideMark/>
          </w:tcPr>
          <w:p w14:paraId="18CDBC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27BE5CF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464C5467"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E66108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1-B-160-1</w:t>
            </w:r>
          </w:p>
        </w:tc>
        <w:tc>
          <w:tcPr>
            <w:tcW w:w="1180" w:type="dxa"/>
            <w:hideMark/>
          </w:tcPr>
          <w:p w14:paraId="3C942F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261.41</w:t>
            </w:r>
          </w:p>
        </w:tc>
        <w:tc>
          <w:tcPr>
            <w:tcW w:w="1560" w:type="dxa"/>
            <w:hideMark/>
          </w:tcPr>
          <w:p w14:paraId="1BE5BD4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1.57</w:t>
            </w:r>
          </w:p>
        </w:tc>
        <w:tc>
          <w:tcPr>
            <w:tcW w:w="1240" w:type="dxa"/>
            <w:hideMark/>
          </w:tcPr>
          <w:p w14:paraId="579A755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2.64</w:t>
            </w:r>
          </w:p>
        </w:tc>
        <w:tc>
          <w:tcPr>
            <w:tcW w:w="1560" w:type="dxa"/>
            <w:hideMark/>
          </w:tcPr>
          <w:p w14:paraId="5B94D88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0.15</w:t>
            </w:r>
          </w:p>
        </w:tc>
        <w:tc>
          <w:tcPr>
            <w:tcW w:w="1300" w:type="dxa"/>
            <w:hideMark/>
          </w:tcPr>
          <w:p w14:paraId="7842D2C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7349.54</w:t>
            </w:r>
          </w:p>
        </w:tc>
        <w:tc>
          <w:tcPr>
            <w:tcW w:w="1540" w:type="dxa"/>
            <w:hideMark/>
          </w:tcPr>
          <w:p w14:paraId="369C4D0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w:t>
            </w:r>
          </w:p>
        </w:tc>
        <w:tc>
          <w:tcPr>
            <w:tcW w:w="1180" w:type="dxa"/>
            <w:hideMark/>
          </w:tcPr>
          <w:p w14:paraId="25438C1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2B61141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6B077C8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94EC70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1-B-270-1</w:t>
            </w:r>
          </w:p>
        </w:tc>
        <w:tc>
          <w:tcPr>
            <w:tcW w:w="1180" w:type="dxa"/>
            <w:hideMark/>
          </w:tcPr>
          <w:p w14:paraId="5E36996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257.37</w:t>
            </w:r>
          </w:p>
        </w:tc>
        <w:tc>
          <w:tcPr>
            <w:tcW w:w="1560" w:type="dxa"/>
            <w:hideMark/>
          </w:tcPr>
          <w:p w14:paraId="6FA71AD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1.56</w:t>
            </w:r>
          </w:p>
        </w:tc>
        <w:tc>
          <w:tcPr>
            <w:tcW w:w="1240" w:type="dxa"/>
            <w:hideMark/>
          </w:tcPr>
          <w:p w14:paraId="78BDACE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1.33</w:t>
            </w:r>
          </w:p>
        </w:tc>
        <w:tc>
          <w:tcPr>
            <w:tcW w:w="1560" w:type="dxa"/>
            <w:hideMark/>
          </w:tcPr>
          <w:p w14:paraId="1FA005F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w:t>
            </w:r>
          </w:p>
        </w:tc>
        <w:tc>
          <w:tcPr>
            <w:tcW w:w="1300" w:type="dxa"/>
            <w:hideMark/>
          </w:tcPr>
          <w:p w14:paraId="5912D1E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7134.91</w:t>
            </w:r>
          </w:p>
        </w:tc>
        <w:tc>
          <w:tcPr>
            <w:tcW w:w="1540" w:type="dxa"/>
            <w:hideMark/>
          </w:tcPr>
          <w:p w14:paraId="420AF1E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w:t>
            </w:r>
          </w:p>
        </w:tc>
        <w:tc>
          <w:tcPr>
            <w:tcW w:w="1180" w:type="dxa"/>
            <w:hideMark/>
          </w:tcPr>
          <w:p w14:paraId="38EE9E6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353FC8C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7C7D4AA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941EE6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1-B-270-2</w:t>
            </w:r>
          </w:p>
        </w:tc>
        <w:tc>
          <w:tcPr>
            <w:tcW w:w="1180" w:type="dxa"/>
            <w:hideMark/>
          </w:tcPr>
          <w:p w14:paraId="11640D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248.13</w:t>
            </w:r>
          </w:p>
        </w:tc>
        <w:tc>
          <w:tcPr>
            <w:tcW w:w="1560" w:type="dxa"/>
            <w:hideMark/>
          </w:tcPr>
          <w:p w14:paraId="465A922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1.50</w:t>
            </w:r>
          </w:p>
        </w:tc>
        <w:tc>
          <w:tcPr>
            <w:tcW w:w="1240" w:type="dxa"/>
            <w:hideMark/>
          </w:tcPr>
          <w:p w14:paraId="1BA59FF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0.48</w:t>
            </w:r>
          </w:p>
        </w:tc>
        <w:tc>
          <w:tcPr>
            <w:tcW w:w="1560" w:type="dxa"/>
            <w:hideMark/>
          </w:tcPr>
          <w:p w14:paraId="3BF75AC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0.03</w:t>
            </w:r>
          </w:p>
        </w:tc>
        <w:tc>
          <w:tcPr>
            <w:tcW w:w="1300" w:type="dxa"/>
            <w:hideMark/>
          </w:tcPr>
          <w:p w14:paraId="1B61F15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7040.72</w:t>
            </w:r>
          </w:p>
        </w:tc>
        <w:tc>
          <w:tcPr>
            <w:tcW w:w="1540" w:type="dxa"/>
            <w:hideMark/>
          </w:tcPr>
          <w:p w14:paraId="17744BC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w:t>
            </w:r>
          </w:p>
        </w:tc>
        <w:tc>
          <w:tcPr>
            <w:tcW w:w="1180" w:type="dxa"/>
            <w:hideMark/>
          </w:tcPr>
          <w:p w14:paraId="638CF65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31D2BBD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4AABBA6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DA6965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1-B-430-1</w:t>
            </w:r>
          </w:p>
        </w:tc>
        <w:tc>
          <w:tcPr>
            <w:tcW w:w="1180" w:type="dxa"/>
            <w:hideMark/>
          </w:tcPr>
          <w:p w14:paraId="2AE1F97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275.79</w:t>
            </w:r>
          </w:p>
        </w:tc>
        <w:tc>
          <w:tcPr>
            <w:tcW w:w="1560" w:type="dxa"/>
            <w:hideMark/>
          </w:tcPr>
          <w:p w14:paraId="3A2B57A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1.66</w:t>
            </w:r>
          </w:p>
        </w:tc>
        <w:tc>
          <w:tcPr>
            <w:tcW w:w="1240" w:type="dxa"/>
            <w:hideMark/>
          </w:tcPr>
          <w:p w14:paraId="2BCEF90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2.36</w:t>
            </w:r>
          </w:p>
        </w:tc>
        <w:tc>
          <w:tcPr>
            <w:tcW w:w="1560" w:type="dxa"/>
            <w:hideMark/>
          </w:tcPr>
          <w:p w14:paraId="3E33C34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0.13</w:t>
            </w:r>
          </w:p>
        </w:tc>
        <w:tc>
          <w:tcPr>
            <w:tcW w:w="1300" w:type="dxa"/>
            <w:hideMark/>
          </w:tcPr>
          <w:p w14:paraId="62D756C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6985.46</w:t>
            </w:r>
          </w:p>
        </w:tc>
        <w:tc>
          <w:tcPr>
            <w:tcW w:w="1540" w:type="dxa"/>
            <w:hideMark/>
          </w:tcPr>
          <w:p w14:paraId="7A29F8C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c>
          <w:tcPr>
            <w:tcW w:w="1180" w:type="dxa"/>
            <w:hideMark/>
          </w:tcPr>
          <w:p w14:paraId="373998E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37AB88C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533E9B8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91AAF0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1-B-670-1</w:t>
            </w:r>
          </w:p>
        </w:tc>
        <w:tc>
          <w:tcPr>
            <w:tcW w:w="1180" w:type="dxa"/>
            <w:hideMark/>
          </w:tcPr>
          <w:p w14:paraId="4FBA50F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286.06</w:t>
            </w:r>
          </w:p>
        </w:tc>
        <w:tc>
          <w:tcPr>
            <w:tcW w:w="1560" w:type="dxa"/>
            <w:hideMark/>
          </w:tcPr>
          <w:p w14:paraId="39C0623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1.70</w:t>
            </w:r>
          </w:p>
        </w:tc>
        <w:tc>
          <w:tcPr>
            <w:tcW w:w="1240" w:type="dxa"/>
            <w:hideMark/>
          </w:tcPr>
          <w:p w14:paraId="24843C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3.76</w:t>
            </w:r>
          </w:p>
        </w:tc>
        <w:tc>
          <w:tcPr>
            <w:tcW w:w="1560" w:type="dxa"/>
            <w:hideMark/>
          </w:tcPr>
          <w:p w14:paraId="000881E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0.21</w:t>
            </w:r>
          </w:p>
        </w:tc>
        <w:tc>
          <w:tcPr>
            <w:tcW w:w="1300" w:type="dxa"/>
            <w:hideMark/>
          </w:tcPr>
          <w:p w14:paraId="616B364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6935.47</w:t>
            </w:r>
          </w:p>
        </w:tc>
        <w:tc>
          <w:tcPr>
            <w:tcW w:w="1540" w:type="dxa"/>
            <w:hideMark/>
          </w:tcPr>
          <w:p w14:paraId="690F368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1.03</w:t>
            </w:r>
          </w:p>
        </w:tc>
        <w:tc>
          <w:tcPr>
            <w:tcW w:w="1180" w:type="dxa"/>
            <w:hideMark/>
          </w:tcPr>
          <w:p w14:paraId="07AD0CD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2.20</w:t>
            </w:r>
          </w:p>
        </w:tc>
        <w:tc>
          <w:tcPr>
            <w:tcW w:w="1440" w:type="dxa"/>
            <w:hideMark/>
          </w:tcPr>
          <w:p w14:paraId="14D1E4A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0AF89CC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3E0C23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1-C-010-1</w:t>
            </w:r>
          </w:p>
        </w:tc>
        <w:tc>
          <w:tcPr>
            <w:tcW w:w="1180" w:type="dxa"/>
            <w:hideMark/>
          </w:tcPr>
          <w:p w14:paraId="00867DD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155.45</w:t>
            </w:r>
          </w:p>
        </w:tc>
        <w:tc>
          <w:tcPr>
            <w:tcW w:w="1560" w:type="dxa"/>
            <w:hideMark/>
          </w:tcPr>
          <w:p w14:paraId="4297334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0.95</w:t>
            </w:r>
          </w:p>
        </w:tc>
        <w:tc>
          <w:tcPr>
            <w:tcW w:w="1240" w:type="dxa"/>
            <w:hideMark/>
          </w:tcPr>
          <w:p w14:paraId="3D96A97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0.38</w:t>
            </w:r>
          </w:p>
        </w:tc>
        <w:tc>
          <w:tcPr>
            <w:tcW w:w="1560" w:type="dxa"/>
            <w:hideMark/>
          </w:tcPr>
          <w:p w14:paraId="57EF556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13AB315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7060.73</w:t>
            </w:r>
          </w:p>
        </w:tc>
        <w:tc>
          <w:tcPr>
            <w:tcW w:w="1540" w:type="dxa"/>
            <w:hideMark/>
          </w:tcPr>
          <w:p w14:paraId="2990E54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w:t>
            </w:r>
          </w:p>
        </w:tc>
        <w:tc>
          <w:tcPr>
            <w:tcW w:w="1180" w:type="dxa"/>
            <w:hideMark/>
          </w:tcPr>
          <w:p w14:paraId="36B85BE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59AADD4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28982B8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EA354E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1-C-040-1</w:t>
            </w:r>
          </w:p>
        </w:tc>
        <w:tc>
          <w:tcPr>
            <w:tcW w:w="1180" w:type="dxa"/>
            <w:hideMark/>
          </w:tcPr>
          <w:p w14:paraId="5AFD479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158.22</w:t>
            </w:r>
          </w:p>
        </w:tc>
        <w:tc>
          <w:tcPr>
            <w:tcW w:w="1560" w:type="dxa"/>
            <w:hideMark/>
          </w:tcPr>
          <w:p w14:paraId="41B0105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0.97</w:t>
            </w:r>
          </w:p>
        </w:tc>
        <w:tc>
          <w:tcPr>
            <w:tcW w:w="1240" w:type="dxa"/>
            <w:hideMark/>
          </w:tcPr>
          <w:p w14:paraId="1A6FEB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0.64</w:t>
            </w:r>
          </w:p>
        </w:tc>
        <w:tc>
          <w:tcPr>
            <w:tcW w:w="1560" w:type="dxa"/>
            <w:hideMark/>
          </w:tcPr>
          <w:p w14:paraId="52A72D7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0.04</w:t>
            </w:r>
          </w:p>
        </w:tc>
        <w:tc>
          <w:tcPr>
            <w:tcW w:w="1300" w:type="dxa"/>
            <w:hideMark/>
          </w:tcPr>
          <w:p w14:paraId="728897B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6940.34</w:t>
            </w:r>
          </w:p>
        </w:tc>
        <w:tc>
          <w:tcPr>
            <w:tcW w:w="1540" w:type="dxa"/>
            <w:hideMark/>
          </w:tcPr>
          <w:p w14:paraId="7D30D44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c>
          <w:tcPr>
            <w:tcW w:w="1180" w:type="dxa"/>
            <w:hideMark/>
          </w:tcPr>
          <w:p w14:paraId="554D1D7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0A70E89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289D5AC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0CA636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1-C-040-2</w:t>
            </w:r>
          </w:p>
        </w:tc>
        <w:tc>
          <w:tcPr>
            <w:tcW w:w="1180" w:type="dxa"/>
            <w:hideMark/>
          </w:tcPr>
          <w:p w14:paraId="1F5481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159.82</w:t>
            </w:r>
          </w:p>
        </w:tc>
        <w:tc>
          <w:tcPr>
            <w:tcW w:w="1560" w:type="dxa"/>
            <w:hideMark/>
          </w:tcPr>
          <w:p w14:paraId="07FF64C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0.98</w:t>
            </w:r>
          </w:p>
        </w:tc>
        <w:tc>
          <w:tcPr>
            <w:tcW w:w="1240" w:type="dxa"/>
            <w:hideMark/>
          </w:tcPr>
          <w:p w14:paraId="6BC8D53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60" w:type="dxa"/>
            <w:hideMark/>
          </w:tcPr>
          <w:p w14:paraId="12A98DE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hideMark/>
          </w:tcPr>
          <w:p w14:paraId="0DB5C3C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7019.46</w:t>
            </w:r>
          </w:p>
        </w:tc>
        <w:tc>
          <w:tcPr>
            <w:tcW w:w="1540" w:type="dxa"/>
            <w:hideMark/>
          </w:tcPr>
          <w:p w14:paraId="1124F34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w:t>
            </w:r>
          </w:p>
        </w:tc>
        <w:tc>
          <w:tcPr>
            <w:tcW w:w="1180" w:type="dxa"/>
            <w:hideMark/>
          </w:tcPr>
          <w:p w14:paraId="51969F6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1A6ED2E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66E24D3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7B172D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1-C-090-1</w:t>
            </w:r>
          </w:p>
        </w:tc>
        <w:tc>
          <w:tcPr>
            <w:tcW w:w="1180" w:type="dxa"/>
            <w:hideMark/>
          </w:tcPr>
          <w:p w14:paraId="2D8F926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158.64</w:t>
            </w:r>
          </w:p>
        </w:tc>
        <w:tc>
          <w:tcPr>
            <w:tcW w:w="1560" w:type="dxa"/>
            <w:hideMark/>
          </w:tcPr>
          <w:p w14:paraId="77F11DC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0.97</w:t>
            </w:r>
          </w:p>
        </w:tc>
        <w:tc>
          <w:tcPr>
            <w:tcW w:w="1240" w:type="dxa"/>
            <w:hideMark/>
          </w:tcPr>
          <w:p w14:paraId="78109F1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0.34</w:t>
            </w:r>
          </w:p>
        </w:tc>
        <w:tc>
          <w:tcPr>
            <w:tcW w:w="1560" w:type="dxa"/>
            <w:hideMark/>
          </w:tcPr>
          <w:p w14:paraId="30B3B43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79161FE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7044.56</w:t>
            </w:r>
          </w:p>
        </w:tc>
        <w:tc>
          <w:tcPr>
            <w:tcW w:w="1540" w:type="dxa"/>
            <w:hideMark/>
          </w:tcPr>
          <w:p w14:paraId="60D31DB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w:t>
            </w:r>
          </w:p>
        </w:tc>
        <w:tc>
          <w:tcPr>
            <w:tcW w:w="1180" w:type="dxa"/>
            <w:hideMark/>
          </w:tcPr>
          <w:p w14:paraId="1E28AB5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1940D2C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4B75B8C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2BA2B8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1-C-090-2</w:t>
            </w:r>
          </w:p>
        </w:tc>
        <w:tc>
          <w:tcPr>
            <w:tcW w:w="1180" w:type="dxa"/>
            <w:hideMark/>
          </w:tcPr>
          <w:p w14:paraId="0B24920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160.14</w:t>
            </w:r>
          </w:p>
        </w:tc>
        <w:tc>
          <w:tcPr>
            <w:tcW w:w="1560" w:type="dxa"/>
            <w:hideMark/>
          </w:tcPr>
          <w:p w14:paraId="1502713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0.98</w:t>
            </w:r>
          </w:p>
        </w:tc>
        <w:tc>
          <w:tcPr>
            <w:tcW w:w="1240" w:type="dxa"/>
            <w:hideMark/>
          </w:tcPr>
          <w:p w14:paraId="19BEACB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0.51</w:t>
            </w:r>
          </w:p>
        </w:tc>
        <w:tc>
          <w:tcPr>
            <w:tcW w:w="1560" w:type="dxa"/>
            <w:hideMark/>
          </w:tcPr>
          <w:p w14:paraId="42F5B35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0.03</w:t>
            </w:r>
          </w:p>
        </w:tc>
        <w:tc>
          <w:tcPr>
            <w:tcW w:w="1300" w:type="dxa"/>
            <w:hideMark/>
          </w:tcPr>
          <w:p w14:paraId="66EED56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6896.12</w:t>
            </w:r>
          </w:p>
        </w:tc>
        <w:tc>
          <w:tcPr>
            <w:tcW w:w="1540" w:type="dxa"/>
            <w:hideMark/>
          </w:tcPr>
          <w:p w14:paraId="737E538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c>
          <w:tcPr>
            <w:tcW w:w="1180" w:type="dxa"/>
            <w:hideMark/>
          </w:tcPr>
          <w:p w14:paraId="5056F38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32C85BC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59FC535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E3FBD0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1-C-160-1</w:t>
            </w:r>
          </w:p>
        </w:tc>
        <w:tc>
          <w:tcPr>
            <w:tcW w:w="1180" w:type="dxa"/>
            <w:hideMark/>
          </w:tcPr>
          <w:p w14:paraId="6E43C1F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163.92</w:t>
            </w:r>
          </w:p>
        </w:tc>
        <w:tc>
          <w:tcPr>
            <w:tcW w:w="1560" w:type="dxa"/>
            <w:hideMark/>
          </w:tcPr>
          <w:p w14:paraId="3874BD2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0.98</w:t>
            </w:r>
          </w:p>
        </w:tc>
        <w:tc>
          <w:tcPr>
            <w:tcW w:w="1240" w:type="dxa"/>
            <w:hideMark/>
          </w:tcPr>
          <w:p w14:paraId="71886ED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0.67</w:t>
            </w:r>
          </w:p>
        </w:tc>
        <w:tc>
          <w:tcPr>
            <w:tcW w:w="1560" w:type="dxa"/>
            <w:hideMark/>
          </w:tcPr>
          <w:p w14:paraId="1A10C50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0.04</w:t>
            </w:r>
          </w:p>
        </w:tc>
        <w:tc>
          <w:tcPr>
            <w:tcW w:w="1300" w:type="dxa"/>
            <w:hideMark/>
          </w:tcPr>
          <w:p w14:paraId="1063B4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6913.50</w:t>
            </w:r>
          </w:p>
        </w:tc>
        <w:tc>
          <w:tcPr>
            <w:tcW w:w="1540" w:type="dxa"/>
            <w:hideMark/>
          </w:tcPr>
          <w:p w14:paraId="5C05D3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c>
          <w:tcPr>
            <w:tcW w:w="1180" w:type="dxa"/>
            <w:hideMark/>
          </w:tcPr>
          <w:p w14:paraId="6686820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5137852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5D5C738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015AAC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1-C-270-1</w:t>
            </w:r>
          </w:p>
        </w:tc>
        <w:tc>
          <w:tcPr>
            <w:tcW w:w="1180" w:type="dxa"/>
            <w:hideMark/>
          </w:tcPr>
          <w:p w14:paraId="1A44CE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175.85</w:t>
            </w:r>
          </w:p>
        </w:tc>
        <w:tc>
          <w:tcPr>
            <w:tcW w:w="1560" w:type="dxa"/>
            <w:hideMark/>
          </w:tcPr>
          <w:p w14:paraId="5CA8B4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w:t>
            </w:r>
          </w:p>
        </w:tc>
        <w:tc>
          <w:tcPr>
            <w:tcW w:w="1240" w:type="dxa"/>
            <w:hideMark/>
          </w:tcPr>
          <w:p w14:paraId="4F0E6CE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1.10</w:t>
            </w:r>
          </w:p>
        </w:tc>
        <w:tc>
          <w:tcPr>
            <w:tcW w:w="1560" w:type="dxa"/>
            <w:hideMark/>
          </w:tcPr>
          <w:p w14:paraId="7774618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0.06</w:t>
            </w:r>
          </w:p>
        </w:tc>
        <w:tc>
          <w:tcPr>
            <w:tcW w:w="1300" w:type="dxa"/>
            <w:hideMark/>
          </w:tcPr>
          <w:p w14:paraId="46CF990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6878.11</w:t>
            </w:r>
          </w:p>
        </w:tc>
        <w:tc>
          <w:tcPr>
            <w:tcW w:w="1540" w:type="dxa"/>
            <w:hideMark/>
          </w:tcPr>
          <w:p w14:paraId="252E283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w:t>
            </w:r>
          </w:p>
        </w:tc>
        <w:tc>
          <w:tcPr>
            <w:tcW w:w="1180" w:type="dxa"/>
            <w:hideMark/>
          </w:tcPr>
          <w:p w14:paraId="76C97FD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2B39A42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7C22489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EC883F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1-C-430-1</w:t>
            </w:r>
          </w:p>
        </w:tc>
        <w:tc>
          <w:tcPr>
            <w:tcW w:w="1180" w:type="dxa"/>
            <w:hideMark/>
          </w:tcPr>
          <w:p w14:paraId="2D7C767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180.04</w:t>
            </w:r>
          </w:p>
        </w:tc>
        <w:tc>
          <w:tcPr>
            <w:tcW w:w="1560" w:type="dxa"/>
            <w:hideMark/>
          </w:tcPr>
          <w:p w14:paraId="1AD9D99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w:t>
            </w:r>
          </w:p>
        </w:tc>
        <w:tc>
          <w:tcPr>
            <w:tcW w:w="1240" w:type="dxa"/>
            <w:hideMark/>
          </w:tcPr>
          <w:p w14:paraId="327C992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c>
          <w:tcPr>
            <w:tcW w:w="1560" w:type="dxa"/>
            <w:hideMark/>
          </w:tcPr>
          <w:p w14:paraId="710CEC5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0.06</w:t>
            </w:r>
          </w:p>
        </w:tc>
        <w:tc>
          <w:tcPr>
            <w:tcW w:w="1300" w:type="dxa"/>
            <w:hideMark/>
          </w:tcPr>
          <w:p w14:paraId="17D4EBF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6829.47</w:t>
            </w:r>
          </w:p>
        </w:tc>
        <w:tc>
          <w:tcPr>
            <w:tcW w:w="1540" w:type="dxa"/>
            <w:hideMark/>
          </w:tcPr>
          <w:p w14:paraId="5E6DAC3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1.03</w:t>
            </w:r>
          </w:p>
        </w:tc>
        <w:tc>
          <w:tcPr>
            <w:tcW w:w="1180" w:type="dxa"/>
            <w:hideMark/>
          </w:tcPr>
          <w:p w14:paraId="30747E0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0013369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4F53D1C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A4703B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1-C-430-2</w:t>
            </w:r>
          </w:p>
        </w:tc>
        <w:tc>
          <w:tcPr>
            <w:tcW w:w="1180" w:type="dxa"/>
            <w:hideMark/>
          </w:tcPr>
          <w:p w14:paraId="2165B87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183.31</w:t>
            </w:r>
          </w:p>
        </w:tc>
        <w:tc>
          <w:tcPr>
            <w:tcW w:w="1560" w:type="dxa"/>
            <w:hideMark/>
          </w:tcPr>
          <w:p w14:paraId="566300F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1.10</w:t>
            </w:r>
          </w:p>
        </w:tc>
        <w:tc>
          <w:tcPr>
            <w:tcW w:w="1240" w:type="dxa"/>
            <w:hideMark/>
          </w:tcPr>
          <w:p w14:paraId="2F295CC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0.27</w:t>
            </w:r>
          </w:p>
        </w:tc>
        <w:tc>
          <w:tcPr>
            <w:tcW w:w="1560" w:type="dxa"/>
            <w:hideMark/>
          </w:tcPr>
          <w:p w14:paraId="60D9E01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hideMark/>
          </w:tcPr>
          <w:p w14:paraId="2177A8D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6923.62</w:t>
            </w:r>
          </w:p>
        </w:tc>
        <w:tc>
          <w:tcPr>
            <w:tcW w:w="1540" w:type="dxa"/>
            <w:hideMark/>
          </w:tcPr>
          <w:p w14:paraId="069597C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w:t>
            </w:r>
          </w:p>
        </w:tc>
        <w:tc>
          <w:tcPr>
            <w:tcW w:w="1180" w:type="dxa"/>
            <w:hideMark/>
          </w:tcPr>
          <w:p w14:paraId="33EB717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6A6C144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729E4187"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DA35FC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1-C-670-1</w:t>
            </w:r>
          </w:p>
        </w:tc>
        <w:tc>
          <w:tcPr>
            <w:tcW w:w="1180" w:type="dxa"/>
            <w:hideMark/>
          </w:tcPr>
          <w:p w14:paraId="5F9F81F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182.62</w:t>
            </w:r>
          </w:p>
        </w:tc>
        <w:tc>
          <w:tcPr>
            <w:tcW w:w="1560" w:type="dxa"/>
            <w:hideMark/>
          </w:tcPr>
          <w:p w14:paraId="0549743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1.09</w:t>
            </w:r>
          </w:p>
        </w:tc>
        <w:tc>
          <w:tcPr>
            <w:tcW w:w="1240" w:type="dxa"/>
            <w:hideMark/>
          </w:tcPr>
          <w:p w14:paraId="6DFC1E2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1.13</w:t>
            </w:r>
          </w:p>
        </w:tc>
        <w:tc>
          <w:tcPr>
            <w:tcW w:w="1560" w:type="dxa"/>
            <w:hideMark/>
          </w:tcPr>
          <w:p w14:paraId="7C1D6C2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0.06</w:t>
            </w:r>
          </w:p>
        </w:tc>
        <w:tc>
          <w:tcPr>
            <w:tcW w:w="1300" w:type="dxa"/>
            <w:hideMark/>
          </w:tcPr>
          <w:p w14:paraId="0FCBC23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6957.33</w:t>
            </w:r>
          </w:p>
        </w:tc>
        <w:tc>
          <w:tcPr>
            <w:tcW w:w="1540" w:type="dxa"/>
            <w:hideMark/>
          </w:tcPr>
          <w:p w14:paraId="16E626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w:t>
            </w:r>
          </w:p>
        </w:tc>
        <w:tc>
          <w:tcPr>
            <w:tcW w:w="1180" w:type="dxa"/>
            <w:hideMark/>
          </w:tcPr>
          <w:p w14:paraId="165530A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5D3919C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2571D70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C44C34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1-I-000-3</w:t>
            </w:r>
          </w:p>
        </w:tc>
        <w:tc>
          <w:tcPr>
            <w:tcW w:w="1180" w:type="dxa"/>
            <w:hideMark/>
          </w:tcPr>
          <w:p w14:paraId="3503DED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161.20</w:t>
            </w:r>
          </w:p>
        </w:tc>
        <w:tc>
          <w:tcPr>
            <w:tcW w:w="1560" w:type="dxa"/>
            <w:hideMark/>
          </w:tcPr>
          <w:p w14:paraId="7088E7D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hideMark/>
          </w:tcPr>
          <w:p w14:paraId="4F325DF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16.82</w:t>
            </w:r>
          </w:p>
        </w:tc>
        <w:tc>
          <w:tcPr>
            <w:tcW w:w="1560" w:type="dxa"/>
            <w:hideMark/>
          </w:tcPr>
          <w:p w14:paraId="5A4AF41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882F4C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6583.15</w:t>
            </w:r>
          </w:p>
        </w:tc>
        <w:tc>
          <w:tcPr>
            <w:tcW w:w="1540" w:type="dxa"/>
            <w:hideMark/>
          </w:tcPr>
          <w:p w14:paraId="22F4D7F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80" w:type="dxa"/>
            <w:hideMark/>
          </w:tcPr>
          <w:p w14:paraId="260D49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16.67</w:t>
            </w:r>
          </w:p>
        </w:tc>
        <w:tc>
          <w:tcPr>
            <w:tcW w:w="1440" w:type="dxa"/>
            <w:hideMark/>
          </w:tcPr>
          <w:p w14:paraId="66C818F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423B131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B52FC9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1-I-160-3</w:t>
            </w:r>
          </w:p>
        </w:tc>
        <w:tc>
          <w:tcPr>
            <w:tcW w:w="1180" w:type="dxa"/>
            <w:hideMark/>
          </w:tcPr>
          <w:p w14:paraId="59B0E68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166.48</w:t>
            </w:r>
          </w:p>
        </w:tc>
        <w:tc>
          <w:tcPr>
            <w:tcW w:w="1560" w:type="dxa"/>
            <w:hideMark/>
          </w:tcPr>
          <w:p w14:paraId="728983D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hideMark/>
          </w:tcPr>
          <w:p w14:paraId="2092C58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17.42</w:t>
            </w:r>
          </w:p>
        </w:tc>
        <w:tc>
          <w:tcPr>
            <w:tcW w:w="1560" w:type="dxa"/>
            <w:hideMark/>
          </w:tcPr>
          <w:p w14:paraId="39B1061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7437AB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6608.28</w:t>
            </w:r>
          </w:p>
        </w:tc>
        <w:tc>
          <w:tcPr>
            <w:tcW w:w="1540" w:type="dxa"/>
            <w:hideMark/>
          </w:tcPr>
          <w:p w14:paraId="52C7C0E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80" w:type="dxa"/>
            <w:hideMark/>
          </w:tcPr>
          <w:p w14:paraId="54414D5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15.41</w:t>
            </w:r>
          </w:p>
        </w:tc>
        <w:tc>
          <w:tcPr>
            <w:tcW w:w="1440" w:type="dxa"/>
            <w:hideMark/>
          </w:tcPr>
          <w:p w14:paraId="6841DFF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3437B60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F58A1A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1-I-670-3</w:t>
            </w:r>
          </w:p>
        </w:tc>
        <w:tc>
          <w:tcPr>
            <w:tcW w:w="1180" w:type="dxa"/>
            <w:hideMark/>
          </w:tcPr>
          <w:p w14:paraId="363DD83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168.10</w:t>
            </w:r>
          </w:p>
        </w:tc>
        <w:tc>
          <w:tcPr>
            <w:tcW w:w="1560" w:type="dxa"/>
            <w:hideMark/>
          </w:tcPr>
          <w:p w14:paraId="7D9C5BF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hideMark/>
          </w:tcPr>
          <w:p w14:paraId="7281167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17.84</w:t>
            </w:r>
          </w:p>
        </w:tc>
        <w:tc>
          <w:tcPr>
            <w:tcW w:w="1560" w:type="dxa"/>
            <w:hideMark/>
          </w:tcPr>
          <w:p w14:paraId="5D47469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26B0E3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6704.78</w:t>
            </w:r>
          </w:p>
        </w:tc>
        <w:tc>
          <w:tcPr>
            <w:tcW w:w="1540" w:type="dxa"/>
            <w:hideMark/>
          </w:tcPr>
          <w:p w14:paraId="300CBF7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80" w:type="dxa"/>
            <w:hideMark/>
          </w:tcPr>
          <w:p w14:paraId="7419817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16.24</w:t>
            </w:r>
          </w:p>
        </w:tc>
        <w:tc>
          <w:tcPr>
            <w:tcW w:w="1440" w:type="dxa"/>
            <w:hideMark/>
          </w:tcPr>
          <w:p w14:paraId="118847D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2E6B562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84EFE9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2-A-010-1</w:t>
            </w:r>
          </w:p>
        </w:tc>
        <w:tc>
          <w:tcPr>
            <w:tcW w:w="1180" w:type="dxa"/>
            <w:hideMark/>
          </w:tcPr>
          <w:p w14:paraId="698A9F3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235.55</w:t>
            </w:r>
          </w:p>
        </w:tc>
        <w:tc>
          <w:tcPr>
            <w:tcW w:w="1560" w:type="dxa"/>
            <w:hideMark/>
          </w:tcPr>
          <w:p w14:paraId="060B7E3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1.31</w:t>
            </w:r>
          </w:p>
        </w:tc>
        <w:tc>
          <w:tcPr>
            <w:tcW w:w="1240" w:type="dxa"/>
            <w:hideMark/>
          </w:tcPr>
          <w:p w14:paraId="01F6C1E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20.97</w:t>
            </w:r>
          </w:p>
        </w:tc>
        <w:tc>
          <w:tcPr>
            <w:tcW w:w="1560" w:type="dxa"/>
            <w:hideMark/>
          </w:tcPr>
          <w:p w14:paraId="7279894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1.14</w:t>
            </w:r>
          </w:p>
        </w:tc>
        <w:tc>
          <w:tcPr>
            <w:tcW w:w="1300" w:type="dxa"/>
            <w:hideMark/>
          </w:tcPr>
          <w:p w14:paraId="3B94DBF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5738.51</w:t>
            </w:r>
          </w:p>
        </w:tc>
        <w:tc>
          <w:tcPr>
            <w:tcW w:w="1540" w:type="dxa"/>
            <w:hideMark/>
          </w:tcPr>
          <w:p w14:paraId="58C660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0.65</w:t>
            </w:r>
          </w:p>
        </w:tc>
        <w:tc>
          <w:tcPr>
            <w:tcW w:w="1180" w:type="dxa"/>
            <w:hideMark/>
          </w:tcPr>
          <w:p w14:paraId="4D813CA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7201140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4B7D52C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6D59DD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2-A-040-1</w:t>
            </w:r>
          </w:p>
        </w:tc>
        <w:tc>
          <w:tcPr>
            <w:tcW w:w="1180" w:type="dxa"/>
            <w:hideMark/>
          </w:tcPr>
          <w:p w14:paraId="2C15225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204.24</w:t>
            </w:r>
          </w:p>
        </w:tc>
        <w:tc>
          <w:tcPr>
            <w:tcW w:w="1560" w:type="dxa"/>
            <w:hideMark/>
          </w:tcPr>
          <w:p w14:paraId="41D41AC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1.14</w:t>
            </w:r>
          </w:p>
        </w:tc>
        <w:tc>
          <w:tcPr>
            <w:tcW w:w="1240" w:type="dxa"/>
            <w:hideMark/>
          </w:tcPr>
          <w:p w14:paraId="011452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16.91</w:t>
            </w:r>
          </w:p>
        </w:tc>
        <w:tc>
          <w:tcPr>
            <w:tcW w:w="1560" w:type="dxa"/>
            <w:hideMark/>
          </w:tcPr>
          <w:p w14:paraId="039CD66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0.92</w:t>
            </w:r>
          </w:p>
        </w:tc>
        <w:tc>
          <w:tcPr>
            <w:tcW w:w="1300" w:type="dxa"/>
            <w:hideMark/>
          </w:tcPr>
          <w:p w14:paraId="32D9F5C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6289.84</w:t>
            </w:r>
          </w:p>
        </w:tc>
        <w:tc>
          <w:tcPr>
            <w:tcW w:w="1540" w:type="dxa"/>
            <w:hideMark/>
          </w:tcPr>
          <w:p w14:paraId="6EB78A4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0.71</w:t>
            </w:r>
          </w:p>
        </w:tc>
        <w:tc>
          <w:tcPr>
            <w:tcW w:w="1180" w:type="dxa"/>
            <w:hideMark/>
          </w:tcPr>
          <w:p w14:paraId="1240A75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555F7E4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67E10F8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1DE3B7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2-A-090-1</w:t>
            </w:r>
          </w:p>
        </w:tc>
        <w:tc>
          <w:tcPr>
            <w:tcW w:w="1180" w:type="dxa"/>
            <w:hideMark/>
          </w:tcPr>
          <w:p w14:paraId="659D336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192.39</w:t>
            </w:r>
          </w:p>
        </w:tc>
        <w:tc>
          <w:tcPr>
            <w:tcW w:w="1560" w:type="dxa"/>
            <w:hideMark/>
          </w:tcPr>
          <w:p w14:paraId="5AC8EB9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w:t>
            </w:r>
          </w:p>
        </w:tc>
        <w:tc>
          <w:tcPr>
            <w:tcW w:w="1240" w:type="dxa"/>
            <w:hideMark/>
          </w:tcPr>
          <w:p w14:paraId="6902505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15.78</w:t>
            </w:r>
          </w:p>
        </w:tc>
        <w:tc>
          <w:tcPr>
            <w:tcW w:w="1560" w:type="dxa"/>
            <w:hideMark/>
          </w:tcPr>
          <w:p w14:paraId="18D1606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0.85</w:t>
            </w:r>
          </w:p>
        </w:tc>
        <w:tc>
          <w:tcPr>
            <w:tcW w:w="1300" w:type="dxa"/>
            <w:hideMark/>
          </w:tcPr>
          <w:p w14:paraId="336BB20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6593.89</w:t>
            </w:r>
          </w:p>
        </w:tc>
        <w:tc>
          <w:tcPr>
            <w:tcW w:w="1540" w:type="dxa"/>
            <w:hideMark/>
          </w:tcPr>
          <w:p w14:paraId="459A486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0.75</w:t>
            </w:r>
          </w:p>
        </w:tc>
        <w:tc>
          <w:tcPr>
            <w:tcW w:w="1180" w:type="dxa"/>
            <w:hideMark/>
          </w:tcPr>
          <w:p w14:paraId="4AD893A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2.44</w:t>
            </w:r>
          </w:p>
        </w:tc>
        <w:tc>
          <w:tcPr>
            <w:tcW w:w="1440" w:type="dxa"/>
            <w:hideMark/>
          </w:tcPr>
          <w:p w14:paraId="71A5274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0.32</w:t>
            </w:r>
          </w:p>
        </w:tc>
      </w:tr>
      <w:tr w:rsidR="00302953" w:rsidRPr="00770477" w14:paraId="6B0F701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01CCEF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2-A-090-2</w:t>
            </w:r>
          </w:p>
        </w:tc>
        <w:tc>
          <w:tcPr>
            <w:tcW w:w="1180" w:type="dxa"/>
            <w:hideMark/>
          </w:tcPr>
          <w:p w14:paraId="2C3C79F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189.44</w:t>
            </w:r>
          </w:p>
        </w:tc>
        <w:tc>
          <w:tcPr>
            <w:tcW w:w="1560" w:type="dxa"/>
            <w:hideMark/>
          </w:tcPr>
          <w:p w14:paraId="271F3D2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c>
          <w:tcPr>
            <w:tcW w:w="1240" w:type="dxa"/>
            <w:hideMark/>
          </w:tcPr>
          <w:p w14:paraId="747A3E9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15.64</w:t>
            </w:r>
          </w:p>
        </w:tc>
        <w:tc>
          <w:tcPr>
            <w:tcW w:w="1560" w:type="dxa"/>
            <w:hideMark/>
          </w:tcPr>
          <w:p w14:paraId="10BFE18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0.84</w:t>
            </w:r>
          </w:p>
        </w:tc>
        <w:tc>
          <w:tcPr>
            <w:tcW w:w="1300" w:type="dxa"/>
            <w:hideMark/>
          </w:tcPr>
          <w:p w14:paraId="2C3BB43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6468.53</w:t>
            </w:r>
          </w:p>
        </w:tc>
        <w:tc>
          <w:tcPr>
            <w:tcW w:w="1540" w:type="dxa"/>
            <w:hideMark/>
          </w:tcPr>
          <w:p w14:paraId="097D4FF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0.73</w:t>
            </w:r>
          </w:p>
        </w:tc>
        <w:tc>
          <w:tcPr>
            <w:tcW w:w="1180" w:type="dxa"/>
            <w:hideMark/>
          </w:tcPr>
          <w:p w14:paraId="2772649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2.95</w:t>
            </w:r>
          </w:p>
        </w:tc>
        <w:tc>
          <w:tcPr>
            <w:tcW w:w="1440" w:type="dxa"/>
            <w:hideMark/>
          </w:tcPr>
          <w:p w14:paraId="6A8AD4B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0.39</w:t>
            </w:r>
          </w:p>
        </w:tc>
      </w:tr>
      <w:tr w:rsidR="00302953" w:rsidRPr="00770477" w14:paraId="2E61A5CF"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A4BBC4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2-A-160-1</w:t>
            </w:r>
          </w:p>
        </w:tc>
        <w:tc>
          <w:tcPr>
            <w:tcW w:w="1180" w:type="dxa"/>
            <w:hideMark/>
          </w:tcPr>
          <w:p w14:paraId="5682EA4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196.74</w:t>
            </w:r>
          </w:p>
        </w:tc>
        <w:tc>
          <w:tcPr>
            <w:tcW w:w="1560" w:type="dxa"/>
            <w:hideMark/>
          </w:tcPr>
          <w:p w14:paraId="7763652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1.03</w:t>
            </w:r>
          </w:p>
        </w:tc>
        <w:tc>
          <w:tcPr>
            <w:tcW w:w="1240" w:type="dxa"/>
            <w:hideMark/>
          </w:tcPr>
          <w:p w14:paraId="3B2BCF6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15.85</w:t>
            </w:r>
          </w:p>
        </w:tc>
        <w:tc>
          <w:tcPr>
            <w:tcW w:w="1560" w:type="dxa"/>
            <w:hideMark/>
          </w:tcPr>
          <w:p w14:paraId="1AC0543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0.81</w:t>
            </w:r>
          </w:p>
        </w:tc>
        <w:tc>
          <w:tcPr>
            <w:tcW w:w="1300" w:type="dxa"/>
            <w:hideMark/>
          </w:tcPr>
          <w:p w14:paraId="5F6CC6B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6482.59</w:t>
            </w:r>
          </w:p>
        </w:tc>
        <w:tc>
          <w:tcPr>
            <w:tcW w:w="1540" w:type="dxa"/>
            <w:hideMark/>
          </w:tcPr>
          <w:p w14:paraId="6B0FF51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0.74</w:t>
            </w:r>
          </w:p>
        </w:tc>
        <w:tc>
          <w:tcPr>
            <w:tcW w:w="1180" w:type="dxa"/>
            <w:hideMark/>
          </w:tcPr>
          <w:p w14:paraId="5E39EC9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3.72</w:t>
            </w:r>
          </w:p>
        </w:tc>
        <w:tc>
          <w:tcPr>
            <w:tcW w:w="1440" w:type="dxa"/>
            <w:hideMark/>
          </w:tcPr>
          <w:p w14:paraId="6F370FA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0.49</w:t>
            </w:r>
          </w:p>
        </w:tc>
      </w:tr>
      <w:tr w:rsidR="00302953" w:rsidRPr="00770477" w14:paraId="21D8308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322CC2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2-A-270-1</w:t>
            </w:r>
          </w:p>
        </w:tc>
        <w:tc>
          <w:tcPr>
            <w:tcW w:w="1180" w:type="dxa"/>
            <w:noWrap/>
            <w:hideMark/>
          </w:tcPr>
          <w:p w14:paraId="18FE680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237.64</w:t>
            </w:r>
          </w:p>
        </w:tc>
        <w:tc>
          <w:tcPr>
            <w:tcW w:w="1560" w:type="dxa"/>
            <w:hideMark/>
          </w:tcPr>
          <w:p w14:paraId="72E9C48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1.31</w:t>
            </w:r>
          </w:p>
        </w:tc>
        <w:tc>
          <w:tcPr>
            <w:tcW w:w="1240" w:type="dxa"/>
            <w:noWrap/>
            <w:hideMark/>
          </w:tcPr>
          <w:p w14:paraId="0D2690F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20.07</w:t>
            </w:r>
          </w:p>
        </w:tc>
        <w:tc>
          <w:tcPr>
            <w:tcW w:w="1560" w:type="dxa"/>
            <w:hideMark/>
          </w:tcPr>
          <w:p w14:paraId="1B95419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w:t>
            </w:r>
          </w:p>
        </w:tc>
        <w:tc>
          <w:tcPr>
            <w:tcW w:w="1300" w:type="dxa"/>
            <w:noWrap/>
            <w:hideMark/>
          </w:tcPr>
          <w:p w14:paraId="4802AF4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9298.14</w:t>
            </w:r>
          </w:p>
        </w:tc>
        <w:tc>
          <w:tcPr>
            <w:tcW w:w="1540" w:type="dxa"/>
            <w:hideMark/>
          </w:tcPr>
          <w:p w14:paraId="2A0AF3B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w:t>
            </w:r>
          </w:p>
        </w:tc>
        <w:tc>
          <w:tcPr>
            <w:tcW w:w="1180" w:type="dxa"/>
            <w:hideMark/>
          </w:tcPr>
          <w:p w14:paraId="01345A7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507E8C4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49F3D5A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DC95FF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2-A-430-1</w:t>
            </w:r>
          </w:p>
        </w:tc>
        <w:tc>
          <w:tcPr>
            <w:tcW w:w="1180" w:type="dxa"/>
            <w:noWrap/>
            <w:hideMark/>
          </w:tcPr>
          <w:p w14:paraId="31743D4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217.20</w:t>
            </w:r>
          </w:p>
        </w:tc>
        <w:tc>
          <w:tcPr>
            <w:tcW w:w="1560" w:type="dxa"/>
            <w:hideMark/>
          </w:tcPr>
          <w:p w14:paraId="5360D5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1.19</w:t>
            </w:r>
          </w:p>
        </w:tc>
        <w:tc>
          <w:tcPr>
            <w:tcW w:w="1240" w:type="dxa"/>
            <w:noWrap/>
            <w:hideMark/>
          </w:tcPr>
          <w:p w14:paraId="44F69B4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18.96</w:t>
            </w:r>
          </w:p>
        </w:tc>
        <w:tc>
          <w:tcPr>
            <w:tcW w:w="1560" w:type="dxa"/>
            <w:hideMark/>
          </w:tcPr>
          <w:p w14:paraId="43AF8D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40DBA12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8408.75</w:t>
            </w:r>
          </w:p>
        </w:tc>
        <w:tc>
          <w:tcPr>
            <w:tcW w:w="1540" w:type="dxa"/>
            <w:hideMark/>
          </w:tcPr>
          <w:p w14:paraId="44C25DE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0.97</w:t>
            </w:r>
          </w:p>
        </w:tc>
        <w:tc>
          <w:tcPr>
            <w:tcW w:w="1180" w:type="dxa"/>
            <w:hideMark/>
          </w:tcPr>
          <w:p w14:paraId="6F99A07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73ACDEF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7424004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A58024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2-A-430-2</w:t>
            </w:r>
          </w:p>
        </w:tc>
        <w:tc>
          <w:tcPr>
            <w:tcW w:w="1180" w:type="dxa"/>
            <w:noWrap/>
            <w:hideMark/>
          </w:tcPr>
          <w:p w14:paraId="0D5BD70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218.93</w:t>
            </w:r>
          </w:p>
        </w:tc>
        <w:tc>
          <w:tcPr>
            <w:tcW w:w="1560" w:type="dxa"/>
            <w:hideMark/>
          </w:tcPr>
          <w:p w14:paraId="1755DA3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1.20</w:t>
            </w:r>
          </w:p>
        </w:tc>
        <w:tc>
          <w:tcPr>
            <w:tcW w:w="1240" w:type="dxa"/>
            <w:noWrap/>
            <w:hideMark/>
          </w:tcPr>
          <w:p w14:paraId="53A1A8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19.35</w:t>
            </w:r>
          </w:p>
        </w:tc>
        <w:tc>
          <w:tcPr>
            <w:tcW w:w="1560" w:type="dxa"/>
            <w:hideMark/>
          </w:tcPr>
          <w:p w14:paraId="7BB70C6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w:t>
            </w:r>
          </w:p>
        </w:tc>
        <w:tc>
          <w:tcPr>
            <w:tcW w:w="1300" w:type="dxa"/>
            <w:noWrap/>
            <w:hideMark/>
          </w:tcPr>
          <w:p w14:paraId="38637D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8486.43</w:t>
            </w:r>
          </w:p>
        </w:tc>
        <w:tc>
          <w:tcPr>
            <w:tcW w:w="1540" w:type="dxa"/>
            <w:hideMark/>
          </w:tcPr>
          <w:p w14:paraId="5BCB8BB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0.98</w:t>
            </w:r>
          </w:p>
        </w:tc>
        <w:tc>
          <w:tcPr>
            <w:tcW w:w="1180" w:type="dxa"/>
            <w:hideMark/>
          </w:tcPr>
          <w:p w14:paraId="2ABC4FB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154ADD9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5B61B09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42CCCB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2-A-670-1</w:t>
            </w:r>
          </w:p>
        </w:tc>
        <w:tc>
          <w:tcPr>
            <w:tcW w:w="1180" w:type="dxa"/>
            <w:noWrap/>
            <w:hideMark/>
          </w:tcPr>
          <w:p w14:paraId="65B63F4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191.16</w:t>
            </w:r>
          </w:p>
        </w:tc>
        <w:tc>
          <w:tcPr>
            <w:tcW w:w="1560" w:type="dxa"/>
            <w:hideMark/>
          </w:tcPr>
          <w:p w14:paraId="1BA571F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c>
          <w:tcPr>
            <w:tcW w:w="1240" w:type="dxa"/>
            <w:noWrap/>
            <w:hideMark/>
          </w:tcPr>
          <w:p w14:paraId="3512B46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16.75</w:t>
            </w:r>
          </w:p>
        </w:tc>
        <w:tc>
          <w:tcPr>
            <w:tcW w:w="1560" w:type="dxa"/>
            <w:hideMark/>
          </w:tcPr>
          <w:p w14:paraId="29A0984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0.88</w:t>
            </w:r>
          </w:p>
        </w:tc>
        <w:tc>
          <w:tcPr>
            <w:tcW w:w="1300" w:type="dxa"/>
            <w:noWrap/>
            <w:hideMark/>
          </w:tcPr>
          <w:p w14:paraId="10FFD8F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8473.93</w:t>
            </w:r>
          </w:p>
        </w:tc>
        <w:tc>
          <w:tcPr>
            <w:tcW w:w="1540" w:type="dxa"/>
            <w:hideMark/>
          </w:tcPr>
          <w:p w14:paraId="4232E2B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0.99</w:t>
            </w:r>
          </w:p>
        </w:tc>
        <w:tc>
          <w:tcPr>
            <w:tcW w:w="1180" w:type="dxa"/>
            <w:hideMark/>
          </w:tcPr>
          <w:p w14:paraId="352FF9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0C956C2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59AE09A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DC1383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2-B-010-1</w:t>
            </w:r>
          </w:p>
        </w:tc>
        <w:tc>
          <w:tcPr>
            <w:tcW w:w="1180" w:type="dxa"/>
            <w:hideMark/>
          </w:tcPr>
          <w:p w14:paraId="0896BD9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215.85</w:t>
            </w:r>
          </w:p>
        </w:tc>
        <w:tc>
          <w:tcPr>
            <w:tcW w:w="1560" w:type="dxa"/>
            <w:hideMark/>
          </w:tcPr>
          <w:p w14:paraId="19F456B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1.20</w:t>
            </w:r>
          </w:p>
        </w:tc>
        <w:tc>
          <w:tcPr>
            <w:tcW w:w="1240" w:type="dxa"/>
            <w:hideMark/>
          </w:tcPr>
          <w:p w14:paraId="4DAFBD4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24.54</w:t>
            </w:r>
          </w:p>
        </w:tc>
        <w:tc>
          <w:tcPr>
            <w:tcW w:w="1560" w:type="dxa"/>
            <w:hideMark/>
          </w:tcPr>
          <w:p w14:paraId="69FCAD2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1.33</w:t>
            </w:r>
          </w:p>
        </w:tc>
        <w:tc>
          <w:tcPr>
            <w:tcW w:w="1300" w:type="dxa"/>
            <w:hideMark/>
          </w:tcPr>
          <w:p w14:paraId="1D8C582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6102.13</w:t>
            </w:r>
          </w:p>
        </w:tc>
        <w:tc>
          <w:tcPr>
            <w:tcW w:w="1540" w:type="dxa"/>
            <w:hideMark/>
          </w:tcPr>
          <w:p w14:paraId="2C1EFB4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0.69</w:t>
            </w:r>
          </w:p>
        </w:tc>
        <w:tc>
          <w:tcPr>
            <w:tcW w:w="1180" w:type="dxa"/>
            <w:hideMark/>
          </w:tcPr>
          <w:p w14:paraId="3B9BB4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5.73</w:t>
            </w:r>
          </w:p>
        </w:tc>
        <w:tc>
          <w:tcPr>
            <w:tcW w:w="1440" w:type="dxa"/>
            <w:hideMark/>
          </w:tcPr>
          <w:p w14:paraId="5F584DD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0.76</w:t>
            </w:r>
          </w:p>
        </w:tc>
      </w:tr>
      <w:tr w:rsidR="00302953" w:rsidRPr="00770477" w14:paraId="3C20E8E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4B4B3B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2-B-040-1</w:t>
            </w:r>
          </w:p>
        </w:tc>
        <w:tc>
          <w:tcPr>
            <w:tcW w:w="1180" w:type="dxa"/>
            <w:hideMark/>
          </w:tcPr>
          <w:p w14:paraId="235E625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199.38</w:t>
            </w:r>
          </w:p>
        </w:tc>
        <w:tc>
          <w:tcPr>
            <w:tcW w:w="1560" w:type="dxa"/>
            <w:hideMark/>
          </w:tcPr>
          <w:p w14:paraId="76EFAA0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w:t>
            </w:r>
          </w:p>
        </w:tc>
        <w:tc>
          <w:tcPr>
            <w:tcW w:w="1240" w:type="dxa"/>
            <w:hideMark/>
          </w:tcPr>
          <w:p w14:paraId="635AA32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21.72</w:t>
            </w:r>
          </w:p>
        </w:tc>
        <w:tc>
          <w:tcPr>
            <w:tcW w:w="1560" w:type="dxa"/>
            <w:hideMark/>
          </w:tcPr>
          <w:p w14:paraId="2731526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1.18</w:t>
            </w:r>
          </w:p>
        </w:tc>
        <w:tc>
          <w:tcPr>
            <w:tcW w:w="1300" w:type="dxa"/>
            <w:hideMark/>
          </w:tcPr>
          <w:p w14:paraId="2A33075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6388.92</w:t>
            </w:r>
          </w:p>
        </w:tc>
        <w:tc>
          <w:tcPr>
            <w:tcW w:w="1540" w:type="dxa"/>
            <w:hideMark/>
          </w:tcPr>
          <w:p w14:paraId="02AD913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0.72</w:t>
            </w:r>
          </w:p>
        </w:tc>
        <w:tc>
          <w:tcPr>
            <w:tcW w:w="1180" w:type="dxa"/>
            <w:hideMark/>
          </w:tcPr>
          <w:p w14:paraId="57A8A11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7.35</w:t>
            </w:r>
          </w:p>
        </w:tc>
        <w:tc>
          <w:tcPr>
            <w:tcW w:w="1440" w:type="dxa"/>
            <w:hideMark/>
          </w:tcPr>
          <w:p w14:paraId="7B385BA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0.97</w:t>
            </w:r>
          </w:p>
        </w:tc>
      </w:tr>
      <w:tr w:rsidR="00302953" w:rsidRPr="00770477" w14:paraId="16E3212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5942B5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2-B-090-1</w:t>
            </w:r>
          </w:p>
        </w:tc>
        <w:tc>
          <w:tcPr>
            <w:tcW w:w="1180" w:type="dxa"/>
            <w:hideMark/>
          </w:tcPr>
          <w:p w14:paraId="30500D7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186.36</w:t>
            </w:r>
          </w:p>
        </w:tc>
        <w:tc>
          <w:tcPr>
            <w:tcW w:w="1560" w:type="dxa"/>
            <w:hideMark/>
          </w:tcPr>
          <w:p w14:paraId="0A2051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w:t>
            </w:r>
          </w:p>
        </w:tc>
        <w:tc>
          <w:tcPr>
            <w:tcW w:w="1240" w:type="dxa"/>
            <w:hideMark/>
          </w:tcPr>
          <w:p w14:paraId="14D76D9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19.95</w:t>
            </w:r>
          </w:p>
        </w:tc>
        <w:tc>
          <w:tcPr>
            <w:tcW w:w="1560" w:type="dxa"/>
            <w:hideMark/>
          </w:tcPr>
          <w:p w14:paraId="2792FFF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w:t>
            </w:r>
          </w:p>
        </w:tc>
        <w:tc>
          <w:tcPr>
            <w:tcW w:w="1300" w:type="dxa"/>
            <w:hideMark/>
          </w:tcPr>
          <w:p w14:paraId="4D72414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6431.69</w:t>
            </w:r>
          </w:p>
        </w:tc>
        <w:tc>
          <w:tcPr>
            <w:tcW w:w="1540" w:type="dxa"/>
            <w:hideMark/>
          </w:tcPr>
          <w:p w14:paraId="333E3FF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0.73</w:t>
            </w:r>
          </w:p>
        </w:tc>
        <w:tc>
          <w:tcPr>
            <w:tcW w:w="1180" w:type="dxa"/>
            <w:hideMark/>
          </w:tcPr>
          <w:p w14:paraId="7629C3E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8.52</w:t>
            </w:r>
          </w:p>
        </w:tc>
        <w:tc>
          <w:tcPr>
            <w:tcW w:w="1440" w:type="dxa"/>
            <w:hideMark/>
          </w:tcPr>
          <w:p w14:paraId="3B4D131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1.13</w:t>
            </w:r>
          </w:p>
        </w:tc>
      </w:tr>
      <w:tr w:rsidR="00302953" w:rsidRPr="00770477" w14:paraId="37213EC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27C3C1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2-B-090-2</w:t>
            </w:r>
          </w:p>
        </w:tc>
        <w:tc>
          <w:tcPr>
            <w:tcW w:w="1180" w:type="dxa"/>
            <w:hideMark/>
          </w:tcPr>
          <w:p w14:paraId="131A5DE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183.13</w:t>
            </w:r>
          </w:p>
        </w:tc>
        <w:tc>
          <w:tcPr>
            <w:tcW w:w="1560" w:type="dxa"/>
            <w:hideMark/>
          </w:tcPr>
          <w:p w14:paraId="75904F8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w:t>
            </w:r>
          </w:p>
        </w:tc>
        <w:tc>
          <w:tcPr>
            <w:tcW w:w="1240" w:type="dxa"/>
            <w:hideMark/>
          </w:tcPr>
          <w:p w14:paraId="3C49247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19.62</w:t>
            </w:r>
          </w:p>
        </w:tc>
        <w:tc>
          <w:tcPr>
            <w:tcW w:w="1560" w:type="dxa"/>
            <w:hideMark/>
          </w:tcPr>
          <w:p w14:paraId="5D08213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w:t>
            </w:r>
          </w:p>
        </w:tc>
        <w:tc>
          <w:tcPr>
            <w:tcW w:w="1300" w:type="dxa"/>
            <w:hideMark/>
          </w:tcPr>
          <w:p w14:paraId="1BEF728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6362.09</w:t>
            </w:r>
          </w:p>
        </w:tc>
        <w:tc>
          <w:tcPr>
            <w:tcW w:w="1540" w:type="dxa"/>
            <w:hideMark/>
          </w:tcPr>
          <w:p w14:paraId="4C0A8C2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0.72</w:t>
            </w:r>
          </w:p>
        </w:tc>
        <w:tc>
          <w:tcPr>
            <w:tcW w:w="1180" w:type="dxa"/>
            <w:hideMark/>
          </w:tcPr>
          <w:p w14:paraId="4BB064F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9.17</w:t>
            </w:r>
          </w:p>
        </w:tc>
        <w:tc>
          <w:tcPr>
            <w:tcW w:w="1440" w:type="dxa"/>
            <w:hideMark/>
          </w:tcPr>
          <w:p w14:paraId="491EA15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1.21</w:t>
            </w:r>
          </w:p>
        </w:tc>
      </w:tr>
      <w:tr w:rsidR="00302953" w:rsidRPr="00770477" w14:paraId="50E4782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171676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2-B-160-1</w:t>
            </w:r>
          </w:p>
        </w:tc>
        <w:tc>
          <w:tcPr>
            <w:tcW w:w="1180" w:type="dxa"/>
            <w:hideMark/>
          </w:tcPr>
          <w:p w14:paraId="4697B1F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183.71</w:t>
            </w:r>
          </w:p>
        </w:tc>
        <w:tc>
          <w:tcPr>
            <w:tcW w:w="1560" w:type="dxa"/>
            <w:hideMark/>
          </w:tcPr>
          <w:p w14:paraId="4493B7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0.96</w:t>
            </w:r>
          </w:p>
        </w:tc>
        <w:tc>
          <w:tcPr>
            <w:tcW w:w="1240" w:type="dxa"/>
            <w:hideMark/>
          </w:tcPr>
          <w:p w14:paraId="71F1019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19.24</w:t>
            </w:r>
          </w:p>
        </w:tc>
        <w:tc>
          <w:tcPr>
            <w:tcW w:w="1560" w:type="dxa"/>
            <w:hideMark/>
          </w:tcPr>
          <w:p w14:paraId="45D665F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0.99</w:t>
            </w:r>
          </w:p>
        </w:tc>
        <w:tc>
          <w:tcPr>
            <w:tcW w:w="1300" w:type="dxa"/>
            <w:hideMark/>
          </w:tcPr>
          <w:p w14:paraId="4D121DB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6420.89</w:t>
            </w:r>
          </w:p>
        </w:tc>
        <w:tc>
          <w:tcPr>
            <w:tcW w:w="1540" w:type="dxa"/>
            <w:hideMark/>
          </w:tcPr>
          <w:p w14:paraId="4B0B4B7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0.73</w:t>
            </w:r>
          </w:p>
        </w:tc>
        <w:tc>
          <w:tcPr>
            <w:tcW w:w="1180" w:type="dxa"/>
            <w:hideMark/>
          </w:tcPr>
          <w:p w14:paraId="0B5B582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9.16</w:t>
            </w:r>
          </w:p>
        </w:tc>
        <w:tc>
          <w:tcPr>
            <w:tcW w:w="1440" w:type="dxa"/>
            <w:hideMark/>
          </w:tcPr>
          <w:p w14:paraId="4A52431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1.21</w:t>
            </w:r>
          </w:p>
        </w:tc>
      </w:tr>
      <w:tr w:rsidR="00302953" w:rsidRPr="00770477" w14:paraId="107AF33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7E3911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2-B-160-2</w:t>
            </w:r>
          </w:p>
        </w:tc>
        <w:tc>
          <w:tcPr>
            <w:tcW w:w="1180" w:type="dxa"/>
            <w:hideMark/>
          </w:tcPr>
          <w:p w14:paraId="20412BE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178.82</w:t>
            </w:r>
          </w:p>
        </w:tc>
        <w:tc>
          <w:tcPr>
            <w:tcW w:w="1560" w:type="dxa"/>
            <w:hideMark/>
          </w:tcPr>
          <w:p w14:paraId="7F3DA72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0.94</w:t>
            </w:r>
          </w:p>
        </w:tc>
        <w:tc>
          <w:tcPr>
            <w:tcW w:w="1240" w:type="dxa"/>
            <w:hideMark/>
          </w:tcPr>
          <w:p w14:paraId="7B43C2B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18.70</w:t>
            </w:r>
          </w:p>
        </w:tc>
        <w:tc>
          <w:tcPr>
            <w:tcW w:w="1560" w:type="dxa"/>
            <w:hideMark/>
          </w:tcPr>
          <w:p w14:paraId="7191BE1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0.96</w:t>
            </w:r>
          </w:p>
        </w:tc>
        <w:tc>
          <w:tcPr>
            <w:tcW w:w="1300" w:type="dxa"/>
            <w:hideMark/>
          </w:tcPr>
          <w:p w14:paraId="7F359F6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6173.99</w:t>
            </w:r>
          </w:p>
        </w:tc>
        <w:tc>
          <w:tcPr>
            <w:tcW w:w="1540" w:type="dxa"/>
            <w:hideMark/>
          </w:tcPr>
          <w:p w14:paraId="47318E7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0.70</w:t>
            </w:r>
          </w:p>
        </w:tc>
        <w:tc>
          <w:tcPr>
            <w:tcW w:w="1180" w:type="dxa"/>
            <w:hideMark/>
          </w:tcPr>
          <w:p w14:paraId="5333F0F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8.66</w:t>
            </w:r>
          </w:p>
        </w:tc>
        <w:tc>
          <w:tcPr>
            <w:tcW w:w="1440" w:type="dxa"/>
            <w:hideMark/>
          </w:tcPr>
          <w:p w14:paraId="0AAFAC8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1.15</w:t>
            </w:r>
          </w:p>
        </w:tc>
      </w:tr>
      <w:tr w:rsidR="00302953" w:rsidRPr="00770477" w14:paraId="71C7659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7D0561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2-B-270-1</w:t>
            </w:r>
          </w:p>
        </w:tc>
        <w:tc>
          <w:tcPr>
            <w:tcW w:w="1180" w:type="dxa"/>
            <w:noWrap/>
            <w:hideMark/>
          </w:tcPr>
          <w:p w14:paraId="6E83D8D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195.84</w:t>
            </w:r>
          </w:p>
        </w:tc>
        <w:tc>
          <w:tcPr>
            <w:tcW w:w="1560" w:type="dxa"/>
            <w:hideMark/>
          </w:tcPr>
          <w:p w14:paraId="5323AA0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w:t>
            </w:r>
          </w:p>
        </w:tc>
        <w:tc>
          <w:tcPr>
            <w:tcW w:w="1240" w:type="dxa"/>
            <w:noWrap/>
            <w:hideMark/>
          </w:tcPr>
          <w:p w14:paraId="1A3F495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19.93</w:t>
            </w:r>
          </w:p>
        </w:tc>
        <w:tc>
          <w:tcPr>
            <w:tcW w:w="1560" w:type="dxa"/>
            <w:hideMark/>
          </w:tcPr>
          <w:p w14:paraId="08ECF37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w:t>
            </w:r>
          </w:p>
        </w:tc>
        <w:tc>
          <w:tcPr>
            <w:tcW w:w="1300" w:type="dxa"/>
            <w:noWrap/>
            <w:hideMark/>
          </w:tcPr>
          <w:p w14:paraId="054598F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8398.45</w:t>
            </w:r>
          </w:p>
        </w:tc>
        <w:tc>
          <w:tcPr>
            <w:tcW w:w="1540" w:type="dxa"/>
            <w:hideMark/>
          </w:tcPr>
          <w:p w14:paraId="5A0A090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0.96</w:t>
            </w:r>
          </w:p>
        </w:tc>
        <w:tc>
          <w:tcPr>
            <w:tcW w:w="1180" w:type="dxa"/>
            <w:hideMark/>
          </w:tcPr>
          <w:p w14:paraId="4E0A494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7BAB32C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74428E9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9912A5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2-B-430-1</w:t>
            </w:r>
          </w:p>
        </w:tc>
        <w:tc>
          <w:tcPr>
            <w:tcW w:w="1180" w:type="dxa"/>
            <w:noWrap/>
            <w:hideMark/>
          </w:tcPr>
          <w:p w14:paraId="21125FB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205.75</w:t>
            </w:r>
          </w:p>
        </w:tc>
        <w:tc>
          <w:tcPr>
            <w:tcW w:w="1560" w:type="dxa"/>
            <w:hideMark/>
          </w:tcPr>
          <w:p w14:paraId="58EFB37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1.13</w:t>
            </w:r>
          </w:p>
        </w:tc>
        <w:tc>
          <w:tcPr>
            <w:tcW w:w="1240" w:type="dxa"/>
            <w:noWrap/>
            <w:hideMark/>
          </w:tcPr>
          <w:p w14:paraId="7EC4EC5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20.16</w:t>
            </w:r>
          </w:p>
        </w:tc>
        <w:tc>
          <w:tcPr>
            <w:tcW w:w="1560" w:type="dxa"/>
            <w:hideMark/>
          </w:tcPr>
          <w:p w14:paraId="63AAC49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w:t>
            </w:r>
          </w:p>
        </w:tc>
        <w:tc>
          <w:tcPr>
            <w:tcW w:w="1300" w:type="dxa"/>
            <w:noWrap/>
            <w:hideMark/>
          </w:tcPr>
          <w:p w14:paraId="2944440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8612.41</w:t>
            </w:r>
          </w:p>
        </w:tc>
        <w:tc>
          <w:tcPr>
            <w:tcW w:w="1540" w:type="dxa"/>
            <w:hideMark/>
          </w:tcPr>
          <w:p w14:paraId="3AF16C7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0.99</w:t>
            </w:r>
          </w:p>
        </w:tc>
        <w:tc>
          <w:tcPr>
            <w:tcW w:w="1180" w:type="dxa"/>
            <w:hideMark/>
          </w:tcPr>
          <w:p w14:paraId="5ADC1C5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4937945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1828BB3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8643D0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2-B-670-1</w:t>
            </w:r>
          </w:p>
        </w:tc>
        <w:tc>
          <w:tcPr>
            <w:tcW w:w="1180" w:type="dxa"/>
            <w:noWrap/>
            <w:hideMark/>
          </w:tcPr>
          <w:p w14:paraId="7885DBD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190.77</w:t>
            </w:r>
          </w:p>
        </w:tc>
        <w:tc>
          <w:tcPr>
            <w:tcW w:w="1560" w:type="dxa"/>
            <w:hideMark/>
          </w:tcPr>
          <w:p w14:paraId="424F4D4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c>
          <w:tcPr>
            <w:tcW w:w="1240" w:type="dxa"/>
            <w:noWrap/>
            <w:hideMark/>
          </w:tcPr>
          <w:p w14:paraId="775366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18.58</w:t>
            </w:r>
          </w:p>
        </w:tc>
        <w:tc>
          <w:tcPr>
            <w:tcW w:w="1560" w:type="dxa"/>
            <w:hideMark/>
          </w:tcPr>
          <w:p w14:paraId="55844CC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0.98</w:t>
            </w:r>
          </w:p>
        </w:tc>
        <w:tc>
          <w:tcPr>
            <w:tcW w:w="1300" w:type="dxa"/>
            <w:noWrap/>
            <w:hideMark/>
          </w:tcPr>
          <w:p w14:paraId="4F8151C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8606.87</w:t>
            </w:r>
          </w:p>
        </w:tc>
        <w:tc>
          <w:tcPr>
            <w:tcW w:w="1540" w:type="dxa"/>
            <w:hideMark/>
          </w:tcPr>
          <w:p w14:paraId="2F2ABB4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80" w:type="dxa"/>
            <w:hideMark/>
          </w:tcPr>
          <w:p w14:paraId="155E411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5BF3199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5597844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DA2601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2-C-010-1</w:t>
            </w:r>
          </w:p>
        </w:tc>
        <w:tc>
          <w:tcPr>
            <w:tcW w:w="1180" w:type="dxa"/>
            <w:hideMark/>
          </w:tcPr>
          <w:p w14:paraId="094DB7B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466.04</w:t>
            </w:r>
          </w:p>
        </w:tc>
        <w:tc>
          <w:tcPr>
            <w:tcW w:w="1560" w:type="dxa"/>
            <w:hideMark/>
          </w:tcPr>
          <w:p w14:paraId="058D9B1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2.60</w:t>
            </w:r>
          </w:p>
        </w:tc>
        <w:tc>
          <w:tcPr>
            <w:tcW w:w="1240" w:type="dxa"/>
            <w:hideMark/>
          </w:tcPr>
          <w:p w14:paraId="24843A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4.91</w:t>
            </w:r>
          </w:p>
        </w:tc>
        <w:tc>
          <w:tcPr>
            <w:tcW w:w="1560" w:type="dxa"/>
            <w:hideMark/>
          </w:tcPr>
          <w:p w14:paraId="7FC1EC0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0.27</w:t>
            </w:r>
          </w:p>
        </w:tc>
        <w:tc>
          <w:tcPr>
            <w:tcW w:w="1300" w:type="dxa"/>
            <w:hideMark/>
          </w:tcPr>
          <w:p w14:paraId="4D884A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6746.00</w:t>
            </w:r>
          </w:p>
        </w:tc>
        <w:tc>
          <w:tcPr>
            <w:tcW w:w="1540" w:type="dxa"/>
            <w:hideMark/>
          </w:tcPr>
          <w:p w14:paraId="00AA129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0.76</w:t>
            </w:r>
          </w:p>
        </w:tc>
        <w:tc>
          <w:tcPr>
            <w:tcW w:w="1180" w:type="dxa"/>
            <w:hideMark/>
          </w:tcPr>
          <w:p w14:paraId="17989B6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4.19</w:t>
            </w:r>
          </w:p>
        </w:tc>
        <w:tc>
          <w:tcPr>
            <w:tcW w:w="1440" w:type="dxa"/>
            <w:hideMark/>
          </w:tcPr>
          <w:p w14:paraId="548D8E4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0.55</w:t>
            </w:r>
          </w:p>
        </w:tc>
      </w:tr>
      <w:tr w:rsidR="00302953" w:rsidRPr="00770477" w14:paraId="3D00B1B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0B9A6F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2-C-040-1</w:t>
            </w:r>
          </w:p>
        </w:tc>
        <w:tc>
          <w:tcPr>
            <w:tcW w:w="1180" w:type="dxa"/>
            <w:hideMark/>
          </w:tcPr>
          <w:p w14:paraId="5D46A35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507.15</w:t>
            </w:r>
          </w:p>
        </w:tc>
        <w:tc>
          <w:tcPr>
            <w:tcW w:w="1560" w:type="dxa"/>
            <w:hideMark/>
          </w:tcPr>
          <w:p w14:paraId="79F57CD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2.83</w:t>
            </w:r>
          </w:p>
        </w:tc>
        <w:tc>
          <w:tcPr>
            <w:tcW w:w="1240" w:type="dxa"/>
            <w:hideMark/>
          </w:tcPr>
          <w:p w14:paraId="59C28F4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5.00</w:t>
            </w:r>
          </w:p>
        </w:tc>
        <w:tc>
          <w:tcPr>
            <w:tcW w:w="1560" w:type="dxa"/>
            <w:hideMark/>
          </w:tcPr>
          <w:p w14:paraId="17FF94E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0.27</w:t>
            </w:r>
          </w:p>
        </w:tc>
        <w:tc>
          <w:tcPr>
            <w:tcW w:w="1300" w:type="dxa"/>
            <w:hideMark/>
          </w:tcPr>
          <w:p w14:paraId="430009E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6806.67</w:t>
            </w:r>
          </w:p>
        </w:tc>
        <w:tc>
          <w:tcPr>
            <w:tcW w:w="1540" w:type="dxa"/>
            <w:hideMark/>
          </w:tcPr>
          <w:p w14:paraId="7389C92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0.77</w:t>
            </w:r>
          </w:p>
        </w:tc>
        <w:tc>
          <w:tcPr>
            <w:tcW w:w="1180" w:type="dxa"/>
            <w:hideMark/>
          </w:tcPr>
          <w:p w14:paraId="07F6A0E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4.47</w:t>
            </w:r>
          </w:p>
        </w:tc>
        <w:tc>
          <w:tcPr>
            <w:tcW w:w="1440" w:type="dxa"/>
            <w:hideMark/>
          </w:tcPr>
          <w:p w14:paraId="1B879F8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0.59</w:t>
            </w:r>
          </w:p>
        </w:tc>
      </w:tr>
      <w:tr w:rsidR="00302953" w:rsidRPr="00770477" w14:paraId="1BC2116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EADF2D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2-C-090-1</w:t>
            </w:r>
          </w:p>
        </w:tc>
        <w:tc>
          <w:tcPr>
            <w:tcW w:w="1180" w:type="dxa"/>
            <w:hideMark/>
          </w:tcPr>
          <w:p w14:paraId="5249577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554.65</w:t>
            </w:r>
          </w:p>
        </w:tc>
        <w:tc>
          <w:tcPr>
            <w:tcW w:w="1560" w:type="dxa"/>
            <w:hideMark/>
          </w:tcPr>
          <w:p w14:paraId="62ADC07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3.09</w:t>
            </w:r>
          </w:p>
        </w:tc>
        <w:tc>
          <w:tcPr>
            <w:tcW w:w="1240" w:type="dxa"/>
            <w:hideMark/>
          </w:tcPr>
          <w:p w14:paraId="3EBD19E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5.13</w:t>
            </w:r>
          </w:p>
        </w:tc>
        <w:tc>
          <w:tcPr>
            <w:tcW w:w="1560" w:type="dxa"/>
            <w:hideMark/>
          </w:tcPr>
          <w:p w14:paraId="77968A4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0.28</w:t>
            </w:r>
          </w:p>
        </w:tc>
        <w:tc>
          <w:tcPr>
            <w:tcW w:w="1300" w:type="dxa"/>
            <w:hideMark/>
          </w:tcPr>
          <w:p w14:paraId="6542BE5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6476.72</w:t>
            </w:r>
          </w:p>
        </w:tc>
        <w:tc>
          <w:tcPr>
            <w:tcW w:w="1540" w:type="dxa"/>
            <w:hideMark/>
          </w:tcPr>
          <w:p w14:paraId="4C8C406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0.73</w:t>
            </w:r>
          </w:p>
        </w:tc>
        <w:tc>
          <w:tcPr>
            <w:tcW w:w="1180" w:type="dxa"/>
            <w:hideMark/>
          </w:tcPr>
          <w:p w14:paraId="3B8FAFD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3.79</w:t>
            </w:r>
          </w:p>
        </w:tc>
        <w:tc>
          <w:tcPr>
            <w:tcW w:w="1440" w:type="dxa"/>
            <w:hideMark/>
          </w:tcPr>
          <w:p w14:paraId="1259D80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0.50</w:t>
            </w:r>
          </w:p>
        </w:tc>
      </w:tr>
      <w:tr w:rsidR="00302953" w:rsidRPr="00770477" w14:paraId="4C06FC8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F21D24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2-C-160-1</w:t>
            </w:r>
          </w:p>
        </w:tc>
        <w:tc>
          <w:tcPr>
            <w:tcW w:w="1180" w:type="dxa"/>
            <w:hideMark/>
          </w:tcPr>
          <w:p w14:paraId="4F8E2E9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568.46</w:t>
            </w:r>
          </w:p>
        </w:tc>
        <w:tc>
          <w:tcPr>
            <w:tcW w:w="1560" w:type="dxa"/>
            <w:hideMark/>
          </w:tcPr>
          <w:p w14:paraId="1C9F181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2.97</w:t>
            </w:r>
          </w:p>
        </w:tc>
        <w:tc>
          <w:tcPr>
            <w:tcW w:w="1240" w:type="dxa"/>
            <w:hideMark/>
          </w:tcPr>
          <w:p w14:paraId="1E6B5EF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5.31</w:t>
            </w:r>
          </w:p>
        </w:tc>
        <w:tc>
          <w:tcPr>
            <w:tcW w:w="1560" w:type="dxa"/>
            <w:hideMark/>
          </w:tcPr>
          <w:p w14:paraId="182781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0.27</w:t>
            </w:r>
          </w:p>
        </w:tc>
        <w:tc>
          <w:tcPr>
            <w:tcW w:w="1300" w:type="dxa"/>
            <w:hideMark/>
          </w:tcPr>
          <w:p w14:paraId="3E8CB13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6494.04</w:t>
            </w:r>
          </w:p>
        </w:tc>
        <w:tc>
          <w:tcPr>
            <w:tcW w:w="1540" w:type="dxa"/>
            <w:hideMark/>
          </w:tcPr>
          <w:p w14:paraId="3677917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0.74</w:t>
            </w:r>
          </w:p>
        </w:tc>
        <w:tc>
          <w:tcPr>
            <w:tcW w:w="1180" w:type="dxa"/>
            <w:hideMark/>
          </w:tcPr>
          <w:p w14:paraId="2414D0E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3.81</w:t>
            </w:r>
          </w:p>
        </w:tc>
        <w:tc>
          <w:tcPr>
            <w:tcW w:w="1440" w:type="dxa"/>
            <w:hideMark/>
          </w:tcPr>
          <w:p w14:paraId="4D9E469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0.50</w:t>
            </w:r>
          </w:p>
        </w:tc>
      </w:tr>
      <w:tr w:rsidR="00302953" w:rsidRPr="00770477" w14:paraId="1CD1ABD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313841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2-C-270-1</w:t>
            </w:r>
          </w:p>
        </w:tc>
        <w:tc>
          <w:tcPr>
            <w:tcW w:w="1180" w:type="dxa"/>
            <w:noWrap/>
            <w:hideMark/>
          </w:tcPr>
          <w:p w14:paraId="5EBE47A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610.95</w:t>
            </w:r>
          </w:p>
        </w:tc>
        <w:tc>
          <w:tcPr>
            <w:tcW w:w="1560" w:type="dxa"/>
            <w:hideMark/>
          </w:tcPr>
          <w:p w14:paraId="44CFDCC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3.37</w:t>
            </w:r>
          </w:p>
        </w:tc>
        <w:tc>
          <w:tcPr>
            <w:tcW w:w="1240" w:type="dxa"/>
            <w:noWrap/>
            <w:hideMark/>
          </w:tcPr>
          <w:p w14:paraId="7556D6C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5.93</w:t>
            </w:r>
          </w:p>
        </w:tc>
        <w:tc>
          <w:tcPr>
            <w:tcW w:w="1560" w:type="dxa"/>
            <w:hideMark/>
          </w:tcPr>
          <w:p w14:paraId="1F7B5C0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0.32</w:t>
            </w:r>
          </w:p>
        </w:tc>
        <w:tc>
          <w:tcPr>
            <w:tcW w:w="1300" w:type="dxa"/>
            <w:noWrap/>
            <w:hideMark/>
          </w:tcPr>
          <w:p w14:paraId="5A854AA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8505.48</w:t>
            </w:r>
          </w:p>
        </w:tc>
        <w:tc>
          <w:tcPr>
            <w:tcW w:w="1540" w:type="dxa"/>
            <w:hideMark/>
          </w:tcPr>
          <w:p w14:paraId="468D128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0.97</w:t>
            </w:r>
          </w:p>
        </w:tc>
        <w:tc>
          <w:tcPr>
            <w:tcW w:w="1180" w:type="dxa"/>
            <w:hideMark/>
          </w:tcPr>
          <w:p w14:paraId="2D0B96B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30A09DC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1AE6BF0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2BA3B1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2-C-270-2</w:t>
            </w:r>
          </w:p>
        </w:tc>
        <w:tc>
          <w:tcPr>
            <w:tcW w:w="1180" w:type="dxa"/>
            <w:noWrap/>
            <w:hideMark/>
          </w:tcPr>
          <w:p w14:paraId="2D7894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614.22</w:t>
            </w:r>
          </w:p>
        </w:tc>
        <w:tc>
          <w:tcPr>
            <w:tcW w:w="1560" w:type="dxa"/>
            <w:hideMark/>
          </w:tcPr>
          <w:p w14:paraId="05D77C2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3.39</w:t>
            </w:r>
          </w:p>
        </w:tc>
        <w:tc>
          <w:tcPr>
            <w:tcW w:w="1240" w:type="dxa"/>
            <w:noWrap/>
            <w:hideMark/>
          </w:tcPr>
          <w:p w14:paraId="36C18BB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5.80</w:t>
            </w:r>
          </w:p>
        </w:tc>
        <w:tc>
          <w:tcPr>
            <w:tcW w:w="1560" w:type="dxa"/>
            <w:hideMark/>
          </w:tcPr>
          <w:p w14:paraId="3A1935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0.31</w:t>
            </w:r>
          </w:p>
        </w:tc>
        <w:tc>
          <w:tcPr>
            <w:tcW w:w="1300" w:type="dxa"/>
            <w:noWrap/>
            <w:hideMark/>
          </w:tcPr>
          <w:p w14:paraId="7416456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8550.60</w:t>
            </w:r>
          </w:p>
        </w:tc>
        <w:tc>
          <w:tcPr>
            <w:tcW w:w="1540" w:type="dxa"/>
            <w:hideMark/>
          </w:tcPr>
          <w:p w14:paraId="1571C4B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0.98</w:t>
            </w:r>
          </w:p>
        </w:tc>
        <w:tc>
          <w:tcPr>
            <w:tcW w:w="1180" w:type="dxa"/>
            <w:hideMark/>
          </w:tcPr>
          <w:p w14:paraId="48950FE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198EEB5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48DB1BD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13B03E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2-C-430-1</w:t>
            </w:r>
          </w:p>
        </w:tc>
        <w:tc>
          <w:tcPr>
            <w:tcW w:w="1180" w:type="dxa"/>
            <w:noWrap/>
            <w:hideMark/>
          </w:tcPr>
          <w:p w14:paraId="70125E2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644.28</w:t>
            </w:r>
          </w:p>
        </w:tc>
        <w:tc>
          <w:tcPr>
            <w:tcW w:w="1560" w:type="dxa"/>
            <w:hideMark/>
          </w:tcPr>
          <w:p w14:paraId="0BB3142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3.53</w:t>
            </w:r>
          </w:p>
        </w:tc>
        <w:tc>
          <w:tcPr>
            <w:tcW w:w="1240" w:type="dxa"/>
            <w:noWrap/>
            <w:hideMark/>
          </w:tcPr>
          <w:p w14:paraId="7019CEB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6.57</w:t>
            </w:r>
          </w:p>
        </w:tc>
        <w:tc>
          <w:tcPr>
            <w:tcW w:w="1560" w:type="dxa"/>
            <w:hideMark/>
          </w:tcPr>
          <w:p w14:paraId="291B866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0.35</w:t>
            </w:r>
          </w:p>
        </w:tc>
        <w:tc>
          <w:tcPr>
            <w:tcW w:w="1300" w:type="dxa"/>
            <w:noWrap/>
            <w:hideMark/>
          </w:tcPr>
          <w:p w14:paraId="1FFF6A6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8822.02</w:t>
            </w:r>
          </w:p>
        </w:tc>
        <w:tc>
          <w:tcPr>
            <w:tcW w:w="1540" w:type="dxa"/>
            <w:hideMark/>
          </w:tcPr>
          <w:p w14:paraId="24A163C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w:t>
            </w:r>
          </w:p>
        </w:tc>
        <w:tc>
          <w:tcPr>
            <w:tcW w:w="1180" w:type="dxa"/>
            <w:hideMark/>
          </w:tcPr>
          <w:p w14:paraId="5E7DC73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1A51A2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037C1C0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8C8FD0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2-C-670-1</w:t>
            </w:r>
          </w:p>
        </w:tc>
        <w:tc>
          <w:tcPr>
            <w:tcW w:w="1180" w:type="dxa"/>
            <w:noWrap/>
            <w:hideMark/>
          </w:tcPr>
          <w:p w14:paraId="719EAB4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605.10</w:t>
            </w:r>
          </w:p>
        </w:tc>
        <w:tc>
          <w:tcPr>
            <w:tcW w:w="1560" w:type="dxa"/>
            <w:hideMark/>
          </w:tcPr>
          <w:p w14:paraId="6F1EEC6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3.33</w:t>
            </w:r>
          </w:p>
        </w:tc>
        <w:tc>
          <w:tcPr>
            <w:tcW w:w="1240" w:type="dxa"/>
            <w:noWrap/>
            <w:hideMark/>
          </w:tcPr>
          <w:p w14:paraId="105F610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5.15</w:t>
            </w:r>
          </w:p>
        </w:tc>
        <w:tc>
          <w:tcPr>
            <w:tcW w:w="1560" w:type="dxa"/>
            <w:hideMark/>
          </w:tcPr>
          <w:p w14:paraId="3619A23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0.27</w:t>
            </w:r>
          </w:p>
        </w:tc>
        <w:tc>
          <w:tcPr>
            <w:tcW w:w="1300" w:type="dxa"/>
            <w:noWrap/>
            <w:hideMark/>
          </w:tcPr>
          <w:p w14:paraId="1070973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8370.18</w:t>
            </w:r>
          </w:p>
        </w:tc>
        <w:tc>
          <w:tcPr>
            <w:tcW w:w="1540" w:type="dxa"/>
            <w:hideMark/>
          </w:tcPr>
          <w:p w14:paraId="4A66935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0.97</w:t>
            </w:r>
          </w:p>
        </w:tc>
        <w:tc>
          <w:tcPr>
            <w:tcW w:w="1180" w:type="dxa"/>
            <w:hideMark/>
          </w:tcPr>
          <w:p w14:paraId="5C2E5EF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79FD3F8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0731BAB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B4C12A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2-C-670-2</w:t>
            </w:r>
          </w:p>
        </w:tc>
        <w:tc>
          <w:tcPr>
            <w:tcW w:w="1180" w:type="dxa"/>
            <w:noWrap/>
            <w:hideMark/>
          </w:tcPr>
          <w:p w14:paraId="40758AC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614.72</w:t>
            </w:r>
          </w:p>
        </w:tc>
        <w:tc>
          <w:tcPr>
            <w:tcW w:w="1560" w:type="dxa"/>
            <w:hideMark/>
          </w:tcPr>
          <w:p w14:paraId="7858FD6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3.38</w:t>
            </w:r>
          </w:p>
        </w:tc>
        <w:tc>
          <w:tcPr>
            <w:tcW w:w="1240" w:type="dxa"/>
            <w:noWrap/>
            <w:hideMark/>
          </w:tcPr>
          <w:p w14:paraId="08FD685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5.79</w:t>
            </w:r>
          </w:p>
        </w:tc>
        <w:tc>
          <w:tcPr>
            <w:tcW w:w="1560" w:type="dxa"/>
            <w:hideMark/>
          </w:tcPr>
          <w:p w14:paraId="7C981C2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0.30</w:t>
            </w:r>
          </w:p>
        </w:tc>
        <w:tc>
          <w:tcPr>
            <w:tcW w:w="1300" w:type="dxa"/>
            <w:noWrap/>
            <w:hideMark/>
          </w:tcPr>
          <w:p w14:paraId="727DFD5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8474.35</w:t>
            </w:r>
          </w:p>
        </w:tc>
        <w:tc>
          <w:tcPr>
            <w:tcW w:w="1540" w:type="dxa"/>
            <w:hideMark/>
          </w:tcPr>
          <w:p w14:paraId="666D749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0.99</w:t>
            </w:r>
          </w:p>
        </w:tc>
        <w:tc>
          <w:tcPr>
            <w:tcW w:w="1180" w:type="dxa"/>
            <w:hideMark/>
          </w:tcPr>
          <w:p w14:paraId="101E60F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787A4EE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1CBFBC3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9D53E1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2-I-000-3</w:t>
            </w:r>
          </w:p>
        </w:tc>
        <w:tc>
          <w:tcPr>
            <w:tcW w:w="1180" w:type="dxa"/>
            <w:hideMark/>
          </w:tcPr>
          <w:p w14:paraId="24BB23D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170.81</w:t>
            </w:r>
          </w:p>
        </w:tc>
        <w:tc>
          <w:tcPr>
            <w:tcW w:w="1560" w:type="dxa"/>
            <w:hideMark/>
          </w:tcPr>
          <w:p w14:paraId="3A5AA6C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hideMark/>
          </w:tcPr>
          <w:p w14:paraId="42BCF88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17.72</w:t>
            </w:r>
          </w:p>
        </w:tc>
        <w:tc>
          <w:tcPr>
            <w:tcW w:w="1560" w:type="dxa"/>
            <w:hideMark/>
          </w:tcPr>
          <w:p w14:paraId="66985EB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7E775BD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8857.80</w:t>
            </w:r>
          </w:p>
        </w:tc>
        <w:tc>
          <w:tcPr>
            <w:tcW w:w="1540" w:type="dxa"/>
            <w:hideMark/>
          </w:tcPr>
          <w:p w14:paraId="440C1A0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80" w:type="dxa"/>
            <w:hideMark/>
          </w:tcPr>
          <w:p w14:paraId="1F4E87C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7.58</w:t>
            </w:r>
          </w:p>
        </w:tc>
        <w:tc>
          <w:tcPr>
            <w:tcW w:w="1440" w:type="dxa"/>
            <w:hideMark/>
          </w:tcPr>
          <w:p w14:paraId="22BBE1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69A6565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2A4510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2-I-160-3</w:t>
            </w:r>
          </w:p>
        </w:tc>
        <w:tc>
          <w:tcPr>
            <w:tcW w:w="1180" w:type="dxa"/>
            <w:noWrap/>
            <w:hideMark/>
          </w:tcPr>
          <w:p w14:paraId="74C4C1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191.19</w:t>
            </w:r>
          </w:p>
        </w:tc>
        <w:tc>
          <w:tcPr>
            <w:tcW w:w="1560" w:type="dxa"/>
            <w:hideMark/>
          </w:tcPr>
          <w:p w14:paraId="3B3D243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33A2B2E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19.52</w:t>
            </w:r>
          </w:p>
        </w:tc>
        <w:tc>
          <w:tcPr>
            <w:tcW w:w="1560" w:type="dxa"/>
            <w:hideMark/>
          </w:tcPr>
          <w:p w14:paraId="03B579B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640A633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8793.50</w:t>
            </w:r>
          </w:p>
        </w:tc>
        <w:tc>
          <w:tcPr>
            <w:tcW w:w="1540" w:type="dxa"/>
            <w:hideMark/>
          </w:tcPr>
          <w:p w14:paraId="7D8D7F6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80" w:type="dxa"/>
            <w:noWrap/>
            <w:hideMark/>
          </w:tcPr>
          <w:p w14:paraId="385EBD9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7.55</w:t>
            </w:r>
          </w:p>
        </w:tc>
        <w:tc>
          <w:tcPr>
            <w:tcW w:w="1440" w:type="dxa"/>
            <w:hideMark/>
          </w:tcPr>
          <w:p w14:paraId="259BEB8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2E8C529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D4AC3A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2-I-670-3</w:t>
            </w:r>
          </w:p>
        </w:tc>
        <w:tc>
          <w:tcPr>
            <w:tcW w:w="1180" w:type="dxa"/>
            <w:noWrap/>
            <w:hideMark/>
          </w:tcPr>
          <w:p w14:paraId="284006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181.88</w:t>
            </w:r>
          </w:p>
        </w:tc>
        <w:tc>
          <w:tcPr>
            <w:tcW w:w="1560" w:type="dxa"/>
            <w:hideMark/>
          </w:tcPr>
          <w:p w14:paraId="3B331A4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3283B4F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18.99</w:t>
            </w:r>
          </w:p>
        </w:tc>
        <w:tc>
          <w:tcPr>
            <w:tcW w:w="1560" w:type="dxa"/>
            <w:hideMark/>
          </w:tcPr>
          <w:p w14:paraId="01C230C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11D66CA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8588.61</w:t>
            </w:r>
          </w:p>
        </w:tc>
        <w:tc>
          <w:tcPr>
            <w:tcW w:w="1540" w:type="dxa"/>
            <w:hideMark/>
          </w:tcPr>
          <w:p w14:paraId="6A142B0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80" w:type="dxa"/>
            <w:noWrap/>
            <w:hideMark/>
          </w:tcPr>
          <w:p w14:paraId="22C27D0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7.43</w:t>
            </w:r>
          </w:p>
        </w:tc>
        <w:tc>
          <w:tcPr>
            <w:tcW w:w="1440" w:type="dxa"/>
            <w:hideMark/>
          </w:tcPr>
          <w:p w14:paraId="1A439A8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73C60EA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8481B2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10-A-0-1</w:t>
            </w:r>
          </w:p>
        </w:tc>
        <w:tc>
          <w:tcPr>
            <w:tcW w:w="1180" w:type="dxa"/>
            <w:noWrap/>
            <w:hideMark/>
          </w:tcPr>
          <w:p w14:paraId="614693E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19.29</w:t>
            </w:r>
          </w:p>
        </w:tc>
        <w:tc>
          <w:tcPr>
            <w:tcW w:w="1560" w:type="dxa"/>
            <w:hideMark/>
          </w:tcPr>
          <w:p w14:paraId="6BA45AC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0.11</w:t>
            </w:r>
          </w:p>
        </w:tc>
        <w:tc>
          <w:tcPr>
            <w:tcW w:w="1240" w:type="dxa"/>
            <w:hideMark/>
          </w:tcPr>
          <w:p w14:paraId="1B3C8DE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60" w:type="dxa"/>
            <w:hideMark/>
          </w:tcPr>
          <w:p w14:paraId="7D1C43C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406250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540" w:type="dxa"/>
            <w:hideMark/>
          </w:tcPr>
          <w:p w14:paraId="16AB222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180" w:type="dxa"/>
            <w:hideMark/>
          </w:tcPr>
          <w:p w14:paraId="3E4AB89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5397708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15849B5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02C8A9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10-A-1-1</w:t>
            </w:r>
          </w:p>
        </w:tc>
        <w:tc>
          <w:tcPr>
            <w:tcW w:w="1180" w:type="dxa"/>
            <w:noWrap/>
            <w:hideMark/>
          </w:tcPr>
          <w:p w14:paraId="17CE653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28.22</w:t>
            </w:r>
          </w:p>
        </w:tc>
        <w:tc>
          <w:tcPr>
            <w:tcW w:w="1560" w:type="dxa"/>
            <w:hideMark/>
          </w:tcPr>
          <w:p w14:paraId="640D504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0.16</w:t>
            </w:r>
          </w:p>
        </w:tc>
        <w:tc>
          <w:tcPr>
            <w:tcW w:w="1240" w:type="dxa"/>
            <w:noWrap/>
            <w:hideMark/>
          </w:tcPr>
          <w:p w14:paraId="6DCCE20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c>
          <w:tcPr>
            <w:tcW w:w="1560" w:type="dxa"/>
            <w:hideMark/>
          </w:tcPr>
          <w:p w14:paraId="6808B9A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0.01</w:t>
            </w:r>
          </w:p>
        </w:tc>
        <w:tc>
          <w:tcPr>
            <w:tcW w:w="1300" w:type="dxa"/>
            <w:noWrap/>
            <w:hideMark/>
          </w:tcPr>
          <w:p w14:paraId="31C8217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540" w:type="dxa"/>
            <w:hideMark/>
          </w:tcPr>
          <w:p w14:paraId="65B81F6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180" w:type="dxa"/>
            <w:hideMark/>
          </w:tcPr>
          <w:p w14:paraId="639A92F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3C048C3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0.11</w:t>
            </w:r>
          </w:p>
        </w:tc>
      </w:tr>
      <w:tr w:rsidR="00302953" w:rsidRPr="00770477" w14:paraId="7FC64E9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B48EFC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10-A-1-2</w:t>
            </w:r>
          </w:p>
        </w:tc>
        <w:tc>
          <w:tcPr>
            <w:tcW w:w="1180" w:type="dxa"/>
            <w:noWrap/>
            <w:hideMark/>
          </w:tcPr>
          <w:p w14:paraId="5823EA4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29.37</w:t>
            </w:r>
          </w:p>
        </w:tc>
        <w:tc>
          <w:tcPr>
            <w:tcW w:w="1560" w:type="dxa"/>
            <w:hideMark/>
          </w:tcPr>
          <w:p w14:paraId="74DF941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0.17</w:t>
            </w:r>
          </w:p>
        </w:tc>
        <w:tc>
          <w:tcPr>
            <w:tcW w:w="1240" w:type="dxa"/>
            <w:noWrap/>
            <w:hideMark/>
          </w:tcPr>
          <w:p w14:paraId="4040F83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c>
          <w:tcPr>
            <w:tcW w:w="1560" w:type="dxa"/>
            <w:hideMark/>
          </w:tcPr>
          <w:p w14:paraId="177F494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0.01</w:t>
            </w:r>
          </w:p>
        </w:tc>
        <w:tc>
          <w:tcPr>
            <w:tcW w:w="1300" w:type="dxa"/>
            <w:noWrap/>
            <w:hideMark/>
          </w:tcPr>
          <w:p w14:paraId="092BB0F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540" w:type="dxa"/>
            <w:hideMark/>
          </w:tcPr>
          <w:p w14:paraId="6C31C59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180" w:type="dxa"/>
            <w:hideMark/>
          </w:tcPr>
          <w:p w14:paraId="4C75BFA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5C45E0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0.11</w:t>
            </w:r>
          </w:p>
        </w:tc>
      </w:tr>
      <w:tr w:rsidR="00302953" w:rsidRPr="00770477" w14:paraId="71C8631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5C2884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10-A-2-1</w:t>
            </w:r>
          </w:p>
        </w:tc>
        <w:tc>
          <w:tcPr>
            <w:tcW w:w="1180" w:type="dxa"/>
            <w:noWrap/>
            <w:hideMark/>
          </w:tcPr>
          <w:p w14:paraId="42F2919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43.50</w:t>
            </w:r>
          </w:p>
        </w:tc>
        <w:tc>
          <w:tcPr>
            <w:tcW w:w="1560" w:type="dxa"/>
            <w:hideMark/>
          </w:tcPr>
          <w:p w14:paraId="6EC71AB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0.25</w:t>
            </w:r>
          </w:p>
        </w:tc>
        <w:tc>
          <w:tcPr>
            <w:tcW w:w="1240" w:type="dxa"/>
            <w:noWrap/>
            <w:hideMark/>
          </w:tcPr>
          <w:p w14:paraId="6758399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0.48</w:t>
            </w:r>
          </w:p>
        </w:tc>
        <w:tc>
          <w:tcPr>
            <w:tcW w:w="1560" w:type="dxa"/>
            <w:hideMark/>
          </w:tcPr>
          <w:p w14:paraId="3EA72E2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0.03</w:t>
            </w:r>
          </w:p>
        </w:tc>
        <w:tc>
          <w:tcPr>
            <w:tcW w:w="1300" w:type="dxa"/>
            <w:noWrap/>
            <w:hideMark/>
          </w:tcPr>
          <w:p w14:paraId="2EA25A2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6433.80</w:t>
            </w:r>
          </w:p>
        </w:tc>
        <w:tc>
          <w:tcPr>
            <w:tcW w:w="1540" w:type="dxa"/>
            <w:hideMark/>
          </w:tcPr>
          <w:p w14:paraId="25691E5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80" w:type="dxa"/>
            <w:hideMark/>
          </w:tcPr>
          <w:p w14:paraId="4CBD2A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101ADE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0.09</w:t>
            </w:r>
          </w:p>
        </w:tc>
      </w:tr>
      <w:tr w:rsidR="00302953" w:rsidRPr="00770477" w14:paraId="5BA27E3F"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F8D5D2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10-A-4-1</w:t>
            </w:r>
          </w:p>
        </w:tc>
        <w:tc>
          <w:tcPr>
            <w:tcW w:w="1180" w:type="dxa"/>
            <w:noWrap/>
            <w:hideMark/>
          </w:tcPr>
          <w:p w14:paraId="5D3BF3F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60.42</w:t>
            </w:r>
          </w:p>
        </w:tc>
        <w:tc>
          <w:tcPr>
            <w:tcW w:w="1560" w:type="dxa"/>
            <w:hideMark/>
          </w:tcPr>
          <w:p w14:paraId="600A3CA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0.35</w:t>
            </w:r>
          </w:p>
        </w:tc>
        <w:tc>
          <w:tcPr>
            <w:tcW w:w="1240" w:type="dxa"/>
            <w:hideMark/>
          </w:tcPr>
          <w:p w14:paraId="03C636F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60" w:type="dxa"/>
            <w:hideMark/>
          </w:tcPr>
          <w:p w14:paraId="6637D9E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07AF5EE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6572.79</w:t>
            </w:r>
          </w:p>
        </w:tc>
        <w:tc>
          <w:tcPr>
            <w:tcW w:w="1540" w:type="dxa"/>
            <w:hideMark/>
          </w:tcPr>
          <w:p w14:paraId="6DD820D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w:t>
            </w:r>
          </w:p>
        </w:tc>
        <w:tc>
          <w:tcPr>
            <w:tcW w:w="1180" w:type="dxa"/>
            <w:hideMark/>
          </w:tcPr>
          <w:p w14:paraId="177124B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6A9B1C8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0.10</w:t>
            </w:r>
          </w:p>
        </w:tc>
      </w:tr>
      <w:tr w:rsidR="00302953" w:rsidRPr="00770477" w14:paraId="696AC40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3D225D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10-A-6-1</w:t>
            </w:r>
          </w:p>
        </w:tc>
        <w:tc>
          <w:tcPr>
            <w:tcW w:w="1180" w:type="dxa"/>
            <w:noWrap/>
            <w:hideMark/>
          </w:tcPr>
          <w:p w14:paraId="30031CC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118.89</w:t>
            </w:r>
          </w:p>
        </w:tc>
        <w:tc>
          <w:tcPr>
            <w:tcW w:w="1560" w:type="dxa"/>
            <w:hideMark/>
          </w:tcPr>
          <w:p w14:paraId="0273A6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0.69</w:t>
            </w:r>
          </w:p>
        </w:tc>
        <w:tc>
          <w:tcPr>
            <w:tcW w:w="1240" w:type="dxa"/>
            <w:noWrap/>
            <w:hideMark/>
          </w:tcPr>
          <w:p w14:paraId="29B7386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0.46</w:t>
            </w:r>
          </w:p>
        </w:tc>
        <w:tc>
          <w:tcPr>
            <w:tcW w:w="1560" w:type="dxa"/>
            <w:hideMark/>
          </w:tcPr>
          <w:p w14:paraId="74FC0A9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0.03</w:t>
            </w:r>
          </w:p>
        </w:tc>
        <w:tc>
          <w:tcPr>
            <w:tcW w:w="1300" w:type="dxa"/>
            <w:noWrap/>
            <w:hideMark/>
          </w:tcPr>
          <w:p w14:paraId="042FD3D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6531.23</w:t>
            </w:r>
          </w:p>
        </w:tc>
        <w:tc>
          <w:tcPr>
            <w:tcW w:w="1540" w:type="dxa"/>
            <w:hideMark/>
          </w:tcPr>
          <w:p w14:paraId="39DDEE5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80" w:type="dxa"/>
            <w:hideMark/>
          </w:tcPr>
          <w:p w14:paraId="120D4B4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230DF48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0.11</w:t>
            </w:r>
          </w:p>
        </w:tc>
      </w:tr>
      <w:tr w:rsidR="00302953" w:rsidRPr="00770477" w14:paraId="070F339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FEFD48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10-A-10-1</w:t>
            </w:r>
          </w:p>
        </w:tc>
        <w:tc>
          <w:tcPr>
            <w:tcW w:w="1180" w:type="dxa"/>
            <w:noWrap/>
            <w:hideMark/>
          </w:tcPr>
          <w:p w14:paraId="6EB8320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155.16</w:t>
            </w:r>
          </w:p>
        </w:tc>
        <w:tc>
          <w:tcPr>
            <w:tcW w:w="1560" w:type="dxa"/>
            <w:hideMark/>
          </w:tcPr>
          <w:p w14:paraId="2B6416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0.89</w:t>
            </w:r>
          </w:p>
        </w:tc>
        <w:tc>
          <w:tcPr>
            <w:tcW w:w="1240" w:type="dxa"/>
            <w:noWrap/>
            <w:hideMark/>
          </w:tcPr>
          <w:p w14:paraId="39B5874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0.47</w:t>
            </w:r>
          </w:p>
        </w:tc>
        <w:tc>
          <w:tcPr>
            <w:tcW w:w="1560" w:type="dxa"/>
            <w:hideMark/>
          </w:tcPr>
          <w:p w14:paraId="0412E72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0.03</w:t>
            </w:r>
          </w:p>
        </w:tc>
        <w:tc>
          <w:tcPr>
            <w:tcW w:w="1300" w:type="dxa"/>
            <w:noWrap/>
            <w:hideMark/>
          </w:tcPr>
          <w:p w14:paraId="643AF73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6734.92</w:t>
            </w:r>
          </w:p>
        </w:tc>
        <w:tc>
          <w:tcPr>
            <w:tcW w:w="1540" w:type="dxa"/>
            <w:hideMark/>
          </w:tcPr>
          <w:p w14:paraId="452B0B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1.03</w:t>
            </w:r>
          </w:p>
        </w:tc>
        <w:tc>
          <w:tcPr>
            <w:tcW w:w="1180" w:type="dxa"/>
            <w:hideMark/>
          </w:tcPr>
          <w:p w14:paraId="1F6C51C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198B10C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0.10</w:t>
            </w:r>
          </w:p>
        </w:tc>
      </w:tr>
      <w:tr w:rsidR="00302953" w:rsidRPr="00770477" w14:paraId="7E17303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D3B733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10-A-17-1</w:t>
            </w:r>
          </w:p>
        </w:tc>
        <w:tc>
          <w:tcPr>
            <w:tcW w:w="1180" w:type="dxa"/>
            <w:noWrap/>
            <w:hideMark/>
          </w:tcPr>
          <w:p w14:paraId="1CBFB76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241.52</w:t>
            </w:r>
          </w:p>
        </w:tc>
        <w:tc>
          <w:tcPr>
            <w:tcW w:w="1560" w:type="dxa"/>
            <w:hideMark/>
          </w:tcPr>
          <w:p w14:paraId="01EBF41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1.40</w:t>
            </w:r>
          </w:p>
        </w:tc>
        <w:tc>
          <w:tcPr>
            <w:tcW w:w="1240" w:type="dxa"/>
            <w:noWrap/>
            <w:hideMark/>
          </w:tcPr>
          <w:p w14:paraId="53FED72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0.44</w:t>
            </w:r>
          </w:p>
        </w:tc>
        <w:tc>
          <w:tcPr>
            <w:tcW w:w="1560" w:type="dxa"/>
            <w:hideMark/>
          </w:tcPr>
          <w:p w14:paraId="729044F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noWrap/>
            <w:hideMark/>
          </w:tcPr>
          <w:p w14:paraId="23B1994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6510.69</w:t>
            </w:r>
          </w:p>
        </w:tc>
        <w:tc>
          <w:tcPr>
            <w:tcW w:w="1540" w:type="dxa"/>
            <w:hideMark/>
          </w:tcPr>
          <w:p w14:paraId="6F514C5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w:t>
            </w:r>
          </w:p>
        </w:tc>
        <w:tc>
          <w:tcPr>
            <w:tcW w:w="1180" w:type="dxa"/>
            <w:hideMark/>
          </w:tcPr>
          <w:p w14:paraId="1CEBB8B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1A1A4D6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0.09</w:t>
            </w:r>
          </w:p>
        </w:tc>
      </w:tr>
      <w:tr w:rsidR="00302953" w:rsidRPr="00770477" w14:paraId="4189A8A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AA2A89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10-A-17-2</w:t>
            </w:r>
          </w:p>
        </w:tc>
        <w:tc>
          <w:tcPr>
            <w:tcW w:w="1180" w:type="dxa"/>
            <w:noWrap/>
            <w:hideMark/>
          </w:tcPr>
          <w:p w14:paraId="2D2AA29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239.48</w:t>
            </w:r>
          </w:p>
        </w:tc>
        <w:tc>
          <w:tcPr>
            <w:tcW w:w="1560" w:type="dxa"/>
            <w:hideMark/>
          </w:tcPr>
          <w:p w14:paraId="57AD413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1.39</w:t>
            </w:r>
          </w:p>
        </w:tc>
        <w:tc>
          <w:tcPr>
            <w:tcW w:w="1240" w:type="dxa"/>
            <w:noWrap/>
            <w:hideMark/>
          </w:tcPr>
          <w:p w14:paraId="2CACCA0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0.40</w:t>
            </w:r>
          </w:p>
        </w:tc>
        <w:tc>
          <w:tcPr>
            <w:tcW w:w="1560" w:type="dxa"/>
            <w:hideMark/>
          </w:tcPr>
          <w:p w14:paraId="7BD04F7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noWrap/>
            <w:hideMark/>
          </w:tcPr>
          <w:p w14:paraId="0185033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6461.15</w:t>
            </w:r>
          </w:p>
        </w:tc>
        <w:tc>
          <w:tcPr>
            <w:tcW w:w="1540" w:type="dxa"/>
            <w:hideMark/>
          </w:tcPr>
          <w:p w14:paraId="66D9020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w:t>
            </w:r>
          </w:p>
        </w:tc>
        <w:tc>
          <w:tcPr>
            <w:tcW w:w="1180" w:type="dxa"/>
            <w:hideMark/>
          </w:tcPr>
          <w:p w14:paraId="2E2F0D4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5E1E0A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0.09</w:t>
            </w:r>
          </w:p>
        </w:tc>
      </w:tr>
      <w:tr w:rsidR="00302953" w:rsidRPr="00770477" w14:paraId="367A7D51"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91838C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10-A-27-1</w:t>
            </w:r>
          </w:p>
        </w:tc>
        <w:tc>
          <w:tcPr>
            <w:tcW w:w="1180" w:type="dxa"/>
            <w:noWrap/>
            <w:hideMark/>
          </w:tcPr>
          <w:p w14:paraId="11462A6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296.69</w:t>
            </w:r>
          </w:p>
        </w:tc>
        <w:tc>
          <w:tcPr>
            <w:tcW w:w="1560" w:type="dxa"/>
            <w:hideMark/>
          </w:tcPr>
          <w:p w14:paraId="4BD515D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1.74</w:t>
            </w:r>
          </w:p>
        </w:tc>
        <w:tc>
          <w:tcPr>
            <w:tcW w:w="1240" w:type="dxa"/>
            <w:noWrap/>
            <w:hideMark/>
          </w:tcPr>
          <w:p w14:paraId="48B3DF4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0.50</w:t>
            </w:r>
          </w:p>
        </w:tc>
        <w:tc>
          <w:tcPr>
            <w:tcW w:w="1560" w:type="dxa"/>
            <w:hideMark/>
          </w:tcPr>
          <w:p w14:paraId="378A730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0.03</w:t>
            </w:r>
          </w:p>
        </w:tc>
        <w:tc>
          <w:tcPr>
            <w:tcW w:w="1300" w:type="dxa"/>
            <w:noWrap/>
            <w:hideMark/>
          </w:tcPr>
          <w:p w14:paraId="556B962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6489.33</w:t>
            </w:r>
          </w:p>
        </w:tc>
        <w:tc>
          <w:tcPr>
            <w:tcW w:w="1540" w:type="dxa"/>
            <w:hideMark/>
          </w:tcPr>
          <w:p w14:paraId="1B6C425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w:t>
            </w:r>
          </w:p>
        </w:tc>
        <w:tc>
          <w:tcPr>
            <w:tcW w:w="1180" w:type="dxa"/>
            <w:hideMark/>
          </w:tcPr>
          <w:p w14:paraId="233ACEB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22190FA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472FF29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4266BB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10-B-0-1</w:t>
            </w:r>
          </w:p>
        </w:tc>
        <w:tc>
          <w:tcPr>
            <w:tcW w:w="1180" w:type="dxa"/>
            <w:noWrap/>
            <w:hideMark/>
          </w:tcPr>
          <w:p w14:paraId="20FFE6F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1215.44</w:t>
            </w:r>
          </w:p>
        </w:tc>
        <w:tc>
          <w:tcPr>
            <w:tcW w:w="1560" w:type="dxa"/>
            <w:hideMark/>
          </w:tcPr>
          <w:p w14:paraId="144B3E4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6.82</w:t>
            </w:r>
          </w:p>
        </w:tc>
        <w:tc>
          <w:tcPr>
            <w:tcW w:w="1240" w:type="dxa"/>
            <w:noWrap/>
            <w:hideMark/>
          </w:tcPr>
          <w:p w14:paraId="25A139B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4.32</w:t>
            </w:r>
          </w:p>
        </w:tc>
        <w:tc>
          <w:tcPr>
            <w:tcW w:w="1560" w:type="dxa"/>
            <w:hideMark/>
          </w:tcPr>
          <w:p w14:paraId="3530922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0.25</w:t>
            </w:r>
          </w:p>
        </w:tc>
        <w:tc>
          <w:tcPr>
            <w:tcW w:w="1300" w:type="dxa"/>
            <w:noWrap/>
            <w:hideMark/>
          </w:tcPr>
          <w:p w14:paraId="2363A62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540" w:type="dxa"/>
            <w:hideMark/>
          </w:tcPr>
          <w:p w14:paraId="40E9102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180" w:type="dxa"/>
            <w:hideMark/>
          </w:tcPr>
          <w:p w14:paraId="481DDC5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3C9BFC6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6C42604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57A2A2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10-B-1-1</w:t>
            </w:r>
          </w:p>
        </w:tc>
        <w:tc>
          <w:tcPr>
            <w:tcW w:w="1180" w:type="dxa"/>
            <w:noWrap/>
            <w:hideMark/>
          </w:tcPr>
          <w:p w14:paraId="0AB0D75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1021.83</w:t>
            </w:r>
          </w:p>
        </w:tc>
        <w:tc>
          <w:tcPr>
            <w:tcW w:w="1560" w:type="dxa"/>
            <w:hideMark/>
          </w:tcPr>
          <w:p w14:paraId="3D41FA0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5.95</w:t>
            </w:r>
          </w:p>
        </w:tc>
        <w:tc>
          <w:tcPr>
            <w:tcW w:w="1240" w:type="dxa"/>
            <w:noWrap/>
            <w:hideMark/>
          </w:tcPr>
          <w:p w14:paraId="272194B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3.08</w:t>
            </w:r>
          </w:p>
        </w:tc>
        <w:tc>
          <w:tcPr>
            <w:tcW w:w="1560" w:type="dxa"/>
            <w:hideMark/>
          </w:tcPr>
          <w:p w14:paraId="4E5316D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0.17</w:t>
            </w:r>
          </w:p>
        </w:tc>
        <w:tc>
          <w:tcPr>
            <w:tcW w:w="1300" w:type="dxa"/>
            <w:noWrap/>
            <w:hideMark/>
          </w:tcPr>
          <w:p w14:paraId="649FC7D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540" w:type="dxa"/>
            <w:hideMark/>
          </w:tcPr>
          <w:p w14:paraId="60C344F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180" w:type="dxa"/>
            <w:hideMark/>
          </w:tcPr>
          <w:p w14:paraId="3E3AD1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7173384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0.11</w:t>
            </w:r>
          </w:p>
        </w:tc>
      </w:tr>
      <w:tr w:rsidR="00302953" w:rsidRPr="00770477" w14:paraId="3FA8193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975041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10-B-1-2</w:t>
            </w:r>
          </w:p>
        </w:tc>
        <w:tc>
          <w:tcPr>
            <w:tcW w:w="1180" w:type="dxa"/>
            <w:noWrap/>
            <w:hideMark/>
          </w:tcPr>
          <w:p w14:paraId="292C023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1018.33</w:t>
            </w:r>
          </w:p>
        </w:tc>
        <w:tc>
          <w:tcPr>
            <w:tcW w:w="1560" w:type="dxa"/>
            <w:hideMark/>
          </w:tcPr>
          <w:p w14:paraId="185EA3F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5.93</w:t>
            </w:r>
          </w:p>
        </w:tc>
        <w:tc>
          <w:tcPr>
            <w:tcW w:w="1240" w:type="dxa"/>
            <w:noWrap/>
            <w:hideMark/>
          </w:tcPr>
          <w:p w14:paraId="01C62C3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3.21</w:t>
            </w:r>
          </w:p>
        </w:tc>
        <w:tc>
          <w:tcPr>
            <w:tcW w:w="1560" w:type="dxa"/>
            <w:hideMark/>
          </w:tcPr>
          <w:p w14:paraId="2A9A941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0.18</w:t>
            </w:r>
          </w:p>
        </w:tc>
        <w:tc>
          <w:tcPr>
            <w:tcW w:w="1300" w:type="dxa"/>
            <w:noWrap/>
            <w:hideMark/>
          </w:tcPr>
          <w:p w14:paraId="072F2D7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540" w:type="dxa"/>
            <w:hideMark/>
          </w:tcPr>
          <w:p w14:paraId="37EFFE2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180" w:type="dxa"/>
            <w:hideMark/>
          </w:tcPr>
          <w:p w14:paraId="0CF6FD4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7A5F937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0.11</w:t>
            </w:r>
          </w:p>
        </w:tc>
      </w:tr>
      <w:tr w:rsidR="00302953" w:rsidRPr="00770477" w14:paraId="11F46C6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EDB16B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10-B-2-1</w:t>
            </w:r>
          </w:p>
        </w:tc>
        <w:tc>
          <w:tcPr>
            <w:tcW w:w="1180" w:type="dxa"/>
            <w:noWrap/>
            <w:hideMark/>
          </w:tcPr>
          <w:p w14:paraId="2602260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870.58</w:t>
            </w:r>
          </w:p>
        </w:tc>
        <w:tc>
          <w:tcPr>
            <w:tcW w:w="1560" w:type="dxa"/>
            <w:hideMark/>
          </w:tcPr>
          <w:p w14:paraId="3B795D9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5.02</w:t>
            </w:r>
          </w:p>
        </w:tc>
        <w:tc>
          <w:tcPr>
            <w:tcW w:w="1240" w:type="dxa"/>
            <w:noWrap/>
            <w:hideMark/>
          </w:tcPr>
          <w:p w14:paraId="3A093B0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2.46</w:t>
            </w:r>
          </w:p>
        </w:tc>
        <w:tc>
          <w:tcPr>
            <w:tcW w:w="1560" w:type="dxa"/>
            <w:hideMark/>
          </w:tcPr>
          <w:p w14:paraId="0F2A8A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c>
          <w:tcPr>
            <w:tcW w:w="1300" w:type="dxa"/>
            <w:noWrap/>
            <w:hideMark/>
          </w:tcPr>
          <w:p w14:paraId="6E0D86B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3502.48</w:t>
            </w:r>
          </w:p>
        </w:tc>
        <w:tc>
          <w:tcPr>
            <w:tcW w:w="1540" w:type="dxa"/>
            <w:hideMark/>
          </w:tcPr>
          <w:p w14:paraId="17F5CB6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0.54</w:t>
            </w:r>
          </w:p>
        </w:tc>
        <w:tc>
          <w:tcPr>
            <w:tcW w:w="1180" w:type="dxa"/>
            <w:hideMark/>
          </w:tcPr>
          <w:p w14:paraId="4B89462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6C54F2D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0.09</w:t>
            </w:r>
          </w:p>
        </w:tc>
      </w:tr>
      <w:tr w:rsidR="00302953" w:rsidRPr="00770477" w14:paraId="1A82FBC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8EEBC7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10-B-4-1</w:t>
            </w:r>
          </w:p>
        </w:tc>
        <w:tc>
          <w:tcPr>
            <w:tcW w:w="1180" w:type="dxa"/>
            <w:noWrap/>
            <w:hideMark/>
          </w:tcPr>
          <w:p w14:paraId="29C0613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742.79</w:t>
            </w:r>
          </w:p>
        </w:tc>
        <w:tc>
          <w:tcPr>
            <w:tcW w:w="1560" w:type="dxa"/>
            <w:hideMark/>
          </w:tcPr>
          <w:p w14:paraId="545F5CB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4.36</w:t>
            </w:r>
          </w:p>
        </w:tc>
        <w:tc>
          <w:tcPr>
            <w:tcW w:w="1240" w:type="dxa"/>
            <w:noWrap/>
            <w:hideMark/>
          </w:tcPr>
          <w:p w14:paraId="6974C67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1.85</w:t>
            </w:r>
          </w:p>
        </w:tc>
        <w:tc>
          <w:tcPr>
            <w:tcW w:w="1560" w:type="dxa"/>
            <w:hideMark/>
          </w:tcPr>
          <w:p w14:paraId="3FEF02A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0.11</w:t>
            </w:r>
          </w:p>
        </w:tc>
        <w:tc>
          <w:tcPr>
            <w:tcW w:w="1300" w:type="dxa"/>
            <w:noWrap/>
            <w:hideMark/>
          </w:tcPr>
          <w:p w14:paraId="4F465DD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4153.43</w:t>
            </w:r>
          </w:p>
        </w:tc>
        <w:tc>
          <w:tcPr>
            <w:tcW w:w="1540" w:type="dxa"/>
            <w:hideMark/>
          </w:tcPr>
          <w:p w14:paraId="598B0DB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0.64</w:t>
            </w:r>
          </w:p>
        </w:tc>
        <w:tc>
          <w:tcPr>
            <w:tcW w:w="1180" w:type="dxa"/>
            <w:hideMark/>
          </w:tcPr>
          <w:p w14:paraId="469B2FE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4A8990C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0.10</w:t>
            </w:r>
          </w:p>
        </w:tc>
      </w:tr>
      <w:tr w:rsidR="00302953" w:rsidRPr="00770477" w14:paraId="2E1D90C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E02D07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10-B-6-1</w:t>
            </w:r>
          </w:p>
        </w:tc>
        <w:tc>
          <w:tcPr>
            <w:tcW w:w="1180" w:type="dxa"/>
            <w:noWrap/>
            <w:hideMark/>
          </w:tcPr>
          <w:p w14:paraId="3D03919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595.61</w:t>
            </w:r>
          </w:p>
        </w:tc>
        <w:tc>
          <w:tcPr>
            <w:tcW w:w="1560" w:type="dxa"/>
            <w:hideMark/>
          </w:tcPr>
          <w:p w14:paraId="4CF5F2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3.45</w:t>
            </w:r>
          </w:p>
        </w:tc>
        <w:tc>
          <w:tcPr>
            <w:tcW w:w="1240" w:type="dxa"/>
            <w:noWrap/>
            <w:hideMark/>
          </w:tcPr>
          <w:p w14:paraId="1268CB2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1.12</w:t>
            </w:r>
          </w:p>
        </w:tc>
        <w:tc>
          <w:tcPr>
            <w:tcW w:w="1560" w:type="dxa"/>
            <w:hideMark/>
          </w:tcPr>
          <w:p w14:paraId="5945418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0.06</w:t>
            </w:r>
          </w:p>
        </w:tc>
        <w:tc>
          <w:tcPr>
            <w:tcW w:w="1300" w:type="dxa"/>
            <w:noWrap/>
            <w:hideMark/>
          </w:tcPr>
          <w:p w14:paraId="50F0772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4756.61</w:t>
            </w:r>
          </w:p>
        </w:tc>
        <w:tc>
          <w:tcPr>
            <w:tcW w:w="1540" w:type="dxa"/>
            <w:hideMark/>
          </w:tcPr>
          <w:p w14:paraId="3418884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0.73</w:t>
            </w:r>
          </w:p>
        </w:tc>
        <w:tc>
          <w:tcPr>
            <w:tcW w:w="1180" w:type="dxa"/>
            <w:hideMark/>
          </w:tcPr>
          <w:p w14:paraId="2C302B7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4EFF2AE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0.11</w:t>
            </w:r>
          </w:p>
        </w:tc>
      </w:tr>
      <w:tr w:rsidR="00302953" w:rsidRPr="00770477" w14:paraId="22E6DCF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F47BFE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10-B-10-1</w:t>
            </w:r>
          </w:p>
        </w:tc>
        <w:tc>
          <w:tcPr>
            <w:tcW w:w="1180" w:type="dxa"/>
            <w:noWrap/>
            <w:hideMark/>
          </w:tcPr>
          <w:p w14:paraId="3E995E0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537.63</w:t>
            </w:r>
          </w:p>
        </w:tc>
        <w:tc>
          <w:tcPr>
            <w:tcW w:w="1560" w:type="dxa"/>
            <w:hideMark/>
          </w:tcPr>
          <w:p w14:paraId="1CB80D7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3.07</w:t>
            </w:r>
          </w:p>
        </w:tc>
        <w:tc>
          <w:tcPr>
            <w:tcW w:w="1240" w:type="dxa"/>
            <w:noWrap/>
            <w:hideMark/>
          </w:tcPr>
          <w:p w14:paraId="5BE9D53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1.16</w:t>
            </w:r>
          </w:p>
        </w:tc>
        <w:tc>
          <w:tcPr>
            <w:tcW w:w="1560" w:type="dxa"/>
            <w:hideMark/>
          </w:tcPr>
          <w:p w14:paraId="34A66FC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c>
          <w:tcPr>
            <w:tcW w:w="1300" w:type="dxa"/>
            <w:noWrap/>
            <w:hideMark/>
          </w:tcPr>
          <w:p w14:paraId="701B37B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5310.61</w:t>
            </w:r>
          </w:p>
        </w:tc>
        <w:tc>
          <w:tcPr>
            <w:tcW w:w="1540" w:type="dxa"/>
            <w:hideMark/>
          </w:tcPr>
          <w:p w14:paraId="5F34CB6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0.81</w:t>
            </w:r>
          </w:p>
        </w:tc>
        <w:tc>
          <w:tcPr>
            <w:tcW w:w="1180" w:type="dxa"/>
            <w:hideMark/>
          </w:tcPr>
          <w:p w14:paraId="076B441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3920303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0.10</w:t>
            </w:r>
          </w:p>
        </w:tc>
      </w:tr>
      <w:tr w:rsidR="00302953" w:rsidRPr="00770477" w14:paraId="36AB2CD1"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DB6C20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10-B-17-1</w:t>
            </w:r>
          </w:p>
        </w:tc>
        <w:tc>
          <w:tcPr>
            <w:tcW w:w="1180" w:type="dxa"/>
            <w:noWrap/>
            <w:hideMark/>
          </w:tcPr>
          <w:p w14:paraId="373F1E8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461.64</w:t>
            </w:r>
          </w:p>
        </w:tc>
        <w:tc>
          <w:tcPr>
            <w:tcW w:w="1560" w:type="dxa"/>
            <w:hideMark/>
          </w:tcPr>
          <w:p w14:paraId="0B83D90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2.68</w:t>
            </w:r>
          </w:p>
        </w:tc>
        <w:tc>
          <w:tcPr>
            <w:tcW w:w="1240" w:type="dxa"/>
            <w:noWrap/>
            <w:hideMark/>
          </w:tcPr>
          <w:p w14:paraId="5C2A62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0.67</w:t>
            </w:r>
          </w:p>
        </w:tc>
        <w:tc>
          <w:tcPr>
            <w:tcW w:w="1560" w:type="dxa"/>
            <w:hideMark/>
          </w:tcPr>
          <w:p w14:paraId="610AD02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0.04</w:t>
            </w:r>
          </w:p>
        </w:tc>
        <w:tc>
          <w:tcPr>
            <w:tcW w:w="1300" w:type="dxa"/>
            <w:noWrap/>
            <w:hideMark/>
          </w:tcPr>
          <w:p w14:paraId="76DF9B3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5462.45</w:t>
            </w:r>
          </w:p>
        </w:tc>
        <w:tc>
          <w:tcPr>
            <w:tcW w:w="1540" w:type="dxa"/>
            <w:hideMark/>
          </w:tcPr>
          <w:p w14:paraId="7B52784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0.86</w:t>
            </w:r>
          </w:p>
        </w:tc>
        <w:tc>
          <w:tcPr>
            <w:tcW w:w="1180" w:type="dxa"/>
            <w:hideMark/>
          </w:tcPr>
          <w:p w14:paraId="25DD19D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2E34B25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0.09</w:t>
            </w:r>
          </w:p>
        </w:tc>
      </w:tr>
      <w:tr w:rsidR="00302953" w:rsidRPr="00770477" w14:paraId="6AF78E7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FE32D0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10-B-27-1</w:t>
            </w:r>
          </w:p>
        </w:tc>
        <w:tc>
          <w:tcPr>
            <w:tcW w:w="1180" w:type="dxa"/>
            <w:noWrap/>
            <w:hideMark/>
          </w:tcPr>
          <w:p w14:paraId="294292D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426.25</w:t>
            </w:r>
          </w:p>
        </w:tc>
        <w:tc>
          <w:tcPr>
            <w:tcW w:w="1560" w:type="dxa"/>
            <w:hideMark/>
          </w:tcPr>
          <w:p w14:paraId="7A076E1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2.50</w:t>
            </w:r>
          </w:p>
        </w:tc>
        <w:tc>
          <w:tcPr>
            <w:tcW w:w="1240" w:type="dxa"/>
            <w:noWrap/>
            <w:hideMark/>
          </w:tcPr>
          <w:p w14:paraId="0A1810A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0.65</w:t>
            </w:r>
          </w:p>
        </w:tc>
        <w:tc>
          <w:tcPr>
            <w:tcW w:w="1560" w:type="dxa"/>
            <w:hideMark/>
          </w:tcPr>
          <w:p w14:paraId="584285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0.04</w:t>
            </w:r>
          </w:p>
        </w:tc>
        <w:tc>
          <w:tcPr>
            <w:tcW w:w="1300" w:type="dxa"/>
            <w:noWrap/>
            <w:hideMark/>
          </w:tcPr>
          <w:p w14:paraId="0B0FC0A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5973.82</w:t>
            </w:r>
          </w:p>
        </w:tc>
        <w:tc>
          <w:tcPr>
            <w:tcW w:w="1540" w:type="dxa"/>
            <w:hideMark/>
          </w:tcPr>
          <w:p w14:paraId="765E88F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0.93</w:t>
            </w:r>
          </w:p>
        </w:tc>
        <w:tc>
          <w:tcPr>
            <w:tcW w:w="1180" w:type="dxa"/>
            <w:hideMark/>
          </w:tcPr>
          <w:p w14:paraId="23B9D58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2B40AB4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3B847EE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6217CF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10-B-27-2</w:t>
            </w:r>
          </w:p>
        </w:tc>
        <w:tc>
          <w:tcPr>
            <w:tcW w:w="1180" w:type="dxa"/>
            <w:noWrap/>
            <w:hideMark/>
          </w:tcPr>
          <w:p w14:paraId="3DC3F4C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425.37</w:t>
            </w:r>
          </w:p>
        </w:tc>
        <w:tc>
          <w:tcPr>
            <w:tcW w:w="1560" w:type="dxa"/>
            <w:hideMark/>
          </w:tcPr>
          <w:p w14:paraId="219384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2.50</w:t>
            </w:r>
          </w:p>
        </w:tc>
        <w:tc>
          <w:tcPr>
            <w:tcW w:w="1240" w:type="dxa"/>
            <w:noWrap/>
            <w:hideMark/>
          </w:tcPr>
          <w:p w14:paraId="3347C61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0.60</w:t>
            </w:r>
          </w:p>
        </w:tc>
        <w:tc>
          <w:tcPr>
            <w:tcW w:w="1560" w:type="dxa"/>
            <w:hideMark/>
          </w:tcPr>
          <w:p w14:paraId="6387D9D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0.03</w:t>
            </w:r>
          </w:p>
        </w:tc>
        <w:tc>
          <w:tcPr>
            <w:tcW w:w="1300" w:type="dxa"/>
            <w:noWrap/>
            <w:hideMark/>
          </w:tcPr>
          <w:p w14:paraId="6DBDEE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5982.90</w:t>
            </w:r>
          </w:p>
        </w:tc>
        <w:tc>
          <w:tcPr>
            <w:tcW w:w="1540" w:type="dxa"/>
            <w:hideMark/>
          </w:tcPr>
          <w:p w14:paraId="2A699D2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0.94</w:t>
            </w:r>
          </w:p>
        </w:tc>
        <w:tc>
          <w:tcPr>
            <w:tcW w:w="1180" w:type="dxa"/>
            <w:hideMark/>
          </w:tcPr>
          <w:p w14:paraId="30BE0E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0645B6D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1A761F9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505E04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10-C-0-1</w:t>
            </w:r>
          </w:p>
        </w:tc>
        <w:tc>
          <w:tcPr>
            <w:tcW w:w="1180" w:type="dxa"/>
            <w:noWrap/>
            <w:hideMark/>
          </w:tcPr>
          <w:p w14:paraId="2D79D4A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111.98</w:t>
            </w:r>
          </w:p>
        </w:tc>
        <w:tc>
          <w:tcPr>
            <w:tcW w:w="1560" w:type="dxa"/>
            <w:hideMark/>
          </w:tcPr>
          <w:p w14:paraId="35DF710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0.63</w:t>
            </w:r>
          </w:p>
        </w:tc>
        <w:tc>
          <w:tcPr>
            <w:tcW w:w="1240" w:type="dxa"/>
            <w:hideMark/>
          </w:tcPr>
          <w:p w14:paraId="580088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60" w:type="dxa"/>
            <w:hideMark/>
          </w:tcPr>
          <w:p w14:paraId="2775876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62D979A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540" w:type="dxa"/>
            <w:hideMark/>
          </w:tcPr>
          <w:p w14:paraId="4C1DBF3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180" w:type="dxa"/>
            <w:hideMark/>
          </w:tcPr>
          <w:p w14:paraId="2C3D3A8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43FB4AE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58FA71D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0A5E3B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10-C-1-1</w:t>
            </w:r>
          </w:p>
        </w:tc>
        <w:tc>
          <w:tcPr>
            <w:tcW w:w="1180" w:type="dxa"/>
            <w:noWrap/>
            <w:hideMark/>
          </w:tcPr>
          <w:p w14:paraId="371E3F8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128.07</w:t>
            </w:r>
          </w:p>
        </w:tc>
        <w:tc>
          <w:tcPr>
            <w:tcW w:w="1560" w:type="dxa"/>
            <w:hideMark/>
          </w:tcPr>
          <w:p w14:paraId="1E78A3B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0.75</w:t>
            </w:r>
          </w:p>
        </w:tc>
        <w:tc>
          <w:tcPr>
            <w:tcW w:w="1240" w:type="dxa"/>
            <w:hideMark/>
          </w:tcPr>
          <w:p w14:paraId="152CA23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60" w:type="dxa"/>
            <w:hideMark/>
          </w:tcPr>
          <w:p w14:paraId="6C587E9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19FE03F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27677.90</w:t>
            </w:r>
          </w:p>
        </w:tc>
        <w:tc>
          <w:tcPr>
            <w:tcW w:w="1540" w:type="dxa"/>
            <w:hideMark/>
          </w:tcPr>
          <w:p w14:paraId="40EAAD6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4.24</w:t>
            </w:r>
          </w:p>
        </w:tc>
        <w:tc>
          <w:tcPr>
            <w:tcW w:w="1180" w:type="dxa"/>
            <w:hideMark/>
          </w:tcPr>
          <w:p w14:paraId="060A919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5E7F696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0.11</w:t>
            </w:r>
          </w:p>
        </w:tc>
      </w:tr>
      <w:tr w:rsidR="00302953" w:rsidRPr="00770477" w14:paraId="47DDD437"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AED7F5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10-C-1-2</w:t>
            </w:r>
          </w:p>
        </w:tc>
        <w:tc>
          <w:tcPr>
            <w:tcW w:w="1180" w:type="dxa"/>
            <w:noWrap/>
            <w:hideMark/>
          </w:tcPr>
          <w:p w14:paraId="243B4F0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125.86</w:t>
            </w:r>
          </w:p>
        </w:tc>
        <w:tc>
          <w:tcPr>
            <w:tcW w:w="1560" w:type="dxa"/>
            <w:hideMark/>
          </w:tcPr>
          <w:p w14:paraId="125477C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0.73</w:t>
            </w:r>
          </w:p>
        </w:tc>
        <w:tc>
          <w:tcPr>
            <w:tcW w:w="1240" w:type="dxa"/>
            <w:hideMark/>
          </w:tcPr>
          <w:p w14:paraId="4D83966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60" w:type="dxa"/>
            <w:hideMark/>
          </w:tcPr>
          <w:p w14:paraId="4C2F004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422BA45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27615.88</w:t>
            </w:r>
          </w:p>
        </w:tc>
        <w:tc>
          <w:tcPr>
            <w:tcW w:w="1540" w:type="dxa"/>
            <w:hideMark/>
          </w:tcPr>
          <w:p w14:paraId="1F4BE4E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4.23</w:t>
            </w:r>
          </w:p>
        </w:tc>
        <w:tc>
          <w:tcPr>
            <w:tcW w:w="1180" w:type="dxa"/>
            <w:hideMark/>
          </w:tcPr>
          <w:p w14:paraId="3D989F0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231A6D3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0.11</w:t>
            </w:r>
          </w:p>
        </w:tc>
      </w:tr>
      <w:tr w:rsidR="00302953" w:rsidRPr="00770477" w14:paraId="6ACF080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423230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10-C-2-1</w:t>
            </w:r>
          </w:p>
        </w:tc>
        <w:tc>
          <w:tcPr>
            <w:tcW w:w="1180" w:type="dxa"/>
            <w:noWrap/>
            <w:hideMark/>
          </w:tcPr>
          <w:p w14:paraId="73030C8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137.82</w:t>
            </w:r>
          </w:p>
        </w:tc>
        <w:tc>
          <w:tcPr>
            <w:tcW w:w="1560" w:type="dxa"/>
            <w:hideMark/>
          </w:tcPr>
          <w:p w14:paraId="5705244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0.79</w:t>
            </w:r>
          </w:p>
        </w:tc>
        <w:tc>
          <w:tcPr>
            <w:tcW w:w="1240" w:type="dxa"/>
            <w:hideMark/>
          </w:tcPr>
          <w:p w14:paraId="7B4CEA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60" w:type="dxa"/>
            <w:hideMark/>
          </w:tcPr>
          <w:p w14:paraId="50C3267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69A66F5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28541.23</w:t>
            </w:r>
          </w:p>
        </w:tc>
        <w:tc>
          <w:tcPr>
            <w:tcW w:w="1540" w:type="dxa"/>
            <w:hideMark/>
          </w:tcPr>
          <w:p w14:paraId="3109BEC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4.42</w:t>
            </w:r>
          </w:p>
        </w:tc>
        <w:tc>
          <w:tcPr>
            <w:tcW w:w="1180" w:type="dxa"/>
            <w:hideMark/>
          </w:tcPr>
          <w:p w14:paraId="5DE8F39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4CD6E2F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0.09</w:t>
            </w:r>
          </w:p>
        </w:tc>
      </w:tr>
      <w:tr w:rsidR="00302953" w:rsidRPr="00770477" w14:paraId="7FD378A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373177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10-C-4-1</w:t>
            </w:r>
          </w:p>
        </w:tc>
        <w:tc>
          <w:tcPr>
            <w:tcW w:w="1180" w:type="dxa"/>
            <w:noWrap/>
            <w:hideMark/>
          </w:tcPr>
          <w:p w14:paraId="1158B31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164.29</w:t>
            </w:r>
          </w:p>
        </w:tc>
        <w:tc>
          <w:tcPr>
            <w:tcW w:w="1560" w:type="dxa"/>
            <w:hideMark/>
          </w:tcPr>
          <w:p w14:paraId="12DC027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0.96</w:t>
            </w:r>
          </w:p>
        </w:tc>
        <w:tc>
          <w:tcPr>
            <w:tcW w:w="1240" w:type="dxa"/>
            <w:noWrap/>
            <w:hideMark/>
          </w:tcPr>
          <w:p w14:paraId="1D56E85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0.30</w:t>
            </w:r>
          </w:p>
        </w:tc>
        <w:tc>
          <w:tcPr>
            <w:tcW w:w="1560" w:type="dxa"/>
            <w:hideMark/>
          </w:tcPr>
          <w:p w14:paraId="2A1C476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noWrap/>
            <w:hideMark/>
          </w:tcPr>
          <w:p w14:paraId="19EBB5D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18421.21</w:t>
            </w:r>
          </w:p>
        </w:tc>
        <w:tc>
          <w:tcPr>
            <w:tcW w:w="1540" w:type="dxa"/>
            <w:hideMark/>
          </w:tcPr>
          <w:p w14:paraId="02AC1C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2.85</w:t>
            </w:r>
          </w:p>
        </w:tc>
        <w:tc>
          <w:tcPr>
            <w:tcW w:w="1180" w:type="dxa"/>
            <w:hideMark/>
          </w:tcPr>
          <w:p w14:paraId="1FD2007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5668716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0.10</w:t>
            </w:r>
          </w:p>
        </w:tc>
      </w:tr>
      <w:tr w:rsidR="00302953" w:rsidRPr="00770477" w14:paraId="5A0D25B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EC8584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10-C-6-1</w:t>
            </w:r>
          </w:p>
        </w:tc>
        <w:tc>
          <w:tcPr>
            <w:tcW w:w="1180" w:type="dxa"/>
            <w:noWrap/>
            <w:hideMark/>
          </w:tcPr>
          <w:p w14:paraId="16EFDC9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222.36</w:t>
            </w:r>
          </w:p>
        </w:tc>
        <w:tc>
          <w:tcPr>
            <w:tcW w:w="1560" w:type="dxa"/>
            <w:hideMark/>
          </w:tcPr>
          <w:p w14:paraId="0AEE27E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1.29</w:t>
            </w:r>
          </w:p>
        </w:tc>
        <w:tc>
          <w:tcPr>
            <w:tcW w:w="1240" w:type="dxa"/>
            <w:noWrap/>
            <w:hideMark/>
          </w:tcPr>
          <w:p w14:paraId="6D7DB8B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6.47</w:t>
            </w:r>
          </w:p>
        </w:tc>
        <w:tc>
          <w:tcPr>
            <w:tcW w:w="1560" w:type="dxa"/>
            <w:hideMark/>
          </w:tcPr>
          <w:p w14:paraId="0B23F84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0.36</w:t>
            </w:r>
          </w:p>
        </w:tc>
        <w:tc>
          <w:tcPr>
            <w:tcW w:w="1300" w:type="dxa"/>
            <w:noWrap/>
            <w:hideMark/>
          </w:tcPr>
          <w:p w14:paraId="7DF7C33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12625.70</w:t>
            </w:r>
          </w:p>
        </w:tc>
        <w:tc>
          <w:tcPr>
            <w:tcW w:w="1540" w:type="dxa"/>
            <w:hideMark/>
          </w:tcPr>
          <w:p w14:paraId="2509A4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1.93</w:t>
            </w:r>
          </w:p>
        </w:tc>
        <w:tc>
          <w:tcPr>
            <w:tcW w:w="1180" w:type="dxa"/>
            <w:hideMark/>
          </w:tcPr>
          <w:p w14:paraId="7DFF263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406ABE2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0.11</w:t>
            </w:r>
          </w:p>
        </w:tc>
      </w:tr>
      <w:tr w:rsidR="00302953" w:rsidRPr="00770477" w14:paraId="61FD409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56DF2D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10-C-10-1</w:t>
            </w:r>
          </w:p>
        </w:tc>
        <w:tc>
          <w:tcPr>
            <w:tcW w:w="1180" w:type="dxa"/>
            <w:noWrap/>
            <w:hideMark/>
          </w:tcPr>
          <w:p w14:paraId="260A15D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223.99</w:t>
            </w:r>
          </w:p>
        </w:tc>
        <w:tc>
          <w:tcPr>
            <w:tcW w:w="1560" w:type="dxa"/>
            <w:hideMark/>
          </w:tcPr>
          <w:p w14:paraId="6BF5D7D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1.28</w:t>
            </w:r>
          </w:p>
        </w:tc>
        <w:tc>
          <w:tcPr>
            <w:tcW w:w="1240" w:type="dxa"/>
            <w:hideMark/>
          </w:tcPr>
          <w:p w14:paraId="5166260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60" w:type="dxa"/>
            <w:hideMark/>
          </w:tcPr>
          <w:p w14:paraId="56CE9D8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300" w:type="dxa"/>
            <w:noWrap/>
            <w:hideMark/>
          </w:tcPr>
          <w:p w14:paraId="4F7F52D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10972.17</w:t>
            </w:r>
          </w:p>
        </w:tc>
        <w:tc>
          <w:tcPr>
            <w:tcW w:w="1540" w:type="dxa"/>
            <w:hideMark/>
          </w:tcPr>
          <w:p w14:paraId="6298C39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1.68</w:t>
            </w:r>
          </w:p>
        </w:tc>
        <w:tc>
          <w:tcPr>
            <w:tcW w:w="1180" w:type="dxa"/>
            <w:hideMark/>
          </w:tcPr>
          <w:p w14:paraId="1993488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4252150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0.10</w:t>
            </w:r>
          </w:p>
        </w:tc>
      </w:tr>
      <w:tr w:rsidR="00302953" w:rsidRPr="00770477" w14:paraId="776A007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BA3267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10-C-17-1</w:t>
            </w:r>
          </w:p>
        </w:tc>
        <w:tc>
          <w:tcPr>
            <w:tcW w:w="1180" w:type="dxa"/>
            <w:noWrap/>
            <w:hideMark/>
          </w:tcPr>
          <w:p w14:paraId="4D08502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332.65</w:t>
            </w:r>
          </w:p>
        </w:tc>
        <w:tc>
          <w:tcPr>
            <w:tcW w:w="1560" w:type="dxa"/>
            <w:hideMark/>
          </w:tcPr>
          <w:p w14:paraId="52F760E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1.93</w:t>
            </w:r>
          </w:p>
        </w:tc>
        <w:tc>
          <w:tcPr>
            <w:tcW w:w="1240" w:type="dxa"/>
            <w:noWrap/>
            <w:hideMark/>
          </w:tcPr>
          <w:p w14:paraId="774D400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0.21</w:t>
            </w:r>
          </w:p>
        </w:tc>
        <w:tc>
          <w:tcPr>
            <w:tcW w:w="1560" w:type="dxa"/>
            <w:hideMark/>
          </w:tcPr>
          <w:p w14:paraId="699D482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0.01</w:t>
            </w:r>
          </w:p>
        </w:tc>
        <w:tc>
          <w:tcPr>
            <w:tcW w:w="1300" w:type="dxa"/>
            <w:noWrap/>
            <w:hideMark/>
          </w:tcPr>
          <w:p w14:paraId="51E58EE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7402.36</w:t>
            </w:r>
          </w:p>
        </w:tc>
        <w:tc>
          <w:tcPr>
            <w:tcW w:w="1540" w:type="dxa"/>
            <w:hideMark/>
          </w:tcPr>
          <w:p w14:paraId="6EA911F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1.16</w:t>
            </w:r>
          </w:p>
        </w:tc>
        <w:tc>
          <w:tcPr>
            <w:tcW w:w="1180" w:type="dxa"/>
            <w:hideMark/>
          </w:tcPr>
          <w:p w14:paraId="6723BBF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60F0228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0.09</w:t>
            </w:r>
          </w:p>
        </w:tc>
      </w:tr>
      <w:tr w:rsidR="00302953" w:rsidRPr="00770477" w14:paraId="6E67BC4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8A0CA7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10-C-27-1</w:t>
            </w:r>
          </w:p>
        </w:tc>
        <w:tc>
          <w:tcPr>
            <w:tcW w:w="1180" w:type="dxa"/>
            <w:noWrap/>
            <w:hideMark/>
          </w:tcPr>
          <w:p w14:paraId="0B8527F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365.52</w:t>
            </w:r>
          </w:p>
        </w:tc>
        <w:tc>
          <w:tcPr>
            <w:tcW w:w="1560" w:type="dxa"/>
            <w:hideMark/>
          </w:tcPr>
          <w:p w14:paraId="0E5A8FD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2.15</w:t>
            </w:r>
          </w:p>
        </w:tc>
        <w:tc>
          <w:tcPr>
            <w:tcW w:w="1240" w:type="dxa"/>
            <w:noWrap/>
            <w:hideMark/>
          </w:tcPr>
          <w:p w14:paraId="434DCB0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0.34</w:t>
            </w:r>
          </w:p>
        </w:tc>
        <w:tc>
          <w:tcPr>
            <w:tcW w:w="1560" w:type="dxa"/>
            <w:hideMark/>
          </w:tcPr>
          <w:p w14:paraId="1A73B3A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noWrap/>
            <w:hideMark/>
          </w:tcPr>
          <w:p w14:paraId="63BFBFC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7524.21</w:t>
            </w:r>
          </w:p>
        </w:tc>
        <w:tc>
          <w:tcPr>
            <w:tcW w:w="1540" w:type="dxa"/>
            <w:hideMark/>
          </w:tcPr>
          <w:p w14:paraId="4E2DBC7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1.18</w:t>
            </w:r>
          </w:p>
        </w:tc>
        <w:tc>
          <w:tcPr>
            <w:tcW w:w="1180" w:type="dxa"/>
            <w:hideMark/>
          </w:tcPr>
          <w:p w14:paraId="4BA311E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49F245A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5473D4C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CAE3BF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10-C-27-2</w:t>
            </w:r>
          </w:p>
        </w:tc>
        <w:tc>
          <w:tcPr>
            <w:tcW w:w="1180" w:type="dxa"/>
            <w:noWrap/>
            <w:hideMark/>
          </w:tcPr>
          <w:p w14:paraId="633E721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357.30</w:t>
            </w:r>
          </w:p>
        </w:tc>
        <w:tc>
          <w:tcPr>
            <w:tcW w:w="1560" w:type="dxa"/>
            <w:hideMark/>
          </w:tcPr>
          <w:p w14:paraId="6DAB47D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2.10</w:t>
            </w:r>
          </w:p>
        </w:tc>
        <w:tc>
          <w:tcPr>
            <w:tcW w:w="1240" w:type="dxa"/>
            <w:noWrap/>
            <w:hideMark/>
          </w:tcPr>
          <w:p w14:paraId="5EEF4C5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0.19</w:t>
            </w:r>
          </w:p>
        </w:tc>
        <w:tc>
          <w:tcPr>
            <w:tcW w:w="1560" w:type="dxa"/>
            <w:hideMark/>
          </w:tcPr>
          <w:p w14:paraId="1D503B4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0.01</w:t>
            </w:r>
          </w:p>
        </w:tc>
        <w:tc>
          <w:tcPr>
            <w:tcW w:w="1300" w:type="dxa"/>
            <w:noWrap/>
            <w:hideMark/>
          </w:tcPr>
          <w:p w14:paraId="29FE3FC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7479.15</w:t>
            </w:r>
          </w:p>
        </w:tc>
        <w:tc>
          <w:tcPr>
            <w:tcW w:w="1540" w:type="dxa"/>
            <w:hideMark/>
          </w:tcPr>
          <w:p w14:paraId="19E15EE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1.17</w:t>
            </w:r>
          </w:p>
        </w:tc>
        <w:tc>
          <w:tcPr>
            <w:tcW w:w="1180" w:type="dxa"/>
            <w:hideMark/>
          </w:tcPr>
          <w:p w14:paraId="7601B04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39D5A6F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1CE27C8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AB5EDB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10-D-0-1</w:t>
            </w:r>
          </w:p>
        </w:tc>
        <w:tc>
          <w:tcPr>
            <w:tcW w:w="1180" w:type="dxa"/>
            <w:noWrap/>
            <w:hideMark/>
          </w:tcPr>
          <w:p w14:paraId="306C89A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198.98</w:t>
            </w:r>
          </w:p>
        </w:tc>
        <w:tc>
          <w:tcPr>
            <w:tcW w:w="1560" w:type="dxa"/>
            <w:hideMark/>
          </w:tcPr>
          <w:p w14:paraId="4EE88F5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1.12</w:t>
            </w:r>
          </w:p>
        </w:tc>
        <w:tc>
          <w:tcPr>
            <w:tcW w:w="1240" w:type="dxa"/>
            <w:noWrap/>
            <w:hideMark/>
          </w:tcPr>
          <w:p w14:paraId="4AD11DF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0.50</w:t>
            </w:r>
          </w:p>
        </w:tc>
        <w:tc>
          <w:tcPr>
            <w:tcW w:w="1560" w:type="dxa"/>
            <w:hideMark/>
          </w:tcPr>
          <w:p w14:paraId="53770FC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0.03</w:t>
            </w:r>
          </w:p>
        </w:tc>
        <w:tc>
          <w:tcPr>
            <w:tcW w:w="1300" w:type="dxa"/>
            <w:noWrap/>
            <w:hideMark/>
          </w:tcPr>
          <w:p w14:paraId="19A6167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540" w:type="dxa"/>
            <w:hideMark/>
          </w:tcPr>
          <w:p w14:paraId="13B8E21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180" w:type="dxa"/>
            <w:hideMark/>
          </w:tcPr>
          <w:p w14:paraId="36C781A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1EC5949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49BCA54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7CF79A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10-D-1-1</w:t>
            </w:r>
          </w:p>
        </w:tc>
        <w:tc>
          <w:tcPr>
            <w:tcW w:w="1180" w:type="dxa"/>
            <w:noWrap/>
            <w:hideMark/>
          </w:tcPr>
          <w:p w14:paraId="2D7A706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190.56</w:t>
            </w:r>
          </w:p>
        </w:tc>
        <w:tc>
          <w:tcPr>
            <w:tcW w:w="1560" w:type="dxa"/>
            <w:hideMark/>
          </w:tcPr>
          <w:p w14:paraId="4D37FC5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1.11</w:t>
            </w:r>
          </w:p>
        </w:tc>
        <w:tc>
          <w:tcPr>
            <w:tcW w:w="1240" w:type="dxa"/>
            <w:noWrap/>
            <w:hideMark/>
          </w:tcPr>
          <w:p w14:paraId="77D92B7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0.15</w:t>
            </w:r>
          </w:p>
        </w:tc>
        <w:tc>
          <w:tcPr>
            <w:tcW w:w="1560" w:type="dxa"/>
            <w:hideMark/>
          </w:tcPr>
          <w:p w14:paraId="6164559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0.01</w:t>
            </w:r>
          </w:p>
        </w:tc>
        <w:tc>
          <w:tcPr>
            <w:tcW w:w="1300" w:type="dxa"/>
            <w:noWrap/>
            <w:hideMark/>
          </w:tcPr>
          <w:p w14:paraId="613507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540" w:type="dxa"/>
            <w:hideMark/>
          </w:tcPr>
          <w:p w14:paraId="4A5F657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180" w:type="dxa"/>
            <w:hideMark/>
          </w:tcPr>
          <w:p w14:paraId="48C35B7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0998E60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0.11</w:t>
            </w:r>
          </w:p>
        </w:tc>
      </w:tr>
      <w:tr w:rsidR="00302953" w:rsidRPr="00770477" w14:paraId="5A9C103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51D8AB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10-D-1-2</w:t>
            </w:r>
          </w:p>
        </w:tc>
        <w:tc>
          <w:tcPr>
            <w:tcW w:w="1180" w:type="dxa"/>
            <w:noWrap/>
            <w:hideMark/>
          </w:tcPr>
          <w:p w14:paraId="395FFE0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185.38</w:t>
            </w:r>
          </w:p>
        </w:tc>
        <w:tc>
          <w:tcPr>
            <w:tcW w:w="1560" w:type="dxa"/>
            <w:hideMark/>
          </w:tcPr>
          <w:p w14:paraId="32A1211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w:t>
            </w:r>
          </w:p>
        </w:tc>
        <w:tc>
          <w:tcPr>
            <w:tcW w:w="1240" w:type="dxa"/>
            <w:noWrap/>
            <w:hideMark/>
          </w:tcPr>
          <w:p w14:paraId="6A7E70C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0.83</w:t>
            </w:r>
          </w:p>
        </w:tc>
        <w:tc>
          <w:tcPr>
            <w:tcW w:w="1560" w:type="dxa"/>
            <w:hideMark/>
          </w:tcPr>
          <w:p w14:paraId="0FBA4A5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c>
          <w:tcPr>
            <w:tcW w:w="1300" w:type="dxa"/>
            <w:noWrap/>
            <w:hideMark/>
          </w:tcPr>
          <w:p w14:paraId="78C25AE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540" w:type="dxa"/>
            <w:hideMark/>
          </w:tcPr>
          <w:p w14:paraId="5325EFF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180" w:type="dxa"/>
            <w:hideMark/>
          </w:tcPr>
          <w:p w14:paraId="71748CD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1F4CA67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0.11</w:t>
            </w:r>
          </w:p>
        </w:tc>
      </w:tr>
      <w:tr w:rsidR="00302953" w:rsidRPr="00770477" w14:paraId="56081EA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026925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10-D-2-1</w:t>
            </w:r>
          </w:p>
        </w:tc>
        <w:tc>
          <w:tcPr>
            <w:tcW w:w="1180" w:type="dxa"/>
            <w:noWrap/>
            <w:hideMark/>
          </w:tcPr>
          <w:p w14:paraId="52C8688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198.04</w:t>
            </w:r>
          </w:p>
        </w:tc>
        <w:tc>
          <w:tcPr>
            <w:tcW w:w="1560" w:type="dxa"/>
            <w:hideMark/>
          </w:tcPr>
          <w:p w14:paraId="6D5EA58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1.14</w:t>
            </w:r>
          </w:p>
        </w:tc>
        <w:tc>
          <w:tcPr>
            <w:tcW w:w="1240" w:type="dxa"/>
            <w:noWrap/>
            <w:hideMark/>
          </w:tcPr>
          <w:p w14:paraId="63005B5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0.36</w:t>
            </w:r>
          </w:p>
        </w:tc>
        <w:tc>
          <w:tcPr>
            <w:tcW w:w="1560" w:type="dxa"/>
            <w:hideMark/>
          </w:tcPr>
          <w:p w14:paraId="1FBD273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1300" w:type="dxa"/>
            <w:noWrap/>
            <w:hideMark/>
          </w:tcPr>
          <w:p w14:paraId="3695760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6460.53</w:t>
            </w:r>
          </w:p>
        </w:tc>
        <w:tc>
          <w:tcPr>
            <w:tcW w:w="1540" w:type="dxa"/>
            <w:hideMark/>
          </w:tcPr>
          <w:p w14:paraId="1EDE456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80" w:type="dxa"/>
            <w:hideMark/>
          </w:tcPr>
          <w:p w14:paraId="5019969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00B25F8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0.09</w:t>
            </w:r>
          </w:p>
        </w:tc>
      </w:tr>
      <w:tr w:rsidR="00302953" w:rsidRPr="00770477" w14:paraId="23C43DD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08DC21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10-D-4-1</w:t>
            </w:r>
          </w:p>
        </w:tc>
        <w:tc>
          <w:tcPr>
            <w:tcW w:w="1180" w:type="dxa"/>
            <w:noWrap/>
            <w:hideMark/>
          </w:tcPr>
          <w:p w14:paraId="295CD41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236.77</w:t>
            </w:r>
          </w:p>
        </w:tc>
        <w:tc>
          <w:tcPr>
            <w:tcW w:w="1560" w:type="dxa"/>
            <w:hideMark/>
          </w:tcPr>
          <w:p w14:paraId="69412C0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1.39</w:t>
            </w:r>
          </w:p>
        </w:tc>
        <w:tc>
          <w:tcPr>
            <w:tcW w:w="1240" w:type="dxa"/>
            <w:noWrap/>
            <w:hideMark/>
          </w:tcPr>
          <w:p w14:paraId="0441FE4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0.15</w:t>
            </w:r>
          </w:p>
        </w:tc>
        <w:tc>
          <w:tcPr>
            <w:tcW w:w="1560" w:type="dxa"/>
            <w:hideMark/>
          </w:tcPr>
          <w:p w14:paraId="72C5A4F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0.01</w:t>
            </w:r>
          </w:p>
        </w:tc>
        <w:tc>
          <w:tcPr>
            <w:tcW w:w="1300" w:type="dxa"/>
            <w:noWrap/>
            <w:hideMark/>
          </w:tcPr>
          <w:p w14:paraId="23558AA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6491.42</w:t>
            </w:r>
          </w:p>
        </w:tc>
        <w:tc>
          <w:tcPr>
            <w:tcW w:w="1540" w:type="dxa"/>
            <w:hideMark/>
          </w:tcPr>
          <w:p w14:paraId="23B48E5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80" w:type="dxa"/>
            <w:hideMark/>
          </w:tcPr>
          <w:p w14:paraId="60C68F5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3C765C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0.10</w:t>
            </w:r>
          </w:p>
        </w:tc>
      </w:tr>
      <w:tr w:rsidR="00302953" w:rsidRPr="00770477" w14:paraId="40CD1B1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A85AAE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10-D-6-1</w:t>
            </w:r>
          </w:p>
        </w:tc>
        <w:tc>
          <w:tcPr>
            <w:tcW w:w="1180" w:type="dxa"/>
            <w:noWrap/>
            <w:hideMark/>
          </w:tcPr>
          <w:p w14:paraId="34F9A66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319.68</w:t>
            </w:r>
          </w:p>
        </w:tc>
        <w:tc>
          <w:tcPr>
            <w:tcW w:w="1560" w:type="dxa"/>
            <w:hideMark/>
          </w:tcPr>
          <w:p w14:paraId="6870778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1.85</w:t>
            </w:r>
          </w:p>
        </w:tc>
        <w:tc>
          <w:tcPr>
            <w:tcW w:w="1240" w:type="dxa"/>
            <w:noWrap/>
            <w:hideMark/>
          </w:tcPr>
          <w:p w14:paraId="3DA6814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2.28</w:t>
            </w:r>
          </w:p>
        </w:tc>
        <w:tc>
          <w:tcPr>
            <w:tcW w:w="1560" w:type="dxa"/>
            <w:hideMark/>
          </w:tcPr>
          <w:p w14:paraId="37B9AD8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0.13</w:t>
            </w:r>
          </w:p>
        </w:tc>
        <w:tc>
          <w:tcPr>
            <w:tcW w:w="1300" w:type="dxa"/>
            <w:noWrap/>
            <w:hideMark/>
          </w:tcPr>
          <w:p w14:paraId="6943B54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6484.86</w:t>
            </w:r>
          </w:p>
        </w:tc>
        <w:tc>
          <w:tcPr>
            <w:tcW w:w="1540" w:type="dxa"/>
            <w:hideMark/>
          </w:tcPr>
          <w:p w14:paraId="658DD0A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0.99</w:t>
            </w:r>
          </w:p>
        </w:tc>
        <w:tc>
          <w:tcPr>
            <w:tcW w:w="1180" w:type="dxa"/>
            <w:hideMark/>
          </w:tcPr>
          <w:p w14:paraId="0C89DC6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1FD81C9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0.11</w:t>
            </w:r>
          </w:p>
        </w:tc>
      </w:tr>
      <w:tr w:rsidR="00302953" w:rsidRPr="00770477" w14:paraId="7570E62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7959D4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10-D-10-1</w:t>
            </w:r>
          </w:p>
        </w:tc>
        <w:tc>
          <w:tcPr>
            <w:tcW w:w="1180" w:type="dxa"/>
            <w:noWrap/>
            <w:hideMark/>
          </w:tcPr>
          <w:p w14:paraId="61BF3E5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300.10</w:t>
            </w:r>
          </w:p>
        </w:tc>
        <w:tc>
          <w:tcPr>
            <w:tcW w:w="1560" w:type="dxa"/>
            <w:hideMark/>
          </w:tcPr>
          <w:p w14:paraId="00C6E35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1.72</w:t>
            </w:r>
          </w:p>
        </w:tc>
        <w:tc>
          <w:tcPr>
            <w:tcW w:w="1240" w:type="dxa"/>
            <w:noWrap/>
            <w:hideMark/>
          </w:tcPr>
          <w:p w14:paraId="690BB39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0.23</w:t>
            </w:r>
          </w:p>
        </w:tc>
        <w:tc>
          <w:tcPr>
            <w:tcW w:w="1560" w:type="dxa"/>
            <w:hideMark/>
          </w:tcPr>
          <w:p w14:paraId="00F5191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0.01</w:t>
            </w:r>
          </w:p>
        </w:tc>
        <w:tc>
          <w:tcPr>
            <w:tcW w:w="1300" w:type="dxa"/>
            <w:noWrap/>
            <w:hideMark/>
          </w:tcPr>
          <w:p w14:paraId="55D09B5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6481.41</w:t>
            </w:r>
          </w:p>
        </w:tc>
        <w:tc>
          <w:tcPr>
            <w:tcW w:w="1540" w:type="dxa"/>
            <w:hideMark/>
          </w:tcPr>
          <w:p w14:paraId="3EE4287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0.99</w:t>
            </w:r>
          </w:p>
        </w:tc>
        <w:tc>
          <w:tcPr>
            <w:tcW w:w="1180" w:type="dxa"/>
            <w:hideMark/>
          </w:tcPr>
          <w:p w14:paraId="51F1CDC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446F1B2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0.10</w:t>
            </w:r>
          </w:p>
        </w:tc>
      </w:tr>
      <w:tr w:rsidR="00302953" w:rsidRPr="00770477" w14:paraId="619B58C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73966B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10-D-17-1</w:t>
            </w:r>
          </w:p>
        </w:tc>
        <w:tc>
          <w:tcPr>
            <w:tcW w:w="1180" w:type="dxa"/>
            <w:noWrap/>
            <w:hideMark/>
          </w:tcPr>
          <w:p w14:paraId="4026558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352.88</w:t>
            </w:r>
          </w:p>
        </w:tc>
        <w:tc>
          <w:tcPr>
            <w:tcW w:w="1560" w:type="dxa"/>
            <w:hideMark/>
          </w:tcPr>
          <w:p w14:paraId="19AB9D6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2.05</w:t>
            </w:r>
          </w:p>
        </w:tc>
        <w:tc>
          <w:tcPr>
            <w:tcW w:w="1240" w:type="dxa"/>
            <w:noWrap/>
            <w:hideMark/>
          </w:tcPr>
          <w:p w14:paraId="67C1E98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0.26</w:t>
            </w:r>
          </w:p>
        </w:tc>
        <w:tc>
          <w:tcPr>
            <w:tcW w:w="1560" w:type="dxa"/>
            <w:hideMark/>
          </w:tcPr>
          <w:p w14:paraId="1527F47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0.01</w:t>
            </w:r>
          </w:p>
        </w:tc>
        <w:tc>
          <w:tcPr>
            <w:tcW w:w="1300" w:type="dxa"/>
            <w:noWrap/>
            <w:hideMark/>
          </w:tcPr>
          <w:p w14:paraId="38D9998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6700.35</w:t>
            </w:r>
          </w:p>
        </w:tc>
        <w:tc>
          <w:tcPr>
            <w:tcW w:w="1540" w:type="dxa"/>
            <w:hideMark/>
          </w:tcPr>
          <w:p w14:paraId="0EE46B6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c>
          <w:tcPr>
            <w:tcW w:w="1180" w:type="dxa"/>
            <w:hideMark/>
          </w:tcPr>
          <w:p w14:paraId="6BF9E6B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6D1534E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0.09</w:t>
            </w:r>
          </w:p>
        </w:tc>
      </w:tr>
      <w:tr w:rsidR="00302953" w:rsidRPr="00770477" w14:paraId="0A7B031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FA8F86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10-D-17-2</w:t>
            </w:r>
          </w:p>
        </w:tc>
        <w:tc>
          <w:tcPr>
            <w:tcW w:w="1180" w:type="dxa"/>
            <w:noWrap/>
            <w:hideMark/>
          </w:tcPr>
          <w:p w14:paraId="304E267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348.85</w:t>
            </w:r>
          </w:p>
        </w:tc>
        <w:tc>
          <w:tcPr>
            <w:tcW w:w="1560" w:type="dxa"/>
            <w:hideMark/>
          </w:tcPr>
          <w:p w14:paraId="4125782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2.03</w:t>
            </w:r>
          </w:p>
        </w:tc>
        <w:tc>
          <w:tcPr>
            <w:tcW w:w="1240" w:type="dxa"/>
            <w:noWrap/>
            <w:hideMark/>
          </w:tcPr>
          <w:p w14:paraId="557FEF8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0.20</w:t>
            </w:r>
          </w:p>
        </w:tc>
        <w:tc>
          <w:tcPr>
            <w:tcW w:w="1560" w:type="dxa"/>
            <w:hideMark/>
          </w:tcPr>
          <w:p w14:paraId="2814C2B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0.01</w:t>
            </w:r>
          </w:p>
        </w:tc>
        <w:tc>
          <w:tcPr>
            <w:tcW w:w="1300" w:type="dxa"/>
            <w:noWrap/>
            <w:hideMark/>
          </w:tcPr>
          <w:p w14:paraId="3F7EDAE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6692.70</w:t>
            </w:r>
          </w:p>
        </w:tc>
        <w:tc>
          <w:tcPr>
            <w:tcW w:w="1540" w:type="dxa"/>
            <w:hideMark/>
          </w:tcPr>
          <w:p w14:paraId="00A14D8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c>
          <w:tcPr>
            <w:tcW w:w="1180" w:type="dxa"/>
            <w:hideMark/>
          </w:tcPr>
          <w:p w14:paraId="4728EE7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085045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0.09</w:t>
            </w:r>
          </w:p>
        </w:tc>
      </w:tr>
      <w:tr w:rsidR="00302953" w:rsidRPr="00770477" w14:paraId="1CBC76E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C32CCE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10-D-27-1</w:t>
            </w:r>
          </w:p>
        </w:tc>
        <w:tc>
          <w:tcPr>
            <w:tcW w:w="1180" w:type="dxa"/>
            <w:noWrap/>
            <w:hideMark/>
          </w:tcPr>
          <w:p w14:paraId="33EC305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334.34</w:t>
            </w:r>
          </w:p>
        </w:tc>
        <w:tc>
          <w:tcPr>
            <w:tcW w:w="1560" w:type="dxa"/>
            <w:hideMark/>
          </w:tcPr>
          <w:p w14:paraId="0707FC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1.96</w:t>
            </w:r>
          </w:p>
        </w:tc>
        <w:tc>
          <w:tcPr>
            <w:tcW w:w="1240" w:type="dxa"/>
            <w:noWrap/>
            <w:hideMark/>
          </w:tcPr>
          <w:p w14:paraId="587C49A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0.20</w:t>
            </w:r>
          </w:p>
        </w:tc>
        <w:tc>
          <w:tcPr>
            <w:tcW w:w="1560" w:type="dxa"/>
            <w:hideMark/>
          </w:tcPr>
          <w:p w14:paraId="3323762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0.01</w:t>
            </w:r>
          </w:p>
        </w:tc>
        <w:tc>
          <w:tcPr>
            <w:tcW w:w="1300" w:type="dxa"/>
            <w:noWrap/>
            <w:hideMark/>
          </w:tcPr>
          <w:p w14:paraId="7279474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6420.27</w:t>
            </w:r>
          </w:p>
        </w:tc>
        <w:tc>
          <w:tcPr>
            <w:tcW w:w="1540" w:type="dxa"/>
            <w:hideMark/>
          </w:tcPr>
          <w:p w14:paraId="31B0721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80" w:type="dxa"/>
            <w:hideMark/>
          </w:tcPr>
          <w:p w14:paraId="5914D9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0FD5EB9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00393CA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52A040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10-D-27-2</w:t>
            </w:r>
          </w:p>
        </w:tc>
        <w:tc>
          <w:tcPr>
            <w:tcW w:w="1180" w:type="dxa"/>
            <w:noWrap/>
            <w:hideMark/>
          </w:tcPr>
          <w:p w14:paraId="37E8B23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336.95</w:t>
            </w:r>
          </w:p>
        </w:tc>
        <w:tc>
          <w:tcPr>
            <w:tcW w:w="1560" w:type="dxa"/>
            <w:hideMark/>
          </w:tcPr>
          <w:p w14:paraId="750AD57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1.98</w:t>
            </w:r>
          </w:p>
        </w:tc>
        <w:tc>
          <w:tcPr>
            <w:tcW w:w="1240" w:type="dxa"/>
            <w:noWrap/>
            <w:hideMark/>
          </w:tcPr>
          <w:p w14:paraId="3BACAB2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c>
          <w:tcPr>
            <w:tcW w:w="1560" w:type="dxa"/>
            <w:hideMark/>
          </w:tcPr>
          <w:p w14:paraId="6A2F889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0.01</w:t>
            </w:r>
          </w:p>
        </w:tc>
        <w:tc>
          <w:tcPr>
            <w:tcW w:w="1300" w:type="dxa"/>
            <w:noWrap/>
            <w:hideMark/>
          </w:tcPr>
          <w:p w14:paraId="3C978E8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6450.34</w:t>
            </w:r>
          </w:p>
        </w:tc>
        <w:tc>
          <w:tcPr>
            <w:tcW w:w="1540" w:type="dxa"/>
            <w:hideMark/>
          </w:tcPr>
          <w:p w14:paraId="1D44899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w:t>
            </w:r>
          </w:p>
        </w:tc>
        <w:tc>
          <w:tcPr>
            <w:tcW w:w="1180" w:type="dxa"/>
            <w:hideMark/>
          </w:tcPr>
          <w:p w14:paraId="695E716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6731E55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r>
      <w:tr w:rsidR="00302953" w:rsidRPr="00770477" w14:paraId="6C5EF61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ED80BD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10-I-0-3</w:t>
            </w:r>
          </w:p>
        </w:tc>
        <w:tc>
          <w:tcPr>
            <w:tcW w:w="1180" w:type="dxa"/>
            <w:noWrap/>
            <w:hideMark/>
          </w:tcPr>
          <w:p w14:paraId="314BDE2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178.24</w:t>
            </w:r>
          </w:p>
        </w:tc>
        <w:tc>
          <w:tcPr>
            <w:tcW w:w="1560" w:type="dxa"/>
            <w:hideMark/>
          </w:tcPr>
          <w:p w14:paraId="469731C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315C5E9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17.21</w:t>
            </w:r>
          </w:p>
        </w:tc>
        <w:tc>
          <w:tcPr>
            <w:tcW w:w="1560" w:type="dxa"/>
            <w:hideMark/>
          </w:tcPr>
          <w:p w14:paraId="3FA526B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DCAF0E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540" w:type="dxa"/>
            <w:hideMark/>
          </w:tcPr>
          <w:p w14:paraId="2D87BCA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180" w:type="dxa"/>
            <w:noWrap/>
            <w:hideMark/>
          </w:tcPr>
          <w:p w14:paraId="4B5C64F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16.08</w:t>
            </w:r>
          </w:p>
        </w:tc>
        <w:tc>
          <w:tcPr>
            <w:tcW w:w="1440" w:type="dxa"/>
            <w:hideMark/>
          </w:tcPr>
          <w:p w14:paraId="329A814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531D92D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2145E2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10-I-1-3</w:t>
            </w:r>
          </w:p>
        </w:tc>
        <w:tc>
          <w:tcPr>
            <w:tcW w:w="1180" w:type="dxa"/>
            <w:noWrap/>
            <w:hideMark/>
          </w:tcPr>
          <w:p w14:paraId="326D9B4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171.85</w:t>
            </w:r>
          </w:p>
        </w:tc>
        <w:tc>
          <w:tcPr>
            <w:tcW w:w="1560" w:type="dxa"/>
            <w:hideMark/>
          </w:tcPr>
          <w:p w14:paraId="31EA856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0D0B8F8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17.71</w:t>
            </w:r>
          </w:p>
        </w:tc>
        <w:tc>
          <w:tcPr>
            <w:tcW w:w="1560" w:type="dxa"/>
            <w:hideMark/>
          </w:tcPr>
          <w:p w14:paraId="0F8D740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40A9D9E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6527.22</w:t>
            </w:r>
          </w:p>
        </w:tc>
        <w:tc>
          <w:tcPr>
            <w:tcW w:w="1540" w:type="dxa"/>
            <w:hideMark/>
          </w:tcPr>
          <w:p w14:paraId="4F1A7D0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80" w:type="dxa"/>
            <w:noWrap/>
            <w:hideMark/>
          </w:tcPr>
          <w:p w14:paraId="463BD2F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9.80</w:t>
            </w:r>
          </w:p>
        </w:tc>
        <w:tc>
          <w:tcPr>
            <w:tcW w:w="1440" w:type="dxa"/>
            <w:hideMark/>
          </w:tcPr>
          <w:p w14:paraId="0018D12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0E3821D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0967C93"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10-I-2-3</w:t>
            </w:r>
          </w:p>
        </w:tc>
        <w:tc>
          <w:tcPr>
            <w:tcW w:w="1180" w:type="dxa"/>
            <w:noWrap/>
            <w:hideMark/>
          </w:tcPr>
          <w:p w14:paraId="1835E54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173.49</w:t>
            </w:r>
          </w:p>
        </w:tc>
        <w:tc>
          <w:tcPr>
            <w:tcW w:w="1560" w:type="dxa"/>
            <w:hideMark/>
          </w:tcPr>
          <w:p w14:paraId="66AA82E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366CC02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17.58</w:t>
            </w:r>
          </w:p>
        </w:tc>
        <w:tc>
          <w:tcPr>
            <w:tcW w:w="1560" w:type="dxa"/>
            <w:hideMark/>
          </w:tcPr>
          <w:p w14:paraId="051418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6EF5C33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6462.03</w:t>
            </w:r>
          </w:p>
        </w:tc>
        <w:tc>
          <w:tcPr>
            <w:tcW w:w="1540" w:type="dxa"/>
            <w:hideMark/>
          </w:tcPr>
          <w:p w14:paraId="654E6B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80" w:type="dxa"/>
            <w:noWrap/>
            <w:hideMark/>
          </w:tcPr>
          <w:p w14:paraId="0C7802E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11.88</w:t>
            </w:r>
          </w:p>
        </w:tc>
        <w:tc>
          <w:tcPr>
            <w:tcW w:w="1440" w:type="dxa"/>
            <w:hideMark/>
          </w:tcPr>
          <w:p w14:paraId="73152BA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3981B5D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A7751A2"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10-I-4-3</w:t>
            </w:r>
          </w:p>
        </w:tc>
        <w:tc>
          <w:tcPr>
            <w:tcW w:w="1180" w:type="dxa"/>
            <w:noWrap/>
            <w:hideMark/>
          </w:tcPr>
          <w:p w14:paraId="6E83787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170.54</w:t>
            </w:r>
          </w:p>
        </w:tc>
        <w:tc>
          <w:tcPr>
            <w:tcW w:w="1560" w:type="dxa"/>
            <w:hideMark/>
          </w:tcPr>
          <w:p w14:paraId="44B2159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7EF26AD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17.49</w:t>
            </w:r>
          </w:p>
        </w:tc>
        <w:tc>
          <w:tcPr>
            <w:tcW w:w="1560" w:type="dxa"/>
            <w:hideMark/>
          </w:tcPr>
          <w:p w14:paraId="34FA7E8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08D587D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6472.03</w:t>
            </w:r>
          </w:p>
        </w:tc>
        <w:tc>
          <w:tcPr>
            <w:tcW w:w="1540" w:type="dxa"/>
            <w:hideMark/>
          </w:tcPr>
          <w:p w14:paraId="02C8374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80" w:type="dxa"/>
            <w:noWrap/>
            <w:hideMark/>
          </w:tcPr>
          <w:p w14:paraId="55FDED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10.57</w:t>
            </w:r>
          </w:p>
        </w:tc>
        <w:tc>
          <w:tcPr>
            <w:tcW w:w="1440" w:type="dxa"/>
            <w:hideMark/>
          </w:tcPr>
          <w:p w14:paraId="099F260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004C3B2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02A3C98"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10-I-6-3</w:t>
            </w:r>
          </w:p>
        </w:tc>
        <w:tc>
          <w:tcPr>
            <w:tcW w:w="1180" w:type="dxa"/>
            <w:noWrap/>
            <w:hideMark/>
          </w:tcPr>
          <w:p w14:paraId="2F6369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172.89</w:t>
            </w:r>
          </w:p>
        </w:tc>
        <w:tc>
          <w:tcPr>
            <w:tcW w:w="1560" w:type="dxa"/>
            <w:hideMark/>
          </w:tcPr>
          <w:p w14:paraId="13C910B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2393283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17.92</w:t>
            </w:r>
          </w:p>
        </w:tc>
        <w:tc>
          <w:tcPr>
            <w:tcW w:w="1560" w:type="dxa"/>
            <w:hideMark/>
          </w:tcPr>
          <w:p w14:paraId="5F7B1A8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10B679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6533.06</w:t>
            </w:r>
          </w:p>
        </w:tc>
        <w:tc>
          <w:tcPr>
            <w:tcW w:w="1540" w:type="dxa"/>
            <w:hideMark/>
          </w:tcPr>
          <w:p w14:paraId="43519BA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80" w:type="dxa"/>
            <w:noWrap/>
            <w:hideMark/>
          </w:tcPr>
          <w:p w14:paraId="2CCD96D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9.72</w:t>
            </w:r>
          </w:p>
        </w:tc>
        <w:tc>
          <w:tcPr>
            <w:tcW w:w="1440" w:type="dxa"/>
            <w:hideMark/>
          </w:tcPr>
          <w:p w14:paraId="66204D8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23867BC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786C0C2"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10-I-10-3</w:t>
            </w:r>
          </w:p>
        </w:tc>
        <w:tc>
          <w:tcPr>
            <w:tcW w:w="1180" w:type="dxa"/>
            <w:noWrap/>
            <w:hideMark/>
          </w:tcPr>
          <w:p w14:paraId="579D87A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174.93</w:t>
            </w:r>
          </w:p>
        </w:tc>
        <w:tc>
          <w:tcPr>
            <w:tcW w:w="1560" w:type="dxa"/>
            <w:hideMark/>
          </w:tcPr>
          <w:p w14:paraId="516ADEB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0BEEEC1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17.80</w:t>
            </w:r>
          </w:p>
        </w:tc>
        <w:tc>
          <w:tcPr>
            <w:tcW w:w="1560" w:type="dxa"/>
            <w:hideMark/>
          </w:tcPr>
          <w:p w14:paraId="67E437D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93F659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6547.35</w:t>
            </w:r>
          </w:p>
        </w:tc>
        <w:tc>
          <w:tcPr>
            <w:tcW w:w="1540" w:type="dxa"/>
            <w:hideMark/>
          </w:tcPr>
          <w:p w14:paraId="5028F89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80" w:type="dxa"/>
            <w:noWrap/>
            <w:hideMark/>
          </w:tcPr>
          <w:p w14:paraId="4ED5B58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10.44</w:t>
            </w:r>
          </w:p>
        </w:tc>
        <w:tc>
          <w:tcPr>
            <w:tcW w:w="1440" w:type="dxa"/>
            <w:hideMark/>
          </w:tcPr>
          <w:p w14:paraId="77A22C3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4635C91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947D783"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10-I-17-3</w:t>
            </w:r>
          </w:p>
        </w:tc>
        <w:tc>
          <w:tcPr>
            <w:tcW w:w="1180" w:type="dxa"/>
            <w:noWrap/>
            <w:hideMark/>
          </w:tcPr>
          <w:p w14:paraId="5423A25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171.95</w:t>
            </w:r>
          </w:p>
        </w:tc>
        <w:tc>
          <w:tcPr>
            <w:tcW w:w="1560" w:type="dxa"/>
            <w:hideMark/>
          </w:tcPr>
          <w:p w14:paraId="7617D73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0BA863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18.25</w:t>
            </w:r>
          </w:p>
        </w:tc>
        <w:tc>
          <w:tcPr>
            <w:tcW w:w="1560" w:type="dxa"/>
            <w:hideMark/>
          </w:tcPr>
          <w:p w14:paraId="5601BFE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1C2C84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6373.51</w:t>
            </w:r>
          </w:p>
        </w:tc>
        <w:tc>
          <w:tcPr>
            <w:tcW w:w="1540" w:type="dxa"/>
            <w:hideMark/>
          </w:tcPr>
          <w:p w14:paraId="72DD117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80" w:type="dxa"/>
            <w:noWrap/>
            <w:hideMark/>
          </w:tcPr>
          <w:p w14:paraId="25F497C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11.95</w:t>
            </w:r>
          </w:p>
        </w:tc>
        <w:tc>
          <w:tcPr>
            <w:tcW w:w="1440" w:type="dxa"/>
            <w:hideMark/>
          </w:tcPr>
          <w:p w14:paraId="336F0C4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5367D0F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87163E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10-I-27-3</w:t>
            </w:r>
          </w:p>
        </w:tc>
        <w:tc>
          <w:tcPr>
            <w:tcW w:w="1180" w:type="dxa"/>
            <w:noWrap/>
            <w:hideMark/>
          </w:tcPr>
          <w:p w14:paraId="5111A2B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170.23</w:t>
            </w:r>
          </w:p>
        </w:tc>
        <w:tc>
          <w:tcPr>
            <w:tcW w:w="1560" w:type="dxa"/>
            <w:hideMark/>
          </w:tcPr>
          <w:p w14:paraId="2C9C9A4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240" w:type="dxa"/>
            <w:noWrap/>
            <w:hideMark/>
          </w:tcPr>
          <w:p w14:paraId="0ED868E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17.77</w:t>
            </w:r>
          </w:p>
        </w:tc>
        <w:tc>
          <w:tcPr>
            <w:tcW w:w="1560" w:type="dxa"/>
            <w:hideMark/>
          </w:tcPr>
          <w:p w14:paraId="1F3DDD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235DF74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6397.77</w:t>
            </w:r>
          </w:p>
        </w:tc>
        <w:tc>
          <w:tcPr>
            <w:tcW w:w="1540" w:type="dxa"/>
            <w:hideMark/>
          </w:tcPr>
          <w:p w14:paraId="66E54C5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80" w:type="dxa"/>
            <w:noWrap/>
            <w:hideMark/>
          </w:tcPr>
          <w:p w14:paraId="05AF949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7.79</w:t>
            </w:r>
          </w:p>
        </w:tc>
        <w:tc>
          <w:tcPr>
            <w:tcW w:w="1440" w:type="dxa"/>
            <w:hideMark/>
          </w:tcPr>
          <w:p w14:paraId="3BE4CBB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13771F8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0C7A6DC"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10-I-999-4</w:t>
            </w:r>
          </w:p>
        </w:tc>
        <w:tc>
          <w:tcPr>
            <w:tcW w:w="1180" w:type="dxa"/>
            <w:noWrap/>
            <w:hideMark/>
          </w:tcPr>
          <w:p w14:paraId="165922B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30.54</w:t>
            </w:r>
          </w:p>
        </w:tc>
        <w:tc>
          <w:tcPr>
            <w:tcW w:w="1560" w:type="dxa"/>
            <w:hideMark/>
          </w:tcPr>
          <w:p w14:paraId="749468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c>
          <w:tcPr>
            <w:tcW w:w="1240" w:type="dxa"/>
            <w:hideMark/>
          </w:tcPr>
          <w:p w14:paraId="7C7895B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60" w:type="dxa"/>
            <w:hideMark/>
          </w:tcPr>
          <w:p w14:paraId="39146A5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c>
          <w:tcPr>
            <w:tcW w:w="1300" w:type="dxa"/>
            <w:noWrap/>
            <w:hideMark/>
          </w:tcPr>
          <w:p w14:paraId="5F3F815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1447.35</w:t>
            </w:r>
          </w:p>
        </w:tc>
        <w:tc>
          <w:tcPr>
            <w:tcW w:w="1540" w:type="dxa"/>
            <w:hideMark/>
          </w:tcPr>
          <w:p w14:paraId="2252A1C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c>
          <w:tcPr>
            <w:tcW w:w="1180" w:type="dxa"/>
            <w:hideMark/>
          </w:tcPr>
          <w:p w14:paraId="5714423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440" w:type="dxa"/>
            <w:hideMark/>
          </w:tcPr>
          <w:p w14:paraId="3F3C9D9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r>
    </w:tbl>
    <w:p w14:paraId="5C020856" w14:textId="77777777" w:rsidR="00302953" w:rsidRPr="00770477" w:rsidRDefault="00302953" w:rsidP="00302953">
      <w:pPr>
        <w:spacing w:line="240" w:lineRule="auto"/>
        <w:jc w:val="left"/>
        <w:rPr>
          <w:rFonts w:cs="Times New Roman"/>
        </w:rPr>
      </w:pPr>
    </w:p>
    <w:p w14:paraId="5506BA36" w14:textId="77777777" w:rsidR="00302953" w:rsidRPr="00770477" w:rsidRDefault="00302953" w:rsidP="00302953">
      <w:pPr>
        <w:spacing w:line="240" w:lineRule="auto"/>
        <w:jc w:val="left"/>
        <w:rPr>
          <w:rFonts w:cs="Times New Roman"/>
        </w:rPr>
      </w:pPr>
      <w:r w:rsidRPr="00770477">
        <w:rPr>
          <w:rFonts w:cs="Times New Roman"/>
        </w:rPr>
        <w:br w:type="page"/>
      </w:r>
    </w:p>
    <w:p w14:paraId="7E2283D4" w14:textId="792F423A" w:rsidR="00302953" w:rsidRPr="00C6587B" w:rsidRDefault="00302953" w:rsidP="00302953">
      <w:pPr>
        <w:pStyle w:val="Caption"/>
        <w:keepNext/>
        <w:rPr>
          <w:rFonts w:cs="Times New Roman"/>
        </w:rPr>
      </w:pPr>
      <w:bookmarkStart w:id="192" w:name="_Toc121494160"/>
      <w:bookmarkStart w:id="193" w:name="_Toc121495945"/>
      <w:r>
        <w:lastRenderedPageBreak/>
        <w:t xml:space="preserve">Table </w:t>
      </w:r>
      <w:fldSimple w:instr=" STYLEREF 1 \s ">
        <w:r w:rsidR="00061096">
          <w:rPr>
            <w:noProof/>
          </w:rPr>
          <w:t>10</w:t>
        </w:r>
      </w:fldSimple>
      <w:r w:rsidR="00B26DDF">
        <w:noBreakHyphen/>
      </w:r>
      <w:fldSimple w:instr=" SEQ Table \* ARABIC \s 1 ">
        <w:r w:rsidR="00061096">
          <w:rPr>
            <w:noProof/>
          </w:rPr>
          <w:t>7</w:t>
        </w:r>
      </w:fldSimple>
      <w:r w:rsidRPr="00C6587B">
        <w:rPr>
          <w:rFonts w:cs="Times New Roman"/>
        </w:rPr>
        <w:t xml:space="preserve"> </w:t>
      </w:r>
      <w:r w:rsidRPr="00770477">
        <w:rPr>
          <w:rFonts w:cs="Times New Roman"/>
        </w:rPr>
        <w:t>Dissolved metals sample results for lead, selenium, silica, and zinc. All results in ug L</w:t>
      </w:r>
      <w:r w:rsidRPr="00770477">
        <w:rPr>
          <w:rFonts w:cs="Times New Roman"/>
          <w:vertAlign w:val="superscript"/>
        </w:rPr>
        <w:t>-</w:t>
      </w:r>
      <w:proofErr w:type="gramStart"/>
      <w:r w:rsidRPr="00770477">
        <w:rPr>
          <w:rFonts w:cs="Times New Roman"/>
          <w:vertAlign w:val="superscript"/>
        </w:rPr>
        <w:t>1</w:t>
      </w:r>
      <w:r w:rsidRPr="00770477">
        <w:rPr>
          <w:rFonts w:cs="Times New Roman"/>
        </w:rPr>
        <w:t xml:space="preserve"> .</w:t>
      </w:r>
      <w:bookmarkEnd w:id="192"/>
      <w:bookmarkEnd w:id="193"/>
      <w:proofErr w:type="gramEnd"/>
    </w:p>
    <w:tbl>
      <w:tblPr>
        <w:tblStyle w:val="PlainTable5"/>
        <w:tblW w:w="12640" w:type="dxa"/>
        <w:tblLook w:val="04A0" w:firstRow="1" w:lastRow="0" w:firstColumn="1" w:lastColumn="0" w:noHBand="0" w:noVBand="1"/>
      </w:tblPr>
      <w:tblGrid>
        <w:gridCol w:w="1720"/>
        <w:gridCol w:w="1180"/>
        <w:gridCol w:w="1540"/>
        <w:gridCol w:w="1300"/>
        <w:gridCol w:w="1540"/>
        <w:gridCol w:w="1300"/>
        <w:gridCol w:w="1440"/>
        <w:gridCol w:w="1100"/>
        <w:gridCol w:w="1520"/>
      </w:tblGrid>
      <w:tr w:rsidR="00302953" w:rsidRPr="00770477" w14:paraId="59FBA1BF" w14:textId="77777777" w:rsidTr="00622DCD">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1720" w:type="dxa"/>
            <w:hideMark/>
          </w:tcPr>
          <w:p w14:paraId="0D28508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Sample ID</w:t>
            </w:r>
          </w:p>
        </w:tc>
        <w:tc>
          <w:tcPr>
            <w:tcW w:w="1180" w:type="dxa"/>
            <w:noWrap/>
            <w:hideMark/>
          </w:tcPr>
          <w:p w14:paraId="5EA63644"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Pb</w:t>
            </w:r>
          </w:p>
        </w:tc>
        <w:tc>
          <w:tcPr>
            <w:tcW w:w="1540" w:type="dxa"/>
            <w:noWrap/>
            <w:hideMark/>
          </w:tcPr>
          <w:p w14:paraId="297CA5C6"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Pb Ratio</w:t>
            </w:r>
          </w:p>
        </w:tc>
        <w:tc>
          <w:tcPr>
            <w:tcW w:w="1300" w:type="dxa"/>
            <w:noWrap/>
            <w:hideMark/>
          </w:tcPr>
          <w:p w14:paraId="2DF052F4"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Se</w:t>
            </w:r>
          </w:p>
        </w:tc>
        <w:tc>
          <w:tcPr>
            <w:tcW w:w="1540" w:type="dxa"/>
            <w:noWrap/>
            <w:hideMark/>
          </w:tcPr>
          <w:p w14:paraId="77AB330E"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Se Ratio</w:t>
            </w:r>
          </w:p>
        </w:tc>
        <w:tc>
          <w:tcPr>
            <w:tcW w:w="1300" w:type="dxa"/>
            <w:noWrap/>
            <w:hideMark/>
          </w:tcPr>
          <w:p w14:paraId="7DD286CF"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Si</w:t>
            </w:r>
          </w:p>
        </w:tc>
        <w:tc>
          <w:tcPr>
            <w:tcW w:w="1440" w:type="dxa"/>
            <w:noWrap/>
            <w:hideMark/>
          </w:tcPr>
          <w:p w14:paraId="108AB49B"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Si Ratio</w:t>
            </w:r>
          </w:p>
        </w:tc>
        <w:tc>
          <w:tcPr>
            <w:tcW w:w="1100" w:type="dxa"/>
            <w:noWrap/>
            <w:hideMark/>
          </w:tcPr>
          <w:p w14:paraId="343F4619"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Zn</w:t>
            </w:r>
          </w:p>
        </w:tc>
        <w:tc>
          <w:tcPr>
            <w:tcW w:w="1520" w:type="dxa"/>
            <w:noWrap/>
            <w:hideMark/>
          </w:tcPr>
          <w:p w14:paraId="7A70F1DD"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Zn Ratio</w:t>
            </w:r>
          </w:p>
        </w:tc>
      </w:tr>
      <w:tr w:rsidR="00302953" w:rsidRPr="00770477" w14:paraId="7FEB4BA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578FCF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1-A-010-1</w:t>
            </w:r>
          </w:p>
        </w:tc>
        <w:tc>
          <w:tcPr>
            <w:tcW w:w="1180" w:type="dxa"/>
            <w:hideMark/>
          </w:tcPr>
          <w:p w14:paraId="2D8D951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B9DEC9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0.19</w:t>
            </w:r>
          </w:p>
        </w:tc>
        <w:tc>
          <w:tcPr>
            <w:tcW w:w="1300" w:type="dxa"/>
            <w:hideMark/>
          </w:tcPr>
          <w:p w14:paraId="64898CF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BF2614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6C8A064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395.87</w:t>
            </w:r>
          </w:p>
        </w:tc>
        <w:tc>
          <w:tcPr>
            <w:tcW w:w="1440" w:type="dxa"/>
            <w:hideMark/>
          </w:tcPr>
          <w:p w14:paraId="061FC1D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3.07</w:t>
            </w:r>
          </w:p>
        </w:tc>
        <w:tc>
          <w:tcPr>
            <w:tcW w:w="1100" w:type="dxa"/>
            <w:hideMark/>
          </w:tcPr>
          <w:p w14:paraId="0B5B11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4.12</w:t>
            </w:r>
          </w:p>
        </w:tc>
        <w:tc>
          <w:tcPr>
            <w:tcW w:w="1520" w:type="dxa"/>
            <w:hideMark/>
          </w:tcPr>
          <w:p w14:paraId="3FB4389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0.18</w:t>
            </w:r>
          </w:p>
        </w:tc>
      </w:tr>
      <w:tr w:rsidR="00302953" w:rsidRPr="00770477" w14:paraId="2501FE6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0C2F16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1-A-040-1</w:t>
            </w:r>
          </w:p>
        </w:tc>
        <w:tc>
          <w:tcPr>
            <w:tcW w:w="1180" w:type="dxa"/>
            <w:hideMark/>
          </w:tcPr>
          <w:p w14:paraId="51B305A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BECDB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0.20</w:t>
            </w:r>
          </w:p>
        </w:tc>
        <w:tc>
          <w:tcPr>
            <w:tcW w:w="1300" w:type="dxa"/>
            <w:hideMark/>
          </w:tcPr>
          <w:p w14:paraId="28B4FC8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24992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B89EE9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10430.44</w:t>
            </w:r>
          </w:p>
        </w:tc>
        <w:tc>
          <w:tcPr>
            <w:tcW w:w="1440" w:type="dxa"/>
            <w:hideMark/>
          </w:tcPr>
          <w:p w14:paraId="15921B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80.61</w:t>
            </w:r>
          </w:p>
        </w:tc>
        <w:tc>
          <w:tcPr>
            <w:tcW w:w="1100" w:type="dxa"/>
            <w:hideMark/>
          </w:tcPr>
          <w:p w14:paraId="21399E2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3A74919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w:t>
            </w:r>
          </w:p>
        </w:tc>
      </w:tr>
      <w:tr w:rsidR="00302953" w:rsidRPr="00770477" w14:paraId="0CFFCDD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889D09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1-A-090-1</w:t>
            </w:r>
          </w:p>
        </w:tc>
        <w:tc>
          <w:tcPr>
            <w:tcW w:w="1180" w:type="dxa"/>
            <w:hideMark/>
          </w:tcPr>
          <w:p w14:paraId="3A1437E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4B0725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0.21</w:t>
            </w:r>
          </w:p>
        </w:tc>
        <w:tc>
          <w:tcPr>
            <w:tcW w:w="1300" w:type="dxa"/>
            <w:hideMark/>
          </w:tcPr>
          <w:p w14:paraId="701FC8B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5.87</w:t>
            </w:r>
          </w:p>
        </w:tc>
        <w:tc>
          <w:tcPr>
            <w:tcW w:w="1540" w:type="dxa"/>
            <w:hideMark/>
          </w:tcPr>
          <w:p w14:paraId="0E636B5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2.14</w:t>
            </w:r>
          </w:p>
        </w:tc>
        <w:tc>
          <w:tcPr>
            <w:tcW w:w="1300" w:type="dxa"/>
            <w:hideMark/>
          </w:tcPr>
          <w:p w14:paraId="1719F3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391.07</w:t>
            </w:r>
          </w:p>
        </w:tc>
        <w:tc>
          <w:tcPr>
            <w:tcW w:w="1440" w:type="dxa"/>
            <w:hideMark/>
          </w:tcPr>
          <w:p w14:paraId="59A30C3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3.01</w:t>
            </w:r>
          </w:p>
        </w:tc>
        <w:tc>
          <w:tcPr>
            <w:tcW w:w="1100" w:type="dxa"/>
            <w:hideMark/>
          </w:tcPr>
          <w:p w14:paraId="5F19BAA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791A9CD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412CD4C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C88233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1-A-090-2</w:t>
            </w:r>
          </w:p>
        </w:tc>
        <w:tc>
          <w:tcPr>
            <w:tcW w:w="1180" w:type="dxa"/>
            <w:hideMark/>
          </w:tcPr>
          <w:p w14:paraId="1DBCEA9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37FD63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0.21</w:t>
            </w:r>
          </w:p>
        </w:tc>
        <w:tc>
          <w:tcPr>
            <w:tcW w:w="1300" w:type="dxa"/>
            <w:hideMark/>
          </w:tcPr>
          <w:p w14:paraId="0A4969B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D68C59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7770988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409.27</w:t>
            </w:r>
          </w:p>
        </w:tc>
        <w:tc>
          <w:tcPr>
            <w:tcW w:w="1440" w:type="dxa"/>
            <w:hideMark/>
          </w:tcPr>
          <w:p w14:paraId="3598641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3.15</w:t>
            </w:r>
          </w:p>
        </w:tc>
        <w:tc>
          <w:tcPr>
            <w:tcW w:w="1100" w:type="dxa"/>
            <w:hideMark/>
          </w:tcPr>
          <w:p w14:paraId="324563C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14.14</w:t>
            </w:r>
          </w:p>
        </w:tc>
        <w:tc>
          <w:tcPr>
            <w:tcW w:w="1520" w:type="dxa"/>
            <w:hideMark/>
          </w:tcPr>
          <w:p w14:paraId="2B10DE4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0.51</w:t>
            </w:r>
          </w:p>
        </w:tc>
      </w:tr>
      <w:tr w:rsidR="00302953" w:rsidRPr="00770477" w14:paraId="3328DC3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FEB1DC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1-A-160-1</w:t>
            </w:r>
          </w:p>
        </w:tc>
        <w:tc>
          <w:tcPr>
            <w:tcW w:w="1180" w:type="dxa"/>
            <w:hideMark/>
          </w:tcPr>
          <w:p w14:paraId="29E2F69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31B1D2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0.36</w:t>
            </w:r>
          </w:p>
        </w:tc>
        <w:tc>
          <w:tcPr>
            <w:tcW w:w="1300" w:type="dxa"/>
            <w:hideMark/>
          </w:tcPr>
          <w:p w14:paraId="423B402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6182AB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82AF76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482.77</w:t>
            </w:r>
          </w:p>
        </w:tc>
        <w:tc>
          <w:tcPr>
            <w:tcW w:w="1440" w:type="dxa"/>
            <w:hideMark/>
          </w:tcPr>
          <w:p w14:paraId="43623DA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3.67</w:t>
            </w:r>
          </w:p>
        </w:tc>
        <w:tc>
          <w:tcPr>
            <w:tcW w:w="1100" w:type="dxa"/>
            <w:hideMark/>
          </w:tcPr>
          <w:p w14:paraId="2AE4069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5.63</w:t>
            </w:r>
          </w:p>
        </w:tc>
        <w:tc>
          <w:tcPr>
            <w:tcW w:w="1520" w:type="dxa"/>
            <w:hideMark/>
          </w:tcPr>
          <w:p w14:paraId="08DD76F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0.21</w:t>
            </w:r>
          </w:p>
        </w:tc>
      </w:tr>
      <w:tr w:rsidR="00302953" w:rsidRPr="00770477" w14:paraId="5B3AB6F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194C33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1-A-160-2</w:t>
            </w:r>
          </w:p>
        </w:tc>
        <w:tc>
          <w:tcPr>
            <w:tcW w:w="1180" w:type="dxa"/>
            <w:hideMark/>
          </w:tcPr>
          <w:p w14:paraId="0312907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A3C090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0.36</w:t>
            </w:r>
          </w:p>
        </w:tc>
        <w:tc>
          <w:tcPr>
            <w:tcW w:w="1300" w:type="dxa"/>
            <w:hideMark/>
          </w:tcPr>
          <w:p w14:paraId="6C324FE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7.34</w:t>
            </w:r>
          </w:p>
        </w:tc>
        <w:tc>
          <w:tcPr>
            <w:tcW w:w="1540" w:type="dxa"/>
            <w:hideMark/>
          </w:tcPr>
          <w:p w14:paraId="6130D22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2.68</w:t>
            </w:r>
          </w:p>
        </w:tc>
        <w:tc>
          <w:tcPr>
            <w:tcW w:w="1300" w:type="dxa"/>
            <w:hideMark/>
          </w:tcPr>
          <w:p w14:paraId="28FAC55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497.01</w:t>
            </w:r>
          </w:p>
        </w:tc>
        <w:tc>
          <w:tcPr>
            <w:tcW w:w="1440" w:type="dxa"/>
            <w:hideMark/>
          </w:tcPr>
          <w:p w14:paraId="377048C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3.78</w:t>
            </w:r>
          </w:p>
        </w:tc>
        <w:tc>
          <w:tcPr>
            <w:tcW w:w="1100" w:type="dxa"/>
            <w:hideMark/>
          </w:tcPr>
          <w:p w14:paraId="69A5F0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10.16</w:t>
            </w:r>
          </w:p>
        </w:tc>
        <w:tc>
          <w:tcPr>
            <w:tcW w:w="1520" w:type="dxa"/>
            <w:hideMark/>
          </w:tcPr>
          <w:p w14:paraId="1DFF039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0.37</w:t>
            </w:r>
          </w:p>
        </w:tc>
      </w:tr>
      <w:tr w:rsidR="00302953" w:rsidRPr="00770477" w14:paraId="5F27079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689F12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1-A-270-1</w:t>
            </w:r>
          </w:p>
        </w:tc>
        <w:tc>
          <w:tcPr>
            <w:tcW w:w="1180" w:type="dxa"/>
            <w:hideMark/>
          </w:tcPr>
          <w:p w14:paraId="24F553B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2985DC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0.32</w:t>
            </w:r>
          </w:p>
        </w:tc>
        <w:tc>
          <w:tcPr>
            <w:tcW w:w="1300" w:type="dxa"/>
            <w:hideMark/>
          </w:tcPr>
          <w:p w14:paraId="5A52892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B63E8A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2E0CF1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448.88</w:t>
            </w:r>
          </w:p>
        </w:tc>
        <w:tc>
          <w:tcPr>
            <w:tcW w:w="1440" w:type="dxa"/>
            <w:hideMark/>
          </w:tcPr>
          <w:p w14:paraId="75768F2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3.38</w:t>
            </w:r>
          </w:p>
        </w:tc>
        <w:tc>
          <w:tcPr>
            <w:tcW w:w="1100" w:type="dxa"/>
            <w:hideMark/>
          </w:tcPr>
          <w:p w14:paraId="605FDD6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4.27</w:t>
            </w:r>
          </w:p>
        </w:tc>
        <w:tc>
          <w:tcPr>
            <w:tcW w:w="1520" w:type="dxa"/>
            <w:hideMark/>
          </w:tcPr>
          <w:p w14:paraId="58BCD4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0.11</w:t>
            </w:r>
          </w:p>
        </w:tc>
      </w:tr>
      <w:tr w:rsidR="00302953" w:rsidRPr="00770477" w14:paraId="1694304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75C21F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1-A-430-1</w:t>
            </w:r>
          </w:p>
        </w:tc>
        <w:tc>
          <w:tcPr>
            <w:tcW w:w="1180" w:type="dxa"/>
            <w:hideMark/>
          </w:tcPr>
          <w:p w14:paraId="249024A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8DBC4C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21A096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BE668F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15685D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433.62</w:t>
            </w:r>
          </w:p>
        </w:tc>
        <w:tc>
          <w:tcPr>
            <w:tcW w:w="1440" w:type="dxa"/>
            <w:hideMark/>
          </w:tcPr>
          <w:p w14:paraId="2F5900A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3.21</w:t>
            </w:r>
          </w:p>
        </w:tc>
        <w:tc>
          <w:tcPr>
            <w:tcW w:w="1100" w:type="dxa"/>
            <w:hideMark/>
          </w:tcPr>
          <w:p w14:paraId="047A594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10.24</w:t>
            </w:r>
          </w:p>
        </w:tc>
        <w:tc>
          <w:tcPr>
            <w:tcW w:w="1520" w:type="dxa"/>
            <w:hideMark/>
          </w:tcPr>
          <w:p w14:paraId="64BF365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0.22</w:t>
            </w:r>
          </w:p>
        </w:tc>
      </w:tr>
      <w:tr w:rsidR="00302953" w:rsidRPr="00770477" w14:paraId="1848DF0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E0DB02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1-A-670-1</w:t>
            </w:r>
          </w:p>
        </w:tc>
        <w:tc>
          <w:tcPr>
            <w:tcW w:w="1180" w:type="dxa"/>
            <w:hideMark/>
          </w:tcPr>
          <w:p w14:paraId="7E2B61C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2.78</w:t>
            </w:r>
          </w:p>
        </w:tc>
        <w:tc>
          <w:tcPr>
            <w:tcW w:w="1540" w:type="dxa"/>
            <w:hideMark/>
          </w:tcPr>
          <w:p w14:paraId="6153873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2.62</w:t>
            </w:r>
          </w:p>
        </w:tc>
        <w:tc>
          <w:tcPr>
            <w:tcW w:w="1300" w:type="dxa"/>
            <w:hideMark/>
          </w:tcPr>
          <w:p w14:paraId="5C77BE3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6.76</w:t>
            </w:r>
          </w:p>
        </w:tc>
        <w:tc>
          <w:tcPr>
            <w:tcW w:w="1540" w:type="dxa"/>
            <w:hideMark/>
          </w:tcPr>
          <w:p w14:paraId="78C957B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2.47</w:t>
            </w:r>
          </w:p>
        </w:tc>
        <w:tc>
          <w:tcPr>
            <w:tcW w:w="1300" w:type="dxa"/>
            <w:hideMark/>
          </w:tcPr>
          <w:p w14:paraId="5F37CEF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412.68</w:t>
            </w:r>
          </w:p>
        </w:tc>
        <w:tc>
          <w:tcPr>
            <w:tcW w:w="1440" w:type="dxa"/>
            <w:hideMark/>
          </w:tcPr>
          <w:p w14:paraId="7B0CBE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2.98</w:t>
            </w:r>
          </w:p>
        </w:tc>
        <w:tc>
          <w:tcPr>
            <w:tcW w:w="1100" w:type="dxa"/>
            <w:hideMark/>
          </w:tcPr>
          <w:p w14:paraId="32EDED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14.81</w:t>
            </w:r>
          </w:p>
        </w:tc>
        <w:tc>
          <w:tcPr>
            <w:tcW w:w="1520" w:type="dxa"/>
            <w:hideMark/>
          </w:tcPr>
          <w:p w14:paraId="6CB5DF6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0.24</w:t>
            </w:r>
          </w:p>
        </w:tc>
      </w:tr>
      <w:tr w:rsidR="00302953" w:rsidRPr="00770477" w14:paraId="17C955C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EA1747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1-B-010-1</w:t>
            </w:r>
          </w:p>
        </w:tc>
        <w:tc>
          <w:tcPr>
            <w:tcW w:w="1180" w:type="dxa"/>
            <w:hideMark/>
          </w:tcPr>
          <w:p w14:paraId="52FD363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716D9E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0.19</w:t>
            </w:r>
          </w:p>
        </w:tc>
        <w:tc>
          <w:tcPr>
            <w:tcW w:w="1300" w:type="dxa"/>
            <w:hideMark/>
          </w:tcPr>
          <w:p w14:paraId="22B1D2D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5.86</w:t>
            </w:r>
          </w:p>
        </w:tc>
        <w:tc>
          <w:tcPr>
            <w:tcW w:w="1540" w:type="dxa"/>
            <w:hideMark/>
          </w:tcPr>
          <w:p w14:paraId="1AF2B29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2.14</w:t>
            </w:r>
          </w:p>
        </w:tc>
        <w:tc>
          <w:tcPr>
            <w:tcW w:w="1300" w:type="dxa"/>
            <w:hideMark/>
          </w:tcPr>
          <w:p w14:paraId="6BB90F1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607.82</w:t>
            </w:r>
          </w:p>
        </w:tc>
        <w:tc>
          <w:tcPr>
            <w:tcW w:w="1440" w:type="dxa"/>
            <w:hideMark/>
          </w:tcPr>
          <w:p w14:paraId="3584917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4.71</w:t>
            </w:r>
          </w:p>
        </w:tc>
        <w:tc>
          <w:tcPr>
            <w:tcW w:w="1100" w:type="dxa"/>
            <w:hideMark/>
          </w:tcPr>
          <w:p w14:paraId="39CE41C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38BF23B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0.09</w:t>
            </w:r>
          </w:p>
        </w:tc>
      </w:tr>
      <w:tr w:rsidR="00302953" w:rsidRPr="00770477" w14:paraId="4B2AB80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1ECA5A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1-B-040-1</w:t>
            </w:r>
          </w:p>
        </w:tc>
        <w:tc>
          <w:tcPr>
            <w:tcW w:w="1180" w:type="dxa"/>
            <w:hideMark/>
          </w:tcPr>
          <w:p w14:paraId="0E9B18B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F10B8D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0.20</w:t>
            </w:r>
          </w:p>
        </w:tc>
        <w:tc>
          <w:tcPr>
            <w:tcW w:w="1300" w:type="dxa"/>
            <w:hideMark/>
          </w:tcPr>
          <w:p w14:paraId="6F8EFF9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7.25</w:t>
            </w:r>
          </w:p>
        </w:tc>
        <w:tc>
          <w:tcPr>
            <w:tcW w:w="1540" w:type="dxa"/>
            <w:hideMark/>
          </w:tcPr>
          <w:p w14:paraId="5BEF4F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2.65</w:t>
            </w:r>
          </w:p>
        </w:tc>
        <w:tc>
          <w:tcPr>
            <w:tcW w:w="1300" w:type="dxa"/>
            <w:hideMark/>
          </w:tcPr>
          <w:p w14:paraId="06BDEBD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574.93</w:t>
            </w:r>
          </w:p>
        </w:tc>
        <w:tc>
          <w:tcPr>
            <w:tcW w:w="1440" w:type="dxa"/>
            <w:hideMark/>
          </w:tcPr>
          <w:p w14:paraId="3F0D2CD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4.44</w:t>
            </w:r>
          </w:p>
        </w:tc>
        <w:tc>
          <w:tcPr>
            <w:tcW w:w="1100" w:type="dxa"/>
            <w:hideMark/>
          </w:tcPr>
          <w:p w14:paraId="777DDB2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324CE64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w:t>
            </w:r>
          </w:p>
        </w:tc>
      </w:tr>
      <w:tr w:rsidR="00302953" w:rsidRPr="00770477" w14:paraId="62FA23B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0E227D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1-B-040-2</w:t>
            </w:r>
          </w:p>
        </w:tc>
        <w:tc>
          <w:tcPr>
            <w:tcW w:w="1180" w:type="dxa"/>
            <w:hideMark/>
          </w:tcPr>
          <w:p w14:paraId="3F1FAB1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CF3637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0.20</w:t>
            </w:r>
          </w:p>
        </w:tc>
        <w:tc>
          <w:tcPr>
            <w:tcW w:w="1300" w:type="dxa"/>
            <w:hideMark/>
          </w:tcPr>
          <w:p w14:paraId="603C1C2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D11066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12F1EB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591.26</w:t>
            </w:r>
          </w:p>
        </w:tc>
        <w:tc>
          <w:tcPr>
            <w:tcW w:w="1440" w:type="dxa"/>
            <w:hideMark/>
          </w:tcPr>
          <w:p w14:paraId="57B9499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4.57</w:t>
            </w:r>
          </w:p>
        </w:tc>
        <w:tc>
          <w:tcPr>
            <w:tcW w:w="1100" w:type="dxa"/>
            <w:hideMark/>
          </w:tcPr>
          <w:p w14:paraId="7A48DEC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58983A1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w:t>
            </w:r>
          </w:p>
        </w:tc>
      </w:tr>
      <w:tr w:rsidR="00302953" w:rsidRPr="00770477" w14:paraId="79BFBF6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138A0E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1-B-090-1</w:t>
            </w:r>
          </w:p>
        </w:tc>
        <w:tc>
          <w:tcPr>
            <w:tcW w:w="1180" w:type="dxa"/>
            <w:hideMark/>
          </w:tcPr>
          <w:p w14:paraId="6482C3E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7A2F91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0.21</w:t>
            </w:r>
          </w:p>
        </w:tc>
        <w:tc>
          <w:tcPr>
            <w:tcW w:w="1300" w:type="dxa"/>
            <w:hideMark/>
          </w:tcPr>
          <w:p w14:paraId="1239F43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5.58</w:t>
            </w:r>
          </w:p>
        </w:tc>
        <w:tc>
          <w:tcPr>
            <w:tcW w:w="1540" w:type="dxa"/>
            <w:hideMark/>
          </w:tcPr>
          <w:p w14:paraId="5459CE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2.04</w:t>
            </w:r>
          </w:p>
        </w:tc>
        <w:tc>
          <w:tcPr>
            <w:tcW w:w="1300" w:type="dxa"/>
            <w:hideMark/>
          </w:tcPr>
          <w:p w14:paraId="145A724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533.66</w:t>
            </w:r>
          </w:p>
        </w:tc>
        <w:tc>
          <w:tcPr>
            <w:tcW w:w="1440" w:type="dxa"/>
            <w:hideMark/>
          </w:tcPr>
          <w:p w14:paraId="6CDEE6C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4.10</w:t>
            </w:r>
          </w:p>
        </w:tc>
        <w:tc>
          <w:tcPr>
            <w:tcW w:w="1100" w:type="dxa"/>
            <w:hideMark/>
          </w:tcPr>
          <w:p w14:paraId="3E4964F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6.25</w:t>
            </w:r>
          </w:p>
        </w:tc>
        <w:tc>
          <w:tcPr>
            <w:tcW w:w="1520" w:type="dxa"/>
            <w:hideMark/>
          </w:tcPr>
          <w:p w14:paraId="20B2785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0.23</w:t>
            </w:r>
          </w:p>
        </w:tc>
      </w:tr>
      <w:tr w:rsidR="00302953" w:rsidRPr="00770477" w14:paraId="535360F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C1EC0C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1-B-160-1</w:t>
            </w:r>
          </w:p>
        </w:tc>
        <w:tc>
          <w:tcPr>
            <w:tcW w:w="1180" w:type="dxa"/>
            <w:hideMark/>
          </w:tcPr>
          <w:p w14:paraId="52D6CE4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5B4BC9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0.36</w:t>
            </w:r>
          </w:p>
        </w:tc>
        <w:tc>
          <w:tcPr>
            <w:tcW w:w="1300" w:type="dxa"/>
            <w:hideMark/>
          </w:tcPr>
          <w:p w14:paraId="51B46A5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5.81</w:t>
            </w:r>
          </w:p>
        </w:tc>
        <w:tc>
          <w:tcPr>
            <w:tcW w:w="1540" w:type="dxa"/>
            <w:hideMark/>
          </w:tcPr>
          <w:p w14:paraId="116051E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2.12</w:t>
            </w:r>
          </w:p>
        </w:tc>
        <w:tc>
          <w:tcPr>
            <w:tcW w:w="1300" w:type="dxa"/>
            <w:hideMark/>
          </w:tcPr>
          <w:p w14:paraId="373259D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521.98</w:t>
            </w:r>
          </w:p>
        </w:tc>
        <w:tc>
          <w:tcPr>
            <w:tcW w:w="1440" w:type="dxa"/>
            <w:hideMark/>
          </w:tcPr>
          <w:p w14:paraId="21AD67E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3.97</w:t>
            </w:r>
          </w:p>
        </w:tc>
        <w:tc>
          <w:tcPr>
            <w:tcW w:w="1100" w:type="dxa"/>
            <w:hideMark/>
          </w:tcPr>
          <w:p w14:paraId="147881E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6.52</w:t>
            </w:r>
          </w:p>
        </w:tc>
        <w:tc>
          <w:tcPr>
            <w:tcW w:w="1520" w:type="dxa"/>
            <w:hideMark/>
          </w:tcPr>
          <w:p w14:paraId="6E1C6B7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0.24</w:t>
            </w:r>
          </w:p>
        </w:tc>
      </w:tr>
      <w:tr w:rsidR="00302953" w:rsidRPr="00770477" w14:paraId="02A4E54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0BBA82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1-B-270-1</w:t>
            </w:r>
          </w:p>
        </w:tc>
        <w:tc>
          <w:tcPr>
            <w:tcW w:w="1180" w:type="dxa"/>
            <w:hideMark/>
          </w:tcPr>
          <w:p w14:paraId="7A2E40B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B74E1C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0.32</w:t>
            </w:r>
          </w:p>
        </w:tc>
        <w:tc>
          <w:tcPr>
            <w:tcW w:w="1300" w:type="dxa"/>
            <w:hideMark/>
          </w:tcPr>
          <w:p w14:paraId="2E06658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7.49</w:t>
            </w:r>
          </w:p>
        </w:tc>
        <w:tc>
          <w:tcPr>
            <w:tcW w:w="1540" w:type="dxa"/>
            <w:hideMark/>
          </w:tcPr>
          <w:p w14:paraId="4672153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2.73</w:t>
            </w:r>
          </w:p>
        </w:tc>
        <w:tc>
          <w:tcPr>
            <w:tcW w:w="1300" w:type="dxa"/>
            <w:hideMark/>
          </w:tcPr>
          <w:p w14:paraId="21A557D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491.33</w:t>
            </w:r>
          </w:p>
        </w:tc>
        <w:tc>
          <w:tcPr>
            <w:tcW w:w="1440" w:type="dxa"/>
            <w:hideMark/>
          </w:tcPr>
          <w:p w14:paraId="5F26CF8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3.70</w:t>
            </w:r>
          </w:p>
        </w:tc>
        <w:tc>
          <w:tcPr>
            <w:tcW w:w="1100" w:type="dxa"/>
            <w:hideMark/>
          </w:tcPr>
          <w:p w14:paraId="6EF46FB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4.46</w:t>
            </w:r>
          </w:p>
        </w:tc>
        <w:tc>
          <w:tcPr>
            <w:tcW w:w="1520" w:type="dxa"/>
            <w:hideMark/>
          </w:tcPr>
          <w:p w14:paraId="326FB5F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0.12</w:t>
            </w:r>
          </w:p>
        </w:tc>
      </w:tr>
      <w:tr w:rsidR="00302953" w:rsidRPr="00770477" w14:paraId="62FD81F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AFD9EA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1-B-270-2</w:t>
            </w:r>
          </w:p>
        </w:tc>
        <w:tc>
          <w:tcPr>
            <w:tcW w:w="1180" w:type="dxa"/>
            <w:hideMark/>
          </w:tcPr>
          <w:p w14:paraId="3EBB504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3043AD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0.32</w:t>
            </w:r>
          </w:p>
        </w:tc>
        <w:tc>
          <w:tcPr>
            <w:tcW w:w="1300" w:type="dxa"/>
            <w:hideMark/>
          </w:tcPr>
          <w:p w14:paraId="4452CA8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72FCD1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FDBF2D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489.12</w:t>
            </w:r>
          </w:p>
        </w:tc>
        <w:tc>
          <w:tcPr>
            <w:tcW w:w="1440" w:type="dxa"/>
            <w:hideMark/>
          </w:tcPr>
          <w:p w14:paraId="73FF721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3.68</w:t>
            </w:r>
          </w:p>
        </w:tc>
        <w:tc>
          <w:tcPr>
            <w:tcW w:w="1100" w:type="dxa"/>
            <w:hideMark/>
          </w:tcPr>
          <w:p w14:paraId="29C8328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0047F13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r>
      <w:tr w:rsidR="00302953" w:rsidRPr="00770477" w14:paraId="4636E85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2703A1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1-B-430-1</w:t>
            </w:r>
          </w:p>
        </w:tc>
        <w:tc>
          <w:tcPr>
            <w:tcW w:w="1180" w:type="dxa"/>
            <w:hideMark/>
          </w:tcPr>
          <w:p w14:paraId="1671B6F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385BC9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CA0949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6.01</w:t>
            </w:r>
          </w:p>
        </w:tc>
        <w:tc>
          <w:tcPr>
            <w:tcW w:w="1540" w:type="dxa"/>
            <w:hideMark/>
          </w:tcPr>
          <w:p w14:paraId="177062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2.20</w:t>
            </w:r>
          </w:p>
        </w:tc>
        <w:tc>
          <w:tcPr>
            <w:tcW w:w="1300" w:type="dxa"/>
            <w:hideMark/>
          </w:tcPr>
          <w:p w14:paraId="4D8D3FC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464.24</w:t>
            </w:r>
          </w:p>
        </w:tc>
        <w:tc>
          <w:tcPr>
            <w:tcW w:w="1440" w:type="dxa"/>
            <w:hideMark/>
          </w:tcPr>
          <w:p w14:paraId="3ED4956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3.43</w:t>
            </w:r>
          </w:p>
        </w:tc>
        <w:tc>
          <w:tcPr>
            <w:tcW w:w="1100" w:type="dxa"/>
            <w:hideMark/>
          </w:tcPr>
          <w:p w14:paraId="7C75522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10.12</w:t>
            </w:r>
          </w:p>
        </w:tc>
        <w:tc>
          <w:tcPr>
            <w:tcW w:w="1520" w:type="dxa"/>
            <w:hideMark/>
          </w:tcPr>
          <w:p w14:paraId="3BDDC76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0.22</w:t>
            </w:r>
          </w:p>
        </w:tc>
      </w:tr>
      <w:tr w:rsidR="00302953" w:rsidRPr="00770477" w14:paraId="5D867C0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37D625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1-B-670-1</w:t>
            </w:r>
          </w:p>
        </w:tc>
        <w:tc>
          <w:tcPr>
            <w:tcW w:w="1180" w:type="dxa"/>
            <w:hideMark/>
          </w:tcPr>
          <w:p w14:paraId="3C31CD8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DA5FFB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450FE1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23122B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620E405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443.88</w:t>
            </w:r>
          </w:p>
        </w:tc>
        <w:tc>
          <w:tcPr>
            <w:tcW w:w="1440" w:type="dxa"/>
            <w:hideMark/>
          </w:tcPr>
          <w:p w14:paraId="57C8274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3.20</w:t>
            </w:r>
          </w:p>
        </w:tc>
        <w:tc>
          <w:tcPr>
            <w:tcW w:w="1100" w:type="dxa"/>
            <w:hideMark/>
          </w:tcPr>
          <w:p w14:paraId="34985D9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13.67</w:t>
            </w:r>
          </w:p>
        </w:tc>
        <w:tc>
          <w:tcPr>
            <w:tcW w:w="1520" w:type="dxa"/>
            <w:hideMark/>
          </w:tcPr>
          <w:p w14:paraId="544B083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0.22</w:t>
            </w:r>
          </w:p>
        </w:tc>
      </w:tr>
      <w:tr w:rsidR="00302953" w:rsidRPr="00770477" w14:paraId="06B5FC2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B50B07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1-C-010-1</w:t>
            </w:r>
          </w:p>
        </w:tc>
        <w:tc>
          <w:tcPr>
            <w:tcW w:w="1180" w:type="dxa"/>
            <w:hideMark/>
          </w:tcPr>
          <w:p w14:paraId="318DDD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A67360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0.19</w:t>
            </w:r>
          </w:p>
        </w:tc>
        <w:tc>
          <w:tcPr>
            <w:tcW w:w="1300" w:type="dxa"/>
            <w:hideMark/>
          </w:tcPr>
          <w:p w14:paraId="5490D51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5.66</w:t>
            </w:r>
          </w:p>
        </w:tc>
        <w:tc>
          <w:tcPr>
            <w:tcW w:w="1540" w:type="dxa"/>
            <w:hideMark/>
          </w:tcPr>
          <w:p w14:paraId="534B49F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2.07</w:t>
            </w:r>
          </w:p>
        </w:tc>
        <w:tc>
          <w:tcPr>
            <w:tcW w:w="1300" w:type="dxa"/>
            <w:hideMark/>
          </w:tcPr>
          <w:p w14:paraId="0A62541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10922.53</w:t>
            </w:r>
          </w:p>
        </w:tc>
        <w:tc>
          <w:tcPr>
            <w:tcW w:w="1440" w:type="dxa"/>
            <w:hideMark/>
          </w:tcPr>
          <w:p w14:paraId="793FCBE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84.70</w:t>
            </w:r>
          </w:p>
        </w:tc>
        <w:tc>
          <w:tcPr>
            <w:tcW w:w="1100" w:type="dxa"/>
            <w:hideMark/>
          </w:tcPr>
          <w:p w14:paraId="1F7DE11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3B31F5F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0.09</w:t>
            </w:r>
          </w:p>
        </w:tc>
      </w:tr>
      <w:tr w:rsidR="00302953" w:rsidRPr="00770477" w14:paraId="03E5833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E97C5A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1-C-040-1</w:t>
            </w:r>
          </w:p>
        </w:tc>
        <w:tc>
          <w:tcPr>
            <w:tcW w:w="1180" w:type="dxa"/>
            <w:hideMark/>
          </w:tcPr>
          <w:p w14:paraId="6F857A5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EB2648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0.20</w:t>
            </w:r>
          </w:p>
        </w:tc>
        <w:tc>
          <w:tcPr>
            <w:tcW w:w="1300" w:type="dxa"/>
            <w:hideMark/>
          </w:tcPr>
          <w:p w14:paraId="4CC810B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6.05</w:t>
            </w:r>
          </w:p>
        </w:tc>
        <w:tc>
          <w:tcPr>
            <w:tcW w:w="1540" w:type="dxa"/>
            <w:hideMark/>
          </w:tcPr>
          <w:p w14:paraId="3236562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2.21</w:t>
            </w:r>
          </w:p>
        </w:tc>
        <w:tc>
          <w:tcPr>
            <w:tcW w:w="1300" w:type="dxa"/>
            <w:hideMark/>
          </w:tcPr>
          <w:p w14:paraId="69942B4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10401.60</w:t>
            </w:r>
          </w:p>
        </w:tc>
        <w:tc>
          <w:tcPr>
            <w:tcW w:w="1440" w:type="dxa"/>
            <w:hideMark/>
          </w:tcPr>
          <w:p w14:paraId="744D081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80.39</w:t>
            </w:r>
          </w:p>
        </w:tc>
        <w:tc>
          <w:tcPr>
            <w:tcW w:w="1100" w:type="dxa"/>
            <w:hideMark/>
          </w:tcPr>
          <w:p w14:paraId="4A3CA7F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14044C0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w:t>
            </w:r>
          </w:p>
        </w:tc>
      </w:tr>
      <w:tr w:rsidR="00302953" w:rsidRPr="00770477" w14:paraId="77ED9E19"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6E759D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1-C-040-2</w:t>
            </w:r>
          </w:p>
        </w:tc>
        <w:tc>
          <w:tcPr>
            <w:tcW w:w="1180" w:type="dxa"/>
            <w:hideMark/>
          </w:tcPr>
          <w:p w14:paraId="446ED29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A92C9B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0.20</w:t>
            </w:r>
          </w:p>
        </w:tc>
        <w:tc>
          <w:tcPr>
            <w:tcW w:w="1300" w:type="dxa"/>
            <w:hideMark/>
          </w:tcPr>
          <w:p w14:paraId="1C526FC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5.76</w:t>
            </w:r>
          </w:p>
        </w:tc>
        <w:tc>
          <w:tcPr>
            <w:tcW w:w="1540" w:type="dxa"/>
            <w:hideMark/>
          </w:tcPr>
          <w:p w14:paraId="219681B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2.10</w:t>
            </w:r>
          </w:p>
        </w:tc>
        <w:tc>
          <w:tcPr>
            <w:tcW w:w="1300" w:type="dxa"/>
            <w:hideMark/>
          </w:tcPr>
          <w:p w14:paraId="25FAA58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10500.78</w:t>
            </w:r>
          </w:p>
        </w:tc>
        <w:tc>
          <w:tcPr>
            <w:tcW w:w="1440" w:type="dxa"/>
            <w:hideMark/>
          </w:tcPr>
          <w:p w14:paraId="1BAC8B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81.15</w:t>
            </w:r>
          </w:p>
        </w:tc>
        <w:tc>
          <w:tcPr>
            <w:tcW w:w="1100" w:type="dxa"/>
            <w:hideMark/>
          </w:tcPr>
          <w:p w14:paraId="457453D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1AC0F7C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w:t>
            </w:r>
          </w:p>
        </w:tc>
      </w:tr>
      <w:tr w:rsidR="00302953" w:rsidRPr="00770477" w14:paraId="009422E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1D7100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1-C-090-1</w:t>
            </w:r>
          </w:p>
        </w:tc>
        <w:tc>
          <w:tcPr>
            <w:tcW w:w="1180" w:type="dxa"/>
            <w:hideMark/>
          </w:tcPr>
          <w:p w14:paraId="628DD7F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6A41F2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0.21</w:t>
            </w:r>
          </w:p>
        </w:tc>
        <w:tc>
          <w:tcPr>
            <w:tcW w:w="1300" w:type="dxa"/>
            <w:hideMark/>
          </w:tcPr>
          <w:p w14:paraId="114D4E3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6.28</w:t>
            </w:r>
          </w:p>
        </w:tc>
        <w:tc>
          <w:tcPr>
            <w:tcW w:w="1540" w:type="dxa"/>
            <w:hideMark/>
          </w:tcPr>
          <w:p w14:paraId="5DBDEBB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2.29</w:t>
            </w:r>
          </w:p>
        </w:tc>
        <w:tc>
          <w:tcPr>
            <w:tcW w:w="1300" w:type="dxa"/>
            <w:hideMark/>
          </w:tcPr>
          <w:p w14:paraId="5A09C37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9678.77</w:t>
            </w:r>
          </w:p>
        </w:tc>
        <w:tc>
          <w:tcPr>
            <w:tcW w:w="1440" w:type="dxa"/>
            <w:hideMark/>
          </w:tcPr>
          <w:p w14:paraId="439CBE9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74.38</w:t>
            </w:r>
          </w:p>
        </w:tc>
        <w:tc>
          <w:tcPr>
            <w:tcW w:w="1100" w:type="dxa"/>
            <w:hideMark/>
          </w:tcPr>
          <w:p w14:paraId="6F4790B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2786FC9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216B6669"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E0C357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1-C-090-2</w:t>
            </w:r>
          </w:p>
        </w:tc>
        <w:tc>
          <w:tcPr>
            <w:tcW w:w="1180" w:type="dxa"/>
            <w:hideMark/>
          </w:tcPr>
          <w:p w14:paraId="456CC50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8CF10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0.21</w:t>
            </w:r>
          </w:p>
        </w:tc>
        <w:tc>
          <w:tcPr>
            <w:tcW w:w="1300" w:type="dxa"/>
            <w:hideMark/>
          </w:tcPr>
          <w:p w14:paraId="3AAAAE7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0F4A57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47D691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10010.60</w:t>
            </w:r>
          </w:p>
        </w:tc>
        <w:tc>
          <w:tcPr>
            <w:tcW w:w="1440" w:type="dxa"/>
            <w:hideMark/>
          </w:tcPr>
          <w:p w14:paraId="5A35E93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76.93</w:t>
            </w:r>
          </w:p>
        </w:tc>
        <w:tc>
          <w:tcPr>
            <w:tcW w:w="1100" w:type="dxa"/>
            <w:hideMark/>
          </w:tcPr>
          <w:p w14:paraId="61414DA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214CFBF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r>
      <w:tr w:rsidR="00302953" w:rsidRPr="00770477" w14:paraId="1CA7E72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04493A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1-C-160-1</w:t>
            </w:r>
          </w:p>
        </w:tc>
        <w:tc>
          <w:tcPr>
            <w:tcW w:w="1180" w:type="dxa"/>
            <w:hideMark/>
          </w:tcPr>
          <w:p w14:paraId="51E1286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5D82D9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0.36</w:t>
            </w:r>
          </w:p>
        </w:tc>
        <w:tc>
          <w:tcPr>
            <w:tcW w:w="1300" w:type="dxa"/>
            <w:hideMark/>
          </w:tcPr>
          <w:p w14:paraId="1159035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EE12CF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F87DBB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10032.60</w:t>
            </w:r>
          </w:p>
        </w:tc>
        <w:tc>
          <w:tcPr>
            <w:tcW w:w="1440" w:type="dxa"/>
            <w:hideMark/>
          </w:tcPr>
          <w:p w14:paraId="5A042A2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76.21</w:t>
            </w:r>
          </w:p>
        </w:tc>
        <w:tc>
          <w:tcPr>
            <w:tcW w:w="1100" w:type="dxa"/>
            <w:hideMark/>
          </w:tcPr>
          <w:p w14:paraId="6CD323D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7.86</w:t>
            </w:r>
          </w:p>
        </w:tc>
        <w:tc>
          <w:tcPr>
            <w:tcW w:w="1520" w:type="dxa"/>
            <w:hideMark/>
          </w:tcPr>
          <w:p w14:paraId="7B12D5F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0.29</w:t>
            </w:r>
          </w:p>
        </w:tc>
      </w:tr>
      <w:tr w:rsidR="00302953" w:rsidRPr="00770477" w14:paraId="0F789F0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05BD5C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1-C-270-1</w:t>
            </w:r>
          </w:p>
        </w:tc>
        <w:tc>
          <w:tcPr>
            <w:tcW w:w="1180" w:type="dxa"/>
            <w:hideMark/>
          </w:tcPr>
          <w:p w14:paraId="0E26055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3A8D69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0.32</w:t>
            </w:r>
          </w:p>
        </w:tc>
        <w:tc>
          <w:tcPr>
            <w:tcW w:w="1300" w:type="dxa"/>
            <w:hideMark/>
          </w:tcPr>
          <w:p w14:paraId="5F3C565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8C8FD0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19FE2F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8901.27</w:t>
            </w:r>
          </w:p>
        </w:tc>
        <w:tc>
          <w:tcPr>
            <w:tcW w:w="1440" w:type="dxa"/>
            <w:hideMark/>
          </w:tcPr>
          <w:p w14:paraId="2DD1F28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67.03</w:t>
            </w:r>
          </w:p>
        </w:tc>
        <w:tc>
          <w:tcPr>
            <w:tcW w:w="1100" w:type="dxa"/>
            <w:hideMark/>
          </w:tcPr>
          <w:p w14:paraId="6A51B04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33.86</w:t>
            </w:r>
          </w:p>
        </w:tc>
        <w:tc>
          <w:tcPr>
            <w:tcW w:w="1520" w:type="dxa"/>
            <w:hideMark/>
          </w:tcPr>
          <w:p w14:paraId="5AE49D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0.90</w:t>
            </w:r>
          </w:p>
        </w:tc>
      </w:tr>
      <w:tr w:rsidR="00302953" w:rsidRPr="00770477" w14:paraId="0D345A97"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179215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1-C-430-1</w:t>
            </w:r>
          </w:p>
        </w:tc>
        <w:tc>
          <w:tcPr>
            <w:tcW w:w="1180" w:type="dxa"/>
            <w:hideMark/>
          </w:tcPr>
          <w:p w14:paraId="3EFFD12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706BB5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84F2A4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0163F9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0931EA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7980.96</w:t>
            </w:r>
          </w:p>
        </w:tc>
        <w:tc>
          <w:tcPr>
            <w:tcW w:w="1440" w:type="dxa"/>
            <w:hideMark/>
          </w:tcPr>
          <w:p w14:paraId="470B1A7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59.05</w:t>
            </w:r>
          </w:p>
        </w:tc>
        <w:tc>
          <w:tcPr>
            <w:tcW w:w="1100" w:type="dxa"/>
            <w:hideMark/>
          </w:tcPr>
          <w:p w14:paraId="100363D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4.99</w:t>
            </w:r>
          </w:p>
        </w:tc>
        <w:tc>
          <w:tcPr>
            <w:tcW w:w="1520" w:type="dxa"/>
            <w:hideMark/>
          </w:tcPr>
          <w:p w14:paraId="6D19ADF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0.11</w:t>
            </w:r>
          </w:p>
        </w:tc>
      </w:tr>
      <w:tr w:rsidR="00302953" w:rsidRPr="00770477" w14:paraId="53E5D52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C84159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1-C-430-2</w:t>
            </w:r>
          </w:p>
        </w:tc>
        <w:tc>
          <w:tcPr>
            <w:tcW w:w="1180" w:type="dxa"/>
            <w:hideMark/>
          </w:tcPr>
          <w:p w14:paraId="623E222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4B1A8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E92ACA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BF54C5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C7F8E9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8011.17</w:t>
            </w:r>
          </w:p>
        </w:tc>
        <w:tc>
          <w:tcPr>
            <w:tcW w:w="1440" w:type="dxa"/>
            <w:hideMark/>
          </w:tcPr>
          <w:p w14:paraId="648ED60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59.27</w:t>
            </w:r>
          </w:p>
        </w:tc>
        <w:tc>
          <w:tcPr>
            <w:tcW w:w="1100" w:type="dxa"/>
            <w:hideMark/>
          </w:tcPr>
          <w:p w14:paraId="56B6B9B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3AFE96A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0.04</w:t>
            </w:r>
          </w:p>
        </w:tc>
      </w:tr>
      <w:tr w:rsidR="00302953" w:rsidRPr="00770477" w14:paraId="3CA671A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32F7FF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1-C-670-1</w:t>
            </w:r>
          </w:p>
        </w:tc>
        <w:tc>
          <w:tcPr>
            <w:tcW w:w="1180" w:type="dxa"/>
            <w:hideMark/>
          </w:tcPr>
          <w:p w14:paraId="404C895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33E607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B07B17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12FDBD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741207D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7078.55</w:t>
            </w:r>
          </w:p>
        </w:tc>
        <w:tc>
          <w:tcPr>
            <w:tcW w:w="1440" w:type="dxa"/>
            <w:hideMark/>
          </w:tcPr>
          <w:p w14:paraId="72C2E40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51.08</w:t>
            </w:r>
          </w:p>
        </w:tc>
        <w:tc>
          <w:tcPr>
            <w:tcW w:w="1100" w:type="dxa"/>
            <w:hideMark/>
          </w:tcPr>
          <w:p w14:paraId="39B280D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12.73</w:t>
            </w:r>
          </w:p>
        </w:tc>
        <w:tc>
          <w:tcPr>
            <w:tcW w:w="1520" w:type="dxa"/>
            <w:hideMark/>
          </w:tcPr>
          <w:p w14:paraId="100576A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0.21</w:t>
            </w:r>
          </w:p>
        </w:tc>
      </w:tr>
      <w:tr w:rsidR="00302953" w:rsidRPr="00770477" w14:paraId="09A04C7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8633DA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1-I-000-3</w:t>
            </w:r>
          </w:p>
        </w:tc>
        <w:tc>
          <w:tcPr>
            <w:tcW w:w="1180" w:type="dxa"/>
            <w:hideMark/>
          </w:tcPr>
          <w:p w14:paraId="72421B8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6.89</w:t>
            </w:r>
          </w:p>
        </w:tc>
        <w:tc>
          <w:tcPr>
            <w:tcW w:w="1540" w:type="dxa"/>
            <w:hideMark/>
          </w:tcPr>
          <w:p w14:paraId="6D2698F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7CC6A82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C2E909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16E3E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128.44</w:t>
            </w:r>
          </w:p>
        </w:tc>
        <w:tc>
          <w:tcPr>
            <w:tcW w:w="1440" w:type="dxa"/>
            <w:hideMark/>
          </w:tcPr>
          <w:p w14:paraId="0D50994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00" w:type="dxa"/>
            <w:hideMark/>
          </w:tcPr>
          <w:p w14:paraId="6813FC1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26.07</w:t>
            </w:r>
          </w:p>
        </w:tc>
        <w:tc>
          <w:tcPr>
            <w:tcW w:w="1520" w:type="dxa"/>
            <w:hideMark/>
          </w:tcPr>
          <w:p w14:paraId="61BC233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368E844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5A2A71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1-I-160-3</w:t>
            </w:r>
          </w:p>
        </w:tc>
        <w:tc>
          <w:tcPr>
            <w:tcW w:w="1180" w:type="dxa"/>
            <w:hideMark/>
          </w:tcPr>
          <w:p w14:paraId="2BF0A46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2.92</w:t>
            </w:r>
          </w:p>
        </w:tc>
        <w:tc>
          <w:tcPr>
            <w:tcW w:w="1540" w:type="dxa"/>
            <w:hideMark/>
          </w:tcPr>
          <w:p w14:paraId="49DFB9B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6E57BF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CD0EF8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6819DC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131.64</w:t>
            </w:r>
          </w:p>
        </w:tc>
        <w:tc>
          <w:tcPr>
            <w:tcW w:w="1440" w:type="dxa"/>
            <w:hideMark/>
          </w:tcPr>
          <w:p w14:paraId="358EBAA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00" w:type="dxa"/>
            <w:hideMark/>
          </w:tcPr>
          <w:p w14:paraId="3F9C617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27.26</w:t>
            </w:r>
          </w:p>
        </w:tc>
        <w:tc>
          <w:tcPr>
            <w:tcW w:w="1520" w:type="dxa"/>
            <w:hideMark/>
          </w:tcPr>
          <w:p w14:paraId="6D537A7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33FE36F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4751EE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1-I-670-3</w:t>
            </w:r>
          </w:p>
        </w:tc>
        <w:tc>
          <w:tcPr>
            <w:tcW w:w="1180" w:type="dxa"/>
            <w:hideMark/>
          </w:tcPr>
          <w:p w14:paraId="6C2FB44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D24B7C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4AB23F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4905A8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0EDE10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138.58</w:t>
            </w:r>
          </w:p>
        </w:tc>
        <w:tc>
          <w:tcPr>
            <w:tcW w:w="1440" w:type="dxa"/>
            <w:hideMark/>
          </w:tcPr>
          <w:p w14:paraId="60DED0A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00" w:type="dxa"/>
            <w:hideMark/>
          </w:tcPr>
          <w:p w14:paraId="5EF6EA2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60.80</w:t>
            </w:r>
          </w:p>
        </w:tc>
        <w:tc>
          <w:tcPr>
            <w:tcW w:w="1520" w:type="dxa"/>
            <w:hideMark/>
          </w:tcPr>
          <w:p w14:paraId="418204C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055F80E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A90429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2-A-010-1</w:t>
            </w:r>
          </w:p>
        </w:tc>
        <w:tc>
          <w:tcPr>
            <w:tcW w:w="1180" w:type="dxa"/>
            <w:hideMark/>
          </w:tcPr>
          <w:p w14:paraId="4B570A3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9.39</w:t>
            </w:r>
          </w:p>
        </w:tc>
        <w:tc>
          <w:tcPr>
            <w:tcW w:w="1540" w:type="dxa"/>
            <w:hideMark/>
          </w:tcPr>
          <w:p w14:paraId="652FFA1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0.95</w:t>
            </w:r>
          </w:p>
        </w:tc>
        <w:tc>
          <w:tcPr>
            <w:tcW w:w="1300" w:type="dxa"/>
            <w:hideMark/>
          </w:tcPr>
          <w:p w14:paraId="7C9ACFF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A2A62F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722BAC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265.05</w:t>
            </w:r>
          </w:p>
        </w:tc>
        <w:tc>
          <w:tcPr>
            <w:tcW w:w="1440" w:type="dxa"/>
            <w:hideMark/>
          </w:tcPr>
          <w:p w14:paraId="7A63339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1.69</w:t>
            </w:r>
          </w:p>
        </w:tc>
        <w:tc>
          <w:tcPr>
            <w:tcW w:w="1100" w:type="dxa"/>
            <w:hideMark/>
          </w:tcPr>
          <w:p w14:paraId="4ABFDC0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101.73</w:t>
            </w:r>
          </w:p>
        </w:tc>
        <w:tc>
          <w:tcPr>
            <w:tcW w:w="1520" w:type="dxa"/>
            <w:hideMark/>
          </w:tcPr>
          <w:p w14:paraId="3D69228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1.22</w:t>
            </w:r>
          </w:p>
        </w:tc>
      </w:tr>
      <w:tr w:rsidR="00302953" w:rsidRPr="00770477" w14:paraId="1451C31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BE0ACD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2-A-040-1</w:t>
            </w:r>
          </w:p>
        </w:tc>
        <w:tc>
          <w:tcPr>
            <w:tcW w:w="1180" w:type="dxa"/>
            <w:hideMark/>
          </w:tcPr>
          <w:p w14:paraId="3553207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9.08</w:t>
            </w:r>
          </w:p>
        </w:tc>
        <w:tc>
          <w:tcPr>
            <w:tcW w:w="1540" w:type="dxa"/>
            <w:hideMark/>
          </w:tcPr>
          <w:p w14:paraId="5111AB8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0.93</w:t>
            </w:r>
          </w:p>
        </w:tc>
        <w:tc>
          <w:tcPr>
            <w:tcW w:w="1300" w:type="dxa"/>
            <w:hideMark/>
          </w:tcPr>
          <w:p w14:paraId="2DEE57A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BA4591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AFA712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222.90</w:t>
            </w:r>
          </w:p>
        </w:tc>
        <w:tc>
          <w:tcPr>
            <w:tcW w:w="1440" w:type="dxa"/>
            <w:hideMark/>
          </w:tcPr>
          <w:p w14:paraId="54D43FB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1.41</w:t>
            </w:r>
          </w:p>
        </w:tc>
        <w:tc>
          <w:tcPr>
            <w:tcW w:w="1100" w:type="dxa"/>
            <w:hideMark/>
          </w:tcPr>
          <w:p w14:paraId="6D9DE33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43.43</w:t>
            </w:r>
          </w:p>
        </w:tc>
        <w:tc>
          <w:tcPr>
            <w:tcW w:w="1520" w:type="dxa"/>
            <w:hideMark/>
          </w:tcPr>
          <w:p w14:paraId="5D229F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0.52</w:t>
            </w:r>
          </w:p>
        </w:tc>
      </w:tr>
      <w:tr w:rsidR="00302953" w:rsidRPr="00770477" w14:paraId="403C6DC7"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FB5412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2-A-090-1</w:t>
            </w:r>
          </w:p>
        </w:tc>
        <w:tc>
          <w:tcPr>
            <w:tcW w:w="1180" w:type="dxa"/>
            <w:hideMark/>
          </w:tcPr>
          <w:p w14:paraId="0790AD0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10.80</w:t>
            </w:r>
          </w:p>
        </w:tc>
        <w:tc>
          <w:tcPr>
            <w:tcW w:w="1540" w:type="dxa"/>
            <w:hideMark/>
          </w:tcPr>
          <w:p w14:paraId="544A290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1.13</w:t>
            </w:r>
          </w:p>
        </w:tc>
        <w:tc>
          <w:tcPr>
            <w:tcW w:w="1300" w:type="dxa"/>
            <w:hideMark/>
          </w:tcPr>
          <w:p w14:paraId="3C13C7D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6.67</w:t>
            </w:r>
          </w:p>
        </w:tc>
        <w:tc>
          <w:tcPr>
            <w:tcW w:w="1540" w:type="dxa"/>
            <w:hideMark/>
          </w:tcPr>
          <w:p w14:paraId="5DE600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2.43</w:t>
            </w:r>
          </w:p>
        </w:tc>
        <w:tc>
          <w:tcPr>
            <w:tcW w:w="1300" w:type="dxa"/>
            <w:hideMark/>
          </w:tcPr>
          <w:p w14:paraId="5BA4C19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186.56</w:t>
            </w:r>
          </w:p>
        </w:tc>
        <w:tc>
          <w:tcPr>
            <w:tcW w:w="1440" w:type="dxa"/>
            <w:hideMark/>
          </w:tcPr>
          <w:p w14:paraId="5AA2862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1.17</w:t>
            </w:r>
          </w:p>
        </w:tc>
        <w:tc>
          <w:tcPr>
            <w:tcW w:w="1100" w:type="dxa"/>
            <w:hideMark/>
          </w:tcPr>
          <w:p w14:paraId="2800918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30.14</w:t>
            </w:r>
          </w:p>
        </w:tc>
        <w:tc>
          <w:tcPr>
            <w:tcW w:w="1520" w:type="dxa"/>
            <w:hideMark/>
          </w:tcPr>
          <w:p w14:paraId="38DAE2D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0.36</w:t>
            </w:r>
          </w:p>
        </w:tc>
      </w:tr>
      <w:tr w:rsidR="00302953" w:rsidRPr="00770477" w14:paraId="39109D8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94C3CD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2-A-090-2</w:t>
            </w:r>
          </w:p>
        </w:tc>
        <w:tc>
          <w:tcPr>
            <w:tcW w:w="1180" w:type="dxa"/>
            <w:hideMark/>
          </w:tcPr>
          <w:p w14:paraId="2CC5E96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11.23</w:t>
            </w:r>
          </w:p>
        </w:tc>
        <w:tc>
          <w:tcPr>
            <w:tcW w:w="1540" w:type="dxa"/>
            <w:hideMark/>
          </w:tcPr>
          <w:p w14:paraId="3F9704B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1.18</w:t>
            </w:r>
          </w:p>
        </w:tc>
        <w:tc>
          <w:tcPr>
            <w:tcW w:w="1300" w:type="dxa"/>
            <w:hideMark/>
          </w:tcPr>
          <w:p w14:paraId="1F9C5EC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CEC0B7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681EAD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174.56</w:t>
            </w:r>
          </w:p>
        </w:tc>
        <w:tc>
          <w:tcPr>
            <w:tcW w:w="1440" w:type="dxa"/>
            <w:hideMark/>
          </w:tcPr>
          <w:p w14:paraId="111C176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1.09</w:t>
            </w:r>
          </w:p>
        </w:tc>
        <w:tc>
          <w:tcPr>
            <w:tcW w:w="1100" w:type="dxa"/>
            <w:hideMark/>
          </w:tcPr>
          <w:p w14:paraId="7DBB5CB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29.05</w:t>
            </w:r>
          </w:p>
        </w:tc>
        <w:tc>
          <w:tcPr>
            <w:tcW w:w="1520" w:type="dxa"/>
            <w:hideMark/>
          </w:tcPr>
          <w:p w14:paraId="17E14B4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0.35</w:t>
            </w:r>
          </w:p>
        </w:tc>
      </w:tr>
      <w:tr w:rsidR="00302953" w:rsidRPr="00770477" w14:paraId="136D660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D77541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2-A-160-1</w:t>
            </w:r>
          </w:p>
        </w:tc>
        <w:tc>
          <w:tcPr>
            <w:tcW w:w="1180" w:type="dxa"/>
            <w:hideMark/>
          </w:tcPr>
          <w:p w14:paraId="75E2350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5.68</w:t>
            </w:r>
          </w:p>
        </w:tc>
        <w:tc>
          <w:tcPr>
            <w:tcW w:w="1540" w:type="dxa"/>
            <w:hideMark/>
          </w:tcPr>
          <w:p w14:paraId="0219F1C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0.93</w:t>
            </w:r>
          </w:p>
        </w:tc>
        <w:tc>
          <w:tcPr>
            <w:tcW w:w="1300" w:type="dxa"/>
            <w:hideMark/>
          </w:tcPr>
          <w:p w14:paraId="385CAEF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6B10D8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615FDB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192.36</w:t>
            </w:r>
          </w:p>
        </w:tc>
        <w:tc>
          <w:tcPr>
            <w:tcW w:w="1440" w:type="dxa"/>
            <w:hideMark/>
          </w:tcPr>
          <w:p w14:paraId="3568ABA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w:t>
            </w:r>
          </w:p>
        </w:tc>
        <w:tc>
          <w:tcPr>
            <w:tcW w:w="1100" w:type="dxa"/>
            <w:hideMark/>
          </w:tcPr>
          <w:p w14:paraId="0B8E497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32.75</w:t>
            </w:r>
          </w:p>
        </w:tc>
        <w:tc>
          <w:tcPr>
            <w:tcW w:w="1520" w:type="dxa"/>
            <w:hideMark/>
          </w:tcPr>
          <w:p w14:paraId="6CA5104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0.41</w:t>
            </w:r>
          </w:p>
        </w:tc>
      </w:tr>
      <w:tr w:rsidR="00302953" w:rsidRPr="00770477" w14:paraId="213B927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6F0014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2-A-270-1</w:t>
            </w:r>
          </w:p>
        </w:tc>
        <w:tc>
          <w:tcPr>
            <w:tcW w:w="1180" w:type="dxa"/>
            <w:noWrap/>
            <w:hideMark/>
          </w:tcPr>
          <w:p w14:paraId="206D8F0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10.06</w:t>
            </w:r>
          </w:p>
        </w:tc>
        <w:tc>
          <w:tcPr>
            <w:tcW w:w="1540" w:type="dxa"/>
            <w:hideMark/>
          </w:tcPr>
          <w:p w14:paraId="2614ED0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1.16</w:t>
            </w:r>
          </w:p>
        </w:tc>
        <w:tc>
          <w:tcPr>
            <w:tcW w:w="1300" w:type="dxa"/>
            <w:hideMark/>
          </w:tcPr>
          <w:p w14:paraId="0BD5746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6DEF42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024A1FA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208.94</w:t>
            </w:r>
          </w:p>
        </w:tc>
        <w:tc>
          <w:tcPr>
            <w:tcW w:w="1440" w:type="dxa"/>
            <w:hideMark/>
          </w:tcPr>
          <w:p w14:paraId="70ACA06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1.26</w:t>
            </w:r>
          </w:p>
        </w:tc>
        <w:tc>
          <w:tcPr>
            <w:tcW w:w="1100" w:type="dxa"/>
            <w:noWrap/>
            <w:hideMark/>
          </w:tcPr>
          <w:p w14:paraId="2991A63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49.47</w:t>
            </w:r>
          </w:p>
        </w:tc>
        <w:tc>
          <w:tcPr>
            <w:tcW w:w="1520" w:type="dxa"/>
            <w:hideMark/>
          </w:tcPr>
          <w:p w14:paraId="53A2A25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0.61</w:t>
            </w:r>
          </w:p>
        </w:tc>
      </w:tr>
      <w:tr w:rsidR="00302953" w:rsidRPr="00770477" w14:paraId="095D782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56EC06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2-A-430-1</w:t>
            </w:r>
          </w:p>
        </w:tc>
        <w:tc>
          <w:tcPr>
            <w:tcW w:w="1180" w:type="dxa"/>
            <w:noWrap/>
            <w:hideMark/>
          </w:tcPr>
          <w:p w14:paraId="04D86C8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8.31</w:t>
            </w:r>
          </w:p>
        </w:tc>
        <w:tc>
          <w:tcPr>
            <w:tcW w:w="1540" w:type="dxa"/>
            <w:hideMark/>
          </w:tcPr>
          <w:p w14:paraId="7DC8AF4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w:t>
            </w:r>
          </w:p>
        </w:tc>
        <w:tc>
          <w:tcPr>
            <w:tcW w:w="1300" w:type="dxa"/>
            <w:hideMark/>
          </w:tcPr>
          <w:p w14:paraId="16F99CD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10216B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482DDF3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191.80</w:t>
            </w:r>
          </w:p>
        </w:tc>
        <w:tc>
          <w:tcPr>
            <w:tcW w:w="1440" w:type="dxa"/>
            <w:hideMark/>
          </w:tcPr>
          <w:p w14:paraId="22DA1D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1.12</w:t>
            </w:r>
          </w:p>
        </w:tc>
        <w:tc>
          <w:tcPr>
            <w:tcW w:w="1100" w:type="dxa"/>
            <w:noWrap/>
            <w:hideMark/>
          </w:tcPr>
          <w:p w14:paraId="24BAC83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34.78</w:t>
            </w:r>
          </w:p>
        </w:tc>
        <w:tc>
          <w:tcPr>
            <w:tcW w:w="1520" w:type="dxa"/>
            <w:hideMark/>
          </w:tcPr>
          <w:p w14:paraId="2C9FCBE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0.44</w:t>
            </w:r>
          </w:p>
        </w:tc>
      </w:tr>
      <w:tr w:rsidR="00302953" w:rsidRPr="00770477" w14:paraId="452D66C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1D6CB2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2-A-430-2</w:t>
            </w:r>
          </w:p>
        </w:tc>
        <w:tc>
          <w:tcPr>
            <w:tcW w:w="1180" w:type="dxa"/>
            <w:noWrap/>
            <w:hideMark/>
          </w:tcPr>
          <w:p w14:paraId="083C7B5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8.39</w:t>
            </w:r>
          </w:p>
        </w:tc>
        <w:tc>
          <w:tcPr>
            <w:tcW w:w="1540" w:type="dxa"/>
            <w:hideMark/>
          </w:tcPr>
          <w:p w14:paraId="1354D98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w:t>
            </w:r>
          </w:p>
        </w:tc>
        <w:tc>
          <w:tcPr>
            <w:tcW w:w="1300" w:type="dxa"/>
            <w:hideMark/>
          </w:tcPr>
          <w:p w14:paraId="392AD65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B6E3C9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0F18784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193.03</w:t>
            </w:r>
          </w:p>
        </w:tc>
        <w:tc>
          <w:tcPr>
            <w:tcW w:w="1440" w:type="dxa"/>
            <w:hideMark/>
          </w:tcPr>
          <w:p w14:paraId="38CA1CF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1.13</w:t>
            </w:r>
          </w:p>
        </w:tc>
        <w:tc>
          <w:tcPr>
            <w:tcW w:w="1100" w:type="dxa"/>
            <w:noWrap/>
            <w:hideMark/>
          </w:tcPr>
          <w:p w14:paraId="3CC546C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40.74</w:t>
            </w:r>
          </w:p>
        </w:tc>
        <w:tc>
          <w:tcPr>
            <w:tcW w:w="1520" w:type="dxa"/>
            <w:hideMark/>
          </w:tcPr>
          <w:p w14:paraId="773847F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0.51</w:t>
            </w:r>
          </w:p>
        </w:tc>
      </w:tr>
      <w:tr w:rsidR="00302953" w:rsidRPr="00770477" w14:paraId="39D08DE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9CCEC5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2-A-670-1</w:t>
            </w:r>
          </w:p>
        </w:tc>
        <w:tc>
          <w:tcPr>
            <w:tcW w:w="1180" w:type="dxa"/>
            <w:noWrap/>
            <w:hideMark/>
          </w:tcPr>
          <w:p w14:paraId="4593656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6.06</w:t>
            </w:r>
          </w:p>
        </w:tc>
        <w:tc>
          <w:tcPr>
            <w:tcW w:w="1540" w:type="dxa"/>
            <w:hideMark/>
          </w:tcPr>
          <w:p w14:paraId="42A4EE5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0.82</w:t>
            </w:r>
          </w:p>
        </w:tc>
        <w:tc>
          <w:tcPr>
            <w:tcW w:w="1300" w:type="dxa"/>
            <w:hideMark/>
          </w:tcPr>
          <w:p w14:paraId="4C57561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D8F9BA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195459C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184.28</w:t>
            </w:r>
          </w:p>
        </w:tc>
        <w:tc>
          <w:tcPr>
            <w:tcW w:w="1440" w:type="dxa"/>
            <w:hideMark/>
          </w:tcPr>
          <w:p w14:paraId="5405BD0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c>
          <w:tcPr>
            <w:tcW w:w="1100" w:type="dxa"/>
            <w:noWrap/>
            <w:hideMark/>
          </w:tcPr>
          <w:p w14:paraId="7B3282A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61.44</w:t>
            </w:r>
          </w:p>
        </w:tc>
        <w:tc>
          <w:tcPr>
            <w:tcW w:w="1520" w:type="dxa"/>
            <w:hideMark/>
          </w:tcPr>
          <w:p w14:paraId="5BCBF05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0.79</w:t>
            </w:r>
          </w:p>
        </w:tc>
      </w:tr>
      <w:tr w:rsidR="00302953" w:rsidRPr="00770477" w14:paraId="1A06FA5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0DFBAC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2-B-010-1</w:t>
            </w:r>
          </w:p>
        </w:tc>
        <w:tc>
          <w:tcPr>
            <w:tcW w:w="1180" w:type="dxa"/>
            <w:hideMark/>
          </w:tcPr>
          <w:p w14:paraId="720CDCB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9.30</w:t>
            </w:r>
          </w:p>
        </w:tc>
        <w:tc>
          <w:tcPr>
            <w:tcW w:w="1540" w:type="dxa"/>
            <w:hideMark/>
          </w:tcPr>
          <w:p w14:paraId="727C982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0.94</w:t>
            </w:r>
          </w:p>
        </w:tc>
        <w:tc>
          <w:tcPr>
            <w:tcW w:w="1300" w:type="dxa"/>
            <w:hideMark/>
          </w:tcPr>
          <w:p w14:paraId="30E5B5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7.39</w:t>
            </w:r>
          </w:p>
        </w:tc>
        <w:tc>
          <w:tcPr>
            <w:tcW w:w="1540" w:type="dxa"/>
            <w:hideMark/>
          </w:tcPr>
          <w:p w14:paraId="777E7A7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w:t>
            </w:r>
          </w:p>
        </w:tc>
        <w:tc>
          <w:tcPr>
            <w:tcW w:w="1300" w:type="dxa"/>
            <w:hideMark/>
          </w:tcPr>
          <w:p w14:paraId="4A2DBE6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256.17</w:t>
            </w:r>
          </w:p>
        </w:tc>
        <w:tc>
          <w:tcPr>
            <w:tcW w:w="1440" w:type="dxa"/>
            <w:hideMark/>
          </w:tcPr>
          <w:p w14:paraId="57EEBA8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1.63</w:t>
            </w:r>
          </w:p>
        </w:tc>
        <w:tc>
          <w:tcPr>
            <w:tcW w:w="1100" w:type="dxa"/>
            <w:hideMark/>
          </w:tcPr>
          <w:p w14:paraId="7C77AF7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46.30</w:t>
            </w:r>
          </w:p>
        </w:tc>
        <w:tc>
          <w:tcPr>
            <w:tcW w:w="1520" w:type="dxa"/>
            <w:hideMark/>
          </w:tcPr>
          <w:p w14:paraId="1692D52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0.55</w:t>
            </w:r>
          </w:p>
        </w:tc>
      </w:tr>
      <w:tr w:rsidR="00302953" w:rsidRPr="00770477" w14:paraId="4DD4739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8BE29D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2-B-040-1</w:t>
            </w:r>
          </w:p>
        </w:tc>
        <w:tc>
          <w:tcPr>
            <w:tcW w:w="1180" w:type="dxa"/>
            <w:hideMark/>
          </w:tcPr>
          <w:p w14:paraId="5258790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11.09</w:t>
            </w:r>
          </w:p>
        </w:tc>
        <w:tc>
          <w:tcPr>
            <w:tcW w:w="1540" w:type="dxa"/>
            <w:hideMark/>
          </w:tcPr>
          <w:p w14:paraId="2727931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1.14</w:t>
            </w:r>
          </w:p>
        </w:tc>
        <w:tc>
          <w:tcPr>
            <w:tcW w:w="1300" w:type="dxa"/>
            <w:hideMark/>
          </w:tcPr>
          <w:p w14:paraId="34422D1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9C7FE5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874C0D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200.76</w:t>
            </w:r>
          </w:p>
        </w:tc>
        <w:tc>
          <w:tcPr>
            <w:tcW w:w="1440" w:type="dxa"/>
            <w:hideMark/>
          </w:tcPr>
          <w:p w14:paraId="7217009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1.27</w:t>
            </w:r>
          </w:p>
        </w:tc>
        <w:tc>
          <w:tcPr>
            <w:tcW w:w="1100" w:type="dxa"/>
            <w:hideMark/>
          </w:tcPr>
          <w:p w14:paraId="777FD20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59.13</w:t>
            </w:r>
          </w:p>
        </w:tc>
        <w:tc>
          <w:tcPr>
            <w:tcW w:w="1520" w:type="dxa"/>
            <w:hideMark/>
          </w:tcPr>
          <w:p w14:paraId="7DA8BFD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0.71</w:t>
            </w:r>
          </w:p>
        </w:tc>
      </w:tr>
      <w:tr w:rsidR="00302953" w:rsidRPr="00770477" w14:paraId="4A5959D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A637BF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2-B-090-1</w:t>
            </w:r>
          </w:p>
        </w:tc>
        <w:tc>
          <w:tcPr>
            <w:tcW w:w="1180" w:type="dxa"/>
            <w:hideMark/>
          </w:tcPr>
          <w:p w14:paraId="059876B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10.83</w:t>
            </w:r>
          </w:p>
        </w:tc>
        <w:tc>
          <w:tcPr>
            <w:tcW w:w="1540" w:type="dxa"/>
            <w:hideMark/>
          </w:tcPr>
          <w:p w14:paraId="450F5A9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1.14</w:t>
            </w:r>
          </w:p>
        </w:tc>
        <w:tc>
          <w:tcPr>
            <w:tcW w:w="1300" w:type="dxa"/>
            <w:hideMark/>
          </w:tcPr>
          <w:p w14:paraId="791251D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EDA141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F41D4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193.54</w:t>
            </w:r>
          </w:p>
        </w:tc>
        <w:tc>
          <w:tcPr>
            <w:tcW w:w="1440" w:type="dxa"/>
            <w:hideMark/>
          </w:tcPr>
          <w:p w14:paraId="3B71EAA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1.21</w:t>
            </w:r>
          </w:p>
        </w:tc>
        <w:tc>
          <w:tcPr>
            <w:tcW w:w="1100" w:type="dxa"/>
            <w:hideMark/>
          </w:tcPr>
          <w:p w14:paraId="1C446F1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37.02</w:t>
            </w:r>
          </w:p>
        </w:tc>
        <w:tc>
          <w:tcPr>
            <w:tcW w:w="1520" w:type="dxa"/>
            <w:hideMark/>
          </w:tcPr>
          <w:p w14:paraId="0865F44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0.45</w:t>
            </w:r>
          </w:p>
        </w:tc>
      </w:tr>
      <w:tr w:rsidR="00302953" w:rsidRPr="00770477" w14:paraId="1830173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0D7F48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2-B-090-2</w:t>
            </w:r>
          </w:p>
        </w:tc>
        <w:tc>
          <w:tcPr>
            <w:tcW w:w="1180" w:type="dxa"/>
            <w:hideMark/>
          </w:tcPr>
          <w:p w14:paraId="57CCC91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11.53</w:t>
            </w:r>
          </w:p>
        </w:tc>
        <w:tc>
          <w:tcPr>
            <w:tcW w:w="1540" w:type="dxa"/>
            <w:hideMark/>
          </w:tcPr>
          <w:p w14:paraId="664A6BD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1.21</w:t>
            </w:r>
          </w:p>
        </w:tc>
        <w:tc>
          <w:tcPr>
            <w:tcW w:w="1300" w:type="dxa"/>
            <w:hideMark/>
          </w:tcPr>
          <w:p w14:paraId="5017E8B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04713D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1CFE4E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187.53</w:t>
            </w:r>
          </w:p>
        </w:tc>
        <w:tc>
          <w:tcPr>
            <w:tcW w:w="1440" w:type="dxa"/>
            <w:hideMark/>
          </w:tcPr>
          <w:p w14:paraId="1F8D8A0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1.18</w:t>
            </w:r>
          </w:p>
        </w:tc>
        <w:tc>
          <w:tcPr>
            <w:tcW w:w="1100" w:type="dxa"/>
            <w:hideMark/>
          </w:tcPr>
          <w:p w14:paraId="13F4D7A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38.44</w:t>
            </w:r>
          </w:p>
        </w:tc>
        <w:tc>
          <w:tcPr>
            <w:tcW w:w="1520" w:type="dxa"/>
            <w:hideMark/>
          </w:tcPr>
          <w:p w14:paraId="3303145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0.46</w:t>
            </w:r>
          </w:p>
        </w:tc>
      </w:tr>
      <w:tr w:rsidR="00302953" w:rsidRPr="00770477" w14:paraId="02DC95E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7F64E2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2-B-160-1</w:t>
            </w:r>
          </w:p>
        </w:tc>
        <w:tc>
          <w:tcPr>
            <w:tcW w:w="1180" w:type="dxa"/>
            <w:hideMark/>
          </w:tcPr>
          <w:p w14:paraId="0F20ED1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8.19</w:t>
            </w:r>
          </w:p>
        </w:tc>
        <w:tc>
          <w:tcPr>
            <w:tcW w:w="1540" w:type="dxa"/>
            <w:hideMark/>
          </w:tcPr>
          <w:p w14:paraId="7D3514D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1.33</w:t>
            </w:r>
          </w:p>
        </w:tc>
        <w:tc>
          <w:tcPr>
            <w:tcW w:w="1300" w:type="dxa"/>
            <w:hideMark/>
          </w:tcPr>
          <w:p w14:paraId="786CD1B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1B57B0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A3C60A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183.20</w:t>
            </w:r>
          </w:p>
        </w:tc>
        <w:tc>
          <w:tcPr>
            <w:tcW w:w="1440" w:type="dxa"/>
            <w:hideMark/>
          </w:tcPr>
          <w:p w14:paraId="6955B71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1.03</w:t>
            </w:r>
          </w:p>
        </w:tc>
        <w:tc>
          <w:tcPr>
            <w:tcW w:w="1100" w:type="dxa"/>
            <w:hideMark/>
          </w:tcPr>
          <w:p w14:paraId="185E1A4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63.27</w:t>
            </w:r>
          </w:p>
        </w:tc>
        <w:tc>
          <w:tcPr>
            <w:tcW w:w="1520" w:type="dxa"/>
            <w:hideMark/>
          </w:tcPr>
          <w:p w14:paraId="6D236B6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0.79</w:t>
            </w:r>
          </w:p>
        </w:tc>
      </w:tr>
      <w:tr w:rsidR="00302953" w:rsidRPr="00770477" w14:paraId="6A4C143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36EA09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2-B-160-2</w:t>
            </w:r>
          </w:p>
        </w:tc>
        <w:tc>
          <w:tcPr>
            <w:tcW w:w="1180" w:type="dxa"/>
            <w:hideMark/>
          </w:tcPr>
          <w:p w14:paraId="2613C87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10.51</w:t>
            </w:r>
          </w:p>
        </w:tc>
        <w:tc>
          <w:tcPr>
            <w:tcW w:w="1540" w:type="dxa"/>
            <w:hideMark/>
          </w:tcPr>
          <w:p w14:paraId="5FFED85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1.71</w:t>
            </w:r>
          </w:p>
        </w:tc>
        <w:tc>
          <w:tcPr>
            <w:tcW w:w="1300" w:type="dxa"/>
            <w:hideMark/>
          </w:tcPr>
          <w:p w14:paraId="4EBDA02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5.83</w:t>
            </w:r>
          </w:p>
        </w:tc>
        <w:tc>
          <w:tcPr>
            <w:tcW w:w="1540" w:type="dxa"/>
            <w:hideMark/>
          </w:tcPr>
          <w:p w14:paraId="5BB4B96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2.13</w:t>
            </w:r>
          </w:p>
        </w:tc>
        <w:tc>
          <w:tcPr>
            <w:tcW w:w="1300" w:type="dxa"/>
            <w:hideMark/>
          </w:tcPr>
          <w:p w14:paraId="3F396CB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194.96</w:t>
            </w:r>
          </w:p>
        </w:tc>
        <w:tc>
          <w:tcPr>
            <w:tcW w:w="1440" w:type="dxa"/>
            <w:hideMark/>
          </w:tcPr>
          <w:p w14:paraId="190CD9E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1.10</w:t>
            </w:r>
          </w:p>
        </w:tc>
        <w:tc>
          <w:tcPr>
            <w:tcW w:w="1100" w:type="dxa"/>
            <w:hideMark/>
          </w:tcPr>
          <w:p w14:paraId="1D109E4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39.43</w:t>
            </w:r>
          </w:p>
        </w:tc>
        <w:tc>
          <w:tcPr>
            <w:tcW w:w="1520" w:type="dxa"/>
            <w:hideMark/>
          </w:tcPr>
          <w:p w14:paraId="2194F37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0.50</w:t>
            </w:r>
          </w:p>
        </w:tc>
      </w:tr>
      <w:tr w:rsidR="00302953" w:rsidRPr="00770477" w14:paraId="75ED7CB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3B1280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2-B-270-1</w:t>
            </w:r>
          </w:p>
        </w:tc>
        <w:tc>
          <w:tcPr>
            <w:tcW w:w="1180" w:type="dxa"/>
            <w:noWrap/>
            <w:hideMark/>
          </w:tcPr>
          <w:p w14:paraId="3E58588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8.80</w:t>
            </w:r>
          </w:p>
        </w:tc>
        <w:tc>
          <w:tcPr>
            <w:tcW w:w="1540" w:type="dxa"/>
            <w:hideMark/>
          </w:tcPr>
          <w:p w14:paraId="5E49D6D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w:t>
            </w:r>
          </w:p>
        </w:tc>
        <w:tc>
          <w:tcPr>
            <w:tcW w:w="1300" w:type="dxa"/>
            <w:hideMark/>
          </w:tcPr>
          <w:p w14:paraId="51C2CF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99543A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2E515E7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190.34</w:t>
            </w:r>
          </w:p>
        </w:tc>
        <w:tc>
          <w:tcPr>
            <w:tcW w:w="1440" w:type="dxa"/>
            <w:hideMark/>
          </w:tcPr>
          <w:p w14:paraId="02A204A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1.15</w:t>
            </w:r>
          </w:p>
        </w:tc>
        <w:tc>
          <w:tcPr>
            <w:tcW w:w="1100" w:type="dxa"/>
            <w:noWrap/>
            <w:hideMark/>
          </w:tcPr>
          <w:p w14:paraId="1C99331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47.77</w:t>
            </w:r>
          </w:p>
        </w:tc>
        <w:tc>
          <w:tcPr>
            <w:tcW w:w="1520" w:type="dxa"/>
            <w:hideMark/>
          </w:tcPr>
          <w:p w14:paraId="3C49CA9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0.59</w:t>
            </w:r>
          </w:p>
        </w:tc>
      </w:tr>
      <w:tr w:rsidR="00302953" w:rsidRPr="00770477" w14:paraId="4910D96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2D6300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2-B-430-1</w:t>
            </w:r>
          </w:p>
        </w:tc>
        <w:tc>
          <w:tcPr>
            <w:tcW w:w="1180" w:type="dxa"/>
            <w:noWrap/>
            <w:hideMark/>
          </w:tcPr>
          <w:p w14:paraId="5DFC60C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9.56</w:t>
            </w:r>
          </w:p>
        </w:tc>
        <w:tc>
          <w:tcPr>
            <w:tcW w:w="1540" w:type="dxa"/>
            <w:hideMark/>
          </w:tcPr>
          <w:p w14:paraId="3619273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1.22</w:t>
            </w:r>
          </w:p>
        </w:tc>
        <w:tc>
          <w:tcPr>
            <w:tcW w:w="1300" w:type="dxa"/>
            <w:noWrap/>
            <w:hideMark/>
          </w:tcPr>
          <w:p w14:paraId="7E01D43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5.49</w:t>
            </w:r>
          </w:p>
        </w:tc>
        <w:tc>
          <w:tcPr>
            <w:tcW w:w="1540" w:type="dxa"/>
            <w:hideMark/>
          </w:tcPr>
          <w:p w14:paraId="273782D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2.00</w:t>
            </w:r>
          </w:p>
        </w:tc>
        <w:tc>
          <w:tcPr>
            <w:tcW w:w="1300" w:type="dxa"/>
            <w:noWrap/>
            <w:hideMark/>
          </w:tcPr>
          <w:p w14:paraId="17A3874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200.20</w:t>
            </w:r>
          </w:p>
        </w:tc>
        <w:tc>
          <w:tcPr>
            <w:tcW w:w="1440" w:type="dxa"/>
            <w:hideMark/>
          </w:tcPr>
          <w:p w14:paraId="7789EE2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1.17</w:t>
            </w:r>
          </w:p>
        </w:tc>
        <w:tc>
          <w:tcPr>
            <w:tcW w:w="1100" w:type="dxa"/>
            <w:noWrap/>
            <w:hideMark/>
          </w:tcPr>
          <w:p w14:paraId="0182714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114.27</w:t>
            </w:r>
          </w:p>
        </w:tc>
        <w:tc>
          <w:tcPr>
            <w:tcW w:w="1520" w:type="dxa"/>
            <w:hideMark/>
          </w:tcPr>
          <w:p w14:paraId="0440E7F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1.44</w:t>
            </w:r>
          </w:p>
        </w:tc>
      </w:tr>
      <w:tr w:rsidR="00302953" w:rsidRPr="00770477" w14:paraId="2B26721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6706F5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2-B-670-1</w:t>
            </w:r>
          </w:p>
        </w:tc>
        <w:tc>
          <w:tcPr>
            <w:tcW w:w="1180" w:type="dxa"/>
            <w:noWrap/>
            <w:hideMark/>
          </w:tcPr>
          <w:p w14:paraId="426BEB9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6.47</w:t>
            </w:r>
          </w:p>
        </w:tc>
        <w:tc>
          <w:tcPr>
            <w:tcW w:w="1540" w:type="dxa"/>
            <w:hideMark/>
          </w:tcPr>
          <w:p w14:paraId="4139E64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0.87</w:t>
            </w:r>
          </w:p>
        </w:tc>
        <w:tc>
          <w:tcPr>
            <w:tcW w:w="1300" w:type="dxa"/>
            <w:hideMark/>
          </w:tcPr>
          <w:p w14:paraId="65443D9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5FC614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E2C2E2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197.16</w:t>
            </w:r>
          </w:p>
        </w:tc>
        <w:tc>
          <w:tcPr>
            <w:tcW w:w="1440" w:type="dxa"/>
            <w:hideMark/>
          </w:tcPr>
          <w:p w14:paraId="3FF2FD0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1.12</w:t>
            </w:r>
          </w:p>
        </w:tc>
        <w:tc>
          <w:tcPr>
            <w:tcW w:w="1100" w:type="dxa"/>
            <w:noWrap/>
            <w:hideMark/>
          </w:tcPr>
          <w:p w14:paraId="67E11F1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71.50</w:t>
            </w:r>
          </w:p>
        </w:tc>
        <w:tc>
          <w:tcPr>
            <w:tcW w:w="1520" w:type="dxa"/>
            <w:hideMark/>
          </w:tcPr>
          <w:p w14:paraId="4272049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0.92</w:t>
            </w:r>
          </w:p>
        </w:tc>
      </w:tr>
      <w:tr w:rsidR="00302953" w:rsidRPr="00770477" w14:paraId="6B6E507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CF3AB6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2-C-010-1</w:t>
            </w:r>
          </w:p>
        </w:tc>
        <w:tc>
          <w:tcPr>
            <w:tcW w:w="1180" w:type="dxa"/>
            <w:hideMark/>
          </w:tcPr>
          <w:p w14:paraId="2B03807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6.06</w:t>
            </w:r>
          </w:p>
        </w:tc>
        <w:tc>
          <w:tcPr>
            <w:tcW w:w="1540" w:type="dxa"/>
            <w:hideMark/>
          </w:tcPr>
          <w:p w14:paraId="4063F40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0.61</w:t>
            </w:r>
          </w:p>
        </w:tc>
        <w:tc>
          <w:tcPr>
            <w:tcW w:w="1300" w:type="dxa"/>
            <w:hideMark/>
          </w:tcPr>
          <w:p w14:paraId="55957D1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2EDDA2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9D7572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4535.09</w:t>
            </w:r>
          </w:p>
        </w:tc>
        <w:tc>
          <w:tcPr>
            <w:tcW w:w="1440" w:type="dxa"/>
            <w:hideMark/>
          </w:tcPr>
          <w:p w14:paraId="35380BA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28.93</w:t>
            </w:r>
          </w:p>
        </w:tc>
        <w:tc>
          <w:tcPr>
            <w:tcW w:w="1100" w:type="dxa"/>
            <w:hideMark/>
          </w:tcPr>
          <w:p w14:paraId="4222CE6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22.67</w:t>
            </w:r>
          </w:p>
        </w:tc>
        <w:tc>
          <w:tcPr>
            <w:tcW w:w="1520" w:type="dxa"/>
            <w:hideMark/>
          </w:tcPr>
          <w:p w14:paraId="4C54C74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0.27</w:t>
            </w:r>
          </w:p>
        </w:tc>
      </w:tr>
      <w:tr w:rsidR="00302953" w:rsidRPr="00770477" w14:paraId="67D1E00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212360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2-C-040-1</w:t>
            </w:r>
          </w:p>
        </w:tc>
        <w:tc>
          <w:tcPr>
            <w:tcW w:w="1180" w:type="dxa"/>
            <w:hideMark/>
          </w:tcPr>
          <w:p w14:paraId="0FB099E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6.98</w:t>
            </w:r>
          </w:p>
        </w:tc>
        <w:tc>
          <w:tcPr>
            <w:tcW w:w="1540" w:type="dxa"/>
            <w:hideMark/>
          </w:tcPr>
          <w:p w14:paraId="050D964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0.71</w:t>
            </w:r>
          </w:p>
        </w:tc>
        <w:tc>
          <w:tcPr>
            <w:tcW w:w="1300" w:type="dxa"/>
            <w:hideMark/>
          </w:tcPr>
          <w:p w14:paraId="754A09D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46848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FBFEBF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3996.60</w:t>
            </w:r>
          </w:p>
        </w:tc>
        <w:tc>
          <w:tcPr>
            <w:tcW w:w="1440" w:type="dxa"/>
            <w:hideMark/>
          </w:tcPr>
          <w:p w14:paraId="20CC974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25.33</w:t>
            </w:r>
          </w:p>
        </w:tc>
        <w:tc>
          <w:tcPr>
            <w:tcW w:w="1100" w:type="dxa"/>
            <w:hideMark/>
          </w:tcPr>
          <w:p w14:paraId="63D5821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50.62</w:t>
            </w:r>
          </w:p>
        </w:tc>
        <w:tc>
          <w:tcPr>
            <w:tcW w:w="1520" w:type="dxa"/>
            <w:hideMark/>
          </w:tcPr>
          <w:p w14:paraId="10ECCF1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0.61</w:t>
            </w:r>
          </w:p>
        </w:tc>
      </w:tr>
      <w:tr w:rsidR="00302953" w:rsidRPr="00770477" w14:paraId="2E496D3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98B4BB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2-C-090-1</w:t>
            </w:r>
          </w:p>
        </w:tc>
        <w:tc>
          <w:tcPr>
            <w:tcW w:w="1180" w:type="dxa"/>
            <w:hideMark/>
          </w:tcPr>
          <w:p w14:paraId="6FE5BFD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7.10</w:t>
            </w:r>
          </w:p>
        </w:tc>
        <w:tc>
          <w:tcPr>
            <w:tcW w:w="1540" w:type="dxa"/>
            <w:hideMark/>
          </w:tcPr>
          <w:p w14:paraId="5BFE8DA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0.75</w:t>
            </w:r>
          </w:p>
        </w:tc>
        <w:tc>
          <w:tcPr>
            <w:tcW w:w="1300" w:type="dxa"/>
            <w:hideMark/>
          </w:tcPr>
          <w:p w14:paraId="4F8C153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C16632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1E795C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3757.00</w:t>
            </w:r>
          </w:p>
        </w:tc>
        <w:tc>
          <w:tcPr>
            <w:tcW w:w="1440" w:type="dxa"/>
            <w:hideMark/>
          </w:tcPr>
          <w:p w14:paraId="7C69EAB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23.55</w:t>
            </w:r>
          </w:p>
        </w:tc>
        <w:tc>
          <w:tcPr>
            <w:tcW w:w="1100" w:type="dxa"/>
            <w:hideMark/>
          </w:tcPr>
          <w:p w14:paraId="065ECFF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22.20</w:t>
            </w:r>
          </w:p>
        </w:tc>
        <w:tc>
          <w:tcPr>
            <w:tcW w:w="1520" w:type="dxa"/>
            <w:hideMark/>
          </w:tcPr>
          <w:p w14:paraId="7E5C197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0.27</w:t>
            </w:r>
          </w:p>
        </w:tc>
      </w:tr>
      <w:tr w:rsidR="00302953" w:rsidRPr="00770477" w14:paraId="33D281F9"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1F02E1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2-C-160-1</w:t>
            </w:r>
          </w:p>
        </w:tc>
        <w:tc>
          <w:tcPr>
            <w:tcW w:w="1180" w:type="dxa"/>
            <w:hideMark/>
          </w:tcPr>
          <w:p w14:paraId="062561B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7.15</w:t>
            </w:r>
          </w:p>
        </w:tc>
        <w:tc>
          <w:tcPr>
            <w:tcW w:w="1540" w:type="dxa"/>
            <w:hideMark/>
          </w:tcPr>
          <w:p w14:paraId="632304F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1.17</w:t>
            </w:r>
          </w:p>
        </w:tc>
        <w:tc>
          <w:tcPr>
            <w:tcW w:w="1300" w:type="dxa"/>
            <w:hideMark/>
          </w:tcPr>
          <w:p w14:paraId="518192B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6.40</w:t>
            </w:r>
          </w:p>
        </w:tc>
        <w:tc>
          <w:tcPr>
            <w:tcW w:w="1540" w:type="dxa"/>
            <w:hideMark/>
          </w:tcPr>
          <w:p w14:paraId="72E6C91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2.34</w:t>
            </w:r>
          </w:p>
        </w:tc>
        <w:tc>
          <w:tcPr>
            <w:tcW w:w="1300" w:type="dxa"/>
            <w:hideMark/>
          </w:tcPr>
          <w:p w14:paraId="1ABDDAF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3301.99</w:t>
            </w:r>
          </w:p>
        </w:tc>
        <w:tc>
          <w:tcPr>
            <w:tcW w:w="1440" w:type="dxa"/>
            <w:hideMark/>
          </w:tcPr>
          <w:p w14:paraId="0086EF2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18.56</w:t>
            </w:r>
          </w:p>
        </w:tc>
        <w:tc>
          <w:tcPr>
            <w:tcW w:w="1100" w:type="dxa"/>
            <w:hideMark/>
          </w:tcPr>
          <w:p w14:paraId="5391A3C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19.74</w:t>
            </w:r>
          </w:p>
        </w:tc>
        <w:tc>
          <w:tcPr>
            <w:tcW w:w="1520" w:type="dxa"/>
            <w:hideMark/>
          </w:tcPr>
          <w:p w14:paraId="1545DA4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0.25</w:t>
            </w:r>
          </w:p>
        </w:tc>
      </w:tr>
      <w:tr w:rsidR="00302953" w:rsidRPr="00770477" w14:paraId="03642B57"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DD0F43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2-C-270-1</w:t>
            </w:r>
          </w:p>
        </w:tc>
        <w:tc>
          <w:tcPr>
            <w:tcW w:w="1180" w:type="dxa"/>
            <w:noWrap/>
            <w:hideMark/>
          </w:tcPr>
          <w:p w14:paraId="4434C1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9.26</w:t>
            </w:r>
          </w:p>
        </w:tc>
        <w:tc>
          <w:tcPr>
            <w:tcW w:w="1540" w:type="dxa"/>
            <w:hideMark/>
          </w:tcPr>
          <w:p w14:paraId="36E6E96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w:t>
            </w:r>
          </w:p>
        </w:tc>
        <w:tc>
          <w:tcPr>
            <w:tcW w:w="1300" w:type="dxa"/>
            <w:noWrap/>
            <w:hideMark/>
          </w:tcPr>
          <w:p w14:paraId="5395DC6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5.70</w:t>
            </w:r>
          </w:p>
        </w:tc>
        <w:tc>
          <w:tcPr>
            <w:tcW w:w="1540" w:type="dxa"/>
            <w:hideMark/>
          </w:tcPr>
          <w:p w14:paraId="373450A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2.08</w:t>
            </w:r>
          </w:p>
        </w:tc>
        <w:tc>
          <w:tcPr>
            <w:tcW w:w="1300" w:type="dxa"/>
            <w:noWrap/>
            <w:hideMark/>
          </w:tcPr>
          <w:p w14:paraId="6D06E13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3351.92</w:t>
            </w:r>
          </w:p>
        </w:tc>
        <w:tc>
          <w:tcPr>
            <w:tcW w:w="1440" w:type="dxa"/>
            <w:hideMark/>
          </w:tcPr>
          <w:p w14:paraId="3BFB174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20.21</w:t>
            </w:r>
          </w:p>
        </w:tc>
        <w:tc>
          <w:tcPr>
            <w:tcW w:w="1100" w:type="dxa"/>
            <w:noWrap/>
            <w:hideMark/>
          </w:tcPr>
          <w:p w14:paraId="2AB8FB6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21.05</w:t>
            </w:r>
          </w:p>
        </w:tc>
        <w:tc>
          <w:tcPr>
            <w:tcW w:w="1520" w:type="dxa"/>
            <w:hideMark/>
          </w:tcPr>
          <w:p w14:paraId="1591548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0.26</w:t>
            </w:r>
          </w:p>
        </w:tc>
      </w:tr>
      <w:tr w:rsidR="00302953" w:rsidRPr="00770477" w14:paraId="291FB6D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4DF64D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2-C-270-2</w:t>
            </w:r>
          </w:p>
        </w:tc>
        <w:tc>
          <w:tcPr>
            <w:tcW w:w="1180" w:type="dxa"/>
            <w:noWrap/>
            <w:hideMark/>
          </w:tcPr>
          <w:p w14:paraId="792CB42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8.44</w:t>
            </w:r>
          </w:p>
        </w:tc>
        <w:tc>
          <w:tcPr>
            <w:tcW w:w="1540" w:type="dxa"/>
            <w:hideMark/>
          </w:tcPr>
          <w:p w14:paraId="4308BF9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0.98</w:t>
            </w:r>
          </w:p>
        </w:tc>
        <w:tc>
          <w:tcPr>
            <w:tcW w:w="1300" w:type="dxa"/>
            <w:hideMark/>
          </w:tcPr>
          <w:p w14:paraId="41AA17E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5631CC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653084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3367.37</w:t>
            </w:r>
          </w:p>
        </w:tc>
        <w:tc>
          <w:tcPr>
            <w:tcW w:w="1440" w:type="dxa"/>
            <w:hideMark/>
          </w:tcPr>
          <w:p w14:paraId="2A7188C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20.30</w:t>
            </w:r>
          </w:p>
        </w:tc>
        <w:tc>
          <w:tcPr>
            <w:tcW w:w="1100" w:type="dxa"/>
            <w:noWrap/>
            <w:hideMark/>
          </w:tcPr>
          <w:p w14:paraId="6098ECD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20.69</w:t>
            </w:r>
          </w:p>
        </w:tc>
        <w:tc>
          <w:tcPr>
            <w:tcW w:w="1520" w:type="dxa"/>
            <w:hideMark/>
          </w:tcPr>
          <w:p w14:paraId="65C3F1C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0.26</w:t>
            </w:r>
          </w:p>
        </w:tc>
      </w:tr>
      <w:tr w:rsidR="00302953" w:rsidRPr="00770477" w14:paraId="0A6E6817"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0B7060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2-C-430-1</w:t>
            </w:r>
          </w:p>
        </w:tc>
        <w:tc>
          <w:tcPr>
            <w:tcW w:w="1180" w:type="dxa"/>
            <w:noWrap/>
            <w:hideMark/>
          </w:tcPr>
          <w:p w14:paraId="486E971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9.73</w:t>
            </w:r>
          </w:p>
        </w:tc>
        <w:tc>
          <w:tcPr>
            <w:tcW w:w="1540" w:type="dxa"/>
            <w:hideMark/>
          </w:tcPr>
          <w:p w14:paraId="55A79D8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1.24</w:t>
            </w:r>
          </w:p>
        </w:tc>
        <w:tc>
          <w:tcPr>
            <w:tcW w:w="1300" w:type="dxa"/>
            <w:hideMark/>
          </w:tcPr>
          <w:p w14:paraId="1A524EA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29F5E7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16F8BFB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2949.05</w:t>
            </w:r>
          </w:p>
        </w:tc>
        <w:tc>
          <w:tcPr>
            <w:tcW w:w="1440" w:type="dxa"/>
            <w:hideMark/>
          </w:tcPr>
          <w:p w14:paraId="5FE0D02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17.20</w:t>
            </w:r>
          </w:p>
        </w:tc>
        <w:tc>
          <w:tcPr>
            <w:tcW w:w="1100" w:type="dxa"/>
            <w:noWrap/>
            <w:hideMark/>
          </w:tcPr>
          <w:p w14:paraId="4E9EA39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27.77</w:t>
            </w:r>
          </w:p>
        </w:tc>
        <w:tc>
          <w:tcPr>
            <w:tcW w:w="1520" w:type="dxa"/>
            <w:hideMark/>
          </w:tcPr>
          <w:p w14:paraId="36F5B00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0.35</w:t>
            </w:r>
          </w:p>
        </w:tc>
      </w:tr>
      <w:tr w:rsidR="00302953" w:rsidRPr="00770477" w14:paraId="14A7F51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89BFDA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2-C-670-1</w:t>
            </w:r>
          </w:p>
        </w:tc>
        <w:tc>
          <w:tcPr>
            <w:tcW w:w="1180" w:type="dxa"/>
            <w:noWrap/>
            <w:hideMark/>
          </w:tcPr>
          <w:p w14:paraId="235E5AC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8.99</w:t>
            </w:r>
          </w:p>
        </w:tc>
        <w:tc>
          <w:tcPr>
            <w:tcW w:w="1540" w:type="dxa"/>
            <w:hideMark/>
          </w:tcPr>
          <w:p w14:paraId="75CCD10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1.21</w:t>
            </w:r>
          </w:p>
        </w:tc>
        <w:tc>
          <w:tcPr>
            <w:tcW w:w="1300" w:type="dxa"/>
            <w:hideMark/>
          </w:tcPr>
          <w:p w14:paraId="4D7C638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803AF8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0071945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2616.00</w:t>
            </w:r>
          </w:p>
        </w:tc>
        <w:tc>
          <w:tcPr>
            <w:tcW w:w="1440" w:type="dxa"/>
            <w:hideMark/>
          </w:tcPr>
          <w:p w14:paraId="20541C8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14.85</w:t>
            </w:r>
          </w:p>
        </w:tc>
        <w:tc>
          <w:tcPr>
            <w:tcW w:w="1100" w:type="dxa"/>
            <w:noWrap/>
            <w:hideMark/>
          </w:tcPr>
          <w:p w14:paraId="55D741D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41.07</w:t>
            </w:r>
          </w:p>
        </w:tc>
        <w:tc>
          <w:tcPr>
            <w:tcW w:w="1520" w:type="dxa"/>
            <w:hideMark/>
          </w:tcPr>
          <w:p w14:paraId="3E06599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0.53</w:t>
            </w:r>
          </w:p>
        </w:tc>
      </w:tr>
      <w:tr w:rsidR="00302953" w:rsidRPr="00770477" w14:paraId="1F07A627"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A7210C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2-C-670-2</w:t>
            </w:r>
          </w:p>
        </w:tc>
        <w:tc>
          <w:tcPr>
            <w:tcW w:w="1180" w:type="dxa"/>
            <w:noWrap/>
            <w:hideMark/>
          </w:tcPr>
          <w:p w14:paraId="54FB711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10.28</w:t>
            </w:r>
          </w:p>
        </w:tc>
        <w:tc>
          <w:tcPr>
            <w:tcW w:w="1540" w:type="dxa"/>
            <w:hideMark/>
          </w:tcPr>
          <w:p w14:paraId="4D2DAF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1.39</w:t>
            </w:r>
          </w:p>
        </w:tc>
        <w:tc>
          <w:tcPr>
            <w:tcW w:w="1300" w:type="dxa"/>
            <w:hideMark/>
          </w:tcPr>
          <w:p w14:paraId="6CA94A2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58E5F1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1E37DC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2624.31</w:t>
            </w:r>
          </w:p>
        </w:tc>
        <w:tc>
          <w:tcPr>
            <w:tcW w:w="1440" w:type="dxa"/>
            <w:hideMark/>
          </w:tcPr>
          <w:p w14:paraId="7F5D158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14.90</w:t>
            </w:r>
          </w:p>
        </w:tc>
        <w:tc>
          <w:tcPr>
            <w:tcW w:w="1100" w:type="dxa"/>
            <w:noWrap/>
            <w:hideMark/>
          </w:tcPr>
          <w:p w14:paraId="310EEA6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30.05</w:t>
            </w:r>
          </w:p>
        </w:tc>
        <w:tc>
          <w:tcPr>
            <w:tcW w:w="1520" w:type="dxa"/>
            <w:hideMark/>
          </w:tcPr>
          <w:p w14:paraId="2442501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0.39</w:t>
            </w:r>
          </w:p>
        </w:tc>
      </w:tr>
      <w:tr w:rsidR="00302953" w:rsidRPr="00770477" w14:paraId="201A244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37DDC3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2-I-000-3</w:t>
            </w:r>
          </w:p>
        </w:tc>
        <w:tc>
          <w:tcPr>
            <w:tcW w:w="1180" w:type="dxa"/>
            <w:hideMark/>
          </w:tcPr>
          <w:p w14:paraId="0E751C3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12.28</w:t>
            </w:r>
          </w:p>
        </w:tc>
        <w:tc>
          <w:tcPr>
            <w:tcW w:w="1540" w:type="dxa"/>
            <w:hideMark/>
          </w:tcPr>
          <w:p w14:paraId="3DC850B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8CD0AB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D20FBF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756E819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144.34</w:t>
            </w:r>
          </w:p>
        </w:tc>
        <w:tc>
          <w:tcPr>
            <w:tcW w:w="1440" w:type="dxa"/>
            <w:hideMark/>
          </w:tcPr>
          <w:p w14:paraId="2B6DDE9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00" w:type="dxa"/>
            <w:hideMark/>
          </w:tcPr>
          <w:p w14:paraId="3101EA6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85.57</w:t>
            </w:r>
          </w:p>
        </w:tc>
        <w:tc>
          <w:tcPr>
            <w:tcW w:w="1520" w:type="dxa"/>
            <w:hideMark/>
          </w:tcPr>
          <w:p w14:paraId="318A42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0283CA8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5EF50E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2-I-160-3</w:t>
            </w:r>
          </w:p>
        </w:tc>
        <w:tc>
          <w:tcPr>
            <w:tcW w:w="1180" w:type="dxa"/>
            <w:noWrap/>
            <w:hideMark/>
          </w:tcPr>
          <w:p w14:paraId="69005B5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6.14</w:t>
            </w:r>
          </w:p>
        </w:tc>
        <w:tc>
          <w:tcPr>
            <w:tcW w:w="1540" w:type="dxa"/>
            <w:hideMark/>
          </w:tcPr>
          <w:p w14:paraId="4DBD81E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7A2E796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3F52F0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5018FC2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177.87</w:t>
            </w:r>
          </w:p>
        </w:tc>
        <w:tc>
          <w:tcPr>
            <w:tcW w:w="1440" w:type="dxa"/>
            <w:hideMark/>
          </w:tcPr>
          <w:p w14:paraId="698D2B6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00" w:type="dxa"/>
            <w:noWrap/>
            <w:hideMark/>
          </w:tcPr>
          <w:p w14:paraId="67C69E6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79.61</w:t>
            </w:r>
          </w:p>
        </w:tc>
        <w:tc>
          <w:tcPr>
            <w:tcW w:w="1520" w:type="dxa"/>
            <w:hideMark/>
          </w:tcPr>
          <w:p w14:paraId="49B6BD2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69583D3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4FC6CF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2-I-670-3</w:t>
            </w:r>
          </w:p>
        </w:tc>
        <w:tc>
          <w:tcPr>
            <w:tcW w:w="1180" w:type="dxa"/>
            <w:noWrap/>
            <w:hideMark/>
          </w:tcPr>
          <w:p w14:paraId="32ECF8C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7.40</w:t>
            </w:r>
          </w:p>
        </w:tc>
        <w:tc>
          <w:tcPr>
            <w:tcW w:w="1540" w:type="dxa"/>
            <w:hideMark/>
          </w:tcPr>
          <w:p w14:paraId="480FD75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2C5B6B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5FE8F1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61C39F8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176.16</w:t>
            </w:r>
          </w:p>
        </w:tc>
        <w:tc>
          <w:tcPr>
            <w:tcW w:w="1440" w:type="dxa"/>
            <w:hideMark/>
          </w:tcPr>
          <w:p w14:paraId="28CBA66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00" w:type="dxa"/>
            <w:noWrap/>
            <w:hideMark/>
          </w:tcPr>
          <w:p w14:paraId="27BCA0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77.83</w:t>
            </w:r>
          </w:p>
        </w:tc>
        <w:tc>
          <w:tcPr>
            <w:tcW w:w="1520" w:type="dxa"/>
            <w:hideMark/>
          </w:tcPr>
          <w:p w14:paraId="0A57E77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0347D27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9303CA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10-A-0-1</w:t>
            </w:r>
          </w:p>
        </w:tc>
        <w:tc>
          <w:tcPr>
            <w:tcW w:w="1180" w:type="dxa"/>
            <w:hideMark/>
          </w:tcPr>
          <w:p w14:paraId="4A944AF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60D578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8E38F7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D029AC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7F864A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7705.47</w:t>
            </w:r>
          </w:p>
        </w:tc>
        <w:tc>
          <w:tcPr>
            <w:tcW w:w="1440" w:type="dxa"/>
            <w:hideMark/>
          </w:tcPr>
          <w:p w14:paraId="4F3A933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80.89</w:t>
            </w:r>
          </w:p>
        </w:tc>
        <w:tc>
          <w:tcPr>
            <w:tcW w:w="1100" w:type="dxa"/>
            <w:hideMark/>
          </w:tcPr>
          <w:p w14:paraId="152E8D6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35F496B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r>
      <w:tr w:rsidR="00302953" w:rsidRPr="00770477" w14:paraId="64A415E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560DD3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10-A-1-1</w:t>
            </w:r>
          </w:p>
        </w:tc>
        <w:tc>
          <w:tcPr>
            <w:tcW w:w="1180" w:type="dxa"/>
            <w:hideMark/>
          </w:tcPr>
          <w:p w14:paraId="2014631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92AA34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3C5C10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48B80F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0.46</w:t>
            </w:r>
          </w:p>
        </w:tc>
        <w:tc>
          <w:tcPr>
            <w:tcW w:w="1300" w:type="dxa"/>
            <w:noWrap/>
            <w:hideMark/>
          </w:tcPr>
          <w:p w14:paraId="06DF3F8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7834.86</w:t>
            </w:r>
          </w:p>
        </w:tc>
        <w:tc>
          <w:tcPr>
            <w:tcW w:w="1440" w:type="dxa"/>
            <w:hideMark/>
          </w:tcPr>
          <w:p w14:paraId="3D94CF9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75.25</w:t>
            </w:r>
          </w:p>
        </w:tc>
        <w:tc>
          <w:tcPr>
            <w:tcW w:w="1100" w:type="dxa"/>
            <w:noWrap/>
            <w:hideMark/>
          </w:tcPr>
          <w:p w14:paraId="10EBF05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8.88</w:t>
            </w:r>
          </w:p>
        </w:tc>
        <w:tc>
          <w:tcPr>
            <w:tcW w:w="1520" w:type="dxa"/>
            <w:hideMark/>
          </w:tcPr>
          <w:p w14:paraId="46707E2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0.19</w:t>
            </w:r>
          </w:p>
        </w:tc>
      </w:tr>
      <w:tr w:rsidR="00302953" w:rsidRPr="00770477" w14:paraId="431F4FC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5E9FFB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10-A-1-2</w:t>
            </w:r>
          </w:p>
        </w:tc>
        <w:tc>
          <w:tcPr>
            <w:tcW w:w="1180" w:type="dxa"/>
            <w:hideMark/>
          </w:tcPr>
          <w:p w14:paraId="7D02CD9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F950A3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3B5D86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23B4A4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0.46</w:t>
            </w:r>
          </w:p>
        </w:tc>
        <w:tc>
          <w:tcPr>
            <w:tcW w:w="1300" w:type="dxa"/>
            <w:noWrap/>
            <w:hideMark/>
          </w:tcPr>
          <w:p w14:paraId="279D200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8010.59</w:t>
            </w:r>
          </w:p>
        </w:tc>
        <w:tc>
          <w:tcPr>
            <w:tcW w:w="1440" w:type="dxa"/>
            <w:hideMark/>
          </w:tcPr>
          <w:p w14:paraId="51E2295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76.94</w:t>
            </w:r>
          </w:p>
        </w:tc>
        <w:tc>
          <w:tcPr>
            <w:tcW w:w="1100" w:type="dxa"/>
            <w:noWrap/>
            <w:hideMark/>
          </w:tcPr>
          <w:p w14:paraId="6C580FE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60.15</w:t>
            </w:r>
          </w:p>
        </w:tc>
        <w:tc>
          <w:tcPr>
            <w:tcW w:w="1520" w:type="dxa"/>
            <w:hideMark/>
          </w:tcPr>
          <w:p w14:paraId="0966AD9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1.27</w:t>
            </w:r>
          </w:p>
        </w:tc>
      </w:tr>
      <w:tr w:rsidR="00302953" w:rsidRPr="00770477" w14:paraId="2EDB338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343724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10-A-2-1</w:t>
            </w:r>
          </w:p>
        </w:tc>
        <w:tc>
          <w:tcPr>
            <w:tcW w:w="1180" w:type="dxa"/>
            <w:hideMark/>
          </w:tcPr>
          <w:p w14:paraId="6D8425D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1ABD83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89156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AA95A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0DF0F33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8304.29</w:t>
            </w:r>
          </w:p>
        </w:tc>
        <w:tc>
          <w:tcPr>
            <w:tcW w:w="1440" w:type="dxa"/>
            <w:hideMark/>
          </w:tcPr>
          <w:p w14:paraId="6FAFC29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104.39</w:t>
            </w:r>
          </w:p>
        </w:tc>
        <w:tc>
          <w:tcPr>
            <w:tcW w:w="1100" w:type="dxa"/>
            <w:hideMark/>
          </w:tcPr>
          <w:p w14:paraId="44CA43B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1E94004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0.04</w:t>
            </w:r>
          </w:p>
        </w:tc>
      </w:tr>
      <w:tr w:rsidR="00302953" w:rsidRPr="00770477" w14:paraId="5002271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A54A16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10-A-4-1</w:t>
            </w:r>
          </w:p>
        </w:tc>
        <w:tc>
          <w:tcPr>
            <w:tcW w:w="1180" w:type="dxa"/>
            <w:hideMark/>
          </w:tcPr>
          <w:p w14:paraId="0BC1B53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151673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4AF2060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5.90</w:t>
            </w:r>
          </w:p>
        </w:tc>
        <w:tc>
          <w:tcPr>
            <w:tcW w:w="1540" w:type="dxa"/>
            <w:hideMark/>
          </w:tcPr>
          <w:p w14:paraId="41DDC18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2.16</w:t>
            </w:r>
          </w:p>
        </w:tc>
        <w:tc>
          <w:tcPr>
            <w:tcW w:w="1300" w:type="dxa"/>
            <w:noWrap/>
            <w:hideMark/>
          </w:tcPr>
          <w:p w14:paraId="7355944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8877.78</w:t>
            </w:r>
          </w:p>
        </w:tc>
        <w:tc>
          <w:tcPr>
            <w:tcW w:w="1440" w:type="dxa"/>
            <w:hideMark/>
          </w:tcPr>
          <w:p w14:paraId="35276CB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88.49</w:t>
            </w:r>
          </w:p>
        </w:tc>
        <w:tc>
          <w:tcPr>
            <w:tcW w:w="1100" w:type="dxa"/>
            <w:hideMark/>
          </w:tcPr>
          <w:p w14:paraId="4483B15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0B36CA7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r>
      <w:tr w:rsidR="00302953" w:rsidRPr="00770477" w14:paraId="746845F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DA2CB3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10-A-6-1</w:t>
            </w:r>
          </w:p>
        </w:tc>
        <w:tc>
          <w:tcPr>
            <w:tcW w:w="1180" w:type="dxa"/>
            <w:hideMark/>
          </w:tcPr>
          <w:p w14:paraId="6959D9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707BCA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EDCB2C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3C23B0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D60509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9161.93</w:t>
            </w:r>
          </w:p>
        </w:tc>
        <w:tc>
          <w:tcPr>
            <w:tcW w:w="1440" w:type="dxa"/>
            <w:hideMark/>
          </w:tcPr>
          <w:p w14:paraId="330190A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71.19</w:t>
            </w:r>
          </w:p>
        </w:tc>
        <w:tc>
          <w:tcPr>
            <w:tcW w:w="1100" w:type="dxa"/>
            <w:noWrap/>
            <w:hideMark/>
          </w:tcPr>
          <w:p w14:paraId="5E16DC3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24.10</w:t>
            </w:r>
          </w:p>
        </w:tc>
        <w:tc>
          <w:tcPr>
            <w:tcW w:w="1520" w:type="dxa"/>
            <w:hideMark/>
          </w:tcPr>
          <w:p w14:paraId="2E0AEE6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0.53</w:t>
            </w:r>
          </w:p>
        </w:tc>
      </w:tr>
      <w:tr w:rsidR="00302953" w:rsidRPr="00770477" w14:paraId="7842BF6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F504A0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10-A-10-1</w:t>
            </w:r>
          </w:p>
        </w:tc>
        <w:tc>
          <w:tcPr>
            <w:tcW w:w="1180" w:type="dxa"/>
            <w:hideMark/>
          </w:tcPr>
          <w:p w14:paraId="2634C4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16E2F7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B20611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438ABC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0.49</w:t>
            </w:r>
          </w:p>
        </w:tc>
        <w:tc>
          <w:tcPr>
            <w:tcW w:w="1300" w:type="dxa"/>
            <w:noWrap/>
            <w:hideMark/>
          </w:tcPr>
          <w:p w14:paraId="3D22F2F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9037.99</w:t>
            </w:r>
          </w:p>
        </w:tc>
        <w:tc>
          <w:tcPr>
            <w:tcW w:w="1440" w:type="dxa"/>
            <w:hideMark/>
          </w:tcPr>
          <w:p w14:paraId="00D0E44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71.07</w:t>
            </w:r>
          </w:p>
        </w:tc>
        <w:tc>
          <w:tcPr>
            <w:tcW w:w="1100" w:type="dxa"/>
            <w:hideMark/>
          </w:tcPr>
          <w:p w14:paraId="68D3124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0470D90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0.04</w:t>
            </w:r>
          </w:p>
        </w:tc>
      </w:tr>
      <w:tr w:rsidR="00302953" w:rsidRPr="00770477" w14:paraId="02E5A4D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3B6A94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10-A-17-1</w:t>
            </w:r>
          </w:p>
        </w:tc>
        <w:tc>
          <w:tcPr>
            <w:tcW w:w="1180" w:type="dxa"/>
            <w:hideMark/>
          </w:tcPr>
          <w:p w14:paraId="01895CE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DBE5F7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B6125A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8ED8F2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0C9AB94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9109.06</w:t>
            </w:r>
          </w:p>
        </w:tc>
        <w:tc>
          <w:tcPr>
            <w:tcW w:w="1440" w:type="dxa"/>
            <w:hideMark/>
          </w:tcPr>
          <w:p w14:paraId="26C2529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65.33</w:t>
            </w:r>
          </w:p>
        </w:tc>
        <w:tc>
          <w:tcPr>
            <w:tcW w:w="1100" w:type="dxa"/>
            <w:hideMark/>
          </w:tcPr>
          <w:p w14:paraId="07E6A85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36D420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r>
      <w:tr w:rsidR="00302953" w:rsidRPr="00770477" w14:paraId="44D81BC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EF0CBE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10-A-17-2</w:t>
            </w:r>
          </w:p>
        </w:tc>
        <w:tc>
          <w:tcPr>
            <w:tcW w:w="1180" w:type="dxa"/>
            <w:hideMark/>
          </w:tcPr>
          <w:p w14:paraId="36CB3E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E39EB0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7EFB539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AC1FFE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4F83F28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9031.16</w:t>
            </w:r>
          </w:p>
        </w:tc>
        <w:tc>
          <w:tcPr>
            <w:tcW w:w="1440" w:type="dxa"/>
            <w:hideMark/>
          </w:tcPr>
          <w:p w14:paraId="13FCE1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64.77</w:t>
            </w:r>
          </w:p>
        </w:tc>
        <w:tc>
          <w:tcPr>
            <w:tcW w:w="1100" w:type="dxa"/>
            <w:noWrap/>
            <w:hideMark/>
          </w:tcPr>
          <w:p w14:paraId="676B0E4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7.60</w:t>
            </w:r>
          </w:p>
        </w:tc>
        <w:tc>
          <w:tcPr>
            <w:tcW w:w="1520" w:type="dxa"/>
            <w:hideMark/>
          </w:tcPr>
          <w:p w14:paraId="1110995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0.17</w:t>
            </w:r>
          </w:p>
        </w:tc>
      </w:tr>
      <w:tr w:rsidR="00302953" w:rsidRPr="00770477" w14:paraId="5D185B8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1AEE52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10-A-27-1</w:t>
            </w:r>
          </w:p>
        </w:tc>
        <w:tc>
          <w:tcPr>
            <w:tcW w:w="1180" w:type="dxa"/>
            <w:hideMark/>
          </w:tcPr>
          <w:p w14:paraId="1D9A020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84C9F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6E9D822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B97EE9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7EA8BC3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8844.73</w:t>
            </w:r>
          </w:p>
        </w:tc>
        <w:tc>
          <w:tcPr>
            <w:tcW w:w="1440" w:type="dxa"/>
            <w:hideMark/>
          </w:tcPr>
          <w:p w14:paraId="2A4A88D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57.92</w:t>
            </w:r>
          </w:p>
        </w:tc>
        <w:tc>
          <w:tcPr>
            <w:tcW w:w="1100" w:type="dxa"/>
            <w:hideMark/>
          </w:tcPr>
          <w:p w14:paraId="087167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019570E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r>
      <w:tr w:rsidR="00302953" w:rsidRPr="00770477" w14:paraId="58A14FB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A7B2FB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10-B-0-1</w:t>
            </w:r>
          </w:p>
        </w:tc>
        <w:tc>
          <w:tcPr>
            <w:tcW w:w="1180" w:type="dxa"/>
            <w:hideMark/>
          </w:tcPr>
          <w:p w14:paraId="32E177B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EBA55D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D7CC37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663B7A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4A8A1C9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6615.43</w:t>
            </w:r>
          </w:p>
        </w:tc>
        <w:tc>
          <w:tcPr>
            <w:tcW w:w="1440" w:type="dxa"/>
            <w:hideMark/>
          </w:tcPr>
          <w:p w14:paraId="2F77EEA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69.45</w:t>
            </w:r>
          </w:p>
        </w:tc>
        <w:tc>
          <w:tcPr>
            <w:tcW w:w="1100" w:type="dxa"/>
            <w:noWrap/>
            <w:hideMark/>
          </w:tcPr>
          <w:p w14:paraId="270A502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35.11</w:t>
            </w:r>
          </w:p>
        </w:tc>
        <w:tc>
          <w:tcPr>
            <w:tcW w:w="1520" w:type="dxa"/>
            <w:hideMark/>
          </w:tcPr>
          <w:p w14:paraId="51B2EFA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0.79</w:t>
            </w:r>
          </w:p>
        </w:tc>
      </w:tr>
      <w:tr w:rsidR="00302953" w:rsidRPr="00770477" w14:paraId="4397522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F7CA64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10-B-1-1</w:t>
            </w:r>
          </w:p>
        </w:tc>
        <w:tc>
          <w:tcPr>
            <w:tcW w:w="1180" w:type="dxa"/>
            <w:hideMark/>
          </w:tcPr>
          <w:p w14:paraId="2C02E5F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63D83E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0FA3E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B30884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0.46</w:t>
            </w:r>
          </w:p>
        </w:tc>
        <w:tc>
          <w:tcPr>
            <w:tcW w:w="1300" w:type="dxa"/>
            <w:noWrap/>
            <w:hideMark/>
          </w:tcPr>
          <w:p w14:paraId="2FE931F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3808.44</w:t>
            </w:r>
          </w:p>
        </w:tc>
        <w:tc>
          <w:tcPr>
            <w:tcW w:w="1440" w:type="dxa"/>
            <w:hideMark/>
          </w:tcPr>
          <w:p w14:paraId="202F713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36.58</w:t>
            </w:r>
          </w:p>
        </w:tc>
        <w:tc>
          <w:tcPr>
            <w:tcW w:w="1100" w:type="dxa"/>
            <w:noWrap/>
            <w:hideMark/>
          </w:tcPr>
          <w:p w14:paraId="57182DC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65.56</w:t>
            </w:r>
          </w:p>
        </w:tc>
        <w:tc>
          <w:tcPr>
            <w:tcW w:w="1520" w:type="dxa"/>
            <w:hideMark/>
          </w:tcPr>
          <w:p w14:paraId="55A2049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1.39</w:t>
            </w:r>
          </w:p>
        </w:tc>
      </w:tr>
      <w:tr w:rsidR="00302953" w:rsidRPr="00770477" w14:paraId="6D0DD04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F3668B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10-B-1-2</w:t>
            </w:r>
          </w:p>
        </w:tc>
        <w:tc>
          <w:tcPr>
            <w:tcW w:w="1180" w:type="dxa"/>
            <w:hideMark/>
          </w:tcPr>
          <w:p w14:paraId="055C458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FE4B22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3932EA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07278A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0.46</w:t>
            </w:r>
          </w:p>
        </w:tc>
        <w:tc>
          <w:tcPr>
            <w:tcW w:w="1300" w:type="dxa"/>
            <w:noWrap/>
            <w:hideMark/>
          </w:tcPr>
          <w:p w14:paraId="428B049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3743.93</w:t>
            </w:r>
          </w:p>
        </w:tc>
        <w:tc>
          <w:tcPr>
            <w:tcW w:w="1440" w:type="dxa"/>
            <w:hideMark/>
          </w:tcPr>
          <w:p w14:paraId="6A3C0CF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35.96</w:t>
            </w:r>
          </w:p>
        </w:tc>
        <w:tc>
          <w:tcPr>
            <w:tcW w:w="1100" w:type="dxa"/>
            <w:noWrap/>
            <w:hideMark/>
          </w:tcPr>
          <w:p w14:paraId="1CCA4B8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139.70</w:t>
            </w:r>
          </w:p>
        </w:tc>
        <w:tc>
          <w:tcPr>
            <w:tcW w:w="1520" w:type="dxa"/>
            <w:hideMark/>
          </w:tcPr>
          <w:p w14:paraId="17C148A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2.96</w:t>
            </w:r>
          </w:p>
        </w:tc>
      </w:tr>
      <w:tr w:rsidR="00302953" w:rsidRPr="00770477" w14:paraId="2DFC188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5FB9C1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10-B-2-1</w:t>
            </w:r>
          </w:p>
        </w:tc>
        <w:tc>
          <w:tcPr>
            <w:tcW w:w="1180" w:type="dxa"/>
            <w:hideMark/>
          </w:tcPr>
          <w:p w14:paraId="60A0F57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9F532B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6EA76C9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7FD11E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2A598B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2590.94</w:t>
            </w:r>
          </w:p>
        </w:tc>
        <w:tc>
          <w:tcPr>
            <w:tcW w:w="1440" w:type="dxa"/>
            <w:hideMark/>
          </w:tcPr>
          <w:p w14:paraId="15E0D31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32.57</w:t>
            </w:r>
          </w:p>
        </w:tc>
        <w:tc>
          <w:tcPr>
            <w:tcW w:w="1100" w:type="dxa"/>
            <w:hideMark/>
          </w:tcPr>
          <w:p w14:paraId="6D0DEF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4A9E179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0.04</w:t>
            </w:r>
          </w:p>
        </w:tc>
      </w:tr>
      <w:tr w:rsidR="00302953" w:rsidRPr="00770477" w14:paraId="457F876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B45EBF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10-B-4-1</w:t>
            </w:r>
          </w:p>
        </w:tc>
        <w:tc>
          <w:tcPr>
            <w:tcW w:w="1180" w:type="dxa"/>
            <w:hideMark/>
          </w:tcPr>
          <w:p w14:paraId="047AB61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2A8ECF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596D02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5BCA3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00D5F04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1919.78</w:t>
            </w:r>
          </w:p>
        </w:tc>
        <w:tc>
          <w:tcPr>
            <w:tcW w:w="1440" w:type="dxa"/>
            <w:hideMark/>
          </w:tcPr>
          <w:p w14:paraId="2A6F944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19.14</w:t>
            </w:r>
          </w:p>
        </w:tc>
        <w:tc>
          <w:tcPr>
            <w:tcW w:w="1100" w:type="dxa"/>
            <w:hideMark/>
          </w:tcPr>
          <w:p w14:paraId="15995D3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379AB78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r>
      <w:tr w:rsidR="00302953" w:rsidRPr="00770477" w14:paraId="3FD3486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879616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10-B-6-1</w:t>
            </w:r>
          </w:p>
        </w:tc>
        <w:tc>
          <w:tcPr>
            <w:tcW w:w="1180" w:type="dxa"/>
            <w:hideMark/>
          </w:tcPr>
          <w:p w14:paraId="739AFCC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BE0D70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BA70FB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3130BA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CB3625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1343.89</w:t>
            </w:r>
          </w:p>
        </w:tc>
        <w:tc>
          <w:tcPr>
            <w:tcW w:w="1440" w:type="dxa"/>
            <w:hideMark/>
          </w:tcPr>
          <w:p w14:paraId="48D02E2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10.44</w:t>
            </w:r>
          </w:p>
        </w:tc>
        <w:tc>
          <w:tcPr>
            <w:tcW w:w="1100" w:type="dxa"/>
            <w:noWrap/>
            <w:hideMark/>
          </w:tcPr>
          <w:p w14:paraId="758818E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35.16</w:t>
            </w:r>
          </w:p>
        </w:tc>
        <w:tc>
          <w:tcPr>
            <w:tcW w:w="1520" w:type="dxa"/>
            <w:hideMark/>
          </w:tcPr>
          <w:p w14:paraId="013095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0.78</w:t>
            </w:r>
          </w:p>
        </w:tc>
      </w:tr>
      <w:tr w:rsidR="00302953" w:rsidRPr="00770477" w14:paraId="65C5257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78C623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10-B-10-1</w:t>
            </w:r>
          </w:p>
        </w:tc>
        <w:tc>
          <w:tcPr>
            <w:tcW w:w="1180" w:type="dxa"/>
            <w:hideMark/>
          </w:tcPr>
          <w:p w14:paraId="4FA1C1E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B97E16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CAE1DC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EB854F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0.49</w:t>
            </w:r>
          </w:p>
        </w:tc>
        <w:tc>
          <w:tcPr>
            <w:tcW w:w="1300" w:type="dxa"/>
            <w:noWrap/>
            <w:hideMark/>
          </w:tcPr>
          <w:p w14:paraId="209FAD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1122.43</w:t>
            </w:r>
          </w:p>
        </w:tc>
        <w:tc>
          <w:tcPr>
            <w:tcW w:w="1440" w:type="dxa"/>
            <w:hideMark/>
          </w:tcPr>
          <w:p w14:paraId="28E1C5B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8.83</w:t>
            </w:r>
          </w:p>
        </w:tc>
        <w:tc>
          <w:tcPr>
            <w:tcW w:w="1100" w:type="dxa"/>
            <w:noWrap/>
            <w:hideMark/>
          </w:tcPr>
          <w:p w14:paraId="786A769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16.88</w:t>
            </w:r>
          </w:p>
        </w:tc>
        <w:tc>
          <w:tcPr>
            <w:tcW w:w="1520" w:type="dxa"/>
            <w:hideMark/>
          </w:tcPr>
          <w:p w14:paraId="27543D6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0.34</w:t>
            </w:r>
          </w:p>
        </w:tc>
      </w:tr>
      <w:tr w:rsidR="00302953" w:rsidRPr="00770477" w14:paraId="5FA27499"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73BEA4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10-B-17-1</w:t>
            </w:r>
          </w:p>
        </w:tc>
        <w:tc>
          <w:tcPr>
            <w:tcW w:w="1180" w:type="dxa"/>
            <w:hideMark/>
          </w:tcPr>
          <w:p w14:paraId="3098672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1BA6BE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7CA7F3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E7F5C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705422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907.22</w:t>
            </w:r>
          </w:p>
        </w:tc>
        <w:tc>
          <w:tcPr>
            <w:tcW w:w="1440" w:type="dxa"/>
            <w:hideMark/>
          </w:tcPr>
          <w:p w14:paraId="5FC7AAE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6.51</w:t>
            </w:r>
          </w:p>
        </w:tc>
        <w:tc>
          <w:tcPr>
            <w:tcW w:w="1100" w:type="dxa"/>
            <w:hideMark/>
          </w:tcPr>
          <w:p w14:paraId="09F37C5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5CF5E0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r>
      <w:tr w:rsidR="00302953" w:rsidRPr="00770477" w14:paraId="1DDEAB0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65FEBC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10-B-27-1</w:t>
            </w:r>
          </w:p>
        </w:tc>
        <w:tc>
          <w:tcPr>
            <w:tcW w:w="1180" w:type="dxa"/>
            <w:hideMark/>
          </w:tcPr>
          <w:p w14:paraId="58E5BF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0E7323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07DA59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F46949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41BFE2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834.98</w:t>
            </w:r>
          </w:p>
        </w:tc>
        <w:tc>
          <w:tcPr>
            <w:tcW w:w="1440" w:type="dxa"/>
            <w:hideMark/>
          </w:tcPr>
          <w:p w14:paraId="79552A2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5.47</w:t>
            </w:r>
          </w:p>
        </w:tc>
        <w:tc>
          <w:tcPr>
            <w:tcW w:w="1100" w:type="dxa"/>
            <w:noWrap/>
            <w:hideMark/>
          </w:tcPr>
          <w:p w14:paraId="533EBE0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5.94</w:t>
            </w:r>
          </w:p>
        </w:tc>
        <w:tc>
          <w:tcPr>
            <w:tcW w:w="1520" w:type="dxa"/>
            <w:hideMark/>
          </w:tcPr>
          <w:p w14:paraId="290E1F9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0.13</w:t>
            </w:r>
          </w:p>
        </w:tc>
      </w:tr>
      <w:tr w:rsidR="00302953" w:rsidRPr="00770477" w14:paraId="32B7060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254678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10-B-27-2</w:t>
            </w:r>
          </w:p>
        </w:tc>
        <w:tc>
          <w:tcPr>
            <w:tcW w:w="1180" w:type="dxa"/>
            <w:hideMark/>
          </w:tcPr>
          <w:p w14:paraId="7B14E8D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C35FD9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6E4E672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0D7AF7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7D73248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835.62</w:t>
            </w:r>
          </w:p>
        </w:tc>
        <w:tc>
          <w:tcPr>
            <w:tcW w:w="1440" w:type="dxa"/>
            <w:hideMark/>
          </w:tcPr>
          <w:p w14:paraId="454DF12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5.47</w:t>
            </w:r>
          </w:p>
        </w:tc>
        <w:tc>
          <w:tcPr>
            <w:tcW w:w="1100" w:type="dxa"/>
            <w:noWrap/>
            <w:hideMark/>
          </w:tcPr>
          <w:p w14:paraId="5A29BE1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55.90</w:t>
            </w:r>
          </w:p>
        </w:tc>
        <w:tc>
          <w:tcPr>
            <w:tcW w:w="1520" w:type="dxa"/>
            <w:hideMark/>
          </w:tcPr>
          <w:p w14:paraId="0E6E261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1.24</w:t>
            </w:r>
          </w:p>
        </w:tc>
      </w:tr>
      <w:tr w:rsidR="00302953" w:rsidRPr="00770477" w14:paraId="25ECC67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26E5E8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10-C-0-1</w:t>
            </w:r>
          </w:p>
        </w:tc>
        <w:tc>
          <w:tcPr>
            <w:tcW w:w="1180" w:type="dxa"/>
            <w:hideMark/>
          </w:tcPr>
          <w:p w14:paraId="4F2D5F2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AA8032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A8ED56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5.71</w:t>
            </w:r>
          </w:p>
        </w:tc>
        <w:tc>
          <w:tcPr>
            <w:tcW w:w="1540" w:type="dxa"/>
            <w:hideMark/>
          </w:tcPr>
          <w:p w14:paraId="149D942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2.09</w:t>
            </w:r>
          </w:p>
        </w:tc>
        <w:tc>
          <w:tcPr>
            <w:tcW w:w="1300" w:type="dxa"/>
            <w:noWrap/>
            <w:hideMark/>
          </w:tcPr>
          <w:p w14:paraId="7C497DC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5110.43</w:t>
            </w:r>
          </w:p>
        </w:tc>
        <w:tc>
          <w:tcPr>
            <w:tcW w:w="1440" w:type="dxa"/>
            <w:hideMark/>
          </w:tcPr>
          <w:p w14:paraId="2A6BEEF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53.65</w:t>
            </w:r>
          </w:p>
        </w:tc>
        <w:tc>
          <w:tcPr>
            <w:tcW w:w="1100" w:type="dxa"/>
            <w:noWrap/>
            <w:hideMark/>
          </w:tcPr>
          <w:p w14:paraId="09BAB3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50.44</w:t>
            </w:r>
          </w:p>
        </w:tc>
        <w:tc>
          <w:tcPr>
            <w:tcW w:w="1520" w:type="dxa"/>
            <w:hideMark/>
          </w:tcPr>
          <w:p w14:paraId="5A7A6E7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1.14</w:t>
            </w:r>
          </w:p>
        </w:tc>
      </w:tr>
      <w:tr w:rsidR="00302953" w:rsidRPr="00770477" w14:paraId="2DB1A64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7877B8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10-C-1-1</w:t>
            </w:r>
          </w:p>
        </w:tc>
        <w:tc>
          <w:tcPr>
            <w:tcW w:w="1180" w:type="dxa"/>
            <w:hideMark/>
          </w:tcPr>
          <w:p w14:paraId="739AED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98C3F6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468871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6.61</w:t>
            </w:r>
          </w:p>
        </w:tc>
        <w:tc>
          <w:tcPr>
            <w:tcW w:w="1540" w:type="dxa"/>
            <w:hideMark/>
          </w:tcPr>
          <w:p w14:paraId="29144EA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1.12</w:t>
            </w:r>
          </w:p>
        </w:tc>
        <w:tc>
          <w:tcPr>
            <w:tcW w:w="1300" w:type="dxa"/>
            <w:noWrap/>
            <w:hideMark/>
          </w:tcPr>
          <w:p w14:paraId="0B1B5FA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2827.42</w:t>
            </w:r>
          </w:p>
        </w:tc>
        <w:tc>
          <w:tcPr>
            <w:tcW w:w="1440" w:type="dxa"/>
            <w:hideMark/>
          </w:tcPr>
          <w:p w14:paraId="343229F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27.16</w:t>
            </w:r>
          </w:p>
        </w:tc>
        <w:tc>
          <w:tcPr>
            <w:tcW w:w="1100" w:type="dxa"/>
            <w:noWrap/>
            <w:hideMark/>
          </w:tcPr>
          <w:p w14:paraId="0381CD5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12.35</w:t>
            </w:r>
          </w:p>
        </w:tc>
        <w:tc>
          <w:tcPr>
            <w:tcW w:w="1520" w:type="dxa"/>
            <w:hideMark/>
          </w:tcPr>
          <w:p w14:paraId="25AE60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0.26</w:t>
            </w:r>
          </w:p>
        </w:tc>
      </w:tr>
      <w:tr w:rsidR="00302953" w:rsidRPr="00770477" w14:paraId="06C5653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3446A4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10-C-1-2</w:t>
            </w:r>
          </w:p>
        </w:tc>
        <w:tc>
          <w:tcPr>
            <w:tcW w:w="1180" w:type="dxa"/>
            <w:hideMark/>
          </w:tcPr>
          <w:p w14:paraId="42AEDF8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9C1B91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27E6CE5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6.92</w:t>
            </w:r>
          </w:p>
        </w:tc>
        <w:tc>
          <w:tcPr>
            <w:tcW w:w="1540" w:type="dxa"/>
            <w:hideMark/>
          </w:tcPr>
          <w:p w14:paraId="5C87E7A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1.17</w:t>
            </w:r>
          </w:p>
        </w:tc>
        <w:tc>
          <w:tcPr>
            <w:tcW w:w="1300" w:type="dxa"/>
            <w:noWrap/>
            <w:hideMark/>
          </w:tcPr>
          <w:p w14:paraId="64CDF28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2824.51</w:t>
            </w:r>
          </w:p>
        </w:tc>
        <w:tc>
          <w:tcPr>
            <w:tcW w:w="1440" w:type="dxa"/>
            <w:hideMark/>
          </w:tcPr>
          <w:p w14:paraId="4BDD826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27.13</w:t>
            </w:r>
          </w:p>
        </w:tc>
        <w:tc>
          <w:tcPr>
            <w:tcW w:w="1100" w:type="dxa"/>
            <w:noWrap/>
            <w:hideMark/>
          </w:tcPr>
          <w:p w14:paraId="0BE16C9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115.35</w:t>
            </w:r>
          </w:p>
        </w:tc>
        <w:tc>
          <w:tcPr>
            <w:tcW w:w="1520" w:type="dxa"/>
            <w:hideMark/>
          </w:tcPr>
          <w:p w14:paraId="620F79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2.44</w:t>
            </w:r>
          </w:p>
        </w:tc>
      </w:tr>
      <w:tr w:rsidR="00302953" w:rsidRPr="00770477" w14:paraId="61DAF17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DC8F34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10-C-2-1</w:t>
            </w:r>
          </w:p>
        </w:tc>
        <w:tc>
          <w:tcPr>
            <w:tcW w:w="1180" w:type="dxa"/>
            <w:hideMark/>
          </w:tcPr>
          <w:p w14:paraId="012AC8A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15FCBC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318DA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7.56</w:t>
            </w:r>
          </w:p>
        </w:tc>
        <w:tc>
          <w:tcPr>
            <w:tcW w:w="1540" w:type="dxa"/>
            <w:hideMark/>
          </w:tcPr>
          <w:p w14:paraId="5B89CDD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2.76</w:t>
            </w:r>
          </w:p>
        </w:tc>
        <w:tc>
          <w:tcPr>
            <w:tcW w:w="1300" w:type="dxa"/>
            <w:noWrap/>
            <w:hideMark/>
          </w:tcPr>
          <w:p w14:paraId="50AA139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2149.99</w:t>
            </w:r>
          </w:p>
        </w:tc>
        <w:tc>
          <w:tcPr>
            <w:tcW w:w="1440" w:type="dxa"/>
            <w:hideMark/>
          </w:tcPr>
          <w:p w14:paraId="27BE259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27.03</w:t>
            </w:r>
          </w:p>
        </w:tc>
        <w:tc>
          <w:tcPr>
            <w:tcW w:w="1100" w:type="dxa"/>
            <w:noWrap/>
            <w:hideMark/>
          </w:tcPr>
          <w:p w14:paraId="44B5630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24.22</w:t>
            </w:r>
          </w:p>
        </w:tc>
        <w:tc>
          <w:tcPr>
            <w:tcW w:w="1520" w:type="dxa"/>
            <w:hideMark/>
          </w:tcPr>
          <w:p w14:paraId="7DA5EF5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0.52</w:t>
            </w:r>
          </w:p>
        </w:tc>
      </w:tr>
      <w:tr w:rsidR="00302953" w:rsidRPr="00770477" w14:paraId="034C4B4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76DF93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10-C-4-1</w:t>
            </w:r>
          </w:p>
        </w:tc>
        <w:tc>
          <w:tcPr>
            <w:tcW w:w="1180" w:type="dxa"/>
            <w:hideMark/>
          </w:tcPr>
          <w:p w14:paraId="40FF439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BD00A8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1731031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6.39</w:t>
            </w:r>
          </w:p>
        </w:tc>
        <w:tc>
          <w:tcPr>
            <w:tcW w:w="1540" w:type="dxa"/>
            <w:hideMark/>
          </w:tcPr>
          <w:p w14:paraId="4E502A4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2.33</w:t>
            </w:r>
          </w:p>
        </w:tc>
        <w:tc>
          <w:tcPr>
            <w:tcW w:w="1300" w:type="dxa"/>
            <w:noWrap/>
            <w:hideMark/>
          </w:tcPr>
          <w:p w14:paraId="7471A91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1692.33</w:t>
            </w:r>
          </w:p>
        </w:tc>
        <w:tc>
          <w:tcPr>
            <w:tcW w:w="1440" w:type="dxa"/>
            <w:hideMark/>
          </w:tcPr>
          <w:p w14:paraId="4771FC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16.87</w:t>
            </w:r>
          </w:p>
        </w:tc>
        <w:tc>
          <w:tcPr>
            <w:tcW w:w="1100" w:type="dxa"/>
            <w:hideMark/>
          </w:tcPr>
          <w:p w14:paraId="7AE6218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69A1E7F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r>
      <w:tr w:rsidR="00302953" w:rsidRPr="00770477" w14:paraId="1178105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0F132F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10-C-6-1</w:t>
            </w:r>
          </w:p>
        </w:tc>
        <w:tc>
          <w:tcPr>
            <w:tcW w:w="1180" w:type="dxa"/>
            <w:hideMark/>
          </w:tcPr>
          <w:p w14:paraId="603C38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1497A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7AEAA33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684DD0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0220761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1280.18</w:t>
            </w:r>
          </w:p>
        </w:tc>
        <w:tc>
          <w:tcPr>
            <w:tcW w:w="1440" w:type="dxa"/>
            <w:hideMark/>
          </w:tcPr>
          <w:p w14:paraId="32601A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9.95</w:t>
            </w:r>
          </w:p>
        </w:tc>
        <w:tc>
          <w:tcPr>
            <w:tcW w:w="1100" w:type="dxa"/>
            <w:hideMark/>
          </w:tcPr>
          <w:p w14:paraId="2BD9939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55008EE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r>
      <w:tr w:rsidR="00302953" w:rsidRPr="00770477" w14:paraId="5988C51F"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6177ED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10-C-10-1</w:t>
            </w:r>
          </w:p>
        </w:tc>
        <w:tc>
          <w:tcPr>
            <w:tcW w:w="1180" w:type="dxa"/>
            <w:hideMark/>
          </w:tcPr>
          <w:p w14:paraId="0E6A08E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4E33C2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6C86DE7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D1217B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0.49</w:t>
            </w:r>
          </w:p>
        </w:tc>
        <w:tc>
          <w:tcPr>
            <w:tcW w:w="1300" w:type="dxa"/>
            <w:noWrap/>
            <w:hideMark/>
          </w:tcPr>
          <w:p w14:paraId="0A25554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1124.04</w:t>
            </w:r>
          </w:p>
        </w:tc>
        <w:tc>
          <w:tcPr>
            <w:tcW w:w="1440" w:type="dxa"/>
            <w:hideMark/>
          </w:tcPr>
          <w:p w14:paraId="554621D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8.84</w:t>
            </w:r>
          </w:p>
        </w:tc>
        <w:tc>
          <w:tcPr>
            <w:tcW w:w="1100" w:type="dxa"/>
            <w:hideMark/>
          </w:tcPr>
          <w:p w14:paraId="7E8C4DA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678AF93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0.04</w:t>
            </w:r>
          </w:p>
        </w:tc>
      </w:tr>
      <w:tr w:rsidR="00302953" w:rsidRPr="00770477" w14:paraId="40192E1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EFF0AE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10-C-17-1</w:t>
            </w:r>
          </w:p>
        </w:tc>
        <w:tc>
          <w:tcPr>
            <w:tcW w:w="1180" w:type="dxa"/>
            <w:hideMark/>
          </w:tcPr>
          <w:p w14:paraId="4953300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766D8E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F9C1DF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337475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7AB93CB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959.65</w:t>
            </w:r>
          </w:p>
        </w:tc>
        <w:tc>
          <w:tcPr>
            <w:tcW w:w="1440" w:type="dxa"/>
            <w:hideMark/>
          </w:tcPr>
          <w:p w14:paraId="2F5BC78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6.88</w:t>
            </w:r>
          </w:p>
        </w:tc>
        <w:tc>
          <w:tcPr>
            <w:tcW w:w="1100" w:type="dxa"/>
            <w:noWrap/>
            <w:hideMark/>
          </w:tcPr>
          <w:p w14:paraId="6F0143C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19.75</w:t>
            </w:r>
          </w:p>
        </w:tc>
        <w:tc>
          <w:tcPr>
            <w:tcW w:w="1520" w:type="dxa"/>
            <w:hideMark/>
          </w:tcPr>
          <w:p w14:paraId="1E911D2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0.45</w:t>
            </w:r>
          </w:p>
        </w:tc>
      </w:tr>
      <w:tr w:rsidR="00302953" w:rsidRPr="00770477" w14:paraId="4272F70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10969D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10-C-27-1</w:t>
            </w:r>
          </w:p>
        </w:tc>
        <w:tc>
          <w:tcPr>
            <w:tcW w:w="1180" w:type="dxa"/>
            <w:hideMark/>
          </w:tcPr>
          <w:p w14:paraId="012F30C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A6E44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3436A5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C53EDD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0AD89C9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978.57</w:t>
            </w:r>
          </w:p>
        </w:tc>
        <w:tc>
          <w:tcPr>
            <w:tcW w:w="1440" w:type="dxa"/>
            <w:hideMark/>
          </w:tcPr>
          <w:p w14:paraId="32FCF36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6.41</w:t>
            </w:r>
          </w:p>
        </w:tc>
        <w:tc>
          <w:tcPr>
            <w:tcW w:w="1100" w:type="dxa"/>
            <w:hideMark/>
          </w:tcPr>
          <w:p w14:paraId="2D126B0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36A065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r>
      <w:tr w:rsidR="00302953" w:rsidRPr="00770477" w14:paraId="6A86525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F7BE81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10-C-27-2</w:t>
            </w:r>
          </w:p>
        </w:tc>
        <w:tc>
          <w:tcPr>
            <w:tcW w:w="1180" w:type="dxa"/>
            <w:hideMark/>
          </w:tcPr>
          <w:p w14:paraId="5F84843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9D015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ED9B1E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08BAA0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49070C6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978.19</w:t>
            </w:r>
          </w:p>
        </w:tc>
        <w:tc>
          <w:tcPr>
            <w:tcW w:w="1440" w:type="dxa"/>
            <w:hideMark/>
          </w:tcPr>
          <w:p w14:paraId="2E73FCA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6.41</w:t>
            </w:r>
          </w:p>
        </w:tc>
        <w:tc>
          <w:tcPr>
            <w:tcW w:w="1100" w:type="dxa"/>
            <w:hideMark/>
          </w:tcPr>
          <w:p w14:paraId="32AF4FD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0A97543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r>
      <w:tr w:rsidR="00302953" w:rsidRPr="00770477" w14:paraId="454E4E5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E10B7D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10-D-0-1</w:t>
            </w:r>
          </w:p>
        </w:tc>
        <w:tc>
          <w:tcPr>
            <w:tcW w:w="1180" w:type="dxa"/>
            <w:hideMark/>
          </w:tcPr>
          <w:p w14:paraId="2269280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730FF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6DD1B62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1460B3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1728884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5626.72</w:t>
            </w:r>
          </w:p>
        </w:tc>
        <w:tc>
          <w:tcPr>
            <w:tcW w:w="1440" w:type="dxa"/>
            <w:hideMark/>
          </w:tcPr>
          <w:p w14:paraId="0901FDF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59.07</w:t>
            </w:r>
          </w:p>
        </w:tc>
        <w:tc>
          <w:tcPr>
            <w:tcW w:w="1100" w:type="dxa"/>
            <w:hideMark/>
          </w:tcPr>
          <w:p w14:paraId="2C77C5B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09E8DC0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r>
      <w:tr w:rsidR="00302953" w:rsidRPr="00770477" w14:paraId="6632AB3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81F355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10-D-1-1</w:t>
            </w:r>
          </w:p>
        </w:tc>
        <w:tc>
          <w:tcPr>
            <w:tcW w:w="1180" w:type="dxa"/>
            <w:hideMark/>
          </w:tcPr>
          <w:p w14:paraId="104F3CF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AE316E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4F1FB0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237F8F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0.46</w:t>
            </w:r>
          </w:p>
        </w:tc>
        <w:tc>
          <w:tcPr>
            <w:tcW w:w="1300" w:type="dxa"/>
            <w:noWrap/>
            <w:hideMark/>
          </w:tcPr>
          <w:p w14:paraId="4857B34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2815.35</w:t>
            </w:r>
          </w:p>
        </w:tc>
        <w:tc>
          <w:tcPr>
            <w:tcW w:w="1440" w:type="dxa"/>
            <w:hideMark/>
          </w:tcPr>
          <w:p w14:paraId="6785EC4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27.04</w:t>
            </w:r>
          </w:p>
        </w:tc>
        <w:tc>
          <w:tcPr>
            <w:tcW w:w="1100" w:type="dxa"/>
            <w:hideMark/>
          </w:tcPr>
          <w:p w14:paraId="17C579A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0DD958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0.04</w:t>
            </w:r>
          </w:p>
        </w:tc>
      </w:tr>
      <w:tr w:rsidR="00302953" w:rsidRPr="00770477" w14:paraId="33EE4A7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0DE444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10-D-1-2</w:t>
            </w:r>
          </w:p>
        </w:tc>
        <w:tc>
          <w:tcPr>
            <w:tcW w:w="1180" w:type="dxa"/>
            <w:hideMark/>
          </w:tcPr>
          <w:p w14:paraId="29EE2A9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0E4B1A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0813D5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91B50B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0.46</w:t>
            </w:r>
          </w:p>
        </w:tc>
        <w:tc>
          <w:tcPr>
            <w:tcW w:w="1300" w:type="dxa"/>
            <w:noWrap/>
            <w:hideMark/>
          </w:tcPr>
          <w:p w14:paraId="77F3ED4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2768.47</w:t>
            </w:r>
          </w:p>
        </w:tc>
        <w:tc>
          <w:tcPr>
            <w:tcW w:w="1440" w:type="dxa"/>
            <w:hideMark/>
          </w:tcPr>
          <w:p w14:paraId="63E24EC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26.59</w:t>
            </w:r>
          </w:p>
        </w:tc>
        <w:tc>
          <w:tcPr>
            <w:tcW w:w="1100" w:type="dxa"/>
            <w:noWrap/>
            <w:hideMark/>
          </w:tcPr>
          <w:p w14:paraId="7BF4F28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59.16</w:t>
            </w:r>
          </w:p>
        </w:tc>
        <w:tc>
          <w:tcPr>
            <w:tcW w:w="1520" w:type="dxa"/>
            <w:hideMark/>
          </w:tcPr>
          <w:p w14:paraId="7F09BEE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1.25</w:t>
            </w:r>
          </w:p>
        </w:tc>
      </w:tr>
      <w:tr w:rsidR="00302953" w:rsidRPr="00770477" w14:paraId="5AB7188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7AB6BE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10-D-2-1</w:t>
            </w:r>
          </w:p>
        </w:tc>
        <w:tc>
          <w:tcPr>
            <w:tcW w:w="1180" w:type="dxa"/>
            <w:hideMark/>
          </w:tcPr>
          <w:p w14:paraId="6657715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3A494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1BD7BC6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E62B55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6BD4D91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1900.59</w:t>
            </w:r>
          </w:p>
        </w:tc>
        <w:tc>
          <w:tcPr>
            <w:tcW w:w="1440" w:type="dxa"/>
            <w:hideMark/>
          </w:tcPr>
          <w:p w14:paraId="5F98866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23.89</w:t>
            </w:r>
          </w:p>
        </w:tc>
        <w:tc>
          <w:tcPr>
            <w:tcW w:w="1100" w:type="dxa"/>
            <w:noWrap/>
            <w:hideMark/>
          </w:tcPr>
          <w:p w14:paraId="7968981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7.11</w:t>
            </w:r>
          </w:p>
        </w:tc>
        <w:tc>
          <w:tcPr>
            <w:tcW w:w="1520" w:type="dxa"/>
            <w:hideMark/>
          </w:tcPr>
          <w:p w14:paraId="3C9FD4E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0.15</w:t>
            </w:r>
          </w:p>
        </w:tc>
      </w:tr>
      <w:tr w:rsidR="00302953" w:rsidRPr="00770477" w14:paraId="5EAA8C1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D35BE6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10-D-4-1</w:t>
            </w:r>
          </w:p>
        </w:tc>
        <w:tc>
          <w:tcPr>
            <w:tcW w:w="1180" w:type="dxa"/>
            <w:hideMark/>
          </w:tcPr>
          <w:p w14:paraId="51D54AF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7EA969E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4451898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715F78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70C6D18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1393.38</w:t>
            </w:r>
          </w:p>
        </w:tc>
        <w:tc>
          <w:tcPr>
            <w:tcW w:w="1440" w:type="dxa"/>
            <w:hideMark/>
          </w:tcPr>
          <w:p w14:paraId="1662460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13.89</w:t>
            </w:r>
          </w:p>
        </w:tc>
        <w:tc>
          <w:tcPr>
            <w:tcW w:w="1100" w:type="dxa"/>
            <w:hideMark/>
          </w:tcPr>
          <w:p w14:paraId="53251D6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51E5243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r>
      <w:tr w:rsidR="00302953" w:rsidRPr="00770477" w14:paraId="567F58E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FCC7CA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10-D-6-1</w:t>
            </w:r>
          </w:p>
        </w:tc>
        <w:tc>
          <w:tcPr>
            <w:tcW w:w="1180" w:type="dxa"/>
            <w:hideMark/>
          </w:tcPr>
          <w:p w14:paraId="72D81F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84B366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872F47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D1889E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116EA67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1293.56</w:t>
            </w:r>
          </w:p>
        </w:tc>
        <w:tc>
          <w:tcPr>
            <w:tcW w:w="1440" w:type="dxa"/>
            <w:hideMark/>
          </w:tcPr>
          <w:p w14:paraId="5CF4739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10.05</w:t>
            </w:r>
          </w:p>
        </w:tc>
        <w:tc>
          <w:tcPr>
            <w:tcW w:w="1100" w:type="dxa"/>
            <w:noWrap/>
            <w:hideMark/>
          </w:tcPr>
          <w:p w14:paraId="2902BA8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51.71</w:t>
            </w:r>
          </w:p>
        </w:tc>
        <w:tc>
          <w:tcPr>
            <w:tcW w:w="1520" w:type="dxa"/>
            <w:hideMark/>
          </w:tcPr>
          <w:p w14:paraId="68BA84A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1.15</w:t>
            </w:r>
          </w:p>
        </w:tc>
      </w:tr>
      <w:tr w:rsidR="00302953" w:rsidRPr="00770477" w14:paraId="736B49D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E81664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10-D-10-1</w:t>
            </w:r>
          </w:p>
        </w:tc>
        <w:tc>
          <w:tcPr>
            <w:tcW w:w="1180" w:type="dxa"/>
            <w:hideMark/>
          </w:tcPr>
          <w:p w14:paraId="753DE15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1FB03A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75C7DBE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F4D377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0.49</w:t>
            </w:r>
          </w:p>
        </w:tc>
        <w:tc>
          <w:tcPr>
            <w:tcW w:w="1300" w:type="dxa"/>
            <w:noWrap/>
            <w:hideMark/>
          </w:tcPr>
          <w:p w14:paraId="2056A45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937.71</w:t>
            </w:r>
          </w:p>
        </w:tc>
        <w:tc>
          <w:tcPr>
            <w:tcW w:w="1440" w:type="dxa"/>
            <w:hideMark/>
          </w:tcPr>
          <w:p w14:paraId="36EB164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7.37</w:t>
            </w:r>
          </w:p>
        </w:tc>
        <w:tc>
          <w:tcPr>
            <w:tcW w:w="1100" w:type="dxa"/>
            <w:noWrap/>
            <w:hideMark/>
          </w:tcPr>
          <w:p w14:paraId="73C1E9D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45.35</w:t>
            </w:r>
          </w:p>
        </w:tc>
        <w:tc>
          <w:tcPr>
            <w:tcW w:w="1520" w:type="dxa"/>
            <w:hideMark/>
          </w:tcPr>
          <w:p w14:paraId="713403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0.91</w:t>
            </w:r>
          </w:p>
        </w:tc>
      </w:tr>
      <w:tr w:rsidR="00302953" w:rsidRPr="00770477" w14:paraId="0941E35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5FC8B4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10-D-17-1</w:t>
            </w:r>
          </w:p>
        </w:tc>
        <w:tc>
          <w:tcPr>
            <w:tcW w:w="1180" w:type="dxa"/>
            <w:hideMark/>
          </w:tcPr>
          <w:p w14:paraId="747727D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A4013E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747A88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31944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7B6C371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744.94</w:t>
            </w:r>
          </w:p>
        </w:tc>
        <w:tc>
          <w:tcPr>
            <w:tcW w:w="1440" w:type="dxa"/>
            <w:hideMark/>
          </w:tcPr>
          <w:p w14:paraId="018AB84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5.34</w:t>
            </w:r>
          </w:p>
        </w:tc>
        <w:tc>
          <w:tcPr>
            <w:tcW w:w="1100" w:type="dxa"/>
            <w:hideMark/>
          </w:tcPr>
          <w:p w14:paraId="41CBCEC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42C7E2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r>
      <w:tr w:rsidR="00302953" w:rsidRPr="00770477" w14:paraId="3334707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FBB570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10-D-17-2</w:t>
            </w:r>
          </w:p>
        </w:tc>
        <w:tc>
          <w:tcPr>
            <w:tcW w:w="1180" w:type="dxa"/>
            <w:hideMark/>
          </w:tcPr>
          <w:p w14:paraId="11055F0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61BB36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FBEA68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00650C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5D5662D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742.62</w:t>
            </w:r>
          </w:p>
        </w:tc>
        <w:tc>
          <w:tcPr>
            <w:tcW w:w="1440" w:type="dxa"/>
            <w:hideMark/>
          </w:tcPr>
          <w:p w14:paraId="561AF64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5.33</w:t>
            </w:r>
          </w:p>
        </w:tc>
        <w:tc>
          <w:tcPr>
            <w:tcW w:w="1100" w:type="dxa"/>
            <w:noWrap/>
            <w:hideMark/>
          </w:tcPr>
          <w:p w14:paraId="6366B44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13.92</w:t>
            </w:r>
          </w:p>
        </w:tc>
        <w:tc>
          <w:tcPr>
            <w:tcW w:w="1520" w:type="dxa"/>
            <w:hideMark/>
          </w:tcPr>
          <w:p w14:paraId="761F8B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0.32</w:t>
            </w:r>
          </w:p>
        </w:tc>
      </w:tr>
      <w:tr w:rsidR="00302953" w:rsidRPr="00770477" w14:paraId="7491F88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DCB9B4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10-D-27-1</w:t>
            </w:r>
          </w:p>
        </w:tc>
        <w:tc>
          <w:tcPr>
            <w:tcW w:w="1180" w:type="dxa"/>
            <w:hideMark/>
          </w:tcPr>
          <w:p w14:paraId="07121F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5D450C4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CF3C9B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F8E62D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4472F1D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715.37</w:t>
            </w:r>
          </w:p>
        </w:tc>
        <w:tc>
          <w:tcPr>
            <w:tcW w:w="1440" w:type="dxa"/>
            <w:hideMark/>
          </w:tcPr>
          <w:p w14:paraId="08B51BE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4.68</w:t>
            </w:r>
          </w:p>
        </w:tc>
        <w:tc>
          <w:tcPr>
            <w:tcW w:w="1100" w:type="dxa"/>
            <w:noWrap/>
            <w:hideMark/>
          </w:tcPr>
          <w:p w14:paraId="26FD23D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13.91</w:t>
            </w:r>
          </w:p>
        </w:tc>
        <w:tc>
          <w:tcPr>
            <w:tcW w:w="1520" w:type="dxa"/>
            <w:hideMark/>
          </w:tcPr>
          <w:p w14:paraId="5855F48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0.31</w:t>
            </w:r>
          </w:p>
        </w:tc>
      </w:tr>
      <w:tr w:rsidR="00302953" w:rsidRPr="00770477" w14:paraId="4AFDEC6F"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EF8B3C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10-D-27-2</w:t>
            </w:r>
          </w:p>
        </w:tc>
        <w:tc>
          <w:tcPr>
            <w:tcW w:w="1180" w:type="dxa"/>
            <w:hideMark/>
          </w:tcPr>
          <w:p w14:paraId="4614C31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58C0F6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093702E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E7681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4356C13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721.66</w:t>
            </w:r>
          </w:p>
        </w:tc>
        <w:tc>
          <w:tcPr>
            <w:tcW w:w="1440" w:type="dxa"/>
            <w:hideMark/>
          </w:tcPr>
          <w:p w14:paraId="723E633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4.73</w:t>
            </w:r>
          </w:p>
        </w:tc>
        <w:tc>
          <w:tcPr>
            <w:tcW w:w="1100" w:type="dxa"/>
            <w:noWrap/>
            <w:hideMark/>
          </w:tcPr>
          <w:p w14:paraId="5E7237A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96.09</w:t>
            </w:r>
          </w:p>
        </w:tc>
        <w:tc>
          <w:tcPr>
            <w:tcW w:w="1520" w:type="dxa"/>
            <w:hideMark/>
          </w:tcPr>
          <w:p w14:paraId="5ECF1FA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2.13</w:t>
            </w:r>
          </w:p>
        </w:tc>
      </w:tr>
      <w:tr w:rsidR="00302953" w:rsidRPr="00770477" w14:paraId="57FB6CE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A6442F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10-I-0-3</w:t>
            </w:r>
          </w:p>
        </w:tc>
        <w:tc>
          <w:tcPr>
            <w:tcW w:w="1180" w:type="dxa"/>
            <w:hideMark/>
          </w:tcPr>
          <w:p w14:paraId="4369624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CED381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738E419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378342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25746E7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95.25</w:t>
            </w:r>
          </w:p>
        </w:tc>
        <w:tc>
          <w:tcPr>
            <w:tcW w:w="1440" w:type="dxa"/>
            <w:hideMark/>
          </w:tcPr>
          <w:p w14:paraId="7EBF9A7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00" w:type="dxa"/>
            <w:noWrap/>
            <w:hideMark/>
          </w:tcPr>
          <w:p w14:paraId="17956D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44.20</w:t>
            </w:r>
          </w:p>
        </w:tc>
        <w:tc>
          <w:tcPr>
            <w:tcW w:w="1520" w:type="dxa"/>
            <w:hideMark/>
          </w:tcPr>
          <w:p w14:paraId="5A9D1A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3BCECEB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38CEFB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10-I-1-3</w:t>
            </w:r>
          </w:p>
        </w:tc>
        <w:tc>
          <w:tcPr>
            <w:tcW w:w="1180" w:type="dxa"/>
            <w:hideMark/>
          </w:tcPr>
          <w:p w14:paraId="30D63D7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600D83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0973BBF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5.92</w:t>
            </w:r>
          </w:p>
        </w:tc>
        <w:tc>
          <w:tcPr>
            <w:tcW w:w="1540" w:type="dxa"/>
            <w:hideMark/>
          </w:tcPr>
          <w:p w14:paraId="37FE50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26E245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104.11</w:t>
            </w:r>
          </w:p>
        </w:tc>
        <w:tc>
          <w:tcPr>
            <w:tcW w:w="1440" w:type="dxa"/>
            <w:hideMark/>
          </w:tcPr>
          <w:p w14:paraId="4675A22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00" w:type="dxa"/>
            <w:noWrap/>
            <w:hideMark/>
          </w:tcPr>
          <w:p w14:paraId="29D9BB7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47.25</w:t>
            </w:r>
          </w:p>
        </w:tc>
        <w:tc>
          <w:tcPr>
            <w:tcW w:w="1520" w:type="dxa"/>
            <w:hideMark/>
          </w:tcPr>
          <w:p w14:paraId="20FA425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6E19296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7DDA358"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10-I-2-3</w:t>
            </w:r>
          </w:p>
        </w:tc>
        <w:tc>
          <w:tcPr>
            <w:tcW w:w="1180" w:type="dxa"/>
            <w:hideMark/>
          </w:tcPr>
          <w:p w14:paraId="5CD01E6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372BB23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261669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DA96A9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376A5A5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79.55</w:t>
            </w:r>
          </w:p>
        </w:tc>
        <w:tc>
          <w:tcPr>
            <w:tcW w:w="1440" w:type="dxa"/>
            <w:hideMark/>
          </w:tcPr>
          <w:p w14:paraId="0618029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00" w:type="dxa"/>
            <w:noWrap/>
            <w:hideMark/>
          </w:tcPr>
          <w:p w14:paraId="6228059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47.02</w:t>
            </w:r>
          </w:p>
        </w:tc>
        <w:tc>
          <w:tcPr>
            <w:tcW w:w="1520" w:type="dxa"/>
            <w:hideMark/>
          </w:tcPr>
          <w:p w14:paraId="346A53A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4233D7B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6564389"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10-I-4-3</w:t>
            </w:r>
          </w:p>
        </w:tc>
        <w:tc>
          <w:tcPr>
            <w:tcW w:w="1180" w:type="dxa"/>
            <w:hideMark/>
          </w:tcPr>
          <w:p w14:paraId="4669C6F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303F18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955165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047DD9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200C50E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100.33</w:t>
            </w:r>
          </w:p>
        </w:tc>
        <w:tc>
          <w:tcPr>
            <w:tcW w:w="1440" w:type="dxa"/>
            <w:hideMark/>
          </w:tcPr>
          <w:p w14:paraId="13889B7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00" w:type="dxa"/>
            <w:noWrap/>
            <w:hideMark/>
          </w:tcPr>
          <w:p w14:paraId="7AC0ED2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43.42</w:t>
            </w:r>
          </w:p>
        </w:tc>
        <w:tc>
          <w:tcPr>
            <w:tcW w:w="1520" w:type="dxa"/>
            <w:hideMark/>
          </w:tcPr>
          <w:p w14:paraId="5656277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0C69050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9E77420"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10-I-6-3</w:t>
            </w:r>
          </w:p>
        </w:tc>
        <w:tc>
          <w:tcPr>
            <w:tcW w:w="1180" w:type="dxa"/>
            <w:hideMark/>
          </w:tcPr>
          <w:p w14:paraId="1F5ED8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149152D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2622D51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155EA4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7808DF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128.69</w:t>
            </w:r>
          </w:p>
        </w:tc>
        <w:tc>
          <w:tcPr>
            <w:tcW w:w="1440" w:type="dxa"/>
            <w:hideMark/>
          </w:tcPr>
          <w:p w14:paraId="0770900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00" w:type="dxa"/>
            <w:noWrap/>
            <w:hideMark/>
          </w:tcPr>
          <w:p w14:paraId="045202D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45.14</w:t>
            </w:r>
          </w:p>
        </w:tc>
        <w:tc>
          <w:tcPr>
            <w:tcW w:w="1520" w:type="dxa"/>
            <w:hideMark/>
          </w:tcPr>
          <w:p w14:paraId="5943784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32AF3197"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3F35003"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10-I-10-3</w:t>
            </w:r>
          </w:p>
        </w:tc>
        <w:tc>
          <w:tcPr>
            <w:tcW w:w="1180" w:type="dxa"/>
            <w:hideMark/>
          </w:tcPr>
          <w:p w14:paraId="185154D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330761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752F8D8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5.64</w:t>
            </w:r>
          </w:p>
        </w:tc>
        <w:tc>
          <w:tcPr>
            <w:tcW w:w="1540" w:type="dxa"/>
            <w:hideMark/>
          </w:tcPr>
          <w:p w14:paraId="3C56265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500A2A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127.17</w:t>
            </w:r>
          </w:p>
        </w:tc>
        <w:tc>
          <w:tcPr>
            <w:tcW w:w="1440" w:type="dxa"/>
            <w:hideMark/>
          </w:tcPr>
          <w:p w14:paraId="3102E39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00" w:type="dxa"/>
            <w:noWrap/>
            <w:hideMark/>
          </w:tcPr>
          <w:p w14:paraId="56E2D12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49.61</w:t>
            </w:r>
          </w:p>
        </w:tc>
        <w:tc>
          <w:tcPr>
            <w:tcW w:w="1520" w:type="dxa"/>
            <w:hideMark/>
          </w:tcPr>
          <w:p w14:paraId="567DC9A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12F5BE61"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60E40BB"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10-I-17-3</w:t>
            </w:r>
          </w:p>
        </w:tc>
        <w:tc>
          <w:tcPr>
            <w:tcW w:w="1180" w:type="dxa"/>
            <w:hideMark/>
          </w:tcPr>
          <w:p w14:paraId="6BD5F55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A32C9C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59748F3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67A737B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1510BE7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139.44</w:t>
            </w:r>
          </w:p>
        </w:tc>
        <w:tc>
          <w:tcPr>
            <w:tcW w:w="1440" w:type="dxa"/>
            <w:hideMark/>
          </w:tcPr>
          <w:p w14:paraId="3E68DA4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00" w:type="dxa"/>
            <w:noWrap/>
            <w:hideMark/>
          </w:tcPr>
          <w:p w14:paraId="578A2B2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43.70</w:t>
            </w:r>
          </w:p>
        </w:tc>
        <w:tc>
          <w:tcPr>
            <w:tcW w:w="1520" w:type="dxa"/>
            <w:hideMark/>
          </w:tcPr>
          <w:p w14:paraId="6AA6902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02D20BC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895534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10-I-27-3</w:t>
            </w:r>
          </w:p>
        </w:tc>
        <w:tc>
          <w:tcPr>
            <w:tcW w:w="1180" w:type="dxa"/>
            <w:hideMark/>
          </w:tcPr>
          <w:p w14:paraId="13A87B9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4199737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hideMark/>
          </w:tcPr>
          <w:p w14:paraId="36EF9DD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187BD8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300" w:type="dxa"/>
            <w:noWrap/>
            <w:hideMark/>
          </w:tcPr>
          <w:p w14:paraId="6F7F2EF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152.70</w:t>
            </w:r>
          </w:p>
        </w:tc>
        <w:tc>
          <w:tcPr>
            <w:tcW w:w="1440" w:type="dxa"/>
            <w:hideMark/>
          </w:tcPr>
          <w:p w14:paraId="7D38F59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c>
          <w:tcPr>
            <w:tcW w:w="1100" w:type="dxa"/>
            <w:noWrap/>
            <w:hideMark/>
          </w:tcPr>
          <w:p w14:paraId="0D33AA6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45.06</w:t>
            </w:r>
          </w:p>
        </w:tc>
        <w:tc>
          <w:tcPr>
            <w:tcW w:w="1520" w:type="dxa"/>
            <w:hideMark/>
          </w:tcPr>
          <w:p w14:paraId="121D22F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w:t>
            </w:r>
          </w:p>
        </w:tc>
      </w:tr>
      <w:tr w:rsidR="00302953" w:rsidRPr="00770477" w14:paraId="301FB0F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F1AD325"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10-I-999-4</w:t>
            </w:r>
          </w:p>
        </w:tc>
        <w:tc>
          <w:tcPr>
            <w:tcW w:w="1180" w:type="dxa"/>
            <w:hideMark/>
          </w:tcPr>
          <w:p w14:paraId="532303F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015BFD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c>
          <w:tcPr>
            <w:tcW w:w="1300" w:type="dxa"/>
            <w:hideMark/>
          </w:tcPr>
          <w:p w14:paraId="410CE7D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40" w:type="dxa"/>
            <w:hideMark/>
          </w:tcPr>
          <w:p w14:paraId="2726EEF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c>
          <w:tcPr>
            <w:tcW w:w="1300" w:type="dxa"/>
            <w:noWrap/>
            <w:hideMark/>
          </w:tcPr>
          <w:p w14:paraId="1BA925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74.21</w:t>
            </w:r>
          </w:p>
        </w:tc>
        <w:tc>
          <w:tcPr>
            <w:tcW w:w="1440" w:type="dxa"/>
            <w:hideMark/>
          </w:tcPr>
          <w:p w14:paraId="4306438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c>
          <w:tcPr>
            <w:tcW w:w="1100" w:type="dxa"/>
            <w:hideMark/>
          </w:tcPr>
          <w:p w14:paraId="6259EFA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BDL</w:t>
            </w:r>
          </w:p>
        </w:tc>
        <w:tc>
          <w:tcPr>
            <w:tcW w:w="1520" w:type="dxa"/>
            <w:hideMark/>
          </w:tcPr>
          <w:p w14:paraId="2F4CCB4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r>
    </w:tbl>
    <w:p w14:paraId="4AD5FBAE" w14:textId="77777777" w:rsidR="00302953" w:rsidRPr="00770477" w:rsidRDefault="00302953" w:rsidP="00302953">
      <w:pPr>
        <w:spacing w:line="240" w:lineRule="auto"/>
        <w:jc w:val="left"/>
        <w:rPr>
          <w:rFonts w:cs="Times New Roman"/>
        </w:rPr>
        <w:sectPr w:rsidR="00302953" w:rsidRPr="00770477" w:rsidSect="0048531E">
          <w:pgSz w:w="15840" w:h="12240" w:orient="landscape"/>
          <w:pgMar w:top="1440" w:right="1440" w:bottom="1440" w:left="1440" w:header="720" w:footer="720" w:gutter="0"/>
          <w:cols w:space="720"/>
          <w:docGrid w:linePitch="360"/>
        </w:sectPr>
      </w:pPr>
    </w:p>
    <w:p w14:paraId="0E252246" w14:textId="77777777" w:rsidR="00302953" w:rsidRPr="00770477" w:rsidRDefault="00302953" w:rsidP="00302953">
      <w:pPr>
        <w:spacing w:line="240" w:lineRule="auto"/>
        <w:jc w:val="left"/>
        <w:rPr>
          <w:rFonts w:cs="Times New Roman"/>
        </w:rPr>
      </w:pPr>
    </w:p>
    <w:p w14:paraId="41A085A9" w14:textId="742AC63A" w:rsidR="00302953" w:rsidRPr="00C6587B" w:rsidRDefault="00302953" w:rsidP="00302953">
      <w:pPr>
        <w:pStyle w:val="Caption"/>
        <w:keepNext/>
        <w:rPr>
          <w:rFonts w:cs="Times New Roman"/>
        </w:rPr>
      </w:pPr>
      <w:bookmarkStart w:id="194" w:name="_Toc121494161"/>
      <w:bookmarkStart w:id="195" w:name="_Toc121495946"/>
      <w:r>
        <w:t xml:space="preserve">Table </w:t>
      </w:r>
      <w:fldSimple w:instr=" STYLEREF 1 \s ">
        <w:r w:rsidR="00061096">
          <w:rPr>
            <w:noProof/>
          </w:rPr>
          <w:t>10</w:t>
        </w:r>
      </w:fldSimple>
      <w:r w:rsidR="00B26DDF">
        <w:noBreakHyphen/>
      </w:r>
      <w:fldSimple w:instr=" SEQ Table \* ARABIC \s 1 ">
        <w:r w:rsidR="00061096">
          <w:rPr>
            <w:noProof/>
          </w:rPr>
          <w:t>8</w:t>
        </w:r>
      </w:fldSimple>
      <w:r w:rsidRPr="00C6587B">
        <w:rPr>
          <w:rFonts w:cs="Times New Roman"/>
        </w:rPr>
        <w:t xml:space="preserve"> </w:t>
      </w:r>
      <w:r w:rsidRPr="00770477">
        <w:rPr>
          <w:rFonts w:cs="Times New Roman"/>
        </w:rPr>
        <w:t>Phosphorus sample results. All results in mg</w:t>
      </w:r>
      <w:r w:rsidRPr="00770477">
        <w:rPr>
          <w:rFonts w:cs="Times New Roman"/>
          <w:vertAlign w:val="superscript"/>
        </w:rPr>
        <w:t xml:space="preserve"> L-</w:t>
      </w:r>
      <w:proofErr w:type="gramStart"/>
      <w:r w:rsidRPr="00770477">
        <w:rPr>
          <w:rFonts w:cs="Times New Roman"/>
          <w:vertAlign w:val="superscript"/>
        </w:rPr>
        <w:t>1</w:t>
      </w:r>
      <w:r w:rsidRPr="00770477">
        <w:rPr>
          <w:rFonts w:cs="Times New Roman"/>
        </w:rPr>
        <w:t xml:space="preserve"> .</w:t>
      </w:r>
      <w:bookmarkEnd w:id="194"/>
      <w:bookmarkEnd w:id="195"/>
      <w:proofErr w:type="gramEnd"/>
    </w:p>
    <w:tbl>
      <w:tblPr>
        <w:tblStyle w:val="PlainTable5"/>
        <w:tblW w:w="4770" w:type="dxa"/>
        <w:tblLook w:val="04A0" w:firstRow="1" w:lastRow="0" w:firstColumn="1" w:lastColumn="0" w:noHBand="0" w:noVBand="1"/>
      </w:tblPr>
      <w:tblGrid>
        <w:gridCol w:w="1540"/>
        <w:gridCol w:w="1610"/>
        <w:gridCol w:w="1620"/>
      </w:tblGrid>
      <w:tr w:rsidR="00302953" w:rsidRPr="00770477" w14:paraId="0D4E2A47" w14:textId="77777777" w:rsidTr="00622DCD">
        <w:trPr>
          <w:cnfStyle w:val="100000000000" w:firstRow="1" w:lastRow="0" w:firstColumn="0" w:lastColumn="0" w:oddVBand="0" w:evenVBand="0" w:oddHBand="0" w:evenHBand="0" w:firstRowFirstColumn="0" w:firstRowLastColumn="0" w:lastRowFirstColumn="0" w:lastRowLastColumn="0"/>
          <w:trHeight w:val="630"/>
        </w:trPr>
        <w:tc>
          <w:tcPr>
            <w:cnfStyle w:val="001000000100" w:firstRow="0" w:lastRow="0" w:firstColumn="1" w:lastColumn="0" w:oddVBand="0" w:evenVBand="0" w:oddHBand="0" w:evenHBand="0" w:firstRowFirstColumn="1" w:firstRowLastColumn="0" w:lastRowFirstColumn="0" w:lastRowLastColumn="0"/>
            <w:tcW w:w="1540" w:type="dxa"/>
            <w:vAlign w:val="bottom"/>
            <w:hideMark/>
          </w:tcPr>
          <w:p w14:paraId="46348101"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Sample ID</w:t>
            </w:r>
          </w:p>
        </w:tc>
        <w:tc>
          <w:tcPr>
            <w:tcW w:w="1610" w:type="dxa"/>
            <w:vAlign w:val="bottom"/>
            <w:hideMark/>
          </w:tcPr>
          <w:p w14:paraId="6745F0AE"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P (</w:t>
            </w:r>
            <w:r>
              <w:rPr>
                <w:rFonts w:cs="Times New Roman"/>
                <w:color w:val="000000"/>
              </w:rPr>
              <w:t>mg L</w:t>
            </w:r>
            <w:r w:rsidRPr="00E447AE">
              <w:rPr>
                <w:rFonts w:cs="Times New Roman"/>
                <w:color w:val="000000"/>
                <w:vertAlign w:val="superscript"/>
              </w:rPr>
              <w:t>-1</w:t>
            </w:r>
            <w:r w:rsidRPr="00770477">
              <w:rPr>
                <w:rFonts w:cs="Times New Roman"/>
                <w:color w:val="000000"/>
              </w:rPr>
              <w:t>)</w:t>
            </w:r>
          </w:p>
        </w:tc>
        <w:tc>
          <w:tcPr>
            <w:tcW w:w="1620" w:type="dxa"/>
            <w:vAlign w:val="bottom"/>
            <w:hideMark/>
          </w:tcPr>
          <w:p w14:paraId="012F43F1"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P Ratio</w:t>
            </w:r>
          </w:p>
        </w:tc>
      </w:tr>
      <w:tr w:rsidR="00302953" w:rsidRPr="00770477" w14:paraId="01AF88A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0AB8A257"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1-A-010-1</w:t>
            </w:r>
          </w:p>
        </w:tc>
        <w:tc>
          <w:tcPr>
            <w:tcW w:w="1610" w:type="dxa"/>
            <w:vAlign w:val="bottom"/>
            <w:hideMark/>
          </w:tcPr>
          <w:p w14:paraId="6838999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0.136</w:t>
            </w:r>
          </w:p>
        </w:tc>
        <w:tc>
          <w:tcPr>
            <w:tcW w:w="1620" w:type="dxa"/>
            <w:vAlign w:val="bottom"/>
            <w:hideMark/>
          </w:tcPr>
          <w:p w14:paraId="5E691DF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0.100</w:t>
            </w:r>
          </w:p>
        </w:tc>
      </w:tr>
      <w:tr w:rsidR="00302953" w:rsidRPr="00770477" w14:paraId="295D0B1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461AA5DE"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1-A-010-2</w:t>
            </w:r>
          </w:p>
        </w:tc>
        <w:tc>
          <w:tcPr>
            <w:tcW w:w="1610" w:type="dxa"/>
            <w:vAlign w:val="bottom"/>
            <w:hideMark/>
          </w:tcPr>
          <w:p w14:paraId="075A13C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0.089</w:t>
            </w:r>
          </w:p>
        </w:tc>
        <w:tc>
          <w:tcPr>
            <w:tcW w:w="1620" w:type="dxa"/>
            <w:vAlign w:val="bottom"/>
            <w:hideMark/>
          </w:tcPr>
          <w:p w14:paraId="25B4EFB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0.324</w:t>
            </w:r>
          </w:p>
        </w:tc>
      </w:tr>
      <w:tr w:rsidR="00302953" w:rsidRPr="00770477" w14:paraId="7269006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717F0908"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1-A-040-1</w:t>
            </w:r>
          </w:p>
        </w:tc>
        <w:tc>
          <w:tcPr>
            <w:tcW w:w="1610" w:type="dxa"/>
            <w:vAlign w:val="bottom"/>
            <w:hideMark/>
          </w:tcPr>
          <w:p w14:paraId="318A610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0.039</w:t>
            </w:r>
          </w:p>
        </w:tc>
        <w:tc>
          <w:tcPr>
            <w:tcW w:w="1620" w:type="dxa"/>
            <w:vAlign w:val="bottom"/>
            <w:hideMark/>
          </w:tcPr>
          <w:p w14:paraId="24B943C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0.144</w:t>
            </w:r>
          </w:p>
        </w:tc>
      </w:tr>
      <w:tr w:rsidR="00302953" w:rsidRPr="00770477" w14:paraId="5C31003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41415F96"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1-A-090-1</w:t>
            </w:r>
          </w:p>
        </w:tc>
        <w:tc>
          <w:tcPr>
            <w:tcW w:w="1610" w:type="dxa"/>
            <w:vAlign w:val="bottom"/>
            <w:hideMark/>
          </w:tcPr>
          <w:p w14:paraId="03FCD4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0.157</w:t>
            </w:r>
          </w:p>
        </w:tc>
        <w:tc>
          <w:tcPr>
            <w:tcW w:w="1620" w:type="dxa"/>
            <w:vAlign w:val="bottom"/>
            <w:hideMark/>
          </w:tcPr>
          <w:p w14:paraId="1564EEF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0.589</w:t>
            </w:r>
          </w:p>
        </w:tc>
      </w:tr>
      <w:tr w:rsidR="00302953" w:rsidRPr="00770477" w14:paraId="683A990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5EE1AFBE"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1-A-160-1</w:t>
            </w:r>
          </w:p>
        </w:tc>
        <w:tc>
          <w:tcPr>
            <w:tcW w:w="1610" w:type="dxa"/>
            <w:vAlign w:val="bottom"/>
            <w:hideMark/>
          </w:tcPr>
          <w:p w14:paraId="131FF89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0.162</w:t>
            </w:r>
          </w:p>
        </w:tc>
        <w:tc>
          <w:tcPr>
            <w:tcW w:w="1620" w:type="dxa"/>
            <w:vAlign w:val="bottom"/>
            <w:hideMark/>
          </w:tcPr>
          <w:p w14:paraId="4C90C0A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0.648</w:t>
            </w:r>
          </w:p>
        </w:tc>
      </w:tr>
      <w:tr w:rsidR="00302953" w:rsidRPr="00770477" w14:paraId="2EC8B17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2B0EB39C"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1-A-160-2</w:t>
            </w:r>
          </w:p>
        </w:tc>
        <w:tc>
          <w:tcPr>
            <w:tcW w:w="1610" w:type="dxa"/>
            <w:vAlign w:val="bottom"/>
            <w:hideMark/>
          </w:tcPr>
          <w:p w14:paraId="6E0D355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0.152</w:t>
            </w:r>
          </w:p>
        </w:tc>
        <w:tc>
          <w:tcPr>
            <w:tcW w:w="1620" w:type="dxa"/>
            <w:vAlign w:val="bottom"/>
            <w:hideMark/>
          </w:tcPr>
          <w:p w14:paraId="0BC5653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0.608</w:t>
            </w:r>
          </w:p>
        </w:tc>
      </w:tr>
      <w:tr w:rsidR="00302953" w:rsidRPr="00770477" w14:paraId="3A46450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644C1A4F"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1-A-270-1</w:t>
            </w:r>
          </w:p>
        </w:tc>
        <w:tc>
          <w:tcPr>
            <w:tcW w:w="1610" w:type="dxa"/>
            <w:vAlign w:val="bottom"/>
            <w:hideMark/>
          </w:tcPr>
          <w:p w14:paraId="569A35D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0.189</w:t>
            </w:r>
          </w:p>
        </w:tc>
        <w:tc>
          <w:tcPr>
            <w:tcW w:w="1620" w:type="dxa"/>
            <w:vAlign w:val="bottom"/>
            <w:hideMark/>
          </w:tcPr>
          <w:p w14:paraId="7511787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0.761</w:t>
            </w:r>
          </w:p>
        </w:tc>
      </w:tr>
      <w:tr w:rsidR="00302953" w:rsidRPr="00770477" w14:paraId="54D87FC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34D28CAF"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1-A-430-1</w:t>
            </w:r>
          </w:p>
        </w:tc>
        <w:tc>
          <w:tcPr>
            <w:tcW w:w="1610" w:type="dxa"/>
            <w:vAlign w:val="bottom"/>
            <w:hideMark/>
          </w:tcPr>
          <w:p w14:paraId="0C6BF47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0.178</w:t>
            </w:r>
          </w:p>
        </w:tc>
        <w:tc>
          <w:tcPr>
            <w:tcW w:w="1620" w:type="dxa"/>
            <w:vAlign w:val="bottom"/>
            <w:hideMark/>
          </w:tcPr>
          <w:p w14:paraId="248D1E8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0.766</w:t>
            </w:r>
          </w:p>
        </w:tc>
      </w:tr>
      <w:tr w:rsidR="00302953" w:rsidRPr="00770477" w14:paraId="2563D3F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10AAB642"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1-A-670-1</w:t>
            </w:r>
          </w:p>
        </w:tc>
        <w:tc>
          <w:tcPr>
            <w:tcW w:w="1610" w:type="dxa"/>
            <w:vAlign w:val="bottom"/>
            <w:hideMark/>
          </w:tcPr>
          <w:p w14:paraId="001EC7F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0.222</w:t>
            </w:r>
          </w:p>
        </w:tc>
        <w:tc>
          <w:tcPr>
            <w:tcW w:w="1620" w:type="dxa"/>
            <w:vAlign w:val="bottom"/>
            <w:hideMark/>
          </w:tcPr>
          <w:p w14:paraId="37E9F4D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1.213</w:t>
            </w:r>
          </w:p>
        </w:tc>
      </w:tr>
      <w:tr w:rsidR="00302953" w:rsidRPr="00770477" w14:paraId="11C6A4A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01C6D757"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1-A-670-2</w:t>
            </w:r>
          </w:p>
        </w:tc>
        <w:tc>
          <w:tcPr>
            <w:tcW w:w="1610" w:type="dxa"/>
            <w:vAlign w:val="bottom"/>
            <w:hideMark/>
          </w:tcPr>
          <w:p w14:paraId="443FD1B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0.183</w:t>
            </w:r>
          </w:p>
        </w:tc>
        <w:tc>
          <w:tcPr>
            <w:tcW w:w="1620" w:type="dxa"/>
            <w:vAlign w:val="bottom"/>
            <w:hideMark/>
          </w:tcPr>
          <w:p w14:paraId="5F5D1A4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1.000</w:t>
            </w:r>
          </w:p>
        </w:tc>
      </w:tr>
      <w:tr w:rsidR="00302953" w:rsidRPr="00770477" w14:paraId="4987AB7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0CA7B313"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1-B-010-1</w:t>
            </w:r>
          </w:p>
        </w:tc>
        <w:tc>
          <w:tcPr>
            <w:tcW w:w="1610" w:type="dxa"/>
            <w:vAlign w:val="bottom"/>
            <w:hideMark/>
          </w:tcPr>
          <w:p w14:paraId="188DA4E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0.082</w:t>
            </w:r>
          </w:p>
        </w:tc>
        <w:tc>
          <w:tcPr>
            <w:tcW w:w="1620" w:type="dxa"/>
            <w:vAlign w:val="bottom"/>
            <w:hideMark/>
          </w:tcPr>
          <w:p w14:paraId="0CFC63A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0.299</w:t>
            </w:r>
          </w:p>
        </w:tc>
      </w:tr>
      <w:tr w:rsidR="00302953" w:rsidRPr="00770477" w14:paraId="77C4C0B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74C933F0"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1-B-040-1</w:t>
            </w:r>
          </w:p>
        </w:tc>
        <w:tc>
          <w:tcPr>
            <w:tcW w:w="1610" w:type="dxa"/>
            <w:vAlign w:val="bottom"/>
            <w:hideMark/>
          </w:tcPr>
          <w:p w14:paraId="65DA843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0.096</w:t>
            </w:r>
          </w:p>
        </w:tc>
        <w:tc>
          <w:tcPr>
            <w:tcW w:w="1620" w:type="dxa"/>
            <w:vAlign w:val="bottom"/>
            <w:hideMark/>
          </w:tcPr>
          <w:p w14:paraId="0B0FC9F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0.354</w:t>
            </w:r>
          </w:p>
        </w:tc>
      </w:tr>
      <w:tr w:rsidR="00302953" w:rsidRPr="00770477" w14:paraId="35CDD8D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5222AD42"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1-B-090-1</w:t>
            </w:r>
          </w:p>
        </w:tc>
        <w:tc>
          <w:tcPr>
            <w:tcW w:w="1610" w:type="dxa"/>
            <w:vAlign w:val="bottom"/>
            <w:hideMark/>
          </w:tcPr>
          <w:p w14:paraId="175DA96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0.155</w:t>
            </w:r>
          </w:p>
        </w:tc>
        <w:tc>
          <w:tcPr>
            <w:tcW w:w="1620" w:type="dxa"/>
            <w:vAlign w:val="bottom"/>
            <w:hideMark/>
          </w:tcPr>
          <w:p w14:paraId="7F38818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0.582</w:t>
            </w:r>
          </w:p>
        </w:tc>
      </w:tr>
      <w:tr w:rsidR="00302953" w:rsidRPr="00770477" w14:paraId="247C092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3505280B"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1-B-160-1</w:t>
            </w:r>
          </w:p>
        </w:tc>
        <w:tc>
          <w:tcPr>
            <w:tcW w:w="1610" w:type="dxa"/>
            <w:vAlign w:val="bottom"/>
            <w:hideMark/>
          </w:tcPr>
          <w:p w14:paraId="21DE09B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0.177</w:t>
            </w:r>
          </w:p>
        </w:tc>
        <w:tc>
          <w:tcPr>
            <w:tcW w:w="1620" w:type="dxa"/>
            <w:vAlign w:val="bottom"/>
            <w:hideMark/>
          </w:tcPr>
          <w:p w14:paraId="5E274B2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0.708</w:t>
            </w:r>
          </w:p>
        </w:tc>
      </w:tr>
      <w:tr w:rsidR="00302953" w:rsidRPr="00770477" w14:paraId="0014700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457867D9"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1-B-160-2</w:t>
            </w:r>
          </w:p>
        </w:tc>
        <w:tc>
          <w:tcPr>
            <w:tcW w:w="1610" w:type="dxa"/>
            <w:vAlign w:val="bottom"/>
            <w:hideMark/>
          </w:tcPr>
          <w:p w14:paraId="3734D6A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0.166</w:t>
            </w:r>
          </w:p>
        </w:tc>
        <w:tc>
          <w:tcPr>
            <w:tcW w:w="1620" w:type="dxa"/>
            <w:vAlign w:val="bottom"/>
            <w:hideMark/>
          </w:tcPr>
          <w:p w14:paraId="011AE6C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0.664</w:t>
            </w:r>
          </w:p>
        </w:tc>
      </w:tr>
      <w:tr w:rsidR="00302953" w:rsidRPr="00770477" w14:paraId="1351B6F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2B19BF0A"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1-B-270-1</w:t>
            </w:r>
          </w:p>
        </w:tc>
        <w:tc>
          <w:tcPr>
            <w:tcW w:w="1610" w:type="dxa"/>
            <w:vAlign w:val="bottom"/>
            <w:hideMark/>
          </w:tcPr>
          <w:p w14:paraId="15C2BE7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0.204</w:t>
            </w:r>
          </w:p>
        </w:tc>
        <w:tc>
          <w:tcPr>
            <w:tcW w:w="1620" w:type="dxa"/>
            <w:vAlign w:val="bottom"/>
            <w:hideMark/>
          </w:tcPr>
          <w:p w14:paraId="6B11575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0.821</w:t>
            </w:r>
          </w:p>
        </w:tc>
      </w:tr>
      <w:tr w:rsidR="00302953" w:rsidRPr="00770477" w14:paraId="3C16245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40E3C1C5"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1-B-430-1</w:t>
            </w:r>
          </w:p>
        </w:tc>
        <w:tc>
          <w:tcPr>
            <w:tcW w:w="1610" w:type="dxa"/>
            <w:vAlign w:val="bottom"/>
            <w:hideMark/>
          </w:tcPr>
          <w:p w14:paraId="7C8D7F5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0.198</w:t>
            </w:r>
          </w:p>
        </w:tc>
        <w:tc>
          <w:tcPr>
            <w:tcW w:w="1620" w:type="dxa"/>
            <w:vAlign w:val="bottom"/>
            <w:hideMark/>
          </w:tcPr>
          <w:p w14:paraId="5B5A8E6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0.852</w:t>
            </w:r>
          </w:p>
        </w:tc>
      </w:tr>
      <w:tr w:rsidR="00302953" w:rsidRPr="00770477" w14:paraId="138ACBC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387D0169"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1-B-670-1</w:t>
            </w:r>
          </w:p>
        </w:tc>
        <w:tc>
          <w:tcPr>
            <w:tcW w:w="1610" w:type="dxa"/>
            <w:vAlign w:val="bottom"/>
            <w:hideMark/>
          </w:tcPr>
          <w:p w14:paraId="2EABF0E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0.208</w:t>
            </w:r>
          </w:p>
        </w:tc>
        <w:tc>
          <w:tcPr>
            <w:tcW w:w="1620" w:type="dxa"/>
            <w:vAlign w:val="bottom"/>
            <w:hideMark/>
          </w:tcPr>
          <w:p w14:paraId="154502D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1.137</w:t>
            </w:r>
          </w:p>
        </w:tc>
      </w:tr>
      <w:tr w:rsidR="00302953" w:rsidRPr="00770477" w14:paraId="06B17E89"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4EB914D8"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1-B-670-2</w:t>
            </w:r>
          </w:p>
        </w:tc>
        <w:tc>
          <w:tcPr>
            <w:tcW w:w="1610" w:type="dxa"/>
            <w:vAlign w:val="bottom"/>
            <w:hideMark/>
          </w:tcPr>
          <w:p w14:paraId="2D61841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0.217</w:t>
            </w:r>
          </w:p>
        </w:tc>
        <w:tc>
          <w:tcPr>
            <w:tcW w:w="1620" w:type="dxa"/>
            <w:vAlign w:val="bottom"/>
            <w:hideMark/>
          </w:tcPr>
          <w:p w14:paraId="1115A6E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1.186</w:t>
            </w:r>
          </w:p>
        </w:tc>
      </w:tr>
      <w:tr w:rsidR="00302953" w:rsidRPr="00770477" w14:paraId="58D16C0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624FF63B"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1-C-010-1</w:t>
            </w:r>
          </w:p>
        </w:tc>
        <w:tc>
          <w:tcPr>
            <w:tcW w:w="1610" w:type="dxa"/>
            <w:vAlign w:val="bottom"/>
            <w:hideMark/>
          </w:tcPr>
          <w:p w14:paraId="30A6129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0.028</w:t>
            </w:r>
          </w:p>
        </w:tc>
        <w:tc>
          <w:tcPr>
            <w:tcW w:w="1620" w:type="dxa"/>
            <w:vAlign w:val="bottom"/>
            <w:hideMark/>
          </w:tcPr>
          <w:p w14:paraId="6E233C6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0.102</w:t>
            </w:r>
          </w:p>
        </w:tc>
      </w:tr>
      <w:tr w:rsidR="00302953" w:rsidRPr="00770477" w14:paraId="3AAEBD1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752A00F6"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1-C-040-1</w:t>
            </w:r>
          </w:p>
        </w:tc>
        <w:tc>
          <w:tcPr>
            <w:tcW w:w="1610" w:type="dxa"/>
            <w:vAlign w:val="bottom"/>
            <w:hideMark/>
          </w:tcPr>
          <w:p w14:paraId="6773D4F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0.035</w:t>
            </w:r>
          </w:p>
        </w:tc>
        <w:tc>
          <w:tcPr>
            <w:tcW w:w="1620" w:type="dxa"/>
            <w:vAlign w:val="bottom"/>
            <w:hideMark/>
          </w:tcPr>
          <w:p w14:paraId="61BD6A9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0.129</w:t>
            </w:r>
          </w:p>
        </w:tc>
      </w:tr>
      <w:tr w:rsidR="00302953" w:rsidRPr="00770477" w14:paraId="14B1F9B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5C989822"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1-C-090-1</w:t>
            </w:r>
          </w:p>
        </w:tc>
        <w:tc>
          <w:tcPr>
            <w:tcW w:w="1610" w:type="dxa"/>
            <w:vAlign w:val="bottom"/>
            <w:hideMark/>
          </w:tcPr>
          <w:p w14:paraId="6511317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0.033</w:t>
            </w:r>
          </w:p>
        </w:tc>
        <w:tc>
          <w:tcPr>
            <w:tcW w:w="1620" w:type="dxa"/>
            <w:vAlign w:val="bottom"/>
            <w:hideMark/>
          </w:tcPr>
          <w:p w14:paraId="5FA33E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0.124</w:t>
            </w:r>
          </w:p>
        </w:tc>
      </w:tr>
      <w:tr w:rsidR="00302953" w:rsidRPr="00770477" w14:paraId="1719C60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0AC6BA3B"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1-C-090-2</w:t>
            </w:r>
          </w:p>
        </w:tc>
        <w:tc>
          <w:tcPr>
            <w:tcW w:w="1610" w:type="dxa"/>
            <w:vAlign w:val="bottom"/>
            <w:hideMark/>
          </w:tcPr>
          <w:p w14:paraId="04E3128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0.023</w:t>
            </w:r>
          </w:p>
        </w:tc>
        <w:tc>
          <w:tcPr>
            <w:tcW w:w="1620" w:type="dxa"/>
            <w:vAlign w:val="bottom"/>
            <w:hideMark/>
          </w:tcPr>
          <w:p w14:paraId="16495A4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0.086</w:t>
            </w:r>
          </w:p>
        </w:tc>
      </w:tr>
      <w:tr w:rsidR="00302953" w:rsidRPr="00770477" w14:paraId="0A46D58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52CE47F7"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1-C-160-1</w:t>
            </w:r>
          </w:p>
        </w:tc>
        <w:tc>
          <w:tcPr>
            <w:tcW w:w="1610" w:type="dxa"/>
            <w:vAlign w:val="bottom"/>
            <w:hideMark/>
          </w:tcPr>
          <w:p w14:paraId="4EABB7A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0.045</w:t>
            </w:r>
          </w:p>
        </w:tc>
        <w:tc>
          <w:tcPr>
            <w:tcW w:w="1620" w:type="dxa"/>
            <w:vAlign w:val="bottom"/>
            <w:hideMark/>
          </w:tcPr>
          <w:p w14:paraId="2CB080B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0.180</w:t>
            </w:r>
          </w:p>
        </w:tc>
      </w:tr>
      <w:tr w:rsidR="00302953" w:rsidRPr="00770477" w14:paraId="62B1FD8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5A7A8F35"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1-C-270-1</w:t>
            </w:r>
          </w:p>
        </w:tc>
        <w:tc>
          <w:tcPr>
            <w:tcW w:w="1610" w:type="dxa"/>
            <w:vAlign w:val="bottom"/>
            <w:hideMark/>
          </w:tcPr>
          <w:p w14:paraId="2AD4C5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0.121</w:t>
            </w:r>
          </w:p>
        </w:tc>
        <w:tc>
          <w:tcPr>
            <w:tcW w:w="1620" w:type="dxa"/>
            <w:vAlign w:val="bottom"/>
            <w:hideMark/>
          </w:tcPr>
          <w:p w14:paraId="3F98C45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0.487</w:t>
            </w:r>
          </w:p>
        </w:tc>
      </w:tr>
      <w:tr w:rsidR="00302953" w:rsidRPr="00770477" w14:paraId="4E0EE6F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6158D4ED"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1-C-270-2</w:t>
            </w:r>
          </w:p>
        </w:tc>
        <w:tc>
          <w:tcPr>
            <w:tcW w:w="1610" w:type="dxa"/>
            <w:vAlign w:val="bottom"/>
            <w:hideMark/>
          </w:tcPr>
          <w:p w14:paraId="27ED659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0.027</w:t>
            </w:r>
          </w:p>
        </w:tc>
        <w:tc>
          <w:tcPr>
            <w:tcW w:w="1620" w:type="dxa"/>
            <w:vAlign w:val="bottom"/>
            <w:hideMark/>
          </w:tcPr>
          <w:p w14:paraId="595FDF8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0.109</w:t>
            </w:r>
          </w:p>
        </w:tc>
      </w:tr>
      <w:tr w:rsidR="00302953" w:rsidRPr="00770477" w14:paraId="223D6041"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2CBEFF3A"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1-C-430-1</w:t>
            </w:r>
          </w:p>
        </w:tc>
        <w:tc>
          <w:tcPr>
            <w:tcW w:w="1610" w:type="dxa"/>
            <w:vAlign w:val="bottom"/>
            <w:hideMark/>
          </w:tcPr>
          <w:p w14:paraId="36520CB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0.056</w:t>
            </w:r>
          </w:p>
        </w:tc>
        <w:tc>
          <w:tcPr>
            <w:tcW w:w="1620" w:type="dxa"/>
            <w:vAlign w:val="bottom"/>
            <w:hideMark/>
          </w:tcPr>
          <w:p w14:paraId="04BEAE9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0.241</w:t>
            </w:r>
          </w:p>
        </w:tc>
      </w:tr>
      <w:tr w:rsidR="00302953" w:rsidRPr="00770477" w14:paraId="484B4F9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27A25F54"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1-C-670-1</w:t>
            </w:r>
          </w:p>
        </w:tc>
        <w:tc>
          <w:tcPr>
            <w:tcW w:w="1610" w:type="dxa"/>
            <w:vAlign w:val="bottom"/>
            <w:hideMark/>
          </w:tcPr>
          <w:p w14:paraId="1B2FD87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0.092</w:t>
            </w:r>
          </w:p>
        </w:tc>
        <w:tc>
          <w:tcPr>
            <w:tcW w:w="1620" w:type="dxa"/>
            <w:vAlign w:val="bottom"/>
            <w:hideMark/>
          </w:tcPr>
          <w:p w14:paraId="158FCA2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0.503</w:t>
            </w:r>
          </w:p>
        </w:tc>
      </w:tr>
      <w:tr w:rsidR="00302953" w:rsidRPr="00770477" w14:paraId="216944C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0C389B96"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1-C-670-2</w:t>
            </w:r>
          </w:p>
        </w:tc>
        <w:tc>
          <w:tcPr>
            <w:tcW w:w="1610" w:type="dxa"/>
            <w:vAlign w:val="bottom"/>
            <w:hideMark/>
          </w:tcPr>
          <w:p w14:paraId="72B5938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0.064</w:t>
            </w:r>
          </w:p>
        </w:tc>
        <w:tc>
          <w:tcPr>
            <w:tcW w:w="1620" w:type="dxa"/>
            <w:vAlign w:val="bottom"/>
            <w:hideMark/>
          </w:tcPr>
          <w:p w14:paraId="3AE940D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0.350</w:t>
            </w:r>
          </w:p>
        </w:tc>
      </w:tr>
      <w:tr w:rsidR="00302953" w:rsidRPr="00770477" w14:paraId="1FF4825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5E7F9959"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1-I-000-3</w:t>
            </w:r>
          </w:p>
        </w:tc>
        <w:tc>
          <w:tcPr>
            <w:tcW w:w="1610" w:type="dxa"/>
            <w:vAlign w:val="bottom"/>
            <w:hideMark/>
          </w:tcPr>
          <w:p w14:paraId="602AC12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0.278</w:t>
            </w:r>
          </w:p>
        </w:tc>
        <w:tc>
          <w:tcPr>
            <w:tcW w:w="1620" w:type="dxa"/>
            <w:vAlign w:val="bottom"/>
            <w:hideMark/>
          </w:tcPr>
          <w:p w14:paraId="633FC1A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1.000</w:t>
            </w:r>
          </w:p>
        </w:tc>
      </w:tr>
      <w:tr w:rsidR="00302953" w:rsidRPr="00770477" w14:paraId="59AF983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02388A84"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1-I-160-3</w:t>
            </w:r>
          </w:p>
        </w:tc>
        <w:tc>
          <w:tcPr>
            <w:tcW w:w="1610" w:type="dxa"/>
            <w:vAlign w:val="bottom"/>
            <w:hideMark/>
          </w:tcPr>
          <w:p w14:paraId="4E268DB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0.25</w:t>
            </w:r>
          </w:p>
        </w:tc>
        <w:tc>
          <w:tcPr>
            <w:tcW w:w="1620" w:type="dxa"/>
            <w:vAlign w:val="bottom"/>
            <w:hideMark/>
          </w:tcPr>
          <w:p w14:paraId="3816B1C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1.000</w:t>
            </w:r>
          </w:p>
        </w:tc>
      </w:tr>
      <w:tr w:rsidR="00302953" w:rsidRPr="00770477" w14:paraId="1B846DE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406EEC77"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1-I-670-3</w:t>
            </w:r>
          </w:p>
        </w:tc>
        <w:tc>
          <w:tcPr>
            <w:tcW w:w="1610" w:type="dxa"/>
            <w:vAlign w:val="bottom"/>
            <w:hideMark/>
          </w:tcPr>
          <w:p w14:paraId="7A72687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0.183</w:t>
            </w:r>
          </w:p>
        </w:tc>
        <w:tc>
          <w:tcPr>
            <w:tcW w:w="1620" w:type="dxa"/>
            <w:vAlign w:val="bottom"/>
            <w:hideMark/>
          </w:tcPr>
          <w:p w14:paraId="121DC7B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1.000</w:t>
            </w:r>
          </w:p>
        </w:tc>
      </w:tr>
      <w:tr w:rsidR="00302953" w:rsidRPr="00770477" w14:paraId="4322AEF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42794BBA"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2-A-010-1</w:t>
            </w:r>
          </w:p>
        </w:tc>
        <w:tc>
          <w:tcPr>
            <w:tcW w:w="1610" w:type="dxa"/>
            <w:vAlign w:val="bottom"/>
            <w:hideMark/>
          </w:tcPr>
          <w:p w14:paraId="425AEE5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0.314</w:t>
            </w:r>
          </w:p>
        </w:tc>
        <w:tc>
          <w:tcPr>
            <w:tcW w:w="1620" w:type="dxa"/>
            <w:vAlign w:val="bottom"/>
            <w:hideMark/>
          </w:tcPr>
          <w:p w14:paraId="3577772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1.053</w:t>
            </w:r>
          </w:p>
        </w:tc>
      </w:tr>
      <w:tr w:rsidR="00302953" w:rsidRPr="00770477" w14:paraId="5E3B05C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249F227B"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2-A-040-1</w:t>
            </w:r>
          </w:p>
        </w:tc>
        <w:tc>
          <w:tcPr>
            <w:tcW w:w="1610" w:type="dxa"/>
            <w:vAlign w:val="bottom"/>
            <w:hideMark/>
          </w:tcPr>
          <w:p w14:paraId="07FA9FF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0.306</w:t>
            </w:r>
          </w:p>
        </w:tc>
        <w:tc>
          <w:tcPr>
            <w:tcW w:w="1620" w:type="dxa"/>
            <w:vAlign w:val="bottom"/>
            <w:hideMark/>
          </w:tcPr>
          <w:p w14:paraId="34D804C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1.033</w:t>
            </w:r>
          </w:p>
        </w:tc>
      </w:tr>
      <w:tr w:rsidR="00302953" w:rsidRPr="00770477" w14:paraId="7636421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195A7153"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2-A-090-1</w:t>
            </w:r>
          </w:p>
        </w:tc>
        <w:tc>
          <w:tcPr>
            <w:tcW w:w="1610" w:type="dxa"/>
            <w:vAlign w:val="bottom"/>
            <w:hideMark/>
          </w:tcPr>
          <w:p w14:paraId="3DBA4D8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0.303</w:t>
            </w:r>
          </w:p>
        </w:tc>
        <w:tc>
          <w:tcPr>
            <w:tcW w:w="1620" w:type="dxa"/>
            <w:vAlign w:val="bottom"/>
            <w:hideMark/>
          </w:tcPr>
          <w:p w14:paraId="2F3DF03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1.036</w:t>
            </w:r>
          </w:p>
        </w:tc>
      </w:tr>
      <w:tr w:rsidR="00302953" w:rsidRPr="00770477" w14:paraId="7C00275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1A91E504"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2-A-160-1</w:t>
            </w:r>
          </w:p>
        </w:tc>
        <w:tc>
          <w:tcPr>
            <w:tcW w:w="1610" w:type="dxa"/>
            <w:vAlign w:val="bottom"/>
            <w:hideMark/>
          </w:tcPr>
          <w:p w14:paraId="6A0B85B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0.276</w:t>
            </w:r>
          </w:p>
        </w:tc>
        <w:tc>
          <w:tcPr>
            <w:tcW w:w="1620" w:type="dxa"/>
            <w:vAlign w:val="bottom"/>
            <w:hideMark/>
          </w:tcPr>
          <w:p w14:paraId="5715D7A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0.982</w:t>
            </w:r>
          </w:p>
        </w:tc>
      </w:tr>
      <w:tr w:rsidR="00302953" w:rsidRPr="00770477" w14:paraId="7257C48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2CF33656"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lastRenderedPageBreak/>
              <w:t>2-A-160-2</w:t>
            </w:r>
          </w:p>
        </w:tc>
        <w:tc>
          <w:tcPr>
            <w:tcW w:w="1610" w:type="dxa"/>
            <w:vAlign w:val="bottom"/>
            <w:hideMark/>
          </w:tcPr>
          <w:p w14:paraId="09785E6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0.263</w:t>
            </w:r>
          </w:p>
        </w:tc>
        <w:tc>
          <w:tcPr>
            <w:tcW w:w="1620" w:type="dxa"/>
            <w:vAlign w:val="bottom"/>
            <w:hideMark/>
          </w:tcPr>
          <w:p w14:paraId="69C9809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0.936</w:t>
            </w:r>
          </w:p>
        </w:tc>
      </w:tr>
      <w:tr w:rsidR="00302953" w:rsidRPr="00770477" w14:paraId="180F041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2C1C33EF"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2-A-270-1</w:t>
            </w:r>
          </w:p>
        </w:tc>
        <w:tc>
          <w:tcPr>
            <w:tcW w:w="1610" w:type="dxa"/>
            <w:vAlign w:val="bottom"/>
            <w:hideMark/>
          </w:tcPr>
          <w:p w14:paraId="5101221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0.254</w:t>
            </w:r>
          </w:p>
        </w:tc>
        <w:tc>
          <w:tcPr>
            <w:tcW w:w="1620" w:type="dxa"/>
            <w:vAlign w:val="bottom"/>
            <w:hideMark/>
          </w:tcPr>
          <w:p w14:paraId="3385335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0.907</w:t>
            </w:r>
          </w:p>
        </w:tc>
      </w:tr>
      <w:tr w:rsidR="00302953" w:rsidRPr="00770477" w14:paraId="51C0E1B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131CD9C0"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2-A-270-2</w:t>
            </w:r>
          </w:p>
        </w:tc>
        <w:tc>
          <w:tcPr>
            <w:tcW w:w="1610" w:type="dxa"/>
            <w:vAlign w:val="bottom"/>
            <w:hideMark/>
          </w:tcPr>
          <w:p w14:paraId="54DA43B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0.254</w:t>
            </w:r>
          </w:p>
        </w:tc>
        <w:tc>
          <w:tcPr>
            <w:tcW w:w="1620" w:type="dxa"/>
            <w:vAlign w:val="bottom"/>
            <w:hideMark/>
          </w:tcPr>
          <w:p w14:paraId="54656AD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0.907</w:t>
            </w:r>
          </w:p>
        </w:tc>
      </w:tr>
      <w:tr w:rsidR="00302953" w:rsidRPr="00770477" w14:paraId="617F963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6FA03658"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2-A-430-1</w:t>
            </w:r>
          </w:p>
        </w:tc>
        <w:tc>
          <w:tcPr>
            <w:tcW w:w="1610" w:type="dxa"/>
            <w:vAlign w:val="bottom"/>
            <w:hideMark/>
          </w:tcPr>
          <w:p w14:paraId="7051BA6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0.254</w:t>
            </w:r>
          </w:p>
        </w:tc>
        <w:tc>
          <w:tcPr>
            <w:tcW w:w="1620" w:type="dxa"/>
            <w:vAlign w:val="bottom"/>
            <w:hideMark/>
          </w:tcPr>
          <w:p w14:paraId="0A6861E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0.945</w:t>
            </w:r>
          </w:p>
        </w:tc>
      </w:tr>
      <w:tr w:rsidR="00302953" w:rsidRPr="00770477" w14:paraId="29D3BBE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76B336B0"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2-A-670-1</w:t>
            </w:r>
          </w:p>
        </w:tc>
        <w:tc>
          <w:tcPr>
            <w:tcW w:w="1610" w:type="dxa"/>
            <w:vAlign w:val="bottom"/>
            <w:hideMark/>
          </w:tcPr>
          <w:p w14:paraId="5445F54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0.254</w:t>
            </w:r>
          </w:p>
        </w:tc>
        <w:tc>
          <w:tcPr>
            <w:tcW w:w="1620" w:type="dxa"/>
            <w:vAlign w:val="bottom"/>
            <w:hideMark/>
          </w:tcPr>
          <w:p w14:paraId="1AE04C1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1.000</w:t>
            </w:r>
          </w:p>
        </w:tc>
      </w:tr>
      <w:tr w:rsidR="00302953" w:rsidRPr="00770477" w14:paraId="0AAFCA7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3ADCC445"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2-B-010-1</w:t>
            </w:r>
          </w:p>
        </w:tc>
        <w:tc>
          <w:tcPr>
            <w:tcW w:w="1610" w:type="dxa"/>
            <w:vAlign w:val="bottom"/>
            <w:hideMark/>
          </w:tcPr>
          <w:p w14:paraId="426250C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0.311</w:t>
            </w:r>
          </w:p>
        </w:tc>
        <w:tc>
          <w:tcPr>
            <w:tcW w:w="1620" w:type="dxa"/>
            <w:vAlign w:val="bottom"/>
            <w:hideMark/>
          </w:tcPr>
          <w:p w14:paraId="50C0ACB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1.043</w:t>
            </w:r>
          </w:p>
        </w:tc>
      </w:tr>
      <w:tr w:rsidR="00302953" w:rsidRPr="00770477" w14:paraId="1125795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14F62D97"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2-B-040-1</w:t>
            </w:r>
          </w:p>
        </w:tc>
        <w:tc>
          <w:tcPr>
            <w:tcW w:w="1610" w:type="dxa"/>
            <w:vAlign w:val="bottom"/>
            <w:hideMark/>
          </w:tcPr>
          <w:p w14:paraId="433FB9D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0.298</w:t>
            </w:r>
          </w:p>
        </w:tc>
        <w:tc>
          <w:tcPr>
            <w:tcW w:w="1620" w:type="dxa"/>
            <w:vAlign w:val="bottom"/>
            <w:hideMark/>
          </w:tcPr>
          <w:p w14:paraId="7EC971F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1.006</w:t>
            </w:r>
          </w:p>
        </w:tc>
      </w:tr>
      <w:tr w:rsidR="00302953" w:rsidRPr="00770477" w14:paraId="0D925F5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65AD581F"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2-B-040-2</w:t>
            </w:r>
          </w:p>
        </w:tc>
        <w:tc>
          <w:tcPr>
            <w:tcW w:w="1610" w:type="dxa"/>
            <w:vAlign w:val="bottom"/>
            <w:hideMark/>
          </w:tcPr>
          <w:p w14:paraId="461A82B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0.3</w:t>
            </w:r>
          </w:p>
        </w:tc>
        <w:tc>
          <w:tcPr>
            <w:tcW w:w="1620" w:type="dxa"/>
            <w:vAlign w:val="bottom"/>
            <w:hideMark/>
          </w:tcPr>
          <w:p w14:paraId="02157E1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1.013</w:t>
            </w:r>
          </w:p>
        </w:tc>
      </w:tr>
      <w:tr w:rsidR="00302953" w:rsidRPr="00770477" w14:paraId="61B11E2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43606E8A"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2-B-090-1</w:t>
            </w:r>
          </w:p>
        </w:tc>
        <w:tc>
          <w:tcPr>
            <w:tcW w:w="1610" w:type="dxa"/>
            <w:vAlign w:val="bottom"/>
            <w:hideMark/>
          </w:tcPr>
          <w:p w14:paraId="657D7E1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0.298</w:t>
            </w:r>
          </w:p>
        </w:tc>
        <w:tc>
          <w:tcPr>
            <w:tcW w:w="1620" w:type="dxa"/>
            <w:vAlign w:val="bottom"/>
            <w:hideMark/>
          </w:tcPr>
          <w:p w14:paraId="1A5C4AD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1.018</w:t>
            </w:r>
          </w:p>
        </w:tc>
      </w:tr>
      <w:tr w:rsidR="00302953" w:rsidRPr="00770477" w14:paraId="5FF525DF"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62DED9DE"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2-B-160-1</w:t>
            </w:r>
          </w:p>
        </w:tc>
        <w:tc>
          <w:tcPr>
            <w:tcW w:w="1610" w:type="dxa"/>
            <w:vAlign w:val="bottom"/>
            <w:hideMark/>
          </w:tcPr>
          <w:p w14:paraId="1A5904B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0.285</w:t>
            </w:r>
          </w:p>
        </w:tc>
        <w:tc>
          <w:tcPr>
            <w:tcW w:w="1620" w:type="dxa"/>
            <w:vAlign w:val="bottom"/>
            <w:hideMark/>
          </w:tcPr>
          <w:p w14:paraId="6416F65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1.014</w:t>
            </w:r>
          </w:p>
        </w:tc>
      </w:tr>
      <w:tr w:rsidR="00302953" w:rsidRPr="00770477" w14:paraId="34EE02F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5ABAB3AD"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2-B-270-1</w:t>
            </w:r>
          </w:p>
        </w:tc>
        <w:tc>
          <w:tcPr>
            <w:tcW w:w="1610" w:type="dxa"/>
            <w:vAlign w:val="bottom"/>
            <w:hideMark/>
          </w:tcPr>
          <w:p w14:paraId="478BE19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0.254</w:t>
            </w:r>
          </w:p>
        </w:tc>
        <w:tc>
          <w:tcPr>
            <w:tcW w:w="1620" w:type="dxa"/>
            <w:vAlign w:val="bottom"/>
            <w:hideMark/>
          </w:tcPr>
          <w:p w14:paraId="5C5B483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0.907</w:t>
            </w:r>
          </w:p>
        </w:tc>
      </w:tr>
      <w:tr w:rsidR="00302953" w:rsidRPr="00770477" w14:paraId="3F98C78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29F515FA"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2-B-430-1</w:t>
            </w:r>
          </w:p>
        </w:tc>
        <w:tc>
          <w:tcPr>
            <w:tcW w:w="1610" w:type="dxa"/>
            <w:vAlign w:val="bottom"/>
            <w:hideMark/>
          </w:tcPr>
          <w:p w14:paraId="3A58D38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0.254</w:t>
            </w:r>
          </w:p>
        </w:tc>
        <w:tc>
          <w:tcPr>
            <w:tcW w:w="1620" w:type="dxa"/>
            <w:vAlign w:val="bottom"/>
            <w:hideMark/>
          </w:tcPr>
          <w:p w14:paraId="7CB8260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0.945</w:t>
            </w:r>
          </w:p>
        </w:tc>
      </w:tr>
      <w:tr w:rsidR="00302953" w:rsidRPr="00770477" w14:paraId="185F83D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632B0A76"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2-B-430-2</w:t>
            </w:r>
          </w:p>
        </w:tc>
        <w:tc>
          <w:tcPr>
            <w:tcW w:w="1610" w:type="dxa"/>
            <w:vAlign w:val="bottom"/>
            <w:hideMark/>
          </w:tcPr>
          <w:p w14:paraId="053D463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0.254</w:t>
            </w:r>
          </w:p>
        </w:tc>
        <w:tc>
          <w:tcPr>
            <w:tcW w:w="1620" w:type="dxa"/>
            <w:vAlign w:val="bottom"/>
            <w:hideMark/>
          </w:tcPr>
          <w:p w14:paraId="1ABB23F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0.945</w:t>
            </w:r>
          </w:p>
        </w:tc>
      </w:tr>
      <w:tr w:rsidR="00302953" w:rsidRPr="00770477" w14:paraId="4047BC9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2352738D"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2-B-670-1</w:t>
            </w:r>
          </w:p>
        </w:tc>
        <w:tc>
          <w:tcPr>
            <w:tcW w:w="1610" w:type="dxa"/>
            <w:vAlign w:val="bottom"/>
            <w:hideMark/>
          </w:tcPr>
          <w:p w14:paraId="2D27BFE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0.254</w:t>
            </w:r>
          </w:p>
        </w:tc>
        <w:tc>
          <w:tcPr>
            <w:tcW w:w="1620" w:type="dxa"/>
            <w:vAlign w:val="bottom"/>
            <w:hideMark/>
          </w:tcPr>
          <w:p w14:paraId="68F9553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1.000</w:t>
            </w:r>
          </w:p>
        </w:tc>
      </w:tr>
      <w:tr w:rsidR="00302953" w:rsidRPr="00770477" w14:paraId="0358375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1B1B7009"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2-C-010-1</w:t>
            </w:r>
          </w:p>
        </w:tc>
        <w:tc>
          <w:tcPr>
            <w:tcW w:w="1610" w:type="dxa"/>
            <w:vAlign w:val="bottom"/>
            <w:hideMark/>
          </w:tcPr>
          <w:p w14:paraId="06A5C8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0.162</w:t>
            </w:r>
          </w:p>
        </w:tc>
        <w:tc>
          <w:tcPr>
            <w:tcW w:w="1620" w:type="dxa"/>
            <w:vAlign w:val="bottom"/>
            <w:hideMark/>
          </w:tcPr>
          <w:p w14:paraId="20F8C98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0.543</w:t>
            </w:r>
          </w:p>
        </w:tc>
      </w:tr>
      <w:tr w:rsidR="00302953" w:rsidRPr="00770477" w14:paraId="57D5FE3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6A4F71F2"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2-C-010-2</w:t>
            </w:r>
          </w:p>
        </w:tc>
        <w:tc>
          <w:tcPr>
            <w:tcW w:w="1610" w:type="dxa"/>
            <w:vAlign w:val="bottom"/>
            <w:hideMark/>
          </w:tcPr>
          <w:p w14:paraId="04D3485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0.161</w:t>
            </w:r>
          </w:p>
        </w:tc>
        <w:tc>
          <w:tcPr>
            <w:tcW w:w="1620" w:type="dxa"/>
            <w:vAlign w:val="bottom"/>
            <w:hideMark/>
          </w:tcPr>
          <w:p w14:paraId="388B6CB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0.540</w:t>
            </w:r>
          </w:p>
        </w:tc>
      </w:tr>
      <w:tr w:rsidR="00302953" w:rsidRPr="00770477" w14:paraId="2278821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47869976"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2-C-040-1</w:t>
            </w:r>
          </w:p>
        </w:tc>
        <w:tc>
          <w:tcPr>
            <w:tcW w:w="1610" w:type="dxa"/>
            <w:vAlign w:val="bottom"/>
            <w:hideMark/>
          </w:tcPr>
          <w:p w14:paraId="11BA2C0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0.201</w:t>
            </w:r>
          </w:p>
        </w:tc>
        <w:tc>
          <w:tcPr>
            <w:tcW w:w="1620" w:type="dxa"/>
            <w:vAlign w:val="bottom"/>
            <w:hideMark/>
          </w:tcPr>
          <w:p w14:paraId="2E3781B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0.679</w:t>
            </w:r>
          </w:p>
        </w:tc>
      </w:tr>
      <w:tr w:rsidR="00302953" w:rsidRPr="00770477" w14:paraId="1EA75C8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04240EDE"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2-C-090-1</w:t>
            </w:r>
          </w:p>
        </w:tc>
        <w:tc>
          <w:tcPr>
            <w:tcW w:w="1610" w:type="dxa"/>
            <w:vAlign w:val="bottom"/>
            <w:hideMark/>
          </w:tcPr>
          <w:p w14:paraId="765B11F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0.214</w:t>
            </w:r>
          </w:p>
        </w:tc>
        <w:tc>
          <w:tcPr>
            <w:tcW w:w="1620" w:type="dxa"/>
            <w:vAlign w:val="bottom"/>
            <w:hideMark/>
          </w:tcPr>
          <w:p w14:paraId="1ECC4CB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0.731</w:t>
            </w:r>
          </w:p>
        </w:tc>
      </w:tr>
      <w:tr w:rsidR="00302953" w:rsidRPr="00770477" w14:paraId="189488C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15945C71"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2-C-160-1</w:t>
            </w:r>
          </w:p>
        </w:tc>
        <w:tc>
          <w:tcPr>
            <w:tcW w:w="1610" w:type="dxa"/>
            <w:vAlign w:val="bottom"/>
            <w:hideMark/>
          </w:tcPr>
          <w:p w14:paraId="77AB088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0.245</w:t>
            </w:r>
          </w:p>
        </w:tc>
        <w:tc>
          <w:tcPr>
            <w:tcW w:w="1620" w:type="dxa"/>
            <w:vAlign w:val="bottom"/>
            <w:hideMark/>
          </w:tcPr>
          <w:p w14:paraId="77732D0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0.872</w:t>
            </w:r>
          </w:p>
        </w:tc>
      </w:tr>
      <w:tr w:rsidR="00302953" w:rsidRPr="00770477" w14:paraId="118A160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154FABD6"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2-C-270-1</w:t>
            </w:r>
          </w:p>
        </w:tc>
        <w:tc>
          <w:tcPr>
            <w:tcW w:w="1610" w:type="dxa"/>
            <w:vAlign w:val="bottom"/>
            <w:hideMark/>
          </w:tcPr>
          <w:p w14:paraId="2C7FE20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0.249</w:t>
            </w:r>
          </w:p>
        </w:tc>
        <w:tc>
          <w:tcPr>
            <w:tcW w:w="1620" w:type="dxa"/>
            <w:vAlign w:val="bottom"/>
            <w:hideMark/>
          </w:tcPr>
          <w:p w14:paraId="410FADC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0.889</w:t>
            </w:r>
          </w:p>
        </w:tc>
      </w:tr>
      <w:tr w:rsidR="00302953" w:rsidRPr="00770477" w14:paraId="2D81CCF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797B5ACF"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2-C-430-1</w:t>
            </w:r>
          </w:p>
        </w:tc>
        <w:tc>
          <w:tcPr>
            <w:tcW w:w="1610" w:type="dxa"/>
            <w:vAlign w:val="bottom"/>
            <w:hideMark/>
          </w:tcPr>
          <w:p w14:paraId="0C57C2B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0.254</w:t>
            </w:r>
          </w:p>
        </w:tc>
        <w:tc>
          <w:tcPr>
            <w:tcW w:w="1620" w:type="dxa"/>
            <w:vAlign w:val="bottom"/>
            <w:hideMark/>
          </w:tcPr>
          <w:p w14:paraId="1DD5C8B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0.945</w:t>
            </w:r>
          </w:p>
        </w:tc>
      </w:tr>
      <w:tr w:rsidR="00302953" w:rsidRPr="00770477" w14:paraId="2BF47E7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67A16B02"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2-C-430-2</w:t>
            </w:r>
          </w:p>
        </w:tc>
        <w:tc>
          <w:tcPr>
            <w:tcW w:w="1610" w:type="dxa"/>
            <w:vAlign w:val="bottom"/>
            <w:hideMark/>
          </w:tcPr>
          <w:p w14:paraId="369323E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0.254</w:t>
            </w:r>
          </w:p>
        </w:tc>
        <w:tc>
          <w:tcPr>
            <w:tcW w:w="1620" w:type="dxa"/>
            <w:vAlign w:val="bottom"/>
            <w:hideMark/>
          </w:tcPr>
          <w:p w14:paraId="45D588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0.945</w:t>
            </w:r>
          </w:p>
        </w:tc>
      </w:tr>
      <w:tr w:rsidR="00302953" w:rsidRPr="00770477" w14:paraId="1CDD61F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5DA3818D"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2-C-670-1</w:t>
            </w:r>
          </w:p>
        </w:tc>
        <w:tc>
          <w:tcPr>
            <w:tcW w:w="1610" w:type="dxa"/>
            <w:vAlign w:val="bottom"/>
            <w:hideMark/>
          </w:tcPr>
          <w:p w14:paraId="64ADE98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0.254</w:t>
            </w:r>
          </w:p>
        </w:tc>
        <w:tc>
          <w:tcPr>
            <w:tcW w:w="1620" w:type="dxa"/>
            <w:vAlign w:val="bottom"/>
            <w:hideMark/>
          </w:tcPr>
          <w:p w14:paraId="7EE4715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1.000</w:t>
            </w:r>
          </w:p>
        </w:tc>
      </w:tr>
      <w:tr w:rsidR="00302953" w:rsidRPr="00770477" w14:paraId="4D2B65F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7403F34E"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2-I-000-3</w:t>
            </w:r>
          </w:p>
        </w:tc>
        <w:tc>
          <w:tcPr>
            <w:tcW w:w="1610" w:type="dxa"/>
            <w:vAlign w:val="bottom"/>
            <w:hideMark/>
          </w:tcPr>
          <w:p w14:paraId="5699E87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0.304</w:t>
            </w:r>
          </w:p>
        </w:tc>
        <w:tc>
          <w:tcPr>
            <w:tcW w:w="1620" w:type="dxa"/>
            <w:vAlign w:val="bottom"/>
            <w:hideMark/>
          </w:tcPr>
          <w:p w14:paraId="697874F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1.000</w:t>
            </w:r>
          </w:p>
        </w:tc>
      </w:tr>
      <w:tr w:rsidR="00302953" w:rsidRPr="00770477" w14:paraId="3A2FFB7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14F2BC53"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2-I-160-3</w:t>
            </w:r>
          </w:p>
        </w:tc>
        <w:tc>
          <w:tcPr>
            <w:tcW w:w="1610" w:type="dxa"/>
            <w:vAlign w:val="bottom"/>
            <w:hideMark/>
          </w:tcPr>
          <w:p w14:paraId="3F2F73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0.281</w:t>
            </w:r>
          </w:p>
        </w:tc>
        <w:tc>
          <w:tcPr>
            <w:tcW w:w="1620" w:type="dxa"/>
            <w:vAlign w:val="bottom"/>
            <w:hideMark/>
          </w:tcPr>
          <w:p w14:paraId="1A729E4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1.000</w:t>
            </w:r>
          </w:p>
        </w:tc>
      </w:tr>
      <w:tr w:rsidR="00302953" w:rsidRPr="00770477" w14:paraId="2818872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5DCFCC7D"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2-I-670-3</w:t>
            </w:r>
          </w:p>
        </w:tc>
        <w:tc>
          <w:tcPr>
            <w:tcW w:w="1610" w:type="dxa"/>
            <w:vAlign w:val="bottom"/>
            <w:hideMark/>
          </w:tcPr>
          <w:p w14:paraId="07E4CEB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0.254</w:t>
            </w:r>
          </w:p>
        </w:tc>
        <w:tc>
          <w:tcPr>
            <w:tcW w:w="1620" w:type="dxa"/>
            <w:vAlign w:val="bottom"/>
            <w:hideMark/>
          </w:tcPr>
          <w:p w14:paraId="6FDA631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1.000</w:t>
            </w:r>
          </w:p>
        </w:tc>
      </w:tr>
      <w:tr w:rsidR="00302953" w:rsidRPr="00770477" w14:paraId="50DFF49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5005D1B0"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10-A-0-1</w:t>
            </w:r>
          </w:p>
        </w:tc>
        <w:tc>
          <w:tcPr>
            <w:tcW w:w="1610" w:type="dxa"/>
            <w:vAlign w:val="bottom"/>
            <w:hideMark/>
          </w:tcPr>
          <w:p w14:paraId="0A4A23B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0.029</w:t>
            </w:r>
          </w:p>
        </w:tc>
        <w:tc>
          <w:tcPr>
            <w:tcW w:w="1620" w:type="dxa"/>
            <w:vAlign w:val="bottom"/>
            <w:hideMark/>
          </w:tcPr>
          <w:p w14:paraId="5948974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0.145</w:t>
            </w:r>
          </w:p>
        </w:tc>
      </w:tr>
      <w:tr w:rsidR="00302953" w:rsidRPr="00770477" w14:paraId="6FA2BB5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3AB79D2D"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10-A-1-1</w:t>
            </w:r>
          </w:p>
        </w:tc>
        <w:tc>
          <w:tcPr>
            <w:tcW w:w="1610" w:type="dxa"/>
            <w:vAlign w:val="bottom"/>
            <w:hideMark/>
          </w:tcPr>
          <w:p w14:paraId="31158A0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0.011</w:t>
            </w:r>
          </w:p>
        </w:tc>
        <w:tc>
          <w:tcPr>
            <w:tcW w:w="1620" w:type="dxa"/>
            <w:vAlign w:val="bottom"/>
            <w:hideMark/>
          </w:tcPr>
          <w:p w14:paraId="225D481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0.066</w:t>
            </w:r>
          </w:p>
        </w:tc>
      </w:tr>
      <w:tr w:rsidR="00302953" w:rsidRPr="00770477" w14:paraId="6611401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50FA12E2"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10-A-1-2</w:t>
            </w:r>
          </w:p>
        </w:tc>
        <w:tc>
          <w:tcPr>
            <w:tcW w:w="1610" w:type="dxa"/>
            <w:vAlign w:val="bottom"/>
            <w:hideMark/>
          </w:tcPr>
          <w:p w14:paraId="24B341F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0.016</w:t>
            </w:r>
          </w:p>
        </w:tc>
        <w:tc>
          <w:tcPr>
            <w:tcW w:w="1620" w:type="dxa"/>
            <w:vAlign w:val="bottom"/>
            <w:hideMark/>
          </w:tcPr>
          <w:p w14:paraId="0BF58C3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0.096</w:t>
            </w:r>
          </w:p>
        </w:tc>
      </w:tr>
      <w:tr w:rsidR="00302953" w:rsidRPr="00770477" w14:paraId="351D48C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3ED4CD4F"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10-A-2-1</w:t>
            </w:r>
          </w:p>
        </w:tc>
        <w:tc>
          <w:tcPr>
            <w:tcW w:w="1610" w:type="dxa"/>
            <w:vAlign w:val="bottom"/>
            <w:hideMark/>
          </w:tcPr>
          <w:p w14:paraId="04D51B7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0.008</w:t>
            </w:r>
          </w:p>
        </w:tc>
        <w:tc>
          <w:tcPr>
            <w:tcW w:w="1620" w:type="dxa"/>
            <w:vAlign w:val="bottom"/>
            <w:hideMark/>
          </w:tcPr>
          <w:p w14:paraId="7E8AFD1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0.051</w:t>
            </w:r>
          </w:p>
        </w:tc>
      </w:tr>
      <w:tr w:rsidR="00302953" w:rsidRPr="00770477" w14:paraId="032569E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3F7DF540"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10-A-4-1</w:t>
            </w:r>
          </w:p>
        </w:tc>
        <w:tc>
          <w:tcPr>
            <w:tcW w:w="1610" w:type="dxa"/>
            <w:vAlign w:val="bottom"/>
            <w:hideMark/>
          </w:tcPr>
          <w:p w14:paraId="5E3674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0.008</w:t>
            </w:r>
          </w:p>
        </w:tc>
        <w:tc>
          <w:tcPr>
            <w:tcW w:w="1620" w:type="dxa"/>
            <w:vAlign w:val="bottom"/>
            <w:hideMark/>
          </w:tcPr>
          <w:p w14:paraId="6A2E09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0.051</w:t>
            </w:r>
          </w:p>
        </w:tc>
      </w:tr>
      <w:tr w:rsidR="00302953" w:rsidRPr="00770477" w14:paraId="033C1A8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4D5C058D"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10-A-6-1</w:t>
            </w:r>
          </w:p>
        </w:tc>
        <w:tc>
          <w:tcPr>
            <w:tcW w:w="1610" w:type="dxa"/>
            <w:vAlign w:val="bottom"/>
            <w:hideMark/>
          </w:tcPr>
          <w:p w14:paraId="5E4DD52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0.018</w:t>
            </w:r>
          </w:p>
        </w:tc>
        <w:tc>
          <w:tcPr>
            <w:tcW w:w="1620" w:type="dxa"/>
            <w:vAlign w:val="bottom"/>
            <w:hideMark/>
          </w:tcPr>
          <w:p w14:paraId="6AF63AD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0.112</w:t>
            </w:r>
          </w:p>
        </w:tc>
      </w:tr>
      <w:tr w:rsidR="00302953" w:rsidRPr="00770477" w14:paraId="61B8CD4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33D19CF5"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10-A-10-1</w:t>
            </w:r>
          </w:p>
        </w:tc>
        <w:tc>
          <w:tcPr>
            <w:tcW w:w="1610" w:type="dxa"/>
            <w:vAlign w:val="bottom"/>
            <w:hideMark/>
          </w:tcPr>
          <w:p w14:paraId="0B7F318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0.007</w:t>
            </w:r>
          </w:p>
        </w:tc>
        <w:tc>
          <w:tcPr>
            <w:tcW w:w="1620" w:type="dxa"/>
            <w:vAlign w:val="bottom"/>
            <w:hideMark/>
          </w:tcPr>
          <w:p w14:paraId="299C06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0.045</w:t>
            </w:r>
          </w:p>
        </w:tc>
      </w:tr>
      <w:tr w:rsidR="00302953" w:rsidRPr="00770477" w14:paraId="224C5E4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09A7D9A3"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10-A-17-1</w:t>
            </w:r>
          </w:p>
        </w:tc>
        <w:tc>
          <w:tcPr>
            <w:tcW w:w="1610" w:type="dxa"/>
            <w:vAlign w:val="bottom"/>
            <w:hideMark/>
          </w:tcPr>
          <w:p w14:paraId="0755089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0.01</w:t>
            </w:r>
          </w:p>
        </w:tc>
        <w:tc>
          <w:tcPr>
            <w:tcW w:w="1620" w:type="dxa"/>
            <w:vAlign w:val="bottom"/>
            <w:hideMark/>
          </w:tcPr>
          <w:p w14:paraId="6436B86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0.061</w:t>
            </w:r>
          </w:p>
        </w:tc>
      </w:tr>
      <w:tr w:rsidR="00302953" w:rsidRPr="00770477" w14:paraId="4420FD9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66CA4327"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10-A-17-2</w:t>
            </w:r>
          </w:p>
        </w:tc>
        <w:tc>
          <w:tcPr>
            <w:tcW w:w="1610" w:type="dxa"/>
            <w:vAlign w:val="bottom"/>
            <w:hideMark/>
          </w:tcPr>
          <w:p w14:paraId="787F1C2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0.01</w:t>
            </w:r>
          </w:p>
        </w:tc>
        <w:tc>
          <w:tcPr>
            <w:tcW w:w="1620" w:type="dxa"/>
            <w:vAlign w:val="bottom"/>
            <w:hideMark/>
          </w:tcPr>
          <w:p w14:paraId="3F69424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0.061</w:t>
            </w:r>
          </w:p>
        </w:tc>
      </w:tr>
      <w:tr w:rsidR="00302953" w:rsidRPr="00770477" w14:paraId="0F985FB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40ADEC4A"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10-A-27-1</w:t>
            </w:r>
          </w:p>
        </w:tc>
        <w:tc>
          <w:tcPr>
            <w:tcW w:w="1610" w:type="dxa"/>
            <w:vAlign w:val="bottom"/>
            <w:hideMark/>
          </w:tcPr>
          <w:p w14:paraId="6B4EA99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0.01</w:t>
            </w:r>
          </w:p>
        </w:tc>
        <w:tc>
          <w:tcPr>
            <w:tcW w:w="1620" w:type="dxa"/>
            <w:vAlign w:val="bottom"/>
            <w:hideMark/>
          </w:tcPr>
          <w:p w14:paraId="43CC4C5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0.058</w:t>
            </w:r>
          </w:p>
        </w:tc>
      </w:tr>
      <w:tr w:rsidR="00302953" w:rsidRPr="00770477" w14:paraId="098DAFD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639CFAB2"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10-B-0-1</w:t>
            </w:r>
          </w:p>
        </w:tc>
        <w:tc>
          <w:tcPr>
            <w:tcW w:w="1610" w:type="dxa"/>
            <w:vAlign w:val="bottom"/>
            <w:hideMark/>
          </w:tcPr>
          <w:p w14:paraId="184A6B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0.129</w:t>
            </w:r>
          </w:p>
        </w:tc>
        <w:tc>
          <w:tcPr>
            <w:tcW w:w="1620" w:type="dxa"/>
            <w:vAlign w:val="bottom"/>
            <w:hideMark/>
          </w:tcPr>
          <w:p w14:paraId="7A00BE3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0.645</w:t>
            </w:r>
          </w:p>
        </w:tc>
      </w:tr>
      <w:tr w:rsidR="00302953" w:rsidRPr="00770477" w14:paraId="6F9373A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1B9F10E4"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10-B-1-1</w:t>
            </w:r>
          </w:p>
        </w:tc>
        <w:tc>
          <w:tcPr>
            <w:tcW w:w="1610" w:type="dxa"/>
            <w:vAlign w:val="bottom"/>
            <w:hideMark/>
          </w:tcPr>
          <w:p w14:paraId="4057A92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0.049</w:t>
            </w:r>
          </w:p>
        </w:tc>
        <w:tc>
          <w:tcPr>
            <w:tcW w:w="1620" w:type="dxa"/>
            <w:vAlign w:val="bottom"/>
            <w:hideMark/>
          </w:tcPr>
          <w:p w14:paraId="7E0060E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0.295</w:t>
            </w:r>
          </w:p>
        </w:tc>
      </w:tr>
      <w:tr w:rsidR="00302953" w:rsidRPr="00770477" w14:paraId="2A370D19"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06C8F523"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10-B-1-2</w:t>
            </w:r>
          </w:p>
        </w:tc>
        <w:tc>
          <w:tcPr>
            <w:tcW w:w="1610" w:type="dxa"/>
            <w:vAlign w:val="bottom"/>
            <w:hideMark/>
          </w:tcPr>
          <w:p w14:paraId="6670F1F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0.057</w:t>
            </w:r>
          </w:p>
        </w:tc>
        <w:tc>
          <w:tcPr>
            <w:tcW w:w="1620" w:type="dxa"/>
            <w:vAlign w:val="bottom"/>
            <w:hideMark/>
          </w:tcPr>
          <w:p w14:paraId="1600728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0.343</w:t>
            </w:r>
          </w:p>
        </w:tc>
      </w:tr>
      <w:tr w:rsidR="00302953" w:rsidRPr="00770477" w14:paraId="259B959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1CFE4051"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10-B-2-1</w:t>
            </w:r>
          </w:p>
        </w:tc>
        <w:tc>
          <w:tcPr>
            <w:tcW w:w="1610" w:type="dxa"/>
            <w:vAlign w:val="bottom"/>
            <w:hideMark/>
          </w:tcPr>
          <w:p w14:paraId="60F61AC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0.043</w:t>
            </w:r>
          </w:p>
        </w:tc>
        <w:tc>
          <w:tcPr>
            <w:tcW w:w="1620" w:type="dxa"/>
            <w:vAlign w:val="bottom"/>
            <w:hideMark/>
          </w:tcPr>
          <w:p w14:paraId="5C6EE6D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0.274</w:t>
            </w:r>
          </w:p>
        </w:tc>
      </w:tr>
      <w:tr w:rsidR="00302953" w:rsidRPr="00770477" w14:paraId="10B0FCD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5CC570A7"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10-B-4-1</w:t>
            </w:r>
          </w:p>
        </w:tc>
        <w:tc>
          <w:tcPr>
            <w:tcW w:w="1610" w:type="dxa"/>
            <w:vAlign w:val="bottom"/>
            <w:hideMark/>
          </w:tcPr>
          <w:p w14:paraId="1D7FB17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0.049</w:t>
            </w:r>
          </w:p>
        </w:tc>
        <w:tc>
          <w:tcPr>
            <w:tcW w:w="1620" w:type="dxa"/>
            <w:vAlign w:val="bottom"/>
            <w:hideMark/>
          </w:tcPr>
          <w:p w14:paraId="46C863F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0.310</w:t>
            </w:r>
          </w:p>
        </w:tc>
      </w:tr>
      <w:tr w:rsidR="00302953" w:rsidRPr="00770477" w14:paraId="69E8E8D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70E0775B"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lastRenderedPageBreak/>
              <w:t>10-B-6-1</w:t>
            </w:r>
          </w:p>
        </w:tc>
        <w:tc>
          <w:tcPr>
            <w:tcW w:w="1610" w:type="dxa"/>
            <w:vAlign w:val="bottom"/>
            <w:hideMark/>
          </w:tcPr>
          <w:p w14:paraId="6E4FC1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0.062</w:t>
            </w:r>
          </w:p>
        </w:tc>
        <w:tc>
          <w:tcPr>
            <w:tcW w:w="1620" w:type="dxa"/>
            <w:vAlign w:val="bottom"/>
            <w:hideMark/>
          </w:tcPr>
          <w:p w14:paraId="04B3344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0.385</w:t>
            </w:r>
          </w:p>
        </w:tc>
      </w:tr>
      <w:tr w:rsidR="00302953" w:rsidRPr="00770477" w14:paraId="76990B2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2739A600"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10-B-10-1</w:t>
            </w:r>
          </w:p>
        </w:tc>
        <w:tc>
          <w:tcPr>
            <w:tcW w:w="1610" w:type="dxa"/>
            <w:vAlign w:val="bottom"/>
            <w:hideMark/>
          </w:tcPr>
          <w:p w14:paraId="69A2075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0.041</w:t>
            </w:r>
          </w:p>
        </w:tc>
        <w:tc>
          <w:tcPr>
            <w:tcW w:w="1620" w:type="dxa"/>
            <w:vAlign w:val="bottom"/>
            <w:hideMark/>
          </w:tcPr>
          <w:p w14:paraId="07FFACE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0.261</w:t>
            </w:r>
          </w:p>
        </w:tc>
      </w:tr>
      <w:tr w:rsidR="00302953" w:rsidRPr="00770477" w14:paraId="7719AD2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684D02CC"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10-B-17-1</w:t>
            </w:r>
          </w:p>
        </w:tc>
        <w:tc>
          <w:tcPr>
            <w:tcW w:w="1610" w:type="dxa"/>
            <w:vAlign w:val="bottom"/>
            <w:hideMark/>
          </w:tcPr>
          <w:p w14:paraId="6D7138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0.106</w:t>
            </w:r>
          </w:p>
        </w:tc>
        <w:tc>
          <w:tcPr>
            <w:tcW w:w="1620" w:type="dxa"/>
            <w:vAlign w:val="bottom"/>
            <w:hideMark/>
          </w:tcPr>
          <w:p w14:paraId="2B870D6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0.642</w:t>
            </w:r>
          </w:p>
        </w:tc>
      </w:tr>
      <w:tr w:rsidR="00302953" w:rsidRPr="00770477" w14:paraId="5F89D52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2F140290"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10-B-27-1</w:t>
            </w:r>
          </w:p>
        </w:tc>
        <w:tc>
          <w:tcPr>
            <w:tcW w:w="1610" w:type="dxa"/>
            <w:vAlign w:val="bottom"/>
            <w:hideMark/>
          </w:tcPr>
          <w:p w14:paraId="2DB3290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0.152</w:t>
            </w:r>
          </w:p>
        </w:tc>
        <w:tc>
          <w:tcPr>
            <w:tcW w:w="1620" w:type="dxa"/>
            <w:vAlign w:val="bottom"/>
            <w:hideMark/>
          </w:tcPr>
          <w:p w14:paraId="4D3AB04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0.884</w:t>
            </w:r>
          </w:p>
        </w:tc>
      </w:tr>
      <w:tr w:rsidR="00302953" w:rsidRPr="00770477" w14:paraId="682DA5E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45C43ECC"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10-B-27-2</w:t>
            </w:r>
          </w:p>
        </w:tc>
        <w:tc>
          <w:tcPr>
            <w:tcW w:w="1610" w:type="dxa"/>
            <w:vAlign w:val="bottom"/>
            <w:hideMark/>
          </w:tcPr>
          <w:p w14:paraId="14A9DF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0.12</w:t>
            </w:r>
          </w:p>
        </w:tc>
        <w:tc>
          <w:tcPr>
            <w:tcW w:w="1620" w:type="dxa"/>
            <w:vAlign w:val="bottom"/>
            <w:hideMark/>
          </w:tcPr>
          <w:p w14:paraId="5401E7F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0.698</w:t>
            </w:r>
          </w:p>
        </w:tc>
      </w:tr>
      <w:tr w:rsidR="00302953" w:rsidRPr="00770477" w14:paraId="38CBF3E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3A429CAF"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10-C-0-1</w:t>
            </w:r>
          </w:p>
        </w:tc>
        <w:tc>
          <w:tcPr>
            <w:tcW w:w="1610" w:type="dxa"/>
            <w:vAlign w:val="bottom"/>
            <w:hideMark/>
          </w:tcPr>
          <w:p w14:paraId="2881B28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0.017</w:t>
            </w:r>
          </w:p>
        </w:tc>
        <w:tc>
          <w:tcPr>
            <w:tcW w:w="1620" w:type="dxa"/>
            <w:vAlign w:val="bottom"/>
            <w:hideMark/>
          </w:tcPr>
          <w:p w14:paraId="12AAAD6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0.085</w:t>
            </w:r>
          </w:p>
        </w:tc>
      </w:tr>
      <w:tr w:rsidR="00302953" w:rsidRPr="00770477" w14:paraId="4425BF0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0358E5CC"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10-C-1-1</w:t>
            </w:r>
          </w:p>
        </w:tc>
        <w:tc>
          <w:tcPr>
            <w:tcW w:w="1610" w:type="dxa"/>
            <w:vAlign w:val="bottom"/>
            <w:hideMark/>
          </w:tcPr>
          <w:p w14:paraId="047486C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0.011</w:t>
            </w:r>
          </w:p>
        </w:tc>
        <w:tc>
          <w:tcPr>
            <w:tcW w:w="1620" w:type="dxa"/>
            <w:vAlign w:val="bottom"/>
            <w:hideMark/>
          </w:tcPr>
          <w:p w14:paraId="05630E3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0.066</w:t>
            </w:r>
          </w:p>
        </w:tc>
      </w:tr>
      <w:tr w:rsidR="00302953" w:rsidRPr="00770477" w14:paraId="38FF7E21"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771E6853"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10-C-1-2</w:t>
            </w:r>
          </w:p>
        </w:tc>
        <w:tc>
          <w:tcPr>
            <w:tcW w:w="1610" w:type="dxa"/>
            <w:vAlign w:val="bottom"/>
            <w:hideMark/>
          </w:tcPr>
          <w:p w14:paraId="649530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0.026</w:t>
            </w:r>
          </w:p>
        </w:tc>
        <w:tc>
          <w:tcPr>
            <w:tcW w:w="1620" w:type="dxa"/>
            <w:vAlign w:val="bottom"/>
            <w:hideMark/>
          </w:tcPr>
          <w:p w14:paraId="4A8059B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0.157</w:t>
            </w:r>
          </w:p>
        </w:tc>
      </w:tr>
      <w:tr w:rsidR="00302953" w:rsidRPr="00770477" w14:paraId="3BC1ACA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3C9682FE"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10-C-2-1</w:t>
            </w:r>
          </w:p>
        </w:tc>
        <w:tc>
          <w:tcPr>
            <w:tcW w:w="1610" w:type="dxa"/>
            <w:vAlign w:val="bottom"/>
            <w:hideMark/>
          </w:tcPr>
          <w:p w14:paraId="752C1D4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0.014</w:t>
            </w:r>
          </w:p>
        </w:tc>
        <w:tc>
          <w:tcPr>
            <w:tcW w:w="1620" w:type="dxa"/>
            <w:vAlign w:val="bottom"/>
            <w:hideMark/>
          </w:tcPr>
          <w:p w14:paraId="386CA9F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0.089</w:t>
            </w:r>
          </w:p>
        </w:tc>
      </w:tr>
      <w:tr w:rsidR="00302953" w:rsidRPr="00770477" w14:paraId="1FCBA86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1009F597"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10-C-4-1</w:t>
            </w:r>
          </w:p>
        </w:tc>
        <w:tc>
          <w:tcPr>
            <w:tcW w:w="1610" w:type="dxa"/>
            <w:vAlign w:val="bottom"/>
            <w:hideMark/>
          </w:tcPr>
          <w:p w14:paraId="691F50A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0.03</w:t>
            </w:r>
          </w:p>
        </w:tc>
        <w:tc>
          <w:tcPr>
            <w:tcW w:w="1620" w:type="dxa"/>
            <w:vAlign w:val="bottom"/>
            <w:hideMark/>
          </w:tcPr>
          <w:p w14:paraId="7167379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0.190</w:t>
            </w:r>
          </w:p>
        </w:tc>
      </w:tr>
      <w:tr w:rsidR="00302953" w:rsidRPr="00770477" w14:paraId="2AA6342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6307E1C3"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10-C-6-1</w:t>
            </w:r>
          </w:p>
        </w:tc>
        <w:tc>
          <w:tcPr>
            <w:tcW w:w="1610" w:type="dxa"/>
            <w:vAlign w:val="bottom"/>
            <w:hideMark/>
          </w:tcPr>
          <w:p w14:paraId="406CE31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0.031</w:t>
            </w:r>
          </w:p>
        </w:tc>
        <w:tc>
          <w:tcPr>
            <w:tcW w:w="1620" w:type="dxa"/>
            <w:vAlign w:val="bottom"/>
            <w:hideMark/>
          </w:tcPr>
          <w:p w14:paraId="2C50966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0.193</w:t>
            </w:r>
          </w:p>
        </w:tc>
      </w:tr>
      <w:tr w:rsidR="00302953" w:rsidRPr="00770477" w14:paraId="7295183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452C5E84"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10-C-10-1</w:t>
            </w:r>
          </w:p>
        </w:tc>
        <w:tc>
          <w:tcPr>
            <w:tcW w:w="1610" w:type="dxa"/>
            <w:vAlign w:val="bottom"/>
            <w:hideMark/>
          </w:tcPr>
          <w:p w14:paraId="5232C2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0.027</w:t>
            </w:r>
          </w:p>
        </w:tc>
        <w:tc>
          <w:tcPr>
            <w:tcW w:w="1620" w:type="dxa"/>
            <w:vAlign w:val="bottom"/>
            <w:hideMark/>
          </w:tcPr>
          <w:p w14:paraId="0055B1D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0.172</w:t>
            </w:r>
          </w:p>
        </w:tc>
      </w:tr>
      <w:tr w:rsidR="00302953" w:rsidRPr="00770477" w14:paraId="0FBF84B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5CCFDBC3"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10-C-17-1</w:t>
            </w:r>
          </w:p>
        </w:tc>
        <w:tc>
          <w:tcPr>
            <w:tcW w:w="1610" w:type="dxa"/>
            <w:vAlign w:val="bottom"/>
            <w:hideMark/>
          </w:tcPr>
          <w:p w14:paraId="2D2EBCF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0.098</w:t>
            </w:r>
          </w:p>
        </w:tc>
        <w:tc>
          <w:tcPr>
            <w:tcW w:w="1620" w:type="dxa"/>
            <w:vAlign w:val="bottom"/>
            <w:hideMark/>
          </w:tcPr>
          <w:p w14:paraId="7513B2C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0.594</w:t>
            </w:r>
          </w:p>
        </w:tc>
      </w:tr>
      <w:tr w:rsidR="00302953" w:rsidRPr="00770477" w14:paraId="24F1BAA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41525DE1"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10-C-27-1</w:t>
            </w:r>
          </w:p>
        </w:tc>
        <w:tc>
          <w:tcPr>
            <w:tcW w:w="1610" w:type="dxa"/>
            <w:vAlign w:val="bottom"/>
            <w:hideMark/>
          </w:tcPr>
          <w:p w14:paraId="0FE869F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0.133</w:t>
            </w:r>
          </w:p>
        </w:tc>
        <w:tc>
          <w:tcPr>
            <w:tcW w:w="1620" w:type="dxa"/>
            <w:vAlign w:val="bottom"/>
            <w:hideMark/>
          </w:tcPr>
          <w:p w14:paraId="6234F6E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0.773</w:t>
            </w:r>
          </w:p>
        </w:tc>
      </w:tr>
      <w:tr w:rsidR="00302953" w:rsidRPr="00770477" w14:paraId="119E005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6892DA0E"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10-C-27-2</w:t>
            </w:r>
          </w:p>
        </w:tc>
        <w:tc>
          <w:tcPr>
            <w:tcW w:w="1610" w:type="dxa"/>
            <w:vAlign w:val="bottom"/>
            <w:hideMark/>
          </w:tcPr>
          <w:p w14:paraId="64C4442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0.134</w:t>
            </w:r>
          </w:p>
        </w:tc>
        <w:tc>
          <w:tcPr>
            <w:tcW w:w="1620" w:type="dxa"/>
            <w:vAlign w:val="bottom"/>
            <w:hideMark/>
          </w:tcPr>
          <w:p w14:paraId="587813D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0.779</w:t>
            </w:r>
          </w:p>
        </w:tc>
      </w:tr>
      <w:tr w:rsidR="00302953" w:rsidRPr="00770477" w14:paraId="68E933C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7580C0C8"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10-D-0-1</w:t>
            </w:r>
          </w:p>
        </w:tc>
        <w:tc>
          <w:tcPr>
            <w:tcW w:w="1610" w:type="dxa"/>
            <w:vAlign w:val="bottom"/>
            <w:hideMark/>
          </w:tcPr>
          <w:p w14:paraId="6770A00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0.006</w:t>
            </w:r>
          </w:p>
        </w:tc>
        <w:tc>
          <w:tcPr>
            <w:tcW w:w="1620" w:type="dxa"/>
            <w:vAlign w:val="bottom"/>
            <w:hideMark/>
          </w:tcPr>
          <w:p w14:paraId="66B92C6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0.030</w:t>
            </w:r>
          </w:p>
        </w:tc>
      </w:tr>
      <w:tr w:rsidR="00302953" w:rsidRPr="00770477" w14:paraId="127F629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557504C8"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10-D-1-1</w:t>
            </w:r>
          </w:p>
        </w:tc>
        <w:tc>
          <w:tcPr>
            <w:tcW w:w="1610" w:type="dxa"/>
            <w:vAlign w:val="bottom"/>
            <w:hideMark/>
          </w:tcPr>
          <w:p w14:paraId="0545472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0.006</w:t>
            </w:r>
          </w:p>
        </w:tc>
        <w:tc>
          <w:tcPr>
            <w:tcW w:w="1620" w:type="dxa"/>
            <w:vAlign w:val="bottom"/>
            <w:hideMark/>
          </w:tcPr>
          <w:p w14:paraId="4DC826A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0.036</w:t>
            </w:r>
          </w:p>
        </w:tc>
      </w:tr>
      <w:tr w:rsidR="00302953" w:rsidRPr="00770477" w14:paraId="2093DC0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3BF6A5E8"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10-D-1-2</w:t>
            </w:r>
          </w:p>
        </w:tc>
        <w:tc>
          <w:tcPr>
            <w:tcW w:w="1610" w:type="dxa"/>
            <w:vAlign w:val="bottom"/>
            <w:hideMark/>
          </w:tcPr>
          <w:p w14:paraId="004787B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0.016</w:t>
            </w:r>
          </w:p>
        </w:tc>
        <w:tc>
          <w:tcPr>
            <w:tcW w:w="1620" w:type="dxa"/>
            <w:vAlign w:val="bottom"/>
            <w:hideMark/>
          </w:tcPr>
          <w:p w14:paraId="532DD6B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0.096</w:t>
            </w:r>
          </w:p>
        </w:tc>
      </w:tr>
      <w:tr w:rsidR="00302953" w:rsidRPr="00770477" w14:paraId="466A09F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636D4984"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10-D-2-1</w:t>
            </w:r>
          </w:p>
        </w:tc>
        <w:tc>
          <w:tcPr>
            <w:tcW w:w="1610" w:type="dxa"/>
            <w:vAlign w:val="bottom"/>
            <w:hideMark/>
          </w:tcPr>
          <w:p w14:paraId="72AA3DA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0.036</w:t>
            </w:r>
          </w:p>
        </w:tc>
        <w:tc>
          <w:tcPr>
            <w:tcW w:w="1620" w:type="dxa"/>
            <w:vAlign w:val="bottom"/>
            <w:hideMark/>
          </w:tcPr>
          <w:p w14:paraId="080BC3F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0.229</w:t>
            </w:r>
          </w:p>
        </w:tc>
      </w:tr>
      <w:tr w:rsidR="00302953" w:rsidRPr="00770477" w14:paraId="33C9686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6D0E0347"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10-D-4-1</w:t>
            </w:r>
          </w:p>
        </w:tc>
        <w:tc>
          <w:tcPr>
            <w:tcW w:w="1610" w:type="dxa"/>
            <w:vAlign w:val="bottom"/>
            <w:hideMark/>
          </w:tcPr>
          <w:p w14:paraId="4DA0A8D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0.032</w:t>
            </w:r>
          </w:p>
        </w:tc>
        <w:tc>
          <w:tcPr>
            <w:tcW w:w="1620" w:type="dxa"/>
            <w:vAlign w:val="bottom"/>
            <w:hideMark/>
          </w:tcPr>
          <w:p w14:paraId="277AF9A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0.203</w:t>
            </w:r>
          </w:p>
        </w:tc>
      </w:tr>
      <w:tr w:rsidR="00302953" w:rsidRPr="00770477" w14:paraId="21B818A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50B7B367"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10-D-6-1</w:t>
            </w:r>
          </w:p>
        </w:tc>
        <w:tc>
          <w:tcPr>
            <w:tcW w:w="1610" w:type="dxa"/>
            <w:vAlign w:val="bottom"/>
            <w:hideMark/>
          </w:tcPr>
          <w:p w14:paraId="326A4A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0.063</w:t>
            </w:r>
          </w:p>
        </w:tc>
        <w:tc>
          <w:tcPr>
            <w:tcW w:w="1620" w:type="dxa"/>
            <w:vAlign w:val="bottom"/>
            <w:hideMark/>
          </w:tcPr>
          <w:p w14:paraId="32C3EF1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0.391</w:t>
            </w:r>
          </w:p>
        </w:tc>
      </w:tr>
      <w:tr w:rsidR="00302953" w:rsidRPr="00770477" w14:paraId="2AC9B36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2E977E17"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10-D-10-1</w:t>
            </w:r>
          </w:p>
        </w:tc>
        <w:tc>
          <w:tcPr>
            <w:tcW w:w="1610" w:type="dxa"/>
            <w:vAlign w:val="bottom"/>
            <w:hideMark/>
          </w:tcPr>
          <w:p w14:paraId="04CCF8A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0.125</w:t>
            </w:r>
          </w:p>
        </w:tc>
        <w:tc>
          <w:tcPr>
            <w:tcW w:w="1620" w:type="dxa"/>
            <w:vAlign w:val="bottom"/>
            <w:hideMark/>
          </w:tcPr>
          <w:p w14:paraId="466BA5F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0.796</w:t>
            </w:r>
          </w:p>
        </w:tc>
      </w:tr>
      <w:tr w:rsidR="00302953" w:rsidRPr="00770477" w14:paraId="1BF87A7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16F4D170"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10-D-17-1</w:t>
            </w:r>
          </w:p>
        </w:tc>
        <w:tc>
          <w:tcPr>
            <w:tcW w:w="1610" w:type="dxa"/>
            <w:vAlign w:val="bottom"/>
            <w:hideMark/>
          </w:tcPr>
          <w:p w14:paraId="491366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0.169</w:t>
            </w:r>
          </w:p>
        </w:tc>
        <w:tc>
          <w:tcPr>
            <w:tcW w:w="1620" w:type="dxa"/>
            <w:vAlign w:val="bottom"/>
            <w:hideMark/>
          </w:tcPr>
          <w:p w14:paraId="0857663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1.024</w:t>
            </w:r>
          </w:p>
        </w:tc>
      </w:tr>
      <w:tr w:rsidR="00302953" w:rsidRPr="00770477" w14:paraId="514FA84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267EC2BB"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10-D-17-2</w:t>
            </w:r>
          </w:p>
        </w:tc>
        <w:tc>
          <w:tcPr>
            <w:tcW w:w="1610" w:type="dxa"/>
            <w:vAlign w:val="bottom"/>
            <w:hideMark/>
          </w:tcPr>
          <w:p w14:paraId="68014CC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0.167</w:t>
            </w:r>
          </w:p>
        </w:tc>
        <w:tc>
          <w:tcPr>
            <w:tcW w:w="1620" w:type="dxa"/>
            <w:vAlign w:val="bottom"/>
            <w:hideMark/>
          </w:tcPr>
          <w:p w14:paraId="14EC88F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1.012</w:t>
            </w:r>
          </w:p>
        </w:tc>
      </w:tr>
      <w:tr w:rsidR="00302953" w:rsidRPr="00770477" w14:paraId="2BC3919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77F67963"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10-D-27-1</w:t>
            </w:r>
          </w:p>
        </w:tc>
        <w:tc>
          <w:tcPr>
            <w:tcW w:w="1610" w:type="dxa"/>
            <w:vAlign w:val="bottom"/>
            <w:hideMark/>
          </w:tcPr>
          <w:p w14:paraId="459BB88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0.146</w:t>
            </w:r>
          </w:p>
        </w:tc>
        <w:tc>
          <w:tcPr>
            <w:tcW w:w="1620" w:type="dxa"/>
            <w:vAlign w:val="bottom"/>
            <w:hideMark/>
          </w:tcPr>
          <w:p w14:paraId="020242A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0.849</w:t>
            </w:r>
          </w:p>
        </w:tc>
      </w:tr>
      <w:tr w:rsidR="00302953" w:rsidRPr="00770477" w14:paraId="76826B3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08B59CBD"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10-D-27-2</w:t>
            </w:r>
          </w:p>
        </w:tc>
        <w:tc>
          <w:tcPr>
            <w:tcW w:w="1610" w:type="dxa"/>
            <w:vAlign w:val="bottom"/>
            <w:hideMark/>
          </w:tcPr>
          <w:p w14:paraId="3A4AB65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0.151</w:t>
            </w:r>
          </w:p>
        </w:tc>
        <w:tc>
          <w:tcPr>
            <w:tcW w:w="1620" w:type="dxa"/>
            <w:vAlign w:val="bottom"/>
            <w:hideMark/>
          </w:tcPr>
          <w:p w14:paraId="5F41B32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0.878</w:t>
            </w:r>
          </w:p>
        </w:tc>
      </w:tr>
      <w:tr w:rsidR="00302953" w:rsidRPr="00770477" w14:paraId="6A93E65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045899A5"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10-I-0-3</w:t>
            </w:r>
          </w:p>
        </w:tc>
        <w:tc>
          <w:tcPr>
            <w:tcW w:w="1610" w:type="dxa"/>
            <w:vAlign w:val="bottom"/>
            <w:hideMark/>
          </w:tcPr>
          <w:p w14:paraId="560AEEE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0.2</w:t>
            </w:r>
          </w:p>
        </w:tc>
        <w:tc>
          <w:tcPr>
            <w:tcW w:w="1620" w:type="dxa"/>
            <w:vAlign w:val="bottom"/>
            <w:hideMark/>
          </w:tcPr>
          <w:p w14:paraId="7C7D362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1.000</w:t>
            </w:r>
          </w:p>
        </w:tc>
      </w:tr>
      <w:tr w:rsidR="00302953" w:rsidRPr="00770477" w14:paraId="0CAD5CB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46F76B0C"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10-I-1-3</w:t>
            </w:r>
          </w:p>
        </w:tc>
        <w:tc>
          <w:tcPr>
            <w:tcW w:w="1610" w:type="dxa"/>
            <w:vAlign w:val="bottom"/>
            <w:hideMark/>
          </w:tcPr>
          <w:p w14:paraId="1CD278F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0.166</w:t>
            </w:r>
          </w:p>
        </w:tc>
        <w:tc>
          <w:tcPr>
            <w:tcW w:w="1620" w:type="dxa"/>
            <w:vAlign w:val="bottom"/>
            <w:hideMark/>
          </w:tcPr>
          <w:p w14:paraId="51783C4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1.000</w:t>
            </w:r>
          </w:p>
        </w:tc>
      </w:tr>
      <w:tr w:rsidR="00302953" w:rsidRPr="00770477" w14:paraId="01E4210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71CB9C8B"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cs="Times New Roman"/>
                <w:color w:val="000000"/>
                <w:sz w:val="22"/>
                <w:szCs w:val="22"/>
              </w:rPr>
              <w:t>10-I-2-3</w:t>
            </w:r>
          </w:p>
        </w:tc>
        <w:tc>
          <w:tcPr>
            <w:tcW w:w="1610" w:type="dxa"/>
            <w:vAlign w:val="bottom"/>
            <w:hideMark/>
          </w:tcPr>
          <w:p w14:paraId="2B41713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0.157</w:t>
            </w:r>
          </w:p>
        </w:tc>
        <w:tc>
          <w:tcPr>
            <w:tcW w:w="1620" w:type="dxa"/>
            <w:vAlign w:val="bottom"/>
            <w:hideMark/>
          </w:tcPr>
          <w:p w14:paraId="08A01F7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1.000</w:t>
            </w:r>
          </w:p>
        </w:tc>
      </w:tr>
      <w:tr w:rsidR="00302953" w:rsidRPr="00770477" w14:paraId="1C74220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27D4BD20"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cs="Times New Roman"/>
                <w:color w:val="000000"/>
                <w:sz w:val="22"/>
                <w:szCs w:val="22"/>
              </w:rPr>
              <w:t>10-I-4-3</w:t>
            </w:r>
          </w:p>
        </w:tc>
        <w:tc>
          <w:tcPr>
            <w:tcW w:w="1610" w:type="dxa"/>
            <w:vAlign w:val="bottom"/>
            <w:hideMark/>
          </w:tcPr>
          <w:p w14:paraId="2768407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0.158</w:t>
            </w:r>
          </w:p>
        </w:tc>
        <w:tc>
          <w:tcPr>
            <w:tcW w:w="1620" w:type="dxa"/>
            <w:vAlign w:val="bottom"/>
            <w:hideMark/>
          </w:tcPr>
          <w:p w14:paraId="657D8C1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1.000</w:t>
            </w:r>
          </w:p>
        </w:tc>
      </w:tr>
      <w:tr w:rsidR="00302953" w:rsidRPr="00770477" w14:paraId="4710414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2E4B2271"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cs="Times New Roman"/>
                <w:color w:val="000000"/>
                <w:sz w:val="22"/>
                <w:szCs w:val="22"/>
              </w:rPr>
              <w:t>10-I-6-3</w:t>
            </w:r>
          </w:p>
        </w:tc>
        <w:tc>
          <w:tcPr>
            <w:tcW w:w="1610" w:type="dxa"/>
            <w:vAlign w:val="bottom"/>
            <w:hideMark/>
          </w:tcPr>
          <w:p w14:paraId="13751B1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0.161</w:t>
            </w:r>
          </w:p>
        </w:tc>
        <w:tc>
          <w:tcPr>
            <w:tcW w:w="1620" w:type="dxa"/>
            <w:vAlign w:val="bottom"/>
            <w:hideMark/>
          </w:tcPr>
          <w:p w14:paraId="0E9D63F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1.000</w:t>
            </w:r>
          </w:p>
        </w:tc>
      </w:tr>
      <w:tr w:rsidR="00302953" w:rsidRPr="00770477" w14:paraId="0EA2A07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55A474F7"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cs="Times New Roman"/>
                <w:color w:val="000000"/>
                <w:sz w:val="22"/>
                <w:szCs w:val="22"/>
              </w:rPr>
              <w:t>10-I-10-3</w:t>
            </w:r>
          </w:p>
        </w:tc>
        <w:tc>
          <w:tcPr>
            <w:tcW w:w="1610" w:type="dxa"/>
            <w:vAlign w:val="bottom"/>
            <w:hideMark/>
          </w:tcPr>
          <w:p w14:paraId="212808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0.157</w:t>
            </w:r>
          </w:p>
        </w:tc>
        <w:tc>
          <w:tcPr>
            <w:tcW w:w="1620" w:type="dxa"/>
            <w:vAlign w:val="bottom"/>
            <w:hideMark/>
          </w:tcPr>
          <w:p w14:paraId="17D983D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1.000</w:t>
            </w:r>
          </w:p>
        </w:tc>
      </w:tr>
      <w:tr w:rsidR="00302953" w:rsidRPr="00770477" w14:paraId="4E50DDB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0FF2261C"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cs="Times New Roman"/>
                <w:color w:val="000000"/>
                <w:sz w:val="22"/>
                <w:szCs w:val="22"/>
              </w:rPr>
              <w:t>10-I-17-3</w:t>
            </w:r>
          </w:p>
        </w:tc>
        <w:tc>
          <w:tcPr>
            <w:tcW w:w="1610" w:type="dxa"/>
            <w:vAlign w:val="bottom"/>
            <w:hideMark/>
          </w:tcPr>
          <w:p w14:paraId="57ACBAD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0.165</w:t>
            </w:r>
          </w:p>
        </w:tc>
        <w:tc>
          <w:tcPr>
            <w:tcW w:w="1620" w:type="dxa"/>
            <w:vAlign w:val="bottom"/>
            <w:hideMark/>
          </w:tcPr>
          <w:p w14:paraId="1888AC9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1.000</w:t>
            </w:r>
          </w:p>
        </w:tc>
      </w:tr>
      <w:tr w:rsidR="00302953" w:rsidRPr="00770477" w14:paraId="52AD8249"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0F568150" w14:textId="77777777" w:rsidR="00302953" w:rsidRPr="00770477" w:rsidRDefault="00302953" w:rsidP="00622DCD">
            <w:pPr>
              <w:spacing w:line="240" w:lineRule="auto"/>
              <w:jc w:val="left"/>
              <w:rPr>
                <w:rFonts w:eastAsia="Times New Roman" w:cs="Times New Roman"/>
                <w:color w:val="000000"/>
              </w:rPr>
            </w:pPr>
            <w:r w:rsidRPr="00770477">
              <w:rPr>
                <w:rFonts w:cs="Times New Roman"/>
                <w:color w:val="000000"/>
              </w:rPr>
              <w:t>10-I-27-3</w:t>
            </w:r>
          </w:p>
        </w:tc>
        <w:tc>
          <w:tcPr>
            <w:tcW w:w="1610" w:type="dxa"/>
            <w:vAlign w:val="bottom"/>
            <w:hideMark/>
          </w:tcPr>
          <w:p w14:paraId="04AB86A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0.172</w:t>
            </w:r>
          </w:p>
        </w:tc>
        <w:tc>
          <w:tcPr>
            <w:tcW w:w="1620" w:type="dxa"/>
            <w:vAlign w:val="bottom"/>
            <w:hideMark/>
          </w:tcPr>
          <w:p w14:paraId="435944B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cs="Times New Roman"/>
                <w:color w:val="000000"/>
              </w:rPr>
              <w:t>1.000</w:t>
            </w:r>
          </w:p>
        </w:tc>
      </w:tr>
      <w:tr w:rsidR="00302953" w:rsidRPr="00770477" w14:paraId="48D0ECA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vAlign w:val="bottom"/>
            <w:hideMark/>
          </w:tcPr>
          <w:p w14:paraId="656BFCA4"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cs="Times New Roman"/>
                <w:color w:val="000000"/>
                <w:sz w:val="22"/>
                <w:szCs w:val="22"/>
              </w:rPr>
              <w:t>10-I-999-4</w:t>
            </w:r>
          </w:p>
        </w:tc>
        <w:tc>
          <w:tcPr>
            <w:tcW w:w="1610" w:type="dxa"/>
            <w:vAlign w:val="bottom"/>
            <w:hideMark/>
          </w:tcPr>
          <w:p w14:paraId="7AC7FC6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cs="Times New Roman"/>
                <w:color w:val="000000"/>
              </w:rPr>
              <w:t>BRL</w:t>
            </w:r>
          </w:p>
        </w:tc>
        <w:tc>
          <w:tcPr>
            <w:tcW w:w="1620" w:type="dxa"/>
            <w:hideMark/>
          </w:tcPr>
          <w:p w14:paraId="652B4A5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r>
    </w:tbl>
    <w:p w14:paraId="1213FA8C" w14:textId="77777777" w:rsidR="00302953" w:rsidRPr="00770477" w:rsidRDefault="00302953" w:rsidP="00302953">
      <w:pPr>
        <w:spacing w:line="240" w:lineRule="auto"/>
        <w:jc w:val="left"/>
        <w:rPr>
          <w:rFonts w:cs="Times New Roman"/>
        </w:rPr>
        <w:sectPr w:rsidR="00302953" w:rsidRPr="00770477" w:rsidSect="0048531E">
          <w:pgSz w:w="12240" w:h="15840"/>
          <w:pgMar w:top="1440" w:right="1440" w:bottom="1440" w:left="1440" w:header="720" w:footer="720" w:gutter="0"/>
          <w:cols w:space="720"/>
          <w:docGrid w:linePitch="360"/>
        </w:sectPr>
      </w:pPr>
    </w:p>
    <w:p w14:paraId="237F7699" w14:textId="77777777" w:rsidR="00302953" w:rsidRPr="00770477" w:rsidRDefault="00302953" w:rsidP="00302953">
      <w:pPr>
        <w:spacing w:line="240" w:lineRule="auto"/>
        <w:jc w:val="left"/>
        <w:rPr>
          <w:rFonts w:cs="Times New Roman"/>
        </w:rPr>
      </w:pPr>
    </w:p>
    <w:p w14:paraId="6BF585B9" w14:textId="0CED9412" w:rsidR="00302953" w:rsidRPr="00687ADE" w:rsidRDefault="00302953" w:rsidP="00302953">
      <w:pPr>
        <w:pStyle w:val="Caption"/>
        <w:keepNext/>
        <w:rPr>
          <w:rFonts w:cs="Times New Roman"/>
        </w:rPr>
      </w:pPr>
      <w:bookmarkStart w:id="196" w:name="_Toc121494162"/>
      <w:bookmarkStart w:id="197" w:name="_Toc121495947"/>
      <w:r>
        <w:t xml:space="preserve">Table </w:t>
      </w:r>
      <w:fldSimple w:instr=" STYLEREF 1 \s ">
        <w:r w:rsidR="00061096">
          <w:rPr>
            <w:noProof/>
          </w:rPr>
          <w:t>10</w:t>
        </w:r>
      </w:fldSimple>
      <w:r w:rsidR="00B26DDF">
        <w:noBreakHyphen/>
      </w:r>
      <w:fldSimple w:instr=" SEQ Table \* ARABIC \s 1 ">
        <w:r w:rsidR="00061096">
          <w:rPr>
            <w:noProof/>
          </w:rPr>
          <w:t>9</w:t>
        </w:r>
      </w:fldSimple>
      <w:r w:rsidRPr="00687ADE">
        <w:rPr>
          <w:rFonts w:cs="Times New Roman"/>
        </w:rPr>
        <w:t xml:space="preserve"> </w:t>
      </w:r>
      <w:r w:rsidRPr="00770477">
        <w:rPr>
          <w:rFonts w:cs="Times New Roman"/>
        </w:rPr>
        <w:t>Neonicotinoid sample results. All results given in ug L</w:t>
      </w:r>
      <w:r w:rsidRPr="00770477">
        <w:rPr>
          <w:rFonts w:cs="Times New Roman"/>
          <w:vertAlign w:val="superscript"/>
        </w:rPr>
        <w:t>-1</w:t>
      </w:r>
      <w:r w:rsidRPr="00770477">
        <w:rPr>
          <w:rFonts w:cs="Times New Roman"/>
        </w:rPr>
        <w:t>.</w:t>
      </w:r>
      <w:bookmarkEnd w:id="196"/>
      <w:bookmarkEnd w:id="197"/>
    </w:p>
    <w:tbl>
      <w:tblPr>
        <w:tblStyle w:val="PlainTable5"/>
        <w:tblW w:w="13320" w:type="dxa"/>
        <w:tblLook w:val="04A0" w:firstRow="1" w:lastRow="0" w:firstColumn="1" w:lastColumn="0" w:noHBand="0" w:noVBand="1"/>
      </w:tblPr>
      <w:tblGrid>
        <w:gridCol w:w="1540"/>
        <w:gridCol w:w="1680"/>
        <w:gridCol w:w="2260"/>
        <w:gridCol w:w="1660"/>
        <w:gridCol w:w="2140"/>
        <w:gridCol w:w="1660"/>
        <w:gridCol w:w="2380"/>
      </w:tblGrid>
      <w:tr w:rsidR="00302953" w:rsidRPr="00770477" w14:paraId="673ED8F6" w14:textId="77777777" w:rsidTr="00622DCD">
        <w:trPr>
          <w:cnfStyle w:val="100000000000" w:firstRow="1" w:lastRow="0" w:firstColumn="0" w:lastColumn="0" w:oddVBand="0" w:evenVBand="0" w:oddHBand="0" w:evenHBand="0" w:firstRowFirstColumn="0" w:firstRowLastColumn="0" w:lastRowFirstColumn="0" w:lastRowLastColumn="0"/>
          <w:trHeight w:val="630"/>
        </w:trPr>
        <w:tc>
          <w:tcPr>
            <w:cnfStyle w:val="001000000100" w:firstRow="0" w:lastRow="0" w:firstColumn="1" w:lastColumn="0" w:oddVBand="0" w:evenVBand="0" w:oddHBand="0" w:evenHBand="0" w:firstRowFirstColumn="1" w:firstRowLastColumn="0" w:lastRowFirstColumn="0" w:lastRowLastColumn="0"/>
            <w:tcW w:w="1540" w:type="dxa"/>
            <w:hideMark/>
          </w:tcPr>
          <w:p w14:paraId="4518089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Sample ID</w:t>
            </w:r>
          </w:p>
        </w:tc>
        <w:tc>
          <w:tcPr>
            <w:tcW w:w="1680" w:type="dxa"/>
            <w:hideMark/>
          </w:tcPr>
          <w:p w14:paraId="460F32FF"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Acetamiprid</w:t>
            </w:r>
          </w:p>
        </w:tc>
        <w:tc>
          <w:tcPr>
            <w:tcW w:w="2260" w:type="dxa"/>
            <w:hideMark/>
          </w:tcPr>
          <w:p w14:paraId="502430CF"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Acetamiprid Ratio</w:t>
            </w:r>
          </w:p>
        </w:tc>
        <w:tc>
          <w:tcPr>
            <w:tcW w:w="1660" w:type="dxa"/>
            <w:hideMark/>
          </w:tcPr>
          <w:p w14:paraId="17715CAE"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Dinotefuran</w:t>
            </w:r>
          </w:p>
        </w:tc>
        <w:tc>
          <w:tcPr>
            <w:tcW w:w="2140" w:type="dxa"/>
            <w:hideMark/>
          </w:tcPr>
          <w:p w14:paraId="72FD2CC4"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Dinotefuran Ratio</w:t>
            </w:r>
          </w:p>
        </w:tc>
        <w:tc>
          <w:tcPr>
            <w:tcW w:w="1660" w:type="dxa"/>
            <w:hideMark/>
          </w:tcPr>
          <w:p w14:paraId="75AB45D3"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Imidacloprid</w:t>
            </w:r>
          </w:p>
        </w:tc>
        <w:tc>
          <w:tcPr>
            <w:tcW w:w="2380" w:type="dxa"/>
            <w:hideMark/>
          </w:tcPr>
          <w:p w14:paraId="46A29BC6"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Imidacloprid Ratio</w:t>
            </w:r>
          </w:p>
        </w:tc>
      </w:tr>
      <w:tr w:rsidR="00302953" w:rsidRPr="00770477" w14:paraId="48E922C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711653F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1-A-010-1</w:t>
            </w:r>
          </w:p>
        </w:tc>
        <w:tc>
          <w:tcPr>
            <w:tcW w:w="1680" w:type="dxa"/>
            <w:hideMark/>
          </w:tcPr>
          <w:p w14:paraId="00A1366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500.237</w:t>
            </w:r>
          </w:p>
        </w:tc>
        <w:tc>
          <w:tcPr>
            <w:tcW w:w="2260" w:type="dxa"/>
            <w:hideMark/>
          </w:tcPr>
          <w:p w14:paraId="43B1D6E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0.553</w:t>
            </w:r>
          </w:p>
        </w:tc>
        <w:tc>
          <w:tcPr>
            <w:tcW w:w="1660" w:type="dxa"/>
            <w:hideMark/>
          </w:tcPr>
          <w:p w14:paraId="188D431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729.878</w:t>
            </w:r>
          </w:p>
        </w:tc>
        <w:tc>
          <w:tcPr>
            <w:tcW w:w="2140" w:type="dxa"/>
            <w:hideMark/>
          </w:tcPr>
          <w:p w14:paraId="7E52B37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0.765</w:t>
            </w:r>
          </w:p>
        </w:tc>
        <w:tc>
          <w:tcPr>
            <w:tcW w:w="1660" w:type="dxa"/>
            <w:hideMark/>
          </w:tcPr>
          <w:p w14:paraId="45BD048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393.290</w:t>
            </w:r>
          </w:p>
        </w:tc>
        <w:tc>
          <w:tcPr>
            <w:tcW w:w="2380" w:type="dxa"/>
            <w:hideMark/>
          </w:tcPr>
          <w:p w14:paraId="7F6460F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0.608</w:t>
            </w:r>
          </w:p>
        </w:tc>
      </w:tr>
      <w:tr w:rsidR="00302953" w:rsidRPr="00770477" w14:paraId="54C5A9D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32E8CD2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1-A-040-1</w:t>
            </w:r>
          </w:p>
        </w:tc>
        <w:tc>
          <w:tcPr>
            <w:tcW w:w="1680" w:type="dxa"/>
            <w:hideMark/>
          </w:tcPr>
          <w:p w14:paraId="2812C08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200.864</w:t>
            </w:r>
          </w:p>
        </w:tc>
        <w:tc>
          <w:tcPr>
            <w:tcW w:w="2260" w:type="dxa"/>
            <w:hideMark/>
          </w:tcPr>
          <w:p w14:paraId="7271152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0.224</w:t>
            </w:r>
          </w:p>
        </w:tc>
        <w:tc>
          <w:tcPr>
            <w:tcW w:w="1660" w:type="dxa"/>
            <w:hideMark/>
          </w:tcPr>
          <w:p w14:paraId="774604C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830.339</w:t>
            </w:r>
          </w:p>
        </w:tc>
        <w:tc>
          <w:tcPr>
            <w:tcW w:w="2140" w:type="dxa"/>
            <w:hideMark/>
          </w:tcPr>
          <w:p w14:paraId="5433728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0.876</w:t>
            </w:r>
          </w:p>
        </w:tc>
        <w:tc>
          <w:tcPr>
            <w:tcW w:w="1660" w:type="dxa"/>
            <w:hideMark/>
          </w:tcPr>
          <w:p w14:paraId="54BCC21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250.256</w:t>
            </w:r>
          </w:p>
        </w:tc>
        <w:tc>
          <w:tcPr>
            <w:tcW w:w="2380" w:type="dxa"/>
            <w:hideMark/>
          </w:tcPr>
          <w:p w14:paraId="686DBBA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0.390</w:t>
            </w:r>
          </w:p>
        </w:tc>
      </w:tr>
      <w:tr w:rsidR="00302953" w:rsidRPr="00770477" w14:paraId="03D5044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3E11C70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1-A-040-2</w:t>
            </w:r>
          </w:p>
        </w:tc>
        <w:tc>
          <w:tcPr>
            <w:tcW w:w="1680" w:type="dxa"/>
            <w:hideMark/>
          </w:tcPr>
          <w:p w14:paraId="4B0DC95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207.583</w:t>
            </w:r>
          </w:p>
        </w:tc>
        <w:tc>
          <w:tcPr>
            <w:tcW w:w="2260" w:type="dxa"/>
            <w:hideMark/>
          </w:tcPr>
          <w:p w14:paraId="6AF1C80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0.231</w:t>
            </w:r>
          </w:p>
        </w:tc>
        <w:tc>
          <w:tcPr>
            <w:tcW w:w="1660" w:type="dxa"/>
            <w:hideMark/>
          </w:tcPr>
          <w:p w14:paraId="589287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890.426</w:t>
            </w:r>
          </w:p>
        </w:tc>
        <w:tc>
          <w:tcPr>
            <w:tcW w:w="2140" w:type="dxa"/>
            <w:hideMark/>
          </w:tcPr>
          <w:p w14:paraId="08551DC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0.940</w:t>
            </w:r>
          </w:p>
        </w:tc>
        <w:tc>
          <w:tcPr>
            <w:tcW w:w="1660" w:type="dxa"/>
            <w:hideMark/>
          </w:tcPr>
          <w:p w14:paraId="44650DE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272.486</w:t>
            </w:r>
          </w:p>
        </w:tc>
        <w:tc>
          <w:tcPr>
            <w:tcW w:w="2380" w:type="dxa"/>
            <w:hideMark/>
          </w:tcPr>
          <w:p w14:paraId="73D314E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0.425</w:t>
            </w:r>
          </w:p>
        </w:tc>
      </w:tr>
      <w:tr w:rsidR="00302953" w:rsidRPr="00770477" w14:paraId="77C08C7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1E11300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1-A-090-1</w:t>
            </w:r>
          </w:p>
        </w:tc>
        <w:tc>
          <w:tcPr>
            <w:tcW w:w="1680" w:type="dxa"/>
            <w:hideMark/>
          </w:tcPr>
          <w:p w14:paraId="146BF3B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704.690</w:t>
            </w:r>
          </w:p>
        </w:tc>
        <w:tc>
          <w:tcPr>
            <w:tcW w:w="2260" w:type="dxa"/>
            <w:hideMark/>
          </w:tcPr>
          <w:p w14:paraId="0C71099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0.798</w:t>
            </w:r>
          </w:p>
        </w:tc>
        <w:tc>
          <w:tcPr>
            <w:tcW w:w="1660" w:type="dxa"/>
            <w:hideMark/>
          </w:tcPr>
          <w:p w14:paraId="6789F7D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965.955</w:t>
            </w:r>
          </w:p>
        </w:tc>
        <w:tc>
          <w:tcPr>
            <w:tcW w:w="2140" w:type="dxa"/>
            <w:hideMark/>
          </w:tcPr>
          <w:p w14:paraId="32F4E07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1.030</w:t>
            </w:r>
          </w:p>
        </w:tc>
        <w:tc>
          <w:tcPr>
            <w:tcW w:w="1660" w:type="dxa"/>
            <w:hideMark/>
          </w:tcPr>
          <w:p w14:paraId="775449B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565.744</w:t>
            </w:r>
          </w:p>
        </w:tc>
        <w:tc>
          <w:tcPr>
            <w:tcW w:w="2380" w:type="dxa"/>
            <w:hideMark/>
          </w:tcPr>
          <w:p w14:paraId="779DB1F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0.895</w:t>
            </w:r>
          </w:p>
        </w:tc>
      </w:tr>
      <w:tr w:rsidR="00302953" w:rsidRPr="00770477" w14:paraId="2DAA1DE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30D9C5A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1-A-160-1</w:t>
            </w:r>
          </w:p>
        </w:tc>
        <w:tc>
          <w:tcPr>
            <w:tcW w:w="1680" w:type="dxa"/>
            <w:hideMark/>
          </w:tcPr>
          <w:p w14:paraId="2D80DE2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493.663</w:t>
            </w:r>
          </w:p>
        </w:tc>
        <w:tc>
          <w:tcPr>
            <w:tcW w:w="2260" w:type="dxa"/>
            <w:hideMark/>
          </w:tcPr>
          <w:p w14:paraId="43D75E6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0.563</w:t>
            </w:r>
          </w:p>
        </w:tc>
        <w:tc>
          <w:tcPr>
            <w:tcW w:w="1660" w:type="dxa"/>
            <w:hideMark/>
          </w:tcPr>
          <w:p w14:paraId="384C6B6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720.494</w:t>
            </w:r>
          </w:p>
        </w:tc>
        <w:tc>
          <w:tcPr>
            <w:tcW w:w="2140" w:type="dxa"/>
            <w:hideMark/>
          </w:tcPr>
          <w:p w14:paraId="66C1492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0.769</w:t>
            </w:r>
          </w:p>
        </w:tc>
        <w:tc>
          <w:tcPr>
            <w:tcW w:w="1660" w:type="dxa"/>
            <w:hideMark/>
          </w:tcPr>
          <w:p w14:paraId="202024E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386.613</w:t>
            </w:r>
          </w:p>
        </w:tc>
        <w:tc>
          <w:tcPr>
            <w:tcW w:w="2380" w:type="dxa"/>
            <w:hideMark/>
          </w:tcPr>
          <w:p w14:paraId="0C3378B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0.635</w:t>
            </w:r>
          </w:p>
        </w:tc>
      </w:tr>
      <w:tr w:rsidR="00302953" w:rsidRPr="00770477" w14:paraId="6F1CE01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724A0D9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1-A-270-1</w:t>
            </w:r>
          </w:p>
        </w:tc>
        <w:tc>
          <w:tcPr>
            <w:tcW w:w="1680" w:type="dxa"/>
            <w:hideMark/>
          </w:tcPr>
          <w:p w14:paraId="1DF76E0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479.152</w:t>
            </w:r>
          </w:p>
        </w:tc>
        <w:tc>
          <w:tcPr>
            <w:tcW w:w="2260" w:type="dxa"/>
            <w:hideMark/>
          </w:tcPr>
          <w:p w14:paraId="38451A9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0.576</w:t>
            </w:r>
          </w:p>
        </w:tc>
        <w:tc>
          <w:tcPr>
            <w:tcW w:w="1660" w:type="dxa"/>
            <w:hideMark/>
          </w:tcPr>
          <w:p w14:paraId="4E1941E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622.130</w:t>
            </w:r>
          </w:p>
        </w:tc>
        <w:tc>
          <w:tcPr>
            <w:tcW w:w="2140" w:type="dxa"/>
            <w:hideMark/>
          </w:tcPr>
          <w:p w14:paraId="3A03411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0.690</w:t>
            </w:r>
          </w:p>
        </w:tc>
        <w:tc>
          <w:tcPr>
            <w:tcW w:w="1660" w:type="dxa"/>
            <w:hideMark/>
          </w:tcPr>
          <w:p w14:paraId="29E421D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363.285</w:t>
            </w:r>
          </w:p>
        </w:tc>
        <w:tc>
          <w:tcPr>
            <w:tcW w:w="2380" w:type="dxa"/>
            <w:hideMark/>
          </w:tcPr>
          <w:p w14:paraId="2FF1ECF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0.606</w:t>
            </w:r>
          </w:p>
        </w:tc>
      </w:tr>
      <w:tr w:rsidR="00302953" w:rsidRPr="00770477" w14:paraId="182BA7E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41CD2E0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1-A-270-2</w:t>
            </w:r>
          </w:p>
        </w:tc>
        <w:tc>
          <w:tcPr>
            <w:tcW w:w="1680" w:type="dxa"/>
            <w:hideMark/>
          </w:tcPr>
          <w:p w14:paraId="776B25B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582.616</w:t>
            </w:r>
          </w:p>
        </w:tc>
        <w:tc>
          <w:tcPr>
            <w:tcW w:w="2260" w:type="dxa"/>
            <w:hideMark/>
          </w:tcPr>
          <w:p w14:paraId="6491FA2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0.701</w:t>
            </w:r>
          </w:p>
        </w:tc>
        <w:tc>
          <w:tcPr>
            <w:tcW w:w="1660" w:type="dxa"/>
            <w:hideMark/>
          </w:tcPr>
          <w:p w14:paraId="4F357D2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753.265</w:t>
            </w:r>
          </w:p>
        </w:tc>
        <w:tc>
          <w:tcPr>
            <w:tcW w:w="2140" w:type="dxa"/>
            <w:hideMark/>
          </w:tcPr>
          <w:p w14:paraId="520F581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0.835</w:t>
            </w:r>
          </w:p>
        </w:tc>
        <w:tc>
          <w:tcPr>
            <w:tcW w:w="1660" w:type="dxa"/>
            <w:hideMark/>
          </w:tcPr>
          <w:p w14:paraId="31B2A40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432.049</w:t>
            </w:r>
          </w:p>
        </w:tc>
        <w:tc>
          <w:tcPr>
            <w:tcW w:w="2380" w:type="dxa"/>
            <w:hideMark/>
          </w:tcPr>
          <w:p w14:paraId="2D4A585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0.721</w:t>
            </w:r>
          </w:p>
        </w:tc>
      </w:tr>
      <w:tr w:rsidR="00302953" w:rsidRPr="00770477" w14:paraId="4512722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5DD4CF1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1-A-430-1</w:t>
            </w:r>
          </w:p>
        </w:tc>
        <w:tc>
          <w:tcPr>
            <w:tcW w:w="1680" w:type="dxa"/>
            <w:hideMark/>
          </w:tcPr>
          <w:p w14:paraId="48186E9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537.558</w:t>
            </w:r>
          </w:p>
        </w:tc>
        <w:tc>
          <w:tcPr>
            <w:tcW w:w="2260" w:type="dxa"/>
            <w:hideMark/>
          </w:tcPr>
          <w:p w14:paraId="6C58095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0.684</w:t>
            </w:r>
          </w:p>
        </w:tc>
        <w:tc>
          <w:tcPr>
            <w:tcW w:w="1660" w:type="dxa"/>
            <w:hideMark/>
          </w:tcPr>
          <w:p w14:paraId="086A86E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650.746</w:t>
            </w:r>
          </w:p>
        </w:tc>
        <w:tc>
          <w:tcPr>
            <w:tcW w:w="2140" w:type="dxa"/>
            <w:hideMark/>
          </w:tcPr>
          <w:p w14:paraId="79C605F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0.748</w:t>
            </w:r>
          </w:p>
        </w:tc>
        <w:tc>
          <w:tcPr>
            <w:tcW w:w="1660" w:type="dxa"/>
            <w:hideMark/>
          </w:tcPr>
          <w:p w14:paraId="3CE08BF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397.172</w:t>
            </w:r>
          </w:p>
        </w:tc>
        <w:tc>
          <w:tcPr>
            <w:tcW w:w="2380" w:type="dxa"/>
            <w:hideMark/>
          </w:tcPr>
          <w:p w14:paraId="0D670AB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0.697</w:t>
            </w:r>
          </w:p>
        </w:tc>
      </w:tr>
      <w:tr w:rsidR="00302953" w:rsidRPr="00770477" w14:paraId="77D0D8F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6FB24F6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1-A-670-1</w:t>
            </w:r>
          </w:p>
        </w:tc>
        <w:tc>
          <w:tcPr>
            <w:tcW w:w="1680" w:type="dxa"/>
            <w:hideMark/>
          </w:tcPr>
          <w:p w14:paraId="269D31A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618.128</w:t>
            </w:r>
          </w:p>
        </w:tc>
        <w:tc>
          <w:tcPr>
            <w:tcW w:w="2260" w:type="dxa"/>
            <w:hideMark/>
          </w:tcPr>
          <w:p w14:paraId="7787C57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0.866</w:t>
            </w:r>
          </w:p>
        </w:tc>
        <w:tc>
          <w:tcPr>
            <w:tcW w:w="1660" w:type="dxa"/>
            <w:hideMark/>
          </w:tcPr>
          <w:p w14:paraId="2EAE42B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690.232</w:t>
            </w:r>
          </w:p>
        </w:tc>
        <w:tc>
          <w:tcPr>
            <w:tcW w:w="2140" w:type="dxa"/>
            <w:hideMark/>
          </w:tcPr>
          <w:p w14:paraId="6E43199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0.844</w:t>
            </w:r>
          </w:p>
        </w:tc>
        <w:tc>
          <w:tcPr>
            <w:tcW w:w="1660" w:type="dxa"/>
            <w:hideMark/>
          </w:tcPr>
          <w:p w14:paraId="1F3A646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436.681</w:t>
            </w:r>
          </w:p>
        </w:tc>
        <w:tc>
          <w:tcPr>
            <w:tcW w:w="2380" w:type="dxa"/>
            <w:hideMark/>
          </w:tcPr>
          <w:p w14:paraId="1E2B225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0.826</w:t>
            </w:r>
          </w:p>
        </w:tc>
      </w:tr>
      <w:tr w:rsidR="00302953" w:rsidRPr="00770477" w14:paraId="38214E1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22205D8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1-B-010-1</w:t>
            </w:r>
          </w:p>
        </w:tc>
        <w:tc>
          <w:tcPr>
            <w:tcW w:w="1680" w:type="dxa"/>
            <w:hideMark/>
          </w:tcPr>
          <w:p w14:paraId="4EB0461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336.740</w:t>
            </w:r>
          </w:p>
        </w:tc>
        <w:tc>
          <w:tcPr>
            <w:tcW w:w="2260" w:type="dxa"/>
            <w:hideMark/>
          </w:tcPr>
          <w:p w14:paraId="5B7D3EC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0.372</w:t>
            </w:r>
          </w:p>
        </w:tc>
        <w:tc>
          <w:tcPr>
            <w:tcW w:w="1660" w:type="dxa"/>
            <w:hideMark/>
          </w:tcPr>
          <w:p w14:paraId="6EDE96D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753.218</w:t>
            </w:r>
          </w:p>
        </w:tc>
        <w:tc>
          <w:tcPr>
            <w:tcW w:w="2140" w:type="dxa"/>
            <w:hideMark/>
          </w:tcPr>
          <w:p w14:paraId="6C4D663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0.790</w:t>
            </w:r>
          </w:p>
        </w:tc>
        <w:tc>
          <w:tcPr>
            <w:tcW w:w="1660" w:type="dxa"/>
            <w:hideMark/>
          </w:tcPr>
          <w:p w14:paraId="7056F0C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326.877</w:t>
            </w:r>
          </w:p>
        </w:tc>
        <w:tc>
          <w:tcPr>
            <w:tcW w:w="2380" w:type="dxa"/>
            <w:hideMark/>
          </w:tcPr>
          <w:p w14:paraId="525F969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0.506</w:t>
            </w:r>
          </w:p>
        </w:tc>
      </w:tr>
      <w:tr w:rsidR="00302953" w:rsidRPr="00770477" w14:paraId="5694F0C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70BE82E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1-B-010-2</w:t>
            </w:r>
          </w:p>
        </w:tc>
        <w:tc>
          <w:tcPr>
            <w:tcW w:w="1680" w:type="dxa"/>
            <w:hideMark/>
          </w:tcPr>
          <w:p w14:paraId="57B0C5F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440.869</w:t>
            </w:r>
          </w:p>
        </w:tc>
        <w:tc>
          <w:tcPr>
            <w:tcW w:w="2260" w:type="dxa"/>
            <w:hideMark/>
          </w:tcPr>
          <w:p w14:paraId="33A84E4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0.487</w:t>
            </w:r>
          </w:p>
        </w:tc>
        <w:tc>
          <w:tcPr>
            <w:tcW w:w="1660" w:type="dxa"/>
            <w:hideMark/>
          </w:tcPr>
          <w:p w14:paraId="5AD0E68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971.602</w:t>
            </w:r>
          </w:p>
        </w:tc>
        <w:tc>
          <w:tcPr>
            <w:tcW w:w="2140" w:type="dxa"/>
            <w:hideMark/>
          </w:tcPr>
          <w:p w14:paraId="1B29450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1.019</w:t>
            </w:r>
          </w:p>
        </w:tc>
        <w:tc>
          <w:tcPr>
            <w:tcW w:w="1660" w:type="dxa"/>
            <w:hideMark/>
          </w:tcPr>
          <w:p w14:paraId="1949F1E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437.363</w:t>
            </w:r>
          </w:p>
        </w:tc>
        <w:tc>
          <w:tcPr>
            <w:tcW w:w="2380" w:type="dxa"/>
            <w:hideMark/>
          </w:tcPr>
          <w:p w14:paraId="44D265B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0.677</w:t>
            </w:r>
          </w:p>
        </w:tc>
      </w:tr>
      <w:tr w:rsidR="00302953" w:rsidRPr="00770477" w14:paraId="3E448E2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2AE6C1B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1-B-040-1</w:t>
            </w:r>
          </w:p>
        </w:tc>
        <w:tc>
          <w:tcPr>
            <w:tcW w:w="1680" w:type="dxa"/>
            <w:hideMark/>
          </w:tcPr>
          <w:p w14:paraId="71A249C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445.829</w:t>
            </w:r>
          </w:p>
        </w:tc>
        <w:tc>
          <w:tcPr>
            <w:tcW w:w="2260" w:type="dxa"/>
            <w:hideMark/>
          </w:tcPr>
          <w:p w14:paraId="79F4DE8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0.497</w:t>
            </w:r>
          </w:p>
        </w:tc>
        <w:tc>
          <w:tcPr>
            <w:tcW w:w="1660" w:type="dxa"/>
            <w:hideMark/>
          </w:tcPr>
          <w:p w14:paraId="420B059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864.795</w:t>
            </w:r>
          </w:p>
        </w:tc>
        <w:tc>
          <w:tcPr>
            <w:tcW w:w="2140" w:type="dxa"/>
            <w:hideMark/>
          </w:tcPr>
          <w:p w14:paraId="3BE3470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0.912</w:t>
            </w:r>
          </w:p>
        </w:tc>
        <w:tc>
          <w:tcPr>
            <w:tcW w:w="1660" w:type="dxa"/>
            <w:hideMark/>
          </w:tcPr>
          <w:p w14:paraId="1927CB9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395.462</w:t>
            </w:r>
          </w:p>
        </w:tc>
        <w:tc>
          <w:tcPr>
            <w:tcW w:w="2380" w:type="dxa"/>
            <w:hideMark/>
          </w:tcPr>
          <w:p w14:paraId="26B9BAE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0.617</w:t>
            </w:r>
          </w:p>
        </w:tc>
      </w:tr>
      <w:tr w:rsidR="00302953" w:rsidRPr="00770477" w14:paraId="0AB8BC3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670E64A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1-B-090-1</w:t>
            </w:r>
          </w:p>
        </w:tc>
        <w:tc>
          <w:tcPr>
            <w:tcW w:w="1680" w:type="dxa"/>
            <w:hideMark/>
          </w:tcPr>
          <w:p w14:paraId="2E3754F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533.863</w:t>
            </w:r>
          </w:p>
        </w:tc>
        <w:tc>
          <w:tcPr>
            <w:tcW w:w="2260" w:type="dxa"/>
            <w:hideMark/>
          </w:tcPr>
          <w:p w14:paraId="1BC492A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0.605</w:t>
            </w:r>
          </w:p>
        </w:tc>
        <w:tc>
          <w:tcPr>
            <w:tcW w:w="1660" w:type="dxa"/>
            <w:hideMark/>
          </w:tcPr>
          <w:p w14:paraId="5F3BE11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855.829</w:t>
            </w:r>
          </w:p>
        </w:tc>
        <w:tc>
          <w:tcPr>
            <w:tcW w:w="2140" w:type="dxa"/>
            <w:hideMark/>
          </w:tcPr>
          <w:p w14:paraId="1737454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0.913</w:t>
            </w:r>
          </w:p>
        </w:tc>
        <w:tc>
          <w:tcPr>
            <w:tcW w:w="1660" w:type="dxa"/>
            <w:hideMark/>
          </w:tcPr>
          <w:p w14:paraId="3E69ED1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451.253</w:t>
            </w:r>
          </w:p>
        </w:tc>
        <w:tc>
          <w:tcPr>
            <w:tcW w:w="2380" w:type="dxa"/>
            <w:hideMark/>
          </w:tcPr>
          <w:p w14:paraId="00BA6B7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0.714</w:t>
            </w:r>
          </w:p>
        </w:tc>
      </w:tr>
      <w:tr w:rsidR="00302953" w:rsidRPr="00770477" w14:paraId="2F94573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6C18A47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1-B-090-2</w:t>
            </w:r>
          </w:p>
        </w:tc>
        <w:tc>
          <w:tcPr>
            <w:tcW w:w="1680" w:type="dxa"/>
            <w:hideMark/>
          </w:tcPr>
          <w:p w14:paraId="0869D6C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542.991</w:t>
            </w:r>
          </w:p>
        </w:tc>
        <w:tc>
          <w:tcPr>
            <w:tcW w:w="2260" w:type="dxa"/>
            <w:hideMark/>
          </w:tcPr>
          <w:p w14:paraId="5F60C63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0.615</w:t>
            </w:r>
          </w:p>
        </w:tc>
        <w:tc>
          <w:tcPr>
            <w:tcW w:w="1660" w:type="dxa"/>
            <w:hideMark/>
          </w:tcPr>
          <w:p w14:paraId="1EA006F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880.116</w:t>
            </w:r>
          </w:p>
        </w:tc>
        <w:tc>
          <w:tcPr>
            <w:tcW w:w="2140" w:type="dxa"/>
            <w:hideMark/>
          </w:tcPr>
          <w:p w14:paraId="7C38F2C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0.939</w:t>
            </w:r>
          </w:p>
        </w:tc>
        <w:tc>
          <w:tcPr>
            <w:tcW w:w="1660" w:type="dxa"/>
            <w:hideMark/>
          </w:tcPr>
          <w:p w14:paraId="2FC7629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475.486</w:t>
            </w:r>
          </w:p>
        </w:tc>
        <w:tc>
          <w:tcPr>
            <w:tcW w:w="2380" w:type="dxa"/>
            <w:hideMark/>
          </w:tcPr>
          <w:p w14:paraId="0F1EE71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0.753</w:t>
            </w:r>
          </w:p>
        </w:tc>
      </w:tr>
      <w:tr w:rsidR="00302953" w:rsidRPr="00770477" w14:paraId="4A28F68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68E1B39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1-B-160-1</w:t>
            </w:r>
          </w:p>
        </w:tc>
        <w:tc>
          <w:tcPr>
            <w:tcW w:w="1680" w:type="dxa"/>
            <w:hideMark/>
          </w:tcPr>
          <w:p w14:paraId="35B46C7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768.458</w:t>
            </w:r>
          </w:p>
        </w:tc>
        <w:tc>
          <w:tcPr>
            <w:tcW w:w="2260" w:type="dxa"/>
            <w:hideMark/>
          </w:tcPr>
          <w:p w14:paraId="65B1262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0.876</w:t>
            </w:r>
          </w:p>
        </w:tc>
        <w:tc>
          <w:tcPr>
            <w:tcW w:w="1660" w:type="dxa"/>
            <w:hideMark/>
          </w:tcPr>
          <w:p w14:paraId="5811B71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877.817</w:t>
            </w:r>
          </w:p>
        </w:tc>
        <w:tc>
          <w:tcPr>
            <w:tcW w:w="2140" w:type="dxa"/>
            <w:hideMark/>
          </w:tcPr>
          <w:p w14:paraId="3AA95F5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0.936</w:t>
            </w:r>
          </w:p>
        </w:tc>
        <w:tc>
          <w:tcPr>
            <w:tcW w:w="1660" w:type="dxa"/>
            <w:hideMark/>
          </w:tcPr>
          <w:p w14:paraId="0EBB8E1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562.714</w:t>
            </w:r>
          </w:p>
        </w:tc>
        <w:tc>
          <w:tcPr>
            <w:tcW w:w="2380" w:type="dxa"/>
            <w:hideMark/>
          </w:tcPr>
          <w:p w14:paraId="4C4690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0.924</w:t>
            </w:r>
          </w:p>
        </w:tc>
      </w:tr>
      <w:tr w:rsidR="00302953" w:rsidRPr="00770477" w14:paraId="232D291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2087071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1-B-270-1</w:t>
            </w:r>
          </w:p>
        </w:tc>
        <w:tc>
          <w:tcPr>
            <w:tcW w:w="1680" w:type="dxa"/>
            <w:hideMark/>
          </w:tcPr>
          <w:p w14:paraId="7727D9F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508.002</w:t>
            </w:r>
          </w:p>
        </w:tc>
        <w:tc>
          <w:tcPr>
            <w:tcW w:w="2260" w:type="dxa"/>
            <w:hideMark/>
          </w:tcPr>
          <w:p w14:paraId="4EE1C60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0.611</w:t>
            </w:r>
          </w:p>
        </w:tc>
        <w:tc>
          <w:tcPr>
            <w:tcW w:w="1660" w:type="dxa"/>
            <w:hideMark/>
          </w:tcPr>
          <w:p w14:paraId="4677BB2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637.924</w:t>
            </w:r>
          </w:p>
        </w:tc>
        <w:tc>
          <w:tcPr>
            <w:tcW w:w="2140" w:type="dxa"/>
            <w:hideMark/>
          </w:tcPr>
          <w:p w14:paraId="7A53F6F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0.708</w:t>
            </w:r>
          </w:p>
        </w:tc>
        <w:tc>
          <w:tcPr>
            <w:tcW w:w="1660" w:type="dxa"/>
            <w:hideMark/>
          </w:tcPr>
          <w:p w14:paraId="0235A71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386.327</w:t>
            </w:r>
          </w:p>
        </w:tc>
        <w:tc>
          <w:tcPr>
            <w:tcW w:w="2380" w:type="dxa"/>
            <w:hideMark/>
          </w:tcPr>
          <w:p w14:paraId="5F56E21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0.645</w:t>
            </w:r>
          </w:p>
        </w:tc>
      </w:tr>
      <w:tr w:rsidR="00302953" w:rsidRPr="00770477" w14:paraId="243A616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168E047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1-B-430-1</w:t>
            </w:r>
          </w:p>
        </w:tc>
        <w:tc>
          <w:tcPr>
            <w:tcW w:w="1680" w:type="dxa"/>
            <w:hideMark/>
          </w:tcPr>
          <w:p w14:paraId="614E0A0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628.045</w:t>
            </w:r>
          </w:p>
        </w:tc>
        <w:tc>
          <w:tcPr>
            <w:tcW w:w="2260" w:type="dxa"/>
            <w:hideMark/>
          </w:tcPr>
          <w:p w14:paraId="09E4266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0.799</w:t>
            </w:r>
          </w:p>
        </w:tc>
        <w:tc>
          <w:tcPr>
            <w:tcW w:w="1660" w:type="dxa"/>
            <w:hideMark/>
          </w:tcPr>
          <w:p w14:paraId="10A2388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720.594</w:t>
            </w:r>
          </w:p>
        </w:tc>
        <w:tc>
          <w:tcPr>
            <w:tcW w:w="2140" w:type="dxa"/>
            <w:hideMark/>
          </w:tcPr>
          <w:p w14:paraId="3A5F573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0.829</w:t>
            </w:r>
          </w:p>
        </w:tc>
        <w:tc>
          <w:tcPr>
            <w:tcW w:w="1660" w:type="dxa"/>
            <w:hideMark/>
          </w:tcPr>
          <w:p w14:paraId="76A2312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472.290</w:t>
            </w:r>
          </w:p>
        </w:tc>
        <w:tc>
          <w:tcPr>
            <w:tcW w:w="2380" w:type="dxa"/>
            <w:hideMark/>
          </w:tcPr>
          <w:p w14:paraId="474459E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0.829</w:t>
            </w:r>
          </w:p>
        </w:tc>
      </w:tr>
      <w:tr w:rsidR="00302953" w:rsidRPr="00770477" w14:paraId="2F3BD61F"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6EB7FF9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1-B-670-1</w:t>
            </w:r>
          </w:p>
        </w:tc>
        <w:tc>
          <w:tcPr>
            <w:tcW w:w="1680" w:type="dxa"/>
            <w:hideMark/>
          </w:tcPr>
          <w:p w14:paraId="23D4324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630.904</w:t>
            </w:r>
          </w:p>
        </w:tc>
        <w:tc>
          <w:tcPr>
            <w:tcW w:w="2260" w:type="dxa"/>
            <w:hideMark/>
          </w:tcPr>
          <w:p w14:paraId="1E995DC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0.883</w:t>
            </w:r>
          </w:p>
        </w:tc>
        <w:tc>
          <w:tcPr>
            <w:tcW w:w="1660" w:type="dxa"/>
            <w:hideMark/>
          </w:tcPr>
          <w:p w14:paraId="7CAE830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729.911</w:t>
            </w:r>
          </w:p>
        </w:tc>
        <w:tc>
          <w:tcPr>
            <w:tcW w:w="2140" w:type="dxa"/>
            <w:hideMark/>
          </w:tcPr>
          <w:p w14:paraId="4DE5ECE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0.892</w:t>
            </w:r>
          </w:p>
        </w:tc>
        <w:tc>
          <w:tcPr>
            <w:tcW w:w="1660" w:type="dxa"/>
            <w:hideMark/>
          </w:tcPr>
          <w:p w14:paraId="08BD29E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463.174</w:t>
            </w:r>
          </w:p>
        </w:tc>
        <w:tc>
          <w:tcPr>
            <w:tcW w:w="2380" w:type="dxa"/>
            <w:hideMark/>
          </w:tcPr>
          <w:p w14:paraId="5BFDB5F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0.876</w:t>
            </w:r>
          </w:p>
        </w:tc>
      </w:tr>
      <w:tr w:rsidR="00302953" w:rsidRPr="00770477" w14:paraId="2893C85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25923EF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1-C-010-1</w:t>
            </w:r>
          </w:p>
        </w:tc>
        <w:tc>
          <w:tcPr>
            <w:tcW w:w="1680" w:type="dxa"/>
            <w:hideMark/>
          </w:tcPr>
          <w:p w14:paraId="7686BCE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162.612</w:t>
            </w:r>
          </w:p>
        </w:tc>
        <w:tc>
          <w:tcPr>
            <w:tcW w:w="2260" w:type="dxa"/>
            <w:hideMark/>
          </w:tcPr>
          <w:p w14:paraId="2A090F8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0.180</w:t>
            </w:r>
          </w:p>
        </w:tc>
        <w:tc>
          <w:tcPr>
            <w:tcW w:w="1660" w:type="dxa"/>
            <w:hideMark/>
          </w:tcPr>
          <w:p w14:paraId="38A6925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723.090</w:t>
            </w:r>
          </w:p>
        </w:tc>
        <w:tc>
          <w:tcPr>
            <w:tcW w:w="2140" w:type="dxa"/>
            <w:hideMark/>
          </w:tcPr>
          <w:p w14:paraId="69486EE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0.758</w:t>
            </w:r>
          </w:p>
        </w:tc>
        <w:tc>
          <w:tcPr>
            <w:tcW w:w="1660" w:type="dxa"/>
            <w:hideMark/>
          </w:tcPr>
          <w:p w14:paraId="1AD2FA8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218.473</w:t>
            </w:r>
          </w:p>
        </w:tc>
        <w:tc>
          <w:tcPr>
            <w:tcW w:w="2380" w:type="dxa"/>
            <w:hideMark/>
          </w:tcPr>
          <w:p w14:paraId="2AE1840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0.338</w:t>
            </w:r>
          </w:p>
        </w:tc>
      </w:tr>
      <w:tr w:rsidR="00302953" w:rsidRPr="00770477" w14:paraId="653DB9F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487A188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1-C-040-1</w:t>
            </w:r>
          </w:p>
        </w:tc>
        <w:tc>
          <w:tcPr>
            <w:tcW w:w="1680" w:type="dxa"/>
            <w:hideMark/>
          </w:tcPr>
          <w:p w14:paraId="0F0C129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228.810</w:t>
            </w:r>
          </w:p>
        </w:tc>
        <w:tc>
          <w:tcPr>
            <w:tcW w:w="2260" w:type="dxa"/>
            <w:hideMark/>
          </w:tcPr>
          <w:p w14:paraId="5D31138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0.255</w:t>
            </w:r>
          </w:p>
        </w:tc>
        <w:tc>
          <w:tcPr>
            <w:tcW w:w="1660" w:type="dxa"/>
            <w:hideMark/>
          </w:tcPr>
          <w:p w14:paraId="3EC5F2A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874.993</w:t>
            </w:r>
          </w:p>
        </w:tc>
        <w:tc>
          <w:tcPr>
            <w:tcW w:w="2140" w:type="dxa"/>
            <w:hideMark/>
          </w:tcPr>
          <w:p w14:paraId="4AFA289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0.923</w:t>
            </w:r>
          </w:p>
        </w:tc>
        <w:tc>
          <w:tcPr>
            <w:tcW w:w="1660" w:type="dxa"/>
            <w:hideMark/>
          </w:tcPr>
          <w:p w14:paraId="79F3E65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286.258</w:t>
            </w:r>
          </w:p>
        </w:tc>
        <w:tc>
          <w:tcPr>
            <w:tcW w:w="2380" w:type="dxa"/>
            <w:hideMark/>
          </w:tcPr>
          <w:p w14:paraId="1CD9A93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0.447</w:t>
            </w:r>
          </w:p>
        </w:tc>
      </w:tr>
      <w:tr w:rsidR="00302953" w:rsidRPr="00770477" w14:paraId="7625EF8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0C13EC6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1-C-090-1</w:t>
            </w:r>
          </w:p>
        </w:tc>
        <w:tc>
          <w:tcPr>
            <w:tcW w:w="1680" w:type="dxa"/>
            <w:hideMark/>
          </w:tcPr>
          <w:p w14:paraId="73621E8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209.537</w:t>
            </w:r>
          </w:p>
        </w:tc>
        <w:tc>
          <w:tcPr>
            <w:tcW w:w="2260" w:type="dxa"/>
            <w:hideMark/>
          </w:tcPr>
          <w:p w14:paraId="163A612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0.237</w:t>
            </w:r>
          </w:p>
        </w:tc>
        <w:tc>
          <w:tcPr>
            <w:tcW w:w="1660" w:type="dxa"/>
            <w:hideMark/>
          </w:tcPr>
          <w:p w14:paraId="58AE313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820.535</w:t>
            </w:r>
          </w:p>
        </w:tc>
        <w:tc>
          <w:tcPr>
            <w:tcW w:w="2140" w:type="dxa"/>
            <w:hideMark/>
          </w:tcPr>
          <w:p w14:paraId="2DA3FF1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0.875</w:t>
            </w:r>
          </w:p>
        </w:tc>
        <w:tc>
          <w:tcPr>
            <w:tcW w:w="1660" w:type="dxa"/>
            <w:hideMark/>
          </w:tcPr>
          <w:p w14:paraId="077D56C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242.616</w:t>
            </w:r>
          </w:p>
        </w:tc>
        <w:tc>
          <w:tcPr>
            <w:tcW w:w="2380" w:type="dxa"/>
            <w:hideMark/>
          </w:tcPr>
          <w:p w14:paraId="6E7769E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0.384</w:t>
            </w:r>
          </w:p>
        </w:tc>
      </w:tr>
      <w:tr w:rsidR="00302953" w:rsidRPr="00770477" w14:paraId="1A73C9A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2862BB3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1-C-090-2</w:t>
            </w:r>
          </w:p>
        </w:tc>
        <w:tc>
          <w:tcPr>
            <w:tcW w:w="1680" w:type="dxa"/>
            <w:hideMark/>
          </w:tcPr>
          <w:p w14:paraId="6EB567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164.581</w:t>
            </w:r>
          </w:p>
        </w:tc>
        <w:tc>
          <w:tcPr>
            <w:tcW w:w="2260" w:type="dxa"/>
            <w:hideMark/>
          </w:tcPr>
          <w:p w14:paraId="4060D05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0.186</w:t>
            </w:r>
          </w:p>
        </w:tc>
        <w:tc>
          <w:tcPr>
            <w:tcW w:w="1660" w:type="dxa"/>
            <w:hideMark/>
          </w:tcPr>
          <w:p w14:paraId="5D26043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694.216</w:t>
            </w:r>
          </w:p>
        </w:tc>
        <w:tc>
          <w:tcPr>
            <w:tcW w:w="2140" w:type="dxa"/>
            <w:hideMark/>
          </w:tcPr>
          <w:p w14:paraId="167C343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0.740</w:t>
            </w:r>
          </w:p>
        </w:tc>
        <w:tc>
          <w:tcPr>
            <w:tcW w:w="1660" w:type="dxa"/>
            <w:hideMark/>
          </w:tcPr>
          <w:p w14:paraId="35EC802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202.610</w:t>
            </w:r>
          </w:p>
        </w:tc>
        <w:tc>
          <w:tcPr>
            <w:tcW w:w="2380" w:type="dxa"/>
            <w:hideMark/>
          </w:tcPr>
          <w:p w14:paraId="4CFCD49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0.321</w:t>
            </w:r>
          </w:p>
        </w:tc>
      </w:tr>
      <w:tr w:rsidR="00302953" w:rsidRPr="00770477" w14:paraId="47CEE75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670C7CC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1-C-160-1</w:t>
            </w:r>
          </w:p>
        </w:tc>
        <w:tc>
          <w:tcPr>
            <w:tcW w:w="1680" w:type="dxa"/>
            <w:hideMark/>
          </w:tcPr>
          <w:p w14:paraId="651C18C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260.839</w:t>
            </w:r>
          </w:p>
        </w:tc>
        <w:tc>
          <w:tcPr>
            <w:tcW w:w="2260" w:type="dxa"/>
            <w:hideMark/>
          </w:tcPr>
          <w:p w14:paraId="01EFDB3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0.297</w:t>
            </w:r>
          </w:p>
        </w:tc>
        <w:tc>
          <w:tcPr>
            <w:tcW w:w="1660" w:type="dxa"/>
            <w:hideMark/>
          </w:tcPr>
          <w:p w14:paraId="69B8D08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764.063</w:t>
            </w:r>
          </w:p>
        </w:tc>
        <w:tc>
          <w:tcPr>
            <w:tcW w:w="2140" w:type="dxa"/>
            <w:hideMark/>
          </w:tcPr>
          <w:p w14:paraId="722489D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0.815</w:t>
            </w:r>
          </w:p>
        </w:tc>
        <w:tc>
          <w:tcPr>
            <w:tcW w:w="1660" w:type="dxa"/>
            <w:hideMark/>
          </w:tcPr>
          <w:p w14:paraId="7EC8A97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295.654</w:t>
            </w:r>
          </w:p>
        </w:tc>
        <w:tc>
          <w:tcPr>
            <w:tcW w:w="2380" w:type="dxa"/>
            <w:hideMark/>
          </w:tcPr>
          <w:p w14:paraId="731A02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0.486</w:t>
            </w:r>
          </w:p>
        </w:tc>
      </w:tr>
      <w:tr w:rsidR="00302953" w:rsidRPr="00770477" w14:paraId="7DAE1BF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678D333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1-C-160-2</w:t>
            </w:r>
          </w:p>
        </w:tc>
        <w:tc>
          <w:tcPr>
            <w:tcW w:w="1680" w:type="dxa"/>
            <w:hideMark/>
          </w:tcPr>
          <w:p w14:paraId="2EF1C90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317.694</w:t>
            </w:r>
          </w:p>
        </w:tc>
        <w:tc>
          <w:tcPr>
            <w:tcW w:w="2260" w:type="dxa"/>
            <w:hideMark/>
          </w:tcPr>
          <w:p w14:paraId="0CBAC0E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0.362</w:t>
            </w:r>
          </w:p>
        </w:tc>
        <w:tc>
          <w:tcPr>
            <w:tcW w:w="1660" w:type="dxa"/>
            <w:hideMark/>
          </w:tcPr>
          <w:p w14:paraId="73882F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881.041</w:t>
            </w:r>
          </w:p>
        </w:tc>
        <w:tc>
          <w:tcPr>
            <w:tcW w:w="2140" w:type="dxa"/>
            <w:hideMark/>
          </w:tcPr>
          <w:p w14:paraId="4A9A933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0.940</w:t>
            </w:r>
          </w:p>
        </w:tc>
        <w:tc>
          <w:tcPr>
            <w:tcW w:w="1660" w:type="dxa"/>
            <w:hideMark/>
          </w:tcPr>
          <w:p w14:paraId="270E467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346.516</w:t>
            </w:r>
          </w:p>
        </w:tc>
        <w:tc>
          <w:tcPr>
            <w:tcW w:w="2380" w:type="dxa"/>
            <w:hideMark/>
          </w:tcPr>
          <w:p w14:paraId="69B2713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0.569</w:t>
            </w:r>
          </w:p>
        </w:tc>
      </w:tr>
      <w:tr w:rsidR="00302953" w:rsidRPr="00770477" w14:paraId="148896A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1B742D3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1-C-270-1</w:t>
            </w:r>
          </w:p>
        </w:tc>
        <w:tc>
          <w:tcPr>
            <w:tcW w:w="1680" w:type="dxa"/>
            <w:hideMark/>
          </w:tcPr>
          <w:p w14:paraId="52F7B0A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373.028</w:t>
            </w:r>
          </w:p>
        </w:tc>
        <w:tc>
          <w:tcPr>
            <w:tcW w:w="2260" w:type="dxa"/>
            <w:hideMark/>
          </w:tcPr>
          <w:p w14:paraId="03410BC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0.449</w:t>
            </w:r>
          </w:p>
        </w:tc>
        <w:tc>
          <w:tcPr>
            <w:tcW w:w="1660" w:type="dxa"/>
            <w:hideMark/>
          </w:tcPr>
          <w:p w14:paraId="716D969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756.560</w:t>
            </w:r>
          </w:p>
        </w:tc>
        <w:tc>
          <w:tcPr>
            <w:tcW w:w="2140" w:type="dxa"/>
            <w:hideMark/>
          </w:tcPr>
          <w:p w14:paraId="14376C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0.839</w:t>
            </w:r>
          </w:p>
        </w:tc>
        <w:tc>
          <w:tcPr>
            <w:tcW w:w="1660" w:type="dxa"/>
            <w:hideMark/>
          </w:tcPr>
          <w:p w14:paraId="2D48C59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338.568</w:t>
            </w:r>
          </w:p>
        </w:tc>
        <w:tc>
          <w:tcPr>
            <w:tcW w:w="2380" w:type="dxa"/>
            <w:hideMark/>
          </w:tcPr>
          <w:p w14:paraId="5BD1A3D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0.565</w:t>
            </w:r>
          </w:p>
        </w:tc>
      </w:tr>
      <w:tr w:rsidR="00302953" w:rsidRPr="00770477" w14:paraId="0713F427"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57093D9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1-C-430-1</w:t>
            </w:r>
          </w:p>
        </w:tc>
        <w:tc>
          <w:tcPr>
            <w:tcW w:w="1680" w:type="dxa"/>
            <w:hideMark/>
          </w:tcPr>
          <w:p w14:paraId="188BD1E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437.987</w:t>
            </w:r>
          </w:p>
        </w:tc>
        <w:tc>
          <w:tcPr>
            <w:tcW w:w="2260" w:type="dxa"/>
            <w:hideMark/>
          </w:tcPr>
          <w:p w14:paraId="47001F7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0.557</w:t>
            </w:r>
          </w:p>
        </w:tc>
        <w:tc>
          <w:tcPr>
            <w:tcW w:w="1660" w:type="dxa"/>
            <w:hideMark/>
          </w:tcPr>
          <w:p w14:paraId="6AC34FC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682.686</w:t>
            </w:r>
          </w:p>
        </w:tc>
        <w:tc>
          <w:tcPr>
            <w:tcW w:w="2140" w:type="dxa"/>
            <w:hideMark/>
          </w:tcPr>
          <w:p w14:paraId="61D8465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0.785</w:t>
            </w:r>
          </w:p>
        </w:tc>
        <w:tc>
          <w:tcPr>
            <w:tcW w:w="1660" w:type="dxa"/>
            <w:hideMark/>
          </w:tcPr>
          <w:p w14:paraId="410EF7D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369.724</w:t>
            </w:r>
          </w:p>
        </w:tc>
        <w:tc>
          <w:tcPr>
            <w:tcW w:w="2380" w:type="dxa"/>
            <w:hideMark/>
          </w:tcPr>
          <w:p w14:paraId="76466EC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0.649</w:t>
            </w:r>
          </w:p>
        </w:tc>
      </w:tr>
      <w:tr w:rsidR="00302953" w:rsidRPr="00770477" w14:paraId="1716C22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238A306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1-C-670-1</w:t>
            </w:r>
          </w:p>
        </w:tc>
        <w:tc>
          <w:tcPr>
            <w:tcW w:w="1680" w:type="dxa"/>
            <w:hideMark/>
          </w:tcPr>
          <w:p w14:paraId="076F5D5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479.876</w:t>
            </w:r>
          </w:p>
        </w:tc>
        <w:tc>
          <w:tcPr>
            <w:tcW w:w="2260" w:type="dxa"/>
            <w:hideMark/>
          </w:tcPr>
          <w:p w14:paraId="565BE95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0.672</w:t>
            </w:r>
          </w:p>
        </w:tc>
        <w:tc>
          <w:tcPr>
            <w:tcW w:w="1660" w:type="dxa"/>
            <w:hideMark/>
          </w:tcPr>
          <w:p w14:paraId="1F1333D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657.915</w:t>
            </w:r>
          </w:p>
        </w:tc>
        <w:tc>
          <w:tcPr>
            <w:tcW w:w="2140" w:type="dxa"/>
            <w:hideMark/>
          </w:tcPr>
          <w:p w14:paraId="3EB9011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0.804</w:t>
            </w:r>
          </w:p>
        </w:tc>
        <w:tc>
          <w:tcPr>
            <w:tcW w:w="1660" w:type="dxa"/>
            <w:hideMark/>
          </w:tcPr>
          <w:p w14:paraId="5A6BD9D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375.921</w:t>
            </w:r>
          </w:p>
        </w:tc>
        <w:tc>
          <w:tcPr>
            <w:tcW w:w="2380" w:type="dxa"/>
            <w:hideMark/>
          </w:tcPr>
          <w:p w14:paraId="769040E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0.711</w:t>
            </w:r>
          </w:p>
        </w:tc>
      </w:tr>
      <w:tr w:rsidR="00302953" w:rsidRPr="00770477" w14:paraId="48A40BD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5F23ED5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1-I-000-3</w:t>
            </w:r>
          </w:p>
        </w:tc>
        <w:tc>
          <w:tcPr>
            <w:tcW w:w="1680" w:type="dxa"/>
            <w:hideMark/>
          </w:tcPr>
          <w:p w14:paraId="00544CB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896.732</w:t>
            </w:r>
          </w:p>
        </w:tc>
        <w:tc>
          <w:tcPr>
            <w:tcW w:w="2260" w:type="dxa"/>
            <w:hideMark/>
          </w:tcPr>
          <w:p w14:paraId="3D10C25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46FCF2C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945.378</w:t>
            </w:r>
          </w:p>
        </w:tc>
        <w:tc>
          <w:tcPr>
            <w:tcW w:w="2140" w:type="dxa"/>
            <w:hideMark/>
          </w:tcPr>
          <w:p w14:paraId="70FA9CB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595B5CA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656.135</w:t>
            </w:r>
          </w:p>
        </w:tc>
        <w:tc>
          <w:tcPr>
            <w:tcW w:w="2380" w:type="dxa"/>
            <w:hideMark/>
          </w:tcPr>
          <w:p w14:paraId="20FDEE1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r>
      <w:tr w:rsidR="00302953" w:rsidRPr="00770477" w14:paraId="66FA792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58676AB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1-I-160-3</w:t>
            </w:r>
          </w:p>
        </w:tc>
        <w:tc>
          <w:tcPr>
            <w:tcW w:w="1680" w:type="dxa"/>
            <w:hideMark/>
          </w:tcPr>
          <w:p w14:paraId="12758AA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877.557</w:t>
            </w:r>
          </w:p>
        </w:tc>
        <w:tc>
          <w:tcPr>
            <w:tcW w:w="2260" w:type="dxa"/>
            <w:hideMark/>
          </w:tcPr>
          <w:p w14:paraId="42550DE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5402F3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937.365</w:t>
            </w:r>
          </w:p>
        </w:tc>
        <w:tc>
          <w:tcPr>
            <w:tcW w:w="2140" w:type="dxa"/>
            <w:hideMark/>
          </w:tcPr>
          <w:p w14:paraId="103A5E5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2A4176F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608.720</w:t>
            </w:r>
          </w:p>
        </w:tc>
        <w:tc>
          <w:tcPr>
            <w:tcW w:w="2380" w:type="dxa"/>
            <w:hideMark/>
          </w:tcPr>
          <w:p w14:paraId="2C7D88E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r>
      <w:tr w:rsidR="00302953" w:rsidRPr="00770477" w14:paraId="23DE09B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3205FE6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1-I-670-3</w:t>
            </w:r>
          </w:p>
        </w:tc>
        <w:tc>
          <w:tcPr>
            <w:tcW w:w="1680" w:type="dxa"/>
            <w:hideMark/>
          </w:tcPr>
          <w:p w14:paraId="2AFE2C6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714.119</w:t>
            </w:r>
          </w:p>
        </w:tc>
        <w:tc>
          <w:tcPr>
            <w:tcW w:w="2260" w:type="dxa"/>
            <w:hideMark/>
          </w:tcPr>
          <w:p w14:paraId="73F9797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44B5266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818.144</w:t>
            </w:r>
          </w:p>
        </w:tc>
        <w:tc>
          <w:tcPr>
            <w:tcW w:w="2140" w:type="dxa"/>
            <w:hideMark/>
          </w:tcPr>
          <w:p w14:paraId="748F913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42C3BE1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528.608</w:t>
            </w:r>
          </w:p>
        </w:tc>
        <w:tc>
          <w:tcPr>
            <w:tcW w:w="2380" w:type="dxa"/>
            <w:hideMark/>
          </w:tcPr>
          <w:p w14:paraId="6A60EFD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r>
      <w:tr w:rsidR="00302953" w:rsidRPr="00770477" w14:paraId="5612AF5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18284A1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2-A-010-1</w:t>
            </w:r>
          </w:p>
        </w:tc>
        <w:tc>
          <w:tcPr>
            <w:tcW w:w="1680" w:type="dxa"/>
            <w:hideMark/>
          </w:tcPr>
          <w:p w14:paraId="5CAF113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227.491</w:t>
            </w:r>
          </w:p>
        </w:tc>
        <w:tc>
          <w:tcPr>
            <w:tcW w:w="2260" w:type="dxa"/>
            <w:hideMark/>
          </w:tcPr>
          <w:p w14:paraId="433397E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0.255</w:t>
            </w:r>
          </w:p>
        </w:tc>
        <w:tc>
          <w:tcPr>
            <w:tcW w:w="1660" w:type="dxa"/>
            <w:hideMark/>
          </w:tcPr>
          <w:p w14:paraId="2D56A87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504.403</w:t>
            </w:r>
          </w:p>
        </w:tc>
        <w:tc>
          <w:tcPr>
            <w:tcW w:w="2140" w:type="dxa"/>
            <w:hideMark/>
          </w:tcPr>
          <w:p w14:paraId="7088F41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0.528</w:t>
            </w:r>
          </w:p>
        </w:tc>
        <w:tc>
          <w:tcPr>
            <w:tcW w:w="1660" w:type="dxa"/>
            <w:hideMark/>
          </w:tcPr>
          <w:p w14:paraId="51098FB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159.340</w:t>
            </w:r>
          </w:p>
        </w:tc>
        <w:tc>
          <w:tcPr>
            <w:tcW w:w="2380" w:type="dxa"/>
            <w:hideMark/>
          </w:tcPr>
          <w:p w14:paraId="76DB4C8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0.239</w:t>
            </w:r>
          </w:p>
        </w:tc>
      </w:tr>
      <w:tr w:rsidR="00302953" w:rsidRPr="00770477" w14:paraId="0923D54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25DDFC6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2-A-010-2</w:t>
            </w:r>
          </w:p>
        </w:tc>
        <w:tc>
          <w:tcPr>
            <w:tcW w:w="1680" w:type="dxa"/>
            <w:hideMark/>
          </w:tcPr>
          <w:p w14:paraId="50295DD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231.625</w:t>
            </w:r>
          </w:p>
        </w:tc>
        <w:tc>
          <w:tcPr>
            <w:tcW w:w="2260" w:type="dxa"/>
            <w:hideMark/>
          </w:tcPr>
          <w:p w14:paraId="5E024AE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0.260</w:t>
            </w:r>
          </w:p>
        </w:tc>
        <w:tc>
          <w:tcPr>
            <w:tcW w:w="1660" w:type="dxa"/>
            <w:hideMark/>
          </w:tcPr>
          <w:p w14:paraId="18FFC66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518.933</w:t>
            </w:r>
          </w:p>
        </w:tc>
        <w:tc>
          <w:tcPr>
            <w:tcW w:w="2140" w:type="dxa"/>
            <w:hideMark/>
          </w:tcPr>
          <w:p w14:paraId="276A178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0.543</w:t>
            </w:r>
          </w:p>
        </w:tc>
        <w:tc>
          <w:tcPr>
            <w:tcW w:w="1660" w:type="dxa"/>
            <w:hideMark/>
          </w:tcPr>
          <w:p w14:paraId="2C15A14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155.803</w:t>
            </w:r>
          </w:p>
        </w:tc>
        <w:tc>
          <w:tcPr>
            <w:tcW w:w="2380" w:type="dxa"/>
            <w:hideMark/>
          </w:tcPr>
          <w:p w14:paraId="54D84D8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0.234</w:t>
            </w:r>
          </w:p>
        </w:tc>
      </w:tr>
      <w:tr w:rsidR="00302953" w:rsidRPr="00770477" w14:paraId="36A38AD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3EB970A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2-A-040-1</w:t>
            </w:r>
          </w:p>
        </w:tc>
        <w:tc>
          <w:tcPr>
            <w:tcW w:w="1680" w:type="dxa"/>
            <w:hideMark/>
          </w:tcPr>
          <w:p w14:paraId="6B22FC5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392.324</w:t>
            </w:r>
          </w:p>
        </w:tc>
        <w:tc>
          <w:tcPr>
            <w:tcW w:w="2260" w:type="dxa"/>
            <w:hideMark/>
          </w:tcPr>
          <w:p w14:paraId="3838BC9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0.443</w:t>
            </w:r>
          </w:p>
        </w:tc>
        <w:tc>
          <w:tcPr>
            <w:tcW w:w="1660" w:type="dxa"/>
            <w:hideMark/>
          </w:tcPr>
          <w:p w14:paraId="73A73B2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602.227</w:t>
            </w:r>
          </w:p>
        </w:tc>
        <w:tc>
          <w:tcPr>
            <w:tcW w:w="2140" w:type="dxa"/>
            <w:hideMark/>
          </w:tcPr>
          <w:p w14:paraId="71961D2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0.640</w:t>
            </w:r>
          </w:p>
        </w:tc>
        <w:tc>
          <w:tcPr>
            <w:tcW w:w="1660" w:type="dxa"/>
            <w:hideMark/>
          </w:tcPr>
          <w:p w14:paraId="26E8C83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257.723</w:t>
            </w:r>
          </w:p>
        </w:tc>
        <w:tc>
          <w:tcPr>
            <w:tcW w:w="2380" w:type="dxa"/>
            <w:hideMark/>
          </w:tcPr>
          <w:p w14:paraId="4B55D3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0.390</w:t>
            </w:r>
          </w:p>
        </w:tc>
      </w:tr>
      <w:tr w:rsidR="00302953" w:rsidRPr="00770477" w14:paraId="2758F59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3B1165E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2-A-040-2</w:t>
            </w:r>
          </w:p>
        </w:tc>
        <w:tc>
          <w:tcPr>
            <w:tcW w:w="1680" w:type="dxa"/>
            <w:hideMark/>
          </w:tcPr>
          <w:p w14:paraId="257EC03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358.644</w:t>
            </w:r>
          </w:p>
        </w:tc>
        <w:tc>
          <w:tcPr>
            <w:tcW w:w="2260" w:type="dxa"/>
            <w:hideMark/>
          </w:tcPr>
          <w:p w14:paraId="0AA1809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0.405</w:t>
            </w:r>
          </w:p>
        </w:tc>
        <w:tc>
          <w:tcPr>
            <w:tcW w:w="1660" w:type="dxa"/>
            <w:hideMark/>
          </w:tcPr>
          <w:p w14:paraId="70CDC1B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577.115</w:t>
            </w:r>
          </w:p>
        </w:tc>
        <w:tc>
          <w:tcPr>
            <w:tcW w:w="2140" w:type="dxa"/>
            <w:hideMark/>
          </w:tcPr>
          <w:p w14:paraId="208D8C8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0.613</w:t>
            </w:r>
          </w:p>
        </w:tc>
        <w:tc>
          <w:tcPr>
            <w:tcW w:w="1660" w:type="dxa"/>
            <w:hideMark/>
          </w:tcPr>
          <w:p w14:paraId="71550B6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249.969</w:t>
            </w:r>
          </w:p>
        </w:tc>
        <w:tc>
          <w:tcPr>
            <w:tcW w:w="2380" w:type="dxa"/>
            <w:hideMark/>
          </w:tcPr>
          <w:p w14:paraId="66A371F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0.378</w:t>
            </w:r>
          </w:p>
        </w:tc>
      </w:tr>
      <w:tr w:rsidR="00302953" w:rsidRPr="00770477" w14:paraId="4251B1B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1AD367C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2-A-090-1</w:t>
            </w:r>
          </w:p>
        </w:tc>
        <w:tc>
          <w:tcPr>
            <w:tcW w:w="1680" w:type="dxa"/>
            <w:hideMark/>
          </w:tcPr>
          <w:p w14:paraId="3B41B5D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462.901</w:t>
            </w:r>
          </w:p>
        </w:tc>
        <w:tc>
          <w:tcPr>
            <w:tcW w:w="2260" w:type="dxa"/>
            <w:hideMark/>
          </w:tcPr>
          <w:p w14:paraId="62E9731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0.529</w:t>
            </w:r>
          </w:p>
        </w:tc>
        <w:tc>
          <w:tcPr>
            <w:tcW w:w="1660" w:type="dxa"/>
            <w:hideMark/>
          </w:tcPr>
          <w:p w14:paraId="30F1E4F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656.911</w:t>
            </w:r>
          </w:p>
        </w:tc>
        <w:tc>
          <w:tcPr>
            <w:tcW w:w="2140" w:type="dxa"/>
            <w:hideMark/>
          </w:tcPr>
          <w:p w14:paraId="4AEACCB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0.716</w:t>
            </w:r>
          </w:p>
        </w:tc>
        <w:tc>
          <w:tcPr>
            <w:tcW w:w="1660" w:type="dxa"/>
            <w:hideMark/>
          </w:tcPr>
          <w:p w14:paraId="2CBCB6F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337.291</w:t>
            </w:r>
          </w:p>
        </w:tc>
        <w:tc>
          <w:tcPr>
            <w:tcW w:w="2380" w:type="dxa"/>
            <w:hideMark/>
          </w:tcPr>
          <w:p w14:paraId="5EC4E35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0.517</w:t>
            </w:r>
          </w:p>
        </w:tc>
      </w:tr>
      <w:tr w:rsidR="00302953" w:rsidRPr="00770477" w14:paraId="0E92556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531B3C5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2-A-160-1</w:t>
            </w:r>
          </w:p>
        </w:tc>
        <w:tc>
          <w:tcPr>
            <w:tcW w:w="1680" w:type="dxa"/>
            <w:hideMark/>
          </w:tcPr>
          <w:p w14:paraId="56E6389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493.987</w:t>
            </w:r>
          </w:p>
        </w:tc>
        <w:tc>
          <w:tcPr>
            <w:tcW w:w="2260" w:type="dxa"/>
            <w:hideMark/>
          </w:tcPr>
          <w:p w14:paraId="5916873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0.575</w:t>
            </w:r>
          </w:p>
        </w:tc>
        <w:tc>
          <w:tcPr>
            <w:tcW w:w="1660" w:type="dxa"/>
            <w:hideMark/>
          </w:tcPr>
          <w:p w14:paraId="504D70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664.283</w:t>
            </w:r>
          </w:p>
        </w:tc>
        <w:tc>
          <w:tcPr>
            <w:tcW w:w="2140" w:type="dxa"/>
            <w:hideMark/>
          </w:tcPr>
          <w:p w14:paraId="45ECD73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0.760</w:t>
            </w:r>
          </w:p>
        </w:tc>
        <w:tc>
          <w:tcPr>
            <w:tcW w:w="1660" w:type="dxa"/>
            <w:hideMark/>
          </w:tcPr>
          <w:p w14:paraId="2A0A218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374.214</w:t>
            </w:r>
          </w:p>
        </w:tc>
        <w:tc>
          <w:tcPr>
            <w:tcW w:w="2380" w:type="dxa"/>
            <w:hideMark/>
          </w:tcPr>
          <w:p w14:paraId="61B597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0.564</w:t>
            </w:r>
          </w:p>
        </w:tc>
      </w:tr>
      <w:tr w:rsidR="00302953" w:rsidRPr="00770477" w14:paraId="00AC7ED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1EE36FB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2-A-270-1</w:t>
            </w:r>
          </w:p>
        </w:tc>
        <w:tc>
          <w:tcPr>
            <w:tcW w:w="1680" w:type="dxa"/>
            <w:hideMark/>
          </w:tcPr>
          <w:p w14:paraId="16419FC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655.701</w:t>
            </w:r>
          </w:p>
        </w:tc>
        <w:tc>
          <w:tcPr>
            <w:tcW w:w="2260" w:type="dxa"/>
            <w:hideMark/>
          </w:tcPr>
          <w:p w14:paraId="6E9AE55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0.784</w:t>
            </w:r>
          </w:p>
        </w:tc>
        <w:tc>
          <w:tcPr>
            <w:tcW w:w="1660" w:type="dxa"/>
            <w:hideMark/>
          </w:tcPr>
          <w:p w14:paraId="475D0AD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817.219</w:t>
            </w:r>
          </w:p>
        </w:tc>
        <w:tc>
          <w:tcPr>
            <w:tcW w:w="2140" w:type="dxa"/>
            <w:hideMark/>
          </w:tcPr>
          <w:p w14:paraId="57763BB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0.984</w:t>
            </w:r>
          </w:p>
        </w:tc>
        <w:tc>
          <w:tcPr>
            <w:tcW w:w="1660" w:type="dxa"/>
            <w:hideMark/>
          </w:tcPr>
          <w:p w14:paraId="6DDDB23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479.624</w:t>
            </w:r>
          </w:p>
        </w:tc>
        <w:tc>
          <w:tcPr>
            <w:tcW w:w="2380" w:type="dxa"/>
            <w:hideMark/>
          </w:tcPr>
          <w:p w14:paraId="6D0C01C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0.773</w:t>
            </w:r>
          </w:p>
        </w:tc>
      </w:tr>
      <w:tr w:rsidR="00302953" w:rsidRPr="00770477" w14:paraId="5017108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7489DDD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2-A-430-1</w:t>
            </w:r>
          </w:p>
        </w:tc>
        <w:tc>
          <w:tcPr>
            <w:tcW w:w="1680" w:type="dxa"/>
            <w:hideMark/>
          </w:tcPr>
          <w:p w14:paraId="6810204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655.398</w:t>
            </w:r>
          </w:p>
        </w:tc>
        <w:tc>
          <w:tcPr>
            <w:tcW w:w="2260" w:type="dxa"/>
            <w:hideMark/>
          </w:tcPr>
          <w:p w14:paraId="4DB3186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0.818</w:t>
            </w:r>
          </w:p>
        </w:tc>
        <w:tc>
          <w:tcPr>
            <w:tcW w:w="1660" w:type="dxa"/>
            <w:hideMark/>
          </w:tcPr>
          <w:p w14:paraId="6ABB6A9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816.511</w:t>
            </w:r>
          </w:p>
        </w:tc>
        <w:tc>
          <w:tcPr>
            <w:tcW w:w="2140" w:type="dxa"/>
            <w:hideMark/>
          </w:tcPr>
          <w:p w14:paraId="32F476B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1.083</w:t>
            </w:r>
          </w:p>
        </w:tc>
        <w:tc>
          <w:tcPr>
            <w:tcW w:w="1660" w:type="dxa"/>
            <w:hideMark/>
          </w:tcPr>
          <w:p w14:paraId="677B719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497.007</w:t>
            </w:r>
          </w:p>
        </w:tc>
        <w:tc>
          <w:tcPr>
            <w:tcW w:w="2380" w:type="dxa"/>
            <w:hideMark/>
          </w:tcPr>
          <w:p w14:paraId="05C0CA2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0.839</w:t>
            </w:r>
          </w:p>
        </w:tc>
      </w:tr>
      <w:tr w:rsidR="00302953" w:rsidRPr="00770477" w14:paraId="40203B8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1FE2024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2-A-670-1</w:t>
            </w:r>
          </w:p>
        </w:tc>
        <w:tc>
          <w:tcPr>
            <w:tcW w:w="1680" w:type="dxa"/>
            <w:hideMark/>
          </w:tcPr>
          <w:p w14:paraId="3C7D511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641.458</w:t>
            </w:r>
          </w:p>
        </w:tc>
        <w:tc>
          <w:tcPr>
            <w:tcW w:w="2260" w:type="dxa"/>
            <w:hideMark/>
          </w:tcPr>
          <w:p w14:paraId="2E9C417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0.856</w:t>
            </w:r>
          </w:p>
        </w:tc>
        <w:tc>
          <w:tcPr>
            <w:tcW w:w="1660" w:type="dxa"/>
            <w:hideMark/>
          </w:tcPr>
          <w:p w14:paraId="3B88138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614.217</w:t>
            </w:r>
          </w:p>
        </w:tc>
        <w:tc>
          <w:tcPr>
            <w:tcW w:w="2140" w:type="dxa"/>
            <w:hideMark/>
          </w:tcPr>
          <w:p w14:paraId="6E60E1D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0.958</w:t>
            </w:r>
          </w:p>
        </w:tc>
        <w:tc>
          <w:tcPr>
            <w:tcW w:w="1660" w:type="dxa"/>
            <w:hideMark/>
          </w:tcPr>
          <w:p w14:paraId="15C5458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451.329</w:t>
            </w:r>
          </w:p>
        </w:tc>
        <w:tc>
          <w:tcPr>
            <w:tcW w:w="2380" w:type="dxa"/>
            <w:hideMark/>
          </w:tcPr>
          <w:p w14:paraId="4C0A3F0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0.828</w:t>
            </w:r>
          </w:p>
        </w:tc>
      </w:tr>
      <w:tr w:rsidR="00302953" w:rsidRPr="00770477" w14:paraId="26B6DBC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2F991B1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2-B-010-1</w:t>
            </w:r>
          </w:p>
        </w:tc>
        <w:tc>
          <w:tcPr>
            <w:tcW w:w="1680" w:type="dxa"/>
            <w:hideMark/>
          </w:tcPr>
          <w:p w14:paraId="1FB101C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519.938</w:t>
            </w:r>
          </w:p>
        </w:tc>
        <w:tc>
          <w:tcPr>
            <w:tcW w:w="2260" w:type="dxa"/>
            <w:hideMark/>
          </w:tcPr>
          <w:p w14:paraId="649EAAA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0.583</w:t>
            </w:r>
          </w:p>
        </w:tc>
        <w:tc>
          <w:tcPr>
            <w:tcW w:w="1660" w:type="dxa"/>
            <w:hideMark/>
          </w:tcPr>
          <w:p w14:paraId="3606983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709.958</w:t>
            </w:r>
          </w:p>
        </w:tc>
        <w:tc>
          <w:tcPr>
            <w:tcW w:w="2140" w:type="dxa"/>
            <w:hideMark/>
          </w:tcPr>
          <w:p w14:paraId="36099ED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0.743</w:t>
            </w:r>
          </w:p>
        </w:tc>
        <w:tc>
          <w:tcPr>
            <w:tcW w:w="1660" w:type="dxa"/>
            <w:hideMark/>
          </w:tcPr>
          <w:p w14:paraId="2A1F6E6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374.738</w:t>
            </w:r>
          </w:p>
        </w:tc>
        <w:tc>
          <w:tcPr>
            <w:tcW w:w="2380" w:type="dxa"/>
            <w:hideMark/>
          </w:tcPr>
          <w:p w14:paraId="12DC410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0.563</w:t>
            </w:r>
          </w:p>
        </w:tc>
      </w:tr>
      <w:tr w:rsidR="00302953" w:rsidRPr="00770477" w14:paraId="33E38C3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5019D99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2-B-010-2</w:t>
            </w:r>
          </w:p>
        </w:tc>
        <w:tc>
          <w:tcPr>
            <w:tcW w:w="1680" w:type="dxa"/>
            <w:hideMark/>
          </w:tcPr>
          <w:p w14:paraId="0ABCC16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487.315</w:t>
            </w:r>
          </w:p>
        </w:tc>
        <w:tc>
          <w:tcPr>
            <w:tcW w:w="2260" w:type="dxa"/>
            <w:hideMark/>
          </w:tcPr>
          <w:p w14:paraId="065486E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0.546</w:t>
            </w:r>
          </w:p>
        </w:tc>
        <w:tc>
          <w:tcPr>
            <w:tcW w:w="1660" w:type="dxa"/>
            <w:hideMark/>
          </w:tcPr>
          <w:p w14:paraId="73C90B4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667.623</w:t>
            </w:r>
          </w:p>
        </w:tc>
        <w:tc>
          <w:tcPr>
            <w:tcW w:w="2140" w:type="dxa"/>
            <w:hideMark/>
          </w:tcPr>
          <w:p w14:paraId="02C1E90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0.699</w:t>
            </w:r>
          </w:p>
        </w:tc>
        <w:tc>
          <w:tcPr>
            <w:tcW w:w="1660" w:type="dxa"/>
            <w:hideMark/>
          </w:tcPr>
          <w:p w14:paraId="6415635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361.722</w:t>
            </w:r>
          </w:p>
        </w:tc>
        <w:tc>
          <w:tcPr>
            <w:tcW w:w="2380" w:type="dxa"/>
            <w:hideMark/>
          </w:tcPr>
          <w:p w14:paraId="2392055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0.543</w:t>
            </w:r>
          </w:p>
        </w:tc>
      </w:tr>
      <w:tr w:rsidR="00302953" w:rsidRPr="00770477" w14:paraId="1F4366B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3B86B08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2-B-040-1</w:t>
            </w:r>
          </w:p>
        </w:tc>
        <w:tc>
          <w:tcPr>
            <w:tcW w:w="1680" w:type="dxa"/>
            <w:hideMark/>
          </w:tcPr>
          <w:p w14:paraId="392F451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604.884</w:t>
            </w:r>
          </w:p>
        </w:tc>
        <w:tc>
          <w:tcPr>
            <w:tcW w:w="2260" w:type="dxa"/>
            <w:hideMark/>
          </w:tcPr>
          <w:p w14:paraId="657A94F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0.683</w:t>
            </w:r>
          </w:p>
        </w:tc>
        <w:tc>
          <w:tcPr>
            <w:tcW w:w="1660" w:type="dxa"/>
            <w:hideMark/>
          </w:tcPr>
          <w:p w14:paraId="2AB0B89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746.420</w:t>
            </w:r>
          </w:p>
        </w:tc>
        <w:tc>
          <w:tcPr>
            <w:tcW w:w="2140" w:type="dxa"/>
            <w:hideMark/>
          </w:tcPr>
          <w:p w14:paraId="58A761C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0.793</w:t>
            </w:r>
          </w:p>
        </w:tc>
        <w:tc>
          <w:tcPr>
            <w:tcW w:w="1660" w:type="dxa"/>
            <w:hideMark/>
          </w:tcPr>
          <w:p w14:paraId="285F347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411.146</w:t>
            </w:r>
          </w:p>
        </w:tc>
        <w:tc>
          <w:tcPr>
            <w:tcW w:w="2380" w:type="dxa"/>
            <w:hideMark/>
          </w:tcPr>
          <w:p w14:paraId="676B6D0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0.622</w:t>
            </w:r>
          </w:p>
        </w:tc>
      </w:tr>
      <w:tr w:rsidR="00302953" w:rsidRPr="00770477" w14:paraId="21A09AF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77C7350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2-B-090-1</w:t>
            </w:r>
          </w:p>
        </w:tc>
        <w:tc>
          <w:tcPr>
            <w:tcW w:w="1680" w:type="dxa"/>
            <w:hideMark/>
          </w:tcPr>
          <w:p w14:paraId="304ACF4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633.743</w:t>
            </w:r>
          </w:p>
        </w:tc>
        <w:tc>
          <w:tcPr>
            <w:tcW w:w="2260" w:type="dxa"/>
            <w:hideMark/>
          </w:tcPr>
          <w:p w14:paraId="40FF6A7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0.724</w:t>
            </w:r>
          </w:p>
        </w:tc>
        <w:tc>
          <w:tcPr>
            <w:tcW w:w="1660" w:type="dxa"/>
            <w:hideMark/>
          </w:tcPr>
          <w:p w14:paraId="21A3C7C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746.066</w:t>
            </w:r>
          </w:p>
        </w:tc>
        <w:tc>
          <w:tcPr>
            <w:tcW w:w="2140" w:type="dxa"/>
            <w:hideMark/>
          </w:tcPr>
          <w:p w14:paraId="2334A6E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0.813</w:t>
            </w:r>
          </w:p>
        </w:tc>
        <w:tc>
          <w:tcPr>
            <w:tcW w:w="1660" w:type="dxa"/>
            <w:hideMark/>
          </w:tcPr>
          <w:p w14:paraId="35F435A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460.263</w:t>
            </w:r>
          </w:p>
        </w:tc>
        <w:tc>
          <w:tcPr>
            <w:tcW w:w="2380" w:type="dxa"/>
            <w:hideMark/>
          </w:tcPr>
          <w:p w14:paraId="74BA14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0.706</w:t>
            </w:r>
          </w:p>
        </w:tc>
      </w:tr>
      <w:tr w:rsidR="00302953" w:rsidRPr="00770477" w14:paraId="301BFD8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2965674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2-B-160-1</w:t>
            </w:r>
          </w:p>
        </w:tc>
        <w:tc>
          <w:tcPr>
            <w:tcW w:w="1680" w:type="dxa"/>
            <w:hideMark/>
          </w:tcPr>
          <w:p w14:paraId="323799B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668.025</w:t>
            </w:r>
          </w:p>
        </w:tc>
        <w:tc>
          <w:tcPr>
            <w:tcW w:w="2260" w:type="dxa"/>
            <w:hideMark/>
          </w:tcPr>
          <w:p w14:paraId="1A1188B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0.778</w:t>
            </w:r>
          </w:p>
        </w:tc>
        <w:tc>
          <w:tcPr>
            <w:tcW w:w="1660" w:type="dxa"/>
            <w:hideMark/>
          </w:tcPr>
          <w:p w14:paraId="2DB63F3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772.037</w:t>
            </w:r>
          </w:p>
        </w:tc>
        <w:tc>
          <w:tcPr>
            <w:tcW w:w="2140" w:type="dxa"/>
            <w:hideMark/>
          </w:tcPr>
          <w:p w14:paraId="43A3714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0.883</w:t>
            </w:r>
          </w:p>
        </w:tc>
        <w:tc>
          <w:tcPr>
            <w:tcW w:w="1660" w:type="dxa"/>
            <w:hideMark/>
          </w:tcPr>
          <w:p w14:paraId="703C896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511.221</w:t>
            </w:r>
          </w:p>
        </w:tc>
        <w:tc>
          <w:tcPr>
            <w:tcW w:w="2380" w:type="dxa"/>
            <w:hideMark/>
          </w:tcPr>
          <w:p w14:paraId="5D70167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0.771</w:t>
            </w:r>
          </w:p>
        </w:tc>
      </w:tr>
      <w:tr w:rsidR="00302953" w:rsidRPr="00770477" w14:paraId="5ABDA431"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3CD8D88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2-B-270-1</w:t>
            </w:r>
          </w:p>
        </w:tc>
        <w:tc>
          <w:tcPr>
            <w:tcW w:w="1680" w:type="dxa"/>
            <w:hideMark/>
          </w:tcPr>
          <w:p w14:paraId="65F7F3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714.972</w:t>
            </w:r>
          </w:p>
        </w:tc>
        <w:tc>
          <w:tcPr>
            <w:tcW w:w="2260" w:type="dxa"/>
            <w:hideMark/>
          </w:tcPr>
          <w:p w14:paraId="74355B5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0.855</w:t>
            </w:r>
          </w:p>
        </w:tc>
        <w:tc>
          <w:tcPr>
            <w:tcW w:w="1660" w:type="dxa"/>
            <w:hideMark/>
          </w:tcPr>
          <w:p w14:paraId="3DFF372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795.831</w:t>
            </w:r>
          </w:p>
        </w:tc>
        <w:tc>
          <w:tcPr>
            <w:tcW w:w="2140" w:type="dxa"/>
            <w:hideMark/>
          </w:tcPr>
          <w:p w14:paraId="02F4E0A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0.958</w:t>
            </w:r>
          </w:p>
        </w:tc>
        <w:tc>
          <w:tcPr>
            <w:tcW w:w="1660" w:type="dxa"/>
            <w:hideMark/>
          </w:tcPr>
          <w:p w14:paraId="075BA46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527.542</w:t>
            </w:r>
          </w:p>
        </w:tc>
        <w:tc>
          <w:tcPr>
            <w:tcW w:w="2380" w:type="dxa"/>
            <w:hideMark/>
          </w:tcPr>
          <w:p w14:paraId="61BE408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0.850</w:t>
            </w:r>
          </w:p>
        </w:tc>
      </w:tr>
      <w:tr w:rsidR="00302953" w:rsidRPr="00770477" w14:paraId="3F81AE2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3850C8B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2-B-430-1</w:t>
            </w:r>
          </w:p>
        </w:tc>
        <w:tc>
          <w:tcPr>
            <w:tcW w:w="1680" w:type="dxa"/>
            <w:hideMark/>
          </w:tcPr>
          <w:p w14:paraId="0E30D0F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781.516</w:t>
            </w:r>
          </w:p>
        </w:tc>
        <w:tc>
          <w:tcPr>
            <w:tcW w:w="2260" w:type="dxa"/>
            <w:hideMark/>
          </w:tcPr>
          <w:p w14:paraId="01CCC42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0.975</w:t>
            </w:r>
          </w:p>
        </w:tc>
        <w:tc>
          <w:tcPr>
            <w:tcW w:w="1660" w:type="dxa"/>
            <w:hideMark/>
          </w:tcPr>
          <w:p w14:paraId="278E101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894.243</w:t>
            </w:r>
          </w:p>
        </w:tc>
        <w:tc>
          <w:tcPr>
            <w:tcW w:w="2140" w:type="dxa"/>
            <w:hideMark/>
          </w:tcPr>
          <w:p w14:paraId="100D23B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1.186</w:t>
            </w:r>
          </w:p>
        </w:tc>
        <w:tc>
          <w:tcPr>
            <w:tcW w:w="1660" w:type="dxa"/>
            <w:hideMark/>
          </w:tcPr>
          <w:p w14:paraId="63202BF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586.686</w:t>
            </w:r>
          </w:p>
        </w:tc>
        <w:tc>
          <w:tcPr>
            <w:tcW w:w="2380" w:type="dxa"/>
            <w:hideMark/>
          </w:tcPr>
          <w:p w14:paraId="6444D3E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0.990</w:t>
            </w:r>
          </w:p>
        </w:tc>
      </w:tr>
      <w:tr w:rsidR="00302953" w:rsidRPr="00770477" w14:paraId="5FA9281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6D026C8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2-B-670-1</w:t>
            </w:r>
          </w:p>
        </w:tc>
        <w:tc>
          <w:tcPr>
            <w:tcW w:w="1680" w:type="dxa"/>
            <w:hideMark/>
          </w:tcPr>
          <w:p w14:paraId="110A3B8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690.776</w:t>
            </w:r>
          </w:p>
        </w:tc>
        <w:tc>
          <w:tcPr>
            <w:tcW w:w="2260" w:type="dxa"/>
            <w:hideMark/>
          </w:tcPr>
          <w:p w14:paraId="509A84C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0.921</w:t>
            </w:r>
          </w:p>
        </w:tc>
        <w:tc>
          <w:tcPr>
            <w:tcW w:w="1660" w:type="dxa"/>
            <w:hideMark/>
          </w:tcPr>
          <w:p w14:paraId="52E4C53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637.161</w:t>
            </w:r>
          </w:p>
        </w:tc>
        <w:tc>
          <w:tcPr>
            <w:tcW w:w="2140" w:type="dxa"/>
            <w:hideMark/>
          </w:tcPr>
          <w:p w14:paraId="2D6EEA0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0.994</w:t>
            </w:r>
          </w:p>
        </w:tc>
        <w:tc>
          <w:tcPr>
            <w:tcW w:w="1660" w:type="dxa"/>
            <w:hideMark/>
          </w:tcPr>
          <w:p w14:paraId="1314217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505.219</w:t>
            </w:r>
          </w:p>
        </w:tc>
        <w:tc>
          <w:tcPr>
            <w:tcW w:w="2380" w:type="dxa"/>
            <w:hideMark/>
          </w:tcPr>
          <w:p w14:paraId="065400A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0.927</w:t>
            </w:r>
          </w:p>
        </w:tc>
      </w:tr>
      <w:tr w:rsidR="00302953" w:rsidRPr="00770477" w14:paraId="037389B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77748B2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2-B-670-2</w:t>
            </w:r>
          </w:p>
        </w:tc>
        <w:tc>
          <w:tcPr>
            <w:tcW w:w="1680" w:type="dxa"/>
            <w:hideMark/>
          </w:tcPr>
          <w:p w14:paraId="4D0BD80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629.556</w:t>
            </w:r>
          </w:p>
        </w:tc>
        <w:tc>
          <w:tcPr>
            <w:tcW w:w="2260" w:type="dxa"/>
            <w:hideMark/>
          </w:tcPr>
          <w:p w14:paraId="5A6B2B2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0.840</w:t>
            </w:r>
          </w:p>
        </w:tc>
        <w:tc>
          <w:tcPr>
            <w:tcW w:w="1660" w:type="dxa"/>
            <w:hideMark/>
          </w:tcPr>
          <w:p w14:paraId="5C627FB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577.498</w:t>
            </w:r>
          </w:p>
        </w:tc>
        <w:tc>
          <w:tcPr>
            <w:tcW w:w="2140" w:type="dxa"/>
            <w:hideMark/>
          </w:tcPr>
          <w:p w14:paraId="49CB149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0.901</w:t>
            </w:r>
          </w:p>
        </w:tc>
        <w:tc>
          <w:tcPr>
            <w:tcW w:w="1660" w:type="dxa"/>
            <w:hideMark/>
          </w:tcPr>
          <w:p w14:paraId="0EE258D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445.783</w:t>
            </w:r>
          </w:p>
        </w:tc>
        <w:tc>
          <w:tcPr>
            <w:tcW w:w="2380" w:type="dxa"/>
            <w:hideMark/>
          </w:tcPr>
          <w:p w14:paraId="1C765A5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0.818</w:t>
            </w:r>
          </w:p>
        </w:tc>
      </w:tr>
      <w:tr w:rsidR="00302953" w:rsidRPr="00770477" w14:paraId="16F8A5D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0277762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2-C-010-1</w:t>
            </w:r>
          </w:p>
        </w:tc>
        <w:tc>
          <w:tcPr>
            <w:tcW w:w="1680" w:type="dxa"/>
            <w:hideMark/>
          </w:tcPr>
          <w:p w14:paraId="3BFD220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884.999</w:t>
            </w:r>
          </w:p>
        </w:tc>
        <w:tc>
          <w:tcPr>
            <w:tcW w:w="2260" w:type="dxa"/>
            <w:hideMark/>
          </w:tcPr>
          <w:p w14:paraId="790FD25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0.992</w:t>
            </w:r>
          </w:p>
        </w:tc>
        <w:tc>
          <w:tcPr>
            <w:tcW w:w="1660" w:type="dxa"/>
            <w:hideMark/>
          </w:tcPr>
          <w:p w14:paraId="6F055C5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954.979</w:t>
            </w:r>
          </w:p>
        </w:tc>
        <w:tc>
          <w:tcPr>
            <w:tcW w:w="2140" w:type="dxa"/>
            <w:hideMark/>
          </w:tcPr>
          <w:p w14:paraId="3BB4AF3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0.999</w:t>
            </w:r>
          </w:p>
        </w:tc>
        <w:tc>
          <w:tcPr>
            <w:tcW w:w="1660" w:type="dxa"/>
            <w:hideMark/>
          </w:tcPr>
          <w:p w14:paraId="1DB234E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698.371</w:t>
            </w:r>
          </w:p>
        </w:tc>
        <w:tc>
          <w:tcPr>
            <w:tcW w:w="2380" w:type="dxa"/>
            <w:hideMark/>
          </w:tcPr>
          <w:p w14:paraId="58A3978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1.049</w:t>
            </w:r>
          </w:p>
        </w:tc>
      </w:tr>
      <w:tr w:rsidR="00302953" w:rsidRPr="00770477" w14:paraId="280E512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5BFF828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2-C-040-1</w:t>
            </w:r>
          </w:p>
        </w:tc>
        <w:tc>
          <w:tcPr>
            <w:tcW w:w="1680" w:type="dxa"/>
            <w:hideMark/>
          </w:tcPr>
          <w:p w14:paraId="7440135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812.822</w:t>
            </w:r>
          </w:p>
        </w:tc>
        <w:tc>
          <w:tcPr>
            <w:tcW w:w="2260" w:type="dxa"/>
            <w:hideMark/>
          </w:tcPr>
          <w:p w14:paraId="5932F2A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0.918</w:t>
            </w:r>
          </w:p>
        </w:tc>
        <w:tc>
          <w:tcPr>
            <w:tcW w:w="1660" w:type="dxa"/>
            <w:hideMark/>
          </w:tcPr>
          <w:p w14:paraId="1294E3A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858.365</w:t>
            </w:r>
          </w:p>
        </w:tc>
        <w:tc>
          <w:tcPr>
            <w:tcW w:w="2140" w:type="dxa"/>
            <w:hideMark/>
          </w:tcPr>
          <w:p w14:paraId="74EDC9A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0.912</w:t>
            </w:r>
          </w:p>
        </w:tc>
        <w:tc>
          <w:tcPr>
            <w:tcW w:w="1660" w:type="dxa"/>
            <w:hideMark/>
          </w:tcPr>
          <w:p w14:paraId="615E7CB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634.049</w:t>
            </w:r>
          </w:p>
        </w:tc>
        <w:tc>
          <w:tcPr>
            <w:tcW w:w="2380" w:type="dxa"/>
            <w:hideMark/>
          </w:tcPr>
          <w:p w14:paraId="00E338F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0.960</w:t>
            </w:r>
          </w:p>
        </w:tc>
      </w:tr>
      <w:tr w:rsidR="00302953" w:rsidRPr="00770477" w14:paraId="4C1B283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484CEA3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2-C-040-2</w:t>
            </w:r>
          </w:p>
        </w:tc>
        <w:tc>
          <w:tcPr>
            <w:tcW w:w="1680" w:type="dxa"/>
            <w:hideMark/>
          </w:tcPr>
          <w:p w14:paraId="49C20E2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812.532</w:t>
            </w:r>
          </w:p>
        </w:tc>
        <w:tc>
          <w:tcPr>
            <w:tcW w:w="2260" w:type="dxa"/>
            <w:hideMark/>
          </w:tcPr>
          <w:p w14:paraId="34A6630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0.917</w:t>
            </w:r>
          </w:p>
        </w:tc>
        <w:tc>
          <w:tcPr>
            <w:tcW w:w="1660" w:type="dxa"/>
            <w:hideMark/>
          </w:tcPr>
          <w:p w14:paraId="6E321AD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863.792</w:t>
            </w:r>
          </w:p>
        </w:tc>
        <w:tc>
          <w:tcPr>
            <w:tcW w:w="2140" w:type="dxa"/>
            <w:hideMark/>
          </w:tcPr>
          <w:p w14:paraId="133BE03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0.918</w:t>
            </w:r>
          </w:p>
        </w:tc>
        <w:tc>
          <w:tcPr>
            <w:tcW w:w="1660" w:type="dxa"/>
            <w:hideMark/>
          </w:tcPr>
          <w:p w14:paraId="7B15E74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604.773</w:t>
            </w:r>
          </w:p>
        </w:tc>
        <w:tc>
          <w:tcPr>
            <w:tcW w:w="2380" w:type="dxa"/>
            <w:hideMark/>
          </w:tcPr>
          <w:p w14:paraId="1257C48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0.916</w:t>
            </w:r>
          </w:p>
        </w:tc>
      </w:tr>
      <w:tr w:rsidR="00302953" w:rsidRPr="00770477" w14:paraId="070FCA9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48E2902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2-C-090-1</w:t>
            </w:r>
          </w:p>
        </w:tc>
        <w:tc>
          <w:tcPr>
            <w:tcW w:w="1680" w:type="dxa"/>
            <w:hideMark/>
          </w:tcPr>
          <w:p w14:paraId="36C147F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851.355</w:t>
            </w:r>
          </w:p>
        </w:tc>
        <w:tc>
          <w:tcPr>
            <w:tcW w:w="2260" w:type="dxa"/>
            <w:hideMark/>
          </w:tcPr>
          <w:p w14:paraId="2FF39F9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0.973</w:t>
            </w:r>
          </w:p>
        </w:tc>
        <w:tc>
          <w:tcPr>
            <w:tcW w:w="1660" w:type="dxa"/>
            <w:hideMark/>
          </w:tcPr>
          <w:p w14:paraId="303EF05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861.606</w:t>
            </w:r>
          </w:p>
        </w:tc>
        <w:tc>
          <w:tcPr>
            <w:tcW w:w="2140" w:type="dxa"/>
            <w:hideMark/>
          </w:tcPr>
          <w:p w14:paraId="7996730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0.939</w:t>
            </w:r>
          </w:p>
        </w:tc>
        <w:tc>
          <w:tcPr>
            <w:tcW w:w="1660" w:type="dxa"/>
            <w:hideMark/>
          </w:tcPr>
          <w:p w14:paraId="1BC782F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626.768</w:t>
            </w:r>
          </w:p>
        </w:tc>
        <w:tc>
          <w:tcPr>
            <w:tcW w:w="2380" w:type="dxa"/>
            <w:hideMark/>
          </w:tcPr>
          <w:p w14:paraId="4FF8638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0.962</w:t>
            </w:r>
          </w:p>
        </w:tc>
      </w:tr>
      <w:tr w:rsidR="00302953" w:rsidRPr="00770477" w14:paraId="31E8DB1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03DB45A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2-C-090-2</w:t>
            </w:r>
          </w:p>
        </w:tc>
        <w:tc>
          <w:tcPr>
            <w:tcW w:w="1680" w:type="dxa"/>
            <w:hideMark/>
          </w:tcPr>
          <w:p w14:paraId="0E0B6F0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843.605</w:t>
            </w:r>
          </w:p>
        </w:tc>
        <w:tc>
          <w:tcPr>
            <w:tcW w:w="2260" w:type="dxa"/>
            <w:hideMark/>
          </w:tcPr>
          <w:p w14:paraId="67B05B0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0.964</w:t>
            </w:r>
          </w:p>
        </w:tc>
        <w:tc>
          <w:tcPr>
            <w:tcW w:w="1660" w:type="dxa"/>
            <w:hideMark/>
          </w:tcPr>
          <w:p w14:paraId="73A2024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921.376</w:t>
            </w:r>
          </w:p>
        </w:tc>
        <w:tc>
          <w:tcPr>
            <w:tcW w:w="2140" w:type="dxa"/>
            <w:hideMark/>
          </w:tcPr>
          <w:p w14:paraId="293F122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1.005</w:t>
            </w:r>
          </w:p>
        </w:tc>
        <w:tc>
          <w:tcPr>
            <w:tcW w:w="1660" w:type="dxa"/>
            <w:hideMark/>
          </w:tcPr>
          <w:p w14:paraId="73A71A7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643.232</w:t>
            </w:r>
          </w:p>
        </w:tc>
        <w:tc>
          <w:tcPr>
            <w:tcW w:w="2380" w:type="dxa"/>
            <w:hideMark/>
          </w:tcPr>
          <w:p w14:paraId="6CAFDE1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0.987</w:t>
            </w:r>
          </w:p>
        </w:tc>
      </w:tr>
      <w:tr w:rsidR="00302953" w:rsidRPr="00770477" w14:paraId="598BD67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4D2927F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2-C-160-1</w:t>
            </w:r>
          </w:p>
        </w:tc>
        <w:tc>
          <w:tcPr>
            <w:tcW w:w="1680" w:type="dxa"/>
            <w:hideMark/>
          </w:tcPr>
          <w:p w14:paraId="3EEF142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816.636</w:t>
            </w:r>
          </w:p>
        </w:tc>
        <w:tc>
          <w:tcPr>
            <w:tcW w:w="2260" w:type="dxa"/>
            <w:hideMark/>
          </w:tcPr>
          <w:p w14:paraId="74E626A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0.951</w:t>
            </w:r>
          </w:p>
        </w:tc>
        <w:tc>
          <w:tcPr>
            <w:tcW w:w="1660" w:type="dxa"/>
            <w:hideMark/>
          </w:tcPr>
          <w:p w14:paraId="3C662E8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833.688</w:t>
            </w:r>
          </w:p>
        </w:tc>
        <w:tc>
          <w:tcPr>
            <w:tcW w:w="2140" w:type="dxa"/>
            <w:hideMark/>
          </w:tcPr>
          <w:p w14:paraId="371505E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0.954</w:t>
            </w:r>
          </w:p>
        </w:tc>
        <w:tc>
          <w:tcPr>
            <w:tcW w:w="1660" w:type="dxa"/>
            <w:hideMark/>
          </w:tcPr>
          <w:p w14:paraId="3C8F721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617.992</w:t>
            </w:r>
          </w:p>
        </w:tc>
        <w:tc>
          <w:tcPr>
            <w:tcW w:w="2380" w:type="dxa"/>
            <w:hideMark/>
          </w:tcPr>
          <w:p w14:paraId="66189EA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0.932</w:t>
            </w:r>
          </w:p>
        </w:tc>
      </w:tr>
      <w:tr w:rsidR="00302953" w:rsidRPr="00770477" w14:paraId="546A2DC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64AEA27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2-C-270-1</w:t>
            </w:r>
          </w:p>
        </w:tc>
        <w:tc>
          <w:tcPr>
            <w:tcW w:w="1680" w:type="dxa"/>
            <w:hideMark/>
          </w:tcPr>
          <w:p w14:paraId="1A9B7AE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839.684</w:t>
            </w:r>
          </w:p>
        </w:tc>
        <w:tc>
          <w:tcPr>
            <w:tcW w:w="2260" w:type="dxa"/>
            <w:hideMark/>
          </w:tcPr>
          <w:p w14:paraId="59C701A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1.005</w:t>
            </w:r>
          </w:p>
        </w:tc>
        <w:tc>
          <w:tcPr>
            <w:tcW w:w="1660" w:type="dxa"/>
            <w:hideMark/>
          </w:tcPr>
          <w:p w14:paraId="429748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860.179</w:t>
            </w:r>
          </w:p>
        </w:tc>
        <w:tc>
          <w:tcPr>
            <w:tcW w:w="2140" w:type="dxa"/>
            <w:hideMark/>
          </w:tcPr>
          <w:p w14:paraId="40CBC2A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1.035</w:t>
            </w:r>
          </w:p>
        </w:tc>
        <w:tc>
          <w:tcPr>
            <w:tcW w:w="1660" w:type="dxa"/>
            <w:hideMark/>
          </w:tcPr>
          <w:p w14:paraId="63F673A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612.026</w:t>
            </w:r>
          </w:p>
        </w:tc>
        <w:tc>
          <w:tcPr>
            <w:tcW w:w="2380" w:type="dxa"/>
            <w:hideMark/>
          </w:tcPr>
          <w:p w14:paraId="00BFAD5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0.986</w:t>
            </w:r>
          </w:p>
        </w:tc>
      </w:tr>
      <w:tr w:rsidR="00302953" w:rsidRPr="00770477" w14:paraId="199D740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086C4F6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2-C-430-1</w:t>
            </w:r>
          </w:p>
        </w:tc>
        <w:tc>
          <w:tcPr>
            <w:tcW w:w="1680" w:type="dxa"/>
            <w:hideMark/>
          </w:tcPr>
          <w:p w14:paraId="3E2F8C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888.060</w:t>
            </w:r>
          </w:p>
        </w:tc>
        <w:tc>
          <w:tcPr>
            <w:tcW w:w="2260" w:type="dxa"/>
            <w:hideMark/>
          </w:tcPr>
          <w:p w14:paraId="412AC8D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1.108</w:t>
            </w:r>
          </w:p>
        </w:tc>
        <w:tc>
          <w:tcPr>
            <w:tcW w:w="1660" w:type="dxa"/>
            <w:hideMark/>
          </w:tcPr>
          <w:p w14:paraId="21672C5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931.954</w:t>
            </w:r>
          </w:p>
        </w:tc>
        <w:tc>
          <w:tcPr>
            <w:tcW w:w="2140" w:type="dxa"/>
            <w:hideMark/>
          </w:tcPr>
          <w:p w14:paraId="0E1C7F0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1.236</w:t>
            </w:r>
          </w:p>
        </w:tc>
        <w:tc>
          <w:tcPr>
            <w:tcW w:w="1660" w:type="dxa"/>
            <w:hideMark/>
          </w:tcPr>
          <w:p w14:paraId="7641708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685.713</w:t>
            </w:r>
          </w:p>
        </w:tc>
        <w:tc>
          <w:tcPr>
            <w:tcW w:w="2380" w:type="dxa"/>
            <w:hideMark/>
          </w:tcPr>
          <w:p w14:paraId="4786CE1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1.157</w:t>
            </w:r>
          </w:p>
        </w:tc>
      </w:tr>
      <w:tr w:rsidR="00302953" w:rsidRPr="00770477" w14:paraId="7C5DB11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48789C9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2-C-670-1</w:t>
            </w:r>
          </w:p>
        </w:tc>
        <w:tc>
          <w:tcPr>
            <w:tcW w:w="1680" w:type="dxa"/>
            <w:hideMark/>
          </w:tcPr>
          <w:p w14:paraId="561D00B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929.567</w:t>
            </w:r>
          </w:p>
        </w:tc>
        <w:tc>
          <w:tcPr>
            <w:tcW w:w="2260" w:type="dxa"/>
            <w:hideMark/>
          </w:tcPr>
          <w:p w14:paraId="31B2140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1.240</w:t>
            </w:r>
          </w:p>
        </w:tc>
        <w:tc>
          <w:tcPr>
            <w:tcW w:w="1660" w:type="dxa"/>
            <w:hideMark/>
          </w:tcPr>
          <w:p w14:paraId="17B606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984.732</w:t>
            </w:r>
          </w:p>
        </w:tc>
        <w:tc>
          <w:tcPr>
            <w:tcW w:w="2140" w:type="dxa"/>
            <w:hideMark/>
          </w:tcPr>
          <w:p w14:paraId="3D22BB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1.536</w:t>
            </w:r>
          </w:p>
        </w:tc>
        <w:tc>
          <w:tcPr>
            <w:tcW w:w="1660" w:type="dxa"/>
            <w:hideMark/>
          </w:tcPr>
          <w:p w14:paraId="7871A7C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707.740</w:t>
            </w:r>
          </w:p>
        </w:tc>
        <w:tc>
          <w:tcPr>
            <w:tcW w:w="2380" w:type="dxa"/>
            <w:hideMark/>
          </w:tcPr>
          <w:p w14:paraId="3B3F098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1.299</w:t>
            </w:r>
          </w:p>
        </w:tc>
      </w:tr>
      <w:tr w:rsidR="00302953" w:rsidRPr="00770477" w14:paraId="42B7588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315FEE3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2-I-000-3</w:t>
            </w:r>
          </w:p>
        </w:tc>
        <w:tc>
          <w:tcPr>
            <w:tcW w:w="1680" w:type="dxa"/>
            <w:hideMark/>
          </w:tcPr>
          <w:p w14:paraId="4843723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895.252</w:t>
            </w:r>
          </w:p>
        </w:tc>
        <w:tc>
          <w:tcPr>
            <w:tcW w:w="2260" w:type="dxa"/>
            <w:hideMark/>
          </w:tcPr>
          <w:p w14:paraId="5E80F8C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14D4B38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967.659</w:t>
            </w:r>
          </w:p>
        </w:tc>
        <w:tc>
          <w:tcPr>
            <w:tcW w:w="2140" w:type="dxa"/>
            <w:hideMark/>
          </w:tcPr>
          <w:p w14:paraId="3EF6FAB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23FDD1D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649.424</w:t>
            </w:r>
          </w:p>
        </w:tc>
        <w:tc>
          <w:tcPr>
            <w:tcW w:w="2380" w:type="dxa"/>
            <w:hideMark/>
          </w:tcPr>
          <w:p w14:paraId="5B68134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r>
      <w:tr w:rsidR="00302953" w:rsidRPr="00770477" w14:paraId="10D8F5A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0ECC7B4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2-I-160-3</w:t>
            </w:r>
          </w:p>
        </w:tc>
        <w:tc>
          <w:tcPr>
            <w:tcW w:w="1680" w:type="dxa"/>
            <w:hideMark/>
          </w:tcPr>
          <w:p w14:paraId="55A12D4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858.521</w:t>
            </w:r>
          </w:p>
        </w:tc>
        <w:tc>
          <w:tcPr>
            <w:tcW w:w="2260" w:type="dxa"/>
            <w:hideMark/>
          </w:tcPr>
          <w:p w14:paraId="2352CD4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3A9986B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874.155</w:t>
            </w:r>
          </w:p>
        </w:tc>
        <w:tc>
          <w:tcPr>
            <w:tcW w:w="2140" w:type="dxa"/>
            <w:hideMark/>
          </w:tcPr>
          <w:p w14:paraId="2ED0F7B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21BCD36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663.364</w:t>
            </w:r>
          </w:p>
        </w:tc>
        <w:tc>
          <w:tcPr>
            <w:tcW w:w="2380" w:type="dxa"/>
            <w:hideMark/>
          </w:tcPr>
          <w:p w14:paraId="64078DD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r>
      <w:tr w:rsidR="00302953" w:rsidRPr="00770477" w14:paraId="3C22AAF7"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6E55CAC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2-I-670-3</w:t>
            </w:r>
          </w:p>
        </w:tc>
        <w:tc>
          <w:tcPr>
            <w:tcW w:w="1680" w:type="dxa"/>
            <w:hideMark/>
          </w:tcPr>
          <w:p w14:paraId="6C50574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749.630</w:t>
            </w:r>
          </w:p>
        </w:tc>
        <w:tc>
          <w:tcPr>
            <w:tcW w:w="2260" w:type="dxa"/>
            <w:hideMark/>
          </w:tcPr>
          <w:p w14:paraId="61323BA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5F275A4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641.066</w:t>
            </w:r>
          </w:p>
        </w:tc>
        <w:tc>
          <w:tcPr>
            <w:tcW w:w="2140" w:type="dxa"/>
            <w:hideMark/>
          </w:tcPr>
          <w:p w14:paraId="03BFED4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74FE843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544.919</w:t>
            </w:r>
          </w:p>
        </w:tc>
        <w:tc>
          <w:tcPr>
            <w:tcW w:w="2380" w:type="dxa"/>
            <w:hideMark/>
          </w:tcPr>
          <w:p w14:paraId="6322765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r>
      <w:tr w:rsidR="00302953" w:rsidRPr="00770477" w14:paraId="14E351C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1905AAE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10-A-0-1</w:t>
            </w:r>
          </w:p>
        </w:tc>
        <w:tc>
          <w:tcPr>
            <w:tcW w:w="1680" w:type="dxa"/>
            <w:hideMark/>
          </w:tcPr>
          <w:p w14:paraId="0979823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4.568</w:t>
            </w:r>
          </w:p>
        </w:tc>
        <w:tc>
          <w:tcPr>
            <w:tcW w:w="2260" w:type="dxa"/>
            <w:hideMark/>
          </w:tcPr>
          <w:p w14:paraId="1584160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0.655</w:t>
            </w:r>
          </w:p>
        </w:tc>
        <w:tc>
          <w:tcPr>
            <w:tcW w:w="1660" w:type="dxa"/>
            <w:hideMark/>
          </w:tcPr>
          <w:p w14:paraId="074CB81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5.210</w:t>
            </w:r>
          </w:p>
        </w:tc>
        <w:tc>
          <w:tcPr>
            <w:tcW w:w="2140" w:type="dxa"/>
            <w:hideMark/>
          </w:tcPr>
          <w:p w14:paraId="253E5B9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0.924</w:t>
            </w:r>
          </w:p>
        </w:tc>
        <w:tc>
          <w:tcPr>
            <w:tcW w:w="1660" w:type="dxa"/>
            <w:hideMark/>
          </w:tcPr>
          <w:p w14:paraId="644D5E0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4.402</w:t>
            </w:r>
          </w:p>
        </w:tc>
        <w:tc>
          <w:tcPr>
            <w:tcW w:w="2380" w:type="dxa"/>
            <w:hideMark/>
          </w:tcPr>
          <w:p w14:paraId="071D94D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0.785</w:t>
            </w:r>
          </w:p>
        </w:tc>
      </w:tr>
      <w:tr w:rsidR="00302953" w:rsidRPr="00770477" w14:paraId="6BE5086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6FC4DAB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10-A-1-1</w:t>
            </w:r>
          </w:p>
        </w:tc>
        <w:tc>
          <w:tcPr>
            <w:tcW w:w="1680" w:type="dxa"/>
            <w:hideMark/>
          </w:tcPr>
          <w:p w14:paraId="6E078AC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4.635</w:t>
            </w:r>
          </w:p>
        </w:tc>
        <w:tc>
          <w:tcPr>
            <w:tcW w:w="2260" w:type="dxa"/>
            <w:hideMark/>
          </w:tcPr>
          <w:p w14:paraId="3262D3B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0.746</w:t>
            </w:r>
          </w:p>
        </w:tc>
        <w:tc>
          <w:tcPr>
            <w:tcW w:w="1660" w:type="dxa"/>
            <w:hideMark/>
          </w:tcPr>
          <w:p w14:paraId="1461304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4.805</w:t>
            </w:r>
          </w:p>
        </w:tc>
        <w:tc>
          <w:tcPr>
            <w:tcW w:w="2140" w:type="dxa"/>
            <w:hideMark/>
          </w:tcPr>
          <w:p w14:paraId="6F8700D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0.946</w:t>
            </w:r>
          </w:p>
        </w:tc>
        <w:tc>
          <w:tcPr>
            <w:tcW w:w="1660" w:type="dxa"/>
            <w:hideMark/>
          </w:tcPr>
          <w:p w14:paraId="2938368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4.589</w:t>
            </w:r>
          </w:p>
        </w:tc>
        <w:tc>
          <w:tcPr>
            <w:tcW w:w="2380" w:type="dxa"/>
            <w:hideMark/>
          </w:tcPr>
          <w:p w14:paraId="6C90038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0.805</w:t>
            </w:r>
          </w:p>
        </w:tc>
      </w:tr>
      <w:tr w:rsidR="00302953" w:rsidRPr="00770477" w14:paraId="124CEE9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4C7FF25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10-A-1-2</w:t>
            </w:r>
          </w:p>
        </w:tc>
        <w:tc>
          <w:tcPr>
            <w:tcW w:w="1680" w:type="dxa"/>
            <w:hideMark/>
          </w:tcPr>
          <w:p w14:paraId="637FEF5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4.623</w:t>
            </w:r>
          </w:p>
        </w:tc>
        <w:tc>
          <w:tcPr>
            <w:tcW w:w="2260" w:type="dxa"/>
            <w:hideMark/>
          </w:tcPr>
          <w:p w14:paraId="3E0E5F6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0.744</w:t>
            </w:r>
          </w:p>
        </w:tc>
        <w:tc>
          <w:tcPr>
            <w:tcW w:w="1660" w:type="dxa"/>
            <w:hideMark/>
          </w:tcPr>
          <w:p w14:paraId="486F017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5.000</w:t>
            </w:r>
          </w:p>
        </w:tc>
        <w:tc>
          <w:tcPr>
            <w:tcW w:w="2140" w:type="dxa"/>
            <w:hideMark/>
          </w:tcPr>
          <w:p w14:paraId="6597B5D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0.985</w:t>
            </w:r>
          </w:p>
        </w:tc>
        <w:tc>
          <w:tcPr>
            <w:tcW w:w="1660" w:type="dxa"/>
            <w:hideMark/>
          </w:tcPr>
          <w:p w14:paraId="0827551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4.727</w:t>
            </w:r>
          </w:p>
        </w:tc>
        <w:tc>
          <w:tcPr>
            <w:tcW w:w="2380" w:type="dxa"/>
            <w:hideMark/>
          </w:tcPr>
          <w:p w14:paraId="67F738D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0.829</w:t>
            </w:r>
          </w:p>
        </w:tc>
      </w:tr>
      <w:tr w:rsidR="00302953" w:rsidRPr="00770477" w14:paraId="7EEF4BB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2C6915A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10-A-2-1</w:t>
            </w:r>
          </w:p>
        </w:tc>
        <w:tc>
          <w:tcPr>
            <w:tcW w:w="1680" w:type="dxa"/>
            <w:hideMark/>
          </w:tcPr>
          <w:p w14:paraId="5671885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4.807</w:t>
            </w:r>
          </w:p>
        </w:tc>
        <w:tc>
          <w:tcPr>
            <w:tcW w:w="2260" w:type="dxa"/>
            <w:hideMark/>
          </w:tcPr>
          <w:p w14:paraId="5C88E43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0.852</w:t>
            </w:r>
          </w:p>
        </w:tc>
        <w:tc>
          <w:tcPr>
            <w:tcW w:w="1660" w:type="dxa"/>
            <w:hideMark/>
          </w:tcPr>
          <w:p w14:paraId="0AA83E6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5.303</w:t>
            </w:r>
          </w:p>
        </w:tc>
        <w:tc>
          <w:tcPr>
            <w:tcW w:w="2140" w:type="dxa"/>
            <w:hideMark/>
          </w:tcPr>
          <w:p w14:paraId="736E5A7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1.053</w:t>
            </w:r>
          </w:p>
        </w:tc>
        <w:tc>
          <w:tcPr>
            <w:tcW w:w="1660" w:type="dxa"/>
            <w:hideMark/>
          </w:tcPr>
          <w:p w14:paraId="6B90924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5.182</w:t>
            </w:r>
          </w:p>
        </w:tc>
        <w:tc>
          <w:tcPr>
            <w:tcW w:w="2380" w:type="dxa"/>
            <w:hideMark/>
          </w:tcPr>
          <w:p w14:paraId="244826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0.921</w:t>
            </w:r>
          </w:p>
        </w:tc>
      </w:tr>
      <w:tr w:rsidR="00302953" w:rsidRPr="00770477" w14:paraId="0BE5AAB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3D38CB1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10-A-4-1</w:t>
            </w:r>
          </w:p>
        </w:tc>
        <w:tc>
          <w:tcPr>
            <w:tcW w:w="1680" w:type="dxa"/>
            <w:hideMark/>
          </w:tcPr>
          <w:p w14:paraId="46D3943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4.375</w:t>
            </w:r>
          </w:p>
        </w:tc>
        <w:tc>
          <w:tcPr>
            <w:tcW w:w="2260" w:type="dxa"/>
            <w:hideMark/>
          </w:tcPr>
          <w:p w14:paraId="3DE99C3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0.729</w:t>
            </w:r>
          </w:p>
        </w:tc>
        <w:tc>
          <w:tcPr>
            <w:tcW w:w="1660" w:type="dxa"/>
            <w:hideMark/>
          </w:tcPr>
          <w:p w14:paraId="461A66C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4.772</w:t>
            </w:r>
          </w:p>
        </w:tc>
        <w:tc>
          <w:tcPr>
            <w:tcW w:w="2140" w:type="dxa"/>
            <w:hideMark/>
          </w:tcPr>
          <w:p w14:paraId="7DE5019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0.952</w:t>
            </w:r>
          </w:p>
        </w:tc>
        <w:tc>
          <w:tcPr>
            <w:tcW w:w="1660" w:type="dxa"/>
            <w:hideMark/>
          </w:tcPr>
          <w:p w14:paraId="557A9A8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4.699</w:t>
            </w:r>
          </w:p>
        </w:tc>
        <w:tc>
          <w:tcPr>
            <w:tcW w:w="2380" w:type="dxa"/>
            <w:hideMark/>
          </w:tcPr>
          <w:p w14:paraId="5B8802F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0.808</w:t>
            </w:r>
          </w:p>
        </w:tc>
      </w:tr>
      <w:tr w:rsidR="00302953" w:rsidRPr="00770477" w14:paraId="06A3D05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04D3468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10-A-6-1</w:t>
            </w:r>
          </w:p>
        </w:tc>
        <w:tc>
          <w:tcPr>
            <w:tcW w:w="1680" w:type="dxa"/>
            <w:hideMark/>
          </w:tcPr>
          <w:p w14:paraId="3844D81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4.551</w:t>
            </w:r>
          </w:p>
        </w:tc>
        <w:tc>
          <w:tcPr>
            <w:tcW w:w="2260" w:type="dxa"/>
            <w:hideMark/>
          </w:tcPr>
          <w:p w14:paraId="4423F08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0.651</w:t>
            </w:r>
          </w:p>
        </w:tc>
        <w:tc>
          <w:tcPr>
            <w:tcW w:w="1660" w:type="dxa"/>
            <w:hideMark/>
          </w:tcPr>
          <w:p w14:paraId="31CE7D8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4.860</w:t>
            </w:r>
          </w:p>
        </w:tc>
        <w:tc>
          <w:tcPr>
            <w:tcW w:w="2140" w:type="dxa"/>
            <w:hideMark/>
          </w:tcPr>
          <w:p w14:paraId="59B15BE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0.860</w:t>
            </w:r>
          </w:p>
        </w:tc>
        <w:tc>
          <w:tcPr>
            <w:tcW w:w="1660" w:type="dxa"/>
            <w:hideMark/>
          </w:tcPr>
          <w:p w14:paraId="041FCD4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4.870</w:t>
            </w:r>
          </w:p>
        </w:tc>
        <w:tc>
          <w:tcPr>
            <w:tcW w:w="2380" w:type="dxa"/>
            <w:hideMark/>
          </w:tcPr>
          <w:p w14:paraId="5312787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0.767</w:t>
            </w:r>
          </w:p>
        </w:tc>
      </w:tr>
      <w:tr w:rsidR="00302953" w:rsidRPr="00770477" w14:paraId="4A0AB88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557B3C3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10-A-10-1</w:t>
            </w:r>
          </w:p>
        </w:tc>
        <w:tc>
          <w:tcPr>
            <w:tcW w:w="1680" w:type="dxa"/>
            <w:hideMark/>
          </w:tcPr>
          <w:p w14:paraId="73C1074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4.943</w:t>
            </w:r>
          </w:p>
        </w:tc>
        <w:tc>
          <w:tcPr>
            <w:tcW w:w="2260" w:type="dxa"/>
            <w:hideMark/>
          </w:tcPr>
          <w:p w14:paraId="4F421D9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0.856</w:t>
            </w:r>
          </w:p>
        </w:tc>
        <w:tc>
          <w:tcPr>
            <w:tcW w:w="1660" w:type="dxa"/>
            <w:hideMark/>
          </w:tcPr>
          <w:p w14:paraId="3675229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4.888</w:t>
            </w:r>
          </w:p>
        </w:tc>
        <w:tc>
          <w:tcPr>
            <w:tcW w:w="2140" w:type="dxa"/>
            <w:hideMark/>
          </w:tcPr>
          <w:p w14:paraId="46BD99D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1.013</w:t>
            </w:r>
          </w:p>
        </w:tc>
        <w:tc>
          <w:tcPr>
            <w:tcW w:w="1660" w:type="dxa"/>
            <w:hideMark/>
          </w:tcPr>
          <w:p w14:paraId="72C34E1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5.345</w:t>
            </w:r>
          </w:p>
        </w:tc>
        <w:tc>
          <w:tcPr>
            <w:tcW w:w="2380" w:type="dxa"/>
            <w:hideMark/>
          </w:tcPr>
          <w:p w14:paraId="49973CF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0.947</w:t>
            </w:r>
          </w:p>
        </w:tc>
      </w:tr>
      <w:tr w:rsidR="00302953" w:rsidRPr="00770477" w14:paraId="282820D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1856FDD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10-A-17-1</w:t>
            </w:r>
          </w:p>
        </w:tc>
        <w:tc>
          <w:tcPr>
            <w:tcW w:w="1680" w:type="dxa"/>
            <w:hideMark/>
          </w:tcPr>
          <w:p w14:paraId="5C5534A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5.005</w:t>
            </w:r>
          </w:p>
        </w:tc>
        <w:tc>
          <w:tcPr>
            <w:tcW w:w="2260" w:type="dxa"/>
            <w:hideMark/>
          </w:tcPr>
          <w:p w14:paraId="4BD1440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0.801</w:t>
            </w:r>
          </w:p>
        </w:tc>
        <w:tc>
          <w:tcPr>
            <w:tcW w:w="1660" w:type="dxa"/>
            <w:hideMark/>
          </w:tcPr>
          <w:p w14:paraId="362ABE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4.882</w:t>
            </w:r>
          </w:p>
        </w:tc>
        <w:tc>
          <w:tcPr>
            <w:tcW w:w="2140" w:type="dxa"/>
            <w:hideMark/>
          </w:tcPr>
          <w:p w14:paraId="20E26E7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0.973</w:t>
            </w:r>
          </w:p>
        </w:tc>
        <w:tc>
          <w:tcPr>
            <w:tcW w:w="1660" w:type="dxa"/>
            <w:hideMark/>
          </w:tcPr>
          <w:p w14:paraId="29B4566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5.499</w:t>
            </w:r>
          </w:p>
        </w:tc>
        <w:tc>
          <w:tcPr>
            <w:tcW w:w="2380" w:type="dxa"/>
            <w:hideMark/>
          </w:tcPr>
          <w:p w14:paraId="06633D0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0.880</w:t>
            </w:r>
          </w:p>
        </w:tc>
      </w:tr>
      <w:tr w:rsidR="00302953" w:rsidRPr="00770477" w14:paraId="0BCC54F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267F900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10-A-17-2</w:t>
            </w:r>
          </w:p>
        </w:tc>
        <w:tc>
          <w:tcPr>
            <w:tcW w:w="1680" w:type="dxa"/>
            <w:hideMark/>
          </w:tcPr>
          <w:p w14:paraId="06C5F6F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5.282</w:t>
            </w:r>
          </w:p>
        </w:tc>
        <w:tc>
          <w:tcPr>
            <w:tcW w:w="2260" w:type="dxa"/>
            <w:hideMark/>
          </w:tcPr>
          <w:p w14:paraId="739F92E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0.845</w:t>
            </w:r>
          </w:p>
        </w:tc>
        <w:tc>
          <w:tcPr>
            <w:tcW w:w="1660" w:type="dxa"/>
            <w:hideMark/>
          </w:tcPr>
          <w:p w14:paraId="4BD3A4D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5.080</w:t>
            </w:r>
          </w:p>
        </w:tc>
        <w:tc>
          <w:tcPr>
            <w:tcW w:w="2140" w:type="dxa"/>
            <w:hideMark/>
          </w:tcPr>
          <w:p w14:paraId="116704B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1.013</w:t>
            </w:r>
          </w:p>
        </w:tc>
        <w:tc>
          <w:tcPr>
            <w:tcW w:w="1660" w:type="dxa"/>
            <w:hideMark/>
          </w:tcPr>
          <w:p w14:paraId="382C1CE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5.749</w:t>
            </w:r>
          </w:p>
        </w:tc>
        <w:tc>
          <w:tcPr>
            <w:tcW w:w="2380" w:type="dxa"/>
            <w:hideMark/>
          </w:tcPr>
          <w:p w14:paraId="0F5D5D2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0.920</w:t>
            </w:r>
          </w:p>
        </w:tc>
      </w:tr>
      <w:tr w:rsidR="00302953" w:rsidRPr="00770477" w14:paraId="65902ED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38E4B53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10-A-27-1</w:t>
            </w:r>
          </w:p>
        </w:tc>
        <w:tc>
          <w:tcPr>
            <w:tcW w:w="1680" w:type="dxa"/>
            <w:hideMark/>
          </w:tcPr>
          <w:p w14:paraId="3907DF6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5.024</w:t>
            </w:r>
          </w:p>
        </w:tc>
        <w:tc>
          <w:tcPr>
            <w:tcW w:w="2260" w:type="dxa"/>
            <w:hideMark/>
          </w:tcPr>
          <w:p w14:paraId="7E11907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0.764</w:t>
            </w:r>
          </w:p>
        </w:tc>
        <w:tc>
          <w:tcPr>
            <w:tcW w:w="1660" w:type="dxa"/>
            <w:hideMark/>
          </w:tcPr>
          <w:p w14:paraId="02E0D5B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4.643</w:t>
            </w:r>
          </w:p>
        </w:tc>
        <w:tc>
          <w:tcPr>
            <w:tcW w:w="2140" w:type="dxa"/>
            <w:hideMark/>
          </w:tcPr>
          <w:p w14:paraId="067494B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0.903</w:t>
            </w:r>
          </w:p>
        </w:tc>
        <w:tc>
          <w:tcPr>
            <w:tcW w:w="1660" w:type="dxa"/>
            <w:hideMark/>
          </w:tcPr>
          <w:p w14:paraId="41792CC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5.617</w:t>
            </w:r>
          </w:p>
        </w:tc>
        <w:tc>
          <w:tcPr>
            <w:tcW w:w="2380" w:type="dxa"/>
            <w:hideMark/>
          </w:tcPr>
          <w:p w14:paraId="60B6F2D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0.839</w:t>
            </w:r>
          </w:p>
        </w:tc>
      </w:tr>
      <w:tr w:rsidR="00302953" w:rsidRPr="00770477" w14:paraId="250D0B6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676232D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10-B-0-1</w:t>
            </w:r>
          </w:p>
        </w:tc>
        <w:tc>
          <w:tcPr>
            <w:tcW w:w="1680" w:type="dxa"/>
            <w:hideMark/>
          </w:tcPr>
          <w:p w14:paraId="3D46480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0.006</w:t>
            </w:r>
          </w:p>
        </w:tc>
        <w:tc>
          <w:tcPr>
            <w:tcW w:w="2260" w:type="dxa"/>
            <w:hideMark/>
          </w:tcPr>
          <w:p w14:paraId="4C4675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0.072</w:t>
            </w:r>
          </w:p>
        </w:tc>
        <w:tc>
          <w:tcPr>
            <w:tcW w:w="1660" w:type="dxa"/>
            <w:hideMark/>
          </w:tcPr>
          <w:p w14:paraId="462444A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0.115</w:t>
            </w:r>
          </w:p>
        </w:tc>
        <w:tc>
          <w:tcPr>
            <w:tcW w:w="2140" w:type="dxa"/>
            <w:hideMark/>
          </w:tcPr>
          <w:p w14:paraId="786B6CD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0.089</w:t>
            </w:r>
          </w:p>
        </w:tc>
        <w:tc>
          <w:tcPr>
            <w:tcW w:w="1660" w:type="dxa"/>
            <w:hideMark/>
          </w:tcPr>
          <w:p w14:paraId="4C3ABB8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0.006</w:t>
            </w:r>
          </w:p>
        </w:tc>
        <w:tc>
          <w:tcPr>
            <w:tcW w:w="2380" w:type="dxa"/>
            <w:hideMark/>
          </w:tcPr>
          <w:p w14:paraId="04394B5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0.089</w:t>
            </w:r>
          </w:p>
        </w:tc>
      </w:tr>
      <w:tr w:rsidR="00302953" w:rsidRPr="00770477" w14:paraId="33E9366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007B0F0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10-B-1-1</w:t>
            </w:r>
          </w:p>
        </w:tc>
        <w:tc>
          <w:tcPr>
            <w:tcW w:w="1680" w:type="dxa"/>
            <w:hideMark/>
          </w:tcPr>
          <w:p w14:paraId="0BFBC07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0.009</w:t>
            </w:r>
          </w:p>
        </w:tc>
        <w:tc>
          <w:tcPr>
            <w:tcW w:w="2260" w:type="dxa"/>
            <w:hideMark/>
          </w:tcPr>
          <w:p w14:paraId="5412FE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0.081</w:t>
            </w:r>
          </w:p>
        </w:tc>
        <w:tc>
          <w:tcPr>
            <w:tcW w:w="1660" w:type="dxa"/>
            <w:hideMark/>
          </w:tcPr>
          <w:p w14:paraId="77AFE57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0.296</w:t>
            </w:r>
          </w:p>
        </w:tc>
        <w:tc>
          <w:tcPr>
            <w:tcW w:w="2140" w:type="dxa"/>
            <w:hideMark/>
          </w:tcPr>
          <w:p w14:paraId="320358C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0.098</w:t>
            </w:r>
          </w:p>
        </w:tc>
        <w:tc>
          <w:tcPr>
            <w:tcW w:w="1660" w:type="dxa"/>
            <w:hideMark/>
          </w:tcPr>
          <w:p w14:paraId="4571B40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0.006</w:t>
            </w:r>
          </w:p>
        </w:tc>
        <w:tc>
          <w:tcPr>
            <w:tcW w:w="2380" w:type="dxa"/>
            <w:hideMark/>
          </w:tcPr>
          <w:p w14:paraId="3613E29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0.088</w:t>
            </w:r>
          </w:p>
        </w:tc>
      </w:tr>
      <w:tr w:rsidR="00302953" w:rsidRPr="00770477" w14:paraId="6FC1981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14D86B4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10-B-1-2</w:t>
            </w:r>
          </w:p>
        </w:tc>
        <w:tc>
          <w:tcPr>
            <w:tcW w:w="1680" w:type="dxa"/>
            <w:hideMark/>
          </w:tcPr>
          <w:p w14:paraId="4D9756A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0.009</w:t>
            </w:r>
          </w:p>
        </w:tc>
        <w:tc>
          <w:tcPr>
            <w:tcW w:w="2260" w:type="dxa"/>
            <w:hideMark/>
          </w:tcPr>
          <w:p w14:paraId="41E548A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0.081</w:t>
            </w:r>
          </w:p>
        </w:tc>
        <w:tc>
          <w:tcPr>
            <w:tcW w:w="1660" w:type="dxa"/>
            <w:hideMark/>
          </w:tcPr>
          <w:p w14:paraId="1420D0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0.319</w:t>
            </w:r>
          </w:p>
        </w:tc>
        <w:tc>
          <w:tcPr>
            <w:tcW w:w="2140" w:type="dxa"/>
            <w:hideMark/>
          </w:tcPr>
          <w:p w14:paraId="49E455E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0.098</w:t>
            </w:r>
          </w:p>
        </w:tc>
        <w:tc>
          <w:tcPr>
            <w:tcW w:w="1660" w:type="dxa"/>
            <w:hideMark/>
          </w:tcPr>
          <w:p w14:paraId="57BFFAF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0.006</w:t>
            </w:r>
          </w:p>
        </w:tc>
        <w:tc>
          <w:tcPr>
            <w:tcW w:w="2380" w:type="dxa"/>
            <w:hideMark/>
          </w:tcPr>
          <w:p w14:paraId="7B0AFE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0.088</w:t>
            </w:r>
          </w:p>
        </w:tc>
      </w:tr>
      <w:tr w:rsidR="00302953" w:rsidRPr="00770477" w14:paraId="27633CC7"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70F4499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10-B-2-1</w:t>
            </w:r>
          </w:p>
        </w:tc>
        <w:tc>
          <w:tcPr>
            <w:tcW w:w="1680" w:type="dxa"/>
            <w:hideMark/>
          </w:tcPr>
          <w:p w14:paraId="66B8690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0.017</w:t>
            </w:r>
          </w:p>
        </w:tc>
        <w:tc>
          <w:tcPr>
            <w:tcW w:w="2260" w:type="dxa"/>
            <w:hideMark/>
          </w:tcPr>
          <w:p w14:paraId="4BA2AB9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0.089</w:t>
            </w:r>
          </w:p>
        </w:tc>
        <w:tc>
          <w:tcPr>
            <w:tcW w:w="1660" w:type="dxa"/>
            <w:hideMark/>
          </w:tcPr>
          <w:p w14:paraId="3A9D2BC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0.391</w:t>
            </w:r>
          </w:p>
        </w:tc>
        <w:tc>
          <w:tcPr>
            <w:tcW w:w="2140" w:type="dxa"/>
            <w:hideMark/>
          </w:tcPr>
          <w:p w14:paraId="3AA5310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0.099</w:t>
            </w:r>
          </w:p>
        </w:tc>
        <w:tc>
          <w:tcPr>
            <w:tcW w:w="1660" w:type="dxa"/>
            <w:hideMark/>
          </w:tcPr>
          <w:p w14:paraId="6E57D60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0.011</w:t>
            </w:r>
          </w:p>
        </w:tc>
        <w:tc>
          <w:tcPr>
            <w:tcW w:w="2380" w:type="dxa"/>
            <w:hideMark/>
          </w:tcPr>
          <w:p w14:paraId="3ABAB29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0.089</w:t>
            </w:r>
          </w:p>
        </w:tc>
      </w:tr>
      <w:tr w:rsidR="00302953" w:rsidRPr="00770477" w14:paraId="0E0F70A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251F6EE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10-B-4-1</w:t>
            </w:r>
          </w:p>
        </w:tc>
        <w:tc>
          <w:tcPr>
            <w:tcW w:w="1680" w:type="dxa"/>
            <w:hideMark/>
          </w:tcPr>
          <w:p w14:paraId="41EEF1E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0.034</w:t>
            </w:r>
          </w:p>
        </w:tc>
        <w:tc>
          <w:tcPr>
            <w:tcW w:w="2260" w:type="dxa"/>
            <w:hideMark/>
          </w:tcPr>
          <w:p w14:paraId="06C4190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0.083</w:t>
            </w:r>
          </w:p>
        </w:tc>
        <w:tc>
          <w:tcPr>
            <w:tcW w:w="1660" w:type="dxa"/>
            <w:hideMark/>
          </w:tcPr>
          <w:p w14:paraId="2C009B5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0.617</w:t>
            </w:r>
          </w:p>
        </w:tc>
        <w:tc>
          <w:tcPr>
            <w:tcW w:w="2140" w:type="dxa"/>
            <w:hideMark/>
          </w:tcPr>
          <w:p w14:paraId="2E53961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0.100</w:t>
            </w:r>
          </w:p>
        </w:tc>
        <w:tc>
          <w:tcPr>
            <w:tcW w:w="1660" w:type="dxa"/>
            <w:hideMark/>
          </w:tcPr>
          <w:p w14:paraId="57B0FEF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0.021</w:t>
            </w:r>
          </w:p>
        </w:tc>
        <w:tc>
          <w:tcPr>
            <w:tcW w:w="2380" w:type="dxa"/>
            <w:hideMark/>
          </w:tcPr>
          <w:p w14:paraId="3C33109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0.086</w:t>
            </w:r>
          </w:p>
        </w:tc>
      </w:tr>
      <w:tr w:rsidR="00302953" w:rsidRPr="00770477" w14:paraId="564D121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016198A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10-B-6-1</w:t>
            </w:r>
          </w:p>
        </w:tc>
        <w:tc>
          <w:tcPr>
            <w:tcW w:w="1680" w:type="dxa"/>
            <w:hideMark/>
          </w:tcPr>
          <w:p w14:paraId="182AEEC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0.083</w:t>
            </w:r>
          </w:p>
        </w:tc>
        <w:tc>
          <w:tcPr>
            <w:tcW w:w="2260" w:type="dxa"/>
            <w:hideMark/>
          </w:tcPr>
          <w:p w14:paraId="4218130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0.072</w:t>
            </w:r>
          </w:p>
        </w:tc>
        <w:tc>
          <w:tcPr>
            <w:tcW w:w="1660" w:type="dxa"/>
            <w:hideMark/>
          </w:tcPr>
          <w:p w14:paraId="309ECFB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0.885</w:t>
            </w:r>
          </w:p>
        </w:tc>
        <w:tc>
          <w:tcPr>
            <w:tcW w:w="2140" w:type="dxa"/>
            <w:hideMark/>
          </w:tcPr>
          <w:p w14:paraId="5794863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0.089</w:t>
            </w:r>
          </w:p>
        </w:tc>
        <w:tc>
          <w:tcPr>
            <w:tcW w:w="1660" w:type="dxa"/>
            <w:hideMark/>
          </w:tcPr>
          <w:p w14:paraId="77EEA04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0.054</w:t>
            </w:r>
          </w:p>
        </w:tc>
        <w:tc>
          <w:tcPr>
            <w:tcW w:w="2380" w:type="dxa"/>
            <w:hideMark/>
          </w:tcPr>
          <w:p w14:paraId="1888E1D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0.079</w:t>
            </w:r>
          </w:p>
        </w:tc>
      </w:tr>
      <w:tr w:rsidR="00302953" w:rsidRPr="00770477" w14:paraId="0B87B5A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65BB77B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10-B-10-1</w:t>
            </w:r>
          </w:p>
        </w:tc>
        <w:tc>
          <w:tcPr>
            <w:tcW w:w="1680" w:type="dxa"/>
            <w:hideMark/>
          </w:tcPr>
          <w:p w14:paraId="63EC50E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0.144</w:t>
            </w:r>
          </w:p>
        </w:tc>
        <w:tc>
          <w:tcPr>
            <w:tcW w:w="2260" w:type="dxa"/>
            <w:hideMark/>
          </w:tcPr>
          <w:p w14:paraId="7BE90C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0.087</w:t>
            </w:r>
          </w:p>
        </w:tc>
        <w:tc>
          <w:tcPr>
            <w:tcW w:w="1660" w:type="dxa"/>
            <w:hideMark/>
          </w:tcPr>
          <w:p w14:paraId="367E6AE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1.084</w:t>
            </w:r>
          </w:p>
        </w:tc>
        <w:tc>
          <w:tcPr>
            <w:tcW w:w="2140" w:type="dxa"/>
            <w:hideMark/>
          </w:tcPr>
          <w:p w14:paraId="2AD76F4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0.225</w:t>
            </w:r>
          </w:p>
        </w:tc>
        <w:tc>
          <w:tcPr>
            <w:tcW w:w="1660" w:type="dxa"/>
            <w:hideMark/>
          </w:tcPr>
          <w:p w14:paraId="25D5482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0.095</w:t>
            </w:r>
          </w:p>
        </w:tc>
        <w:tc>
          <w:tcPr>
            <w:tcW w:w="2380" w:type="dxa"/>
            <w:hideMark/>
          </w:tcPr>
          <w:p w14:paraId="023D7A4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0.089</w:t>
            </w:r>
          </w:p>
        </w:tc>
      </w:tr>
      <w:tr w:rsidR="00302953" w:rsidRPr="00770477" w14:paraId="65D7B10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7051922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10-B-17-1</w:t>
            </w:r>
          </w:p>
        </w:tc>
        <w:tc>
          <w:tcPr>
            <w:tcW w:w="1680" w:type="dxa"/>
            <w:hideMark/>
          </w:tcPr>
          <w:p w14:paraId="0461C18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0.297</w:t>
            </w:r>
          </w:p>
        </w:tc>
        <w:tc>
          <w:tcPr>
            <w:tcW w:w="2260" w:type="dxa"/>
            <w:hideMark/>
          </w:tcPr>
          <w:p w14:paraId="35490B1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0.080</w:t>
            </w:r>
          </w:p>
        </w:tc>
        <w:tc>
          <w:tcPr>
            <w:tcW w:w="1660" w:type="dxa"/>
            <w:hideMark/>
          </w:tcPr>
          <w:p w14:paraId="4E3C398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1.272</w:t>
            </w:r>
          </w:p>
        </w:tc>
        <w:tc>
          <w:tcPr>
            <w:tcW w:w="2140" w:type="dxa"/>
            <w:hideMark/>
          </w:tcPr>
          <w:p w14:paraId="7778537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0.254</w:t>
            </w:r>
          </w:p>
        </w:tc>
        <w:tc>
          <w:tcPr>
            <w:tcW w:w="1660" w:type="dxa"/>
            <w:hideMark/>
          </w:tcPr>
          <w:p w14:paraId="5E26475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0.215</w:t>
            </w:r>
          </w:p>
        </w:tc>
        <w:tc>
          <w:tcPr>
            <w:tcW w:w="2380" w:type="dxa"/>
            <w:hideMark/>
          </w:tcPr>
          <w:p w14:paraId="7D8B58B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0.080</w:t>
            </w:r>
          </w:p>
        </w:tc>
      </w:tr>
      <w:tr w:rsidR="00302953" w:rsidRPr="00770477" w14:paraId="79378C0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1EAF7B9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10-B-27-1</w:t>
            </w:r>
          </w:p>
        </w:tc>
        <w:tc>
          <w:tcPr>
            <w:tcW w:w="1680" w:type="dxa"/>
            <w:hideMark/>
          </w:tcPr>
          <w:p w14:paraId="4D260B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0.487</w:t>
            </w:r>
          </w:p>
        </w:tc>
        <w:tc>
          <w:tcPr>
            <w:tcW w:w="2260" w:type="dxa"/>
            <w:hideMark/>
          </w:tcPr>
          <w:p w14:paraId="4797FD6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0.076</w:t>
            </w:r>
          </w:p>
        </w:tc>
        <w:tc>
          <w:tcPr>
            <w:tcW w:w="1660" w:type="dxa"/>
            <w:hideMark/>
          </w:tcPr>
          <w:p w14:paraId="2CE1CFF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1.578</w:t>
            </w:r>
          </w:p>
        </w:tc>
        <w:tc>
          <w:tcPr>
            <w:tcW w:w="2140" w:type="dxa"/>
            <w:hideMark/>
          </w:tcPr>
          <w:p w14:paraId="6DF4AF6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0.307</w:t>
            </w:r>
          </w:p>
        </w:tc>
        <w:tc>
          <w:tcPr>
            <w:tcW w:w="1660" w:type="dxa"/>
            <w:hideMark/>
          </w:tcPr>
          <w:p w14:paraId="5EFA708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0.358</w:t>
            </w:r>
          </w:p>
        </w:tc>
        <w:tc>
          <w:tcPr>
            <w:tcW w:w="2380" w:type="dxa"/>
            <w:hideMark/>
          </w:tcPr>
          <w:p w14:paraId="48BC41D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0.075</w:t>
            </w:r>
          </w:p>
        </w:tc>
      </w:tr>
      <w:tr w:rsidR="00302953" w:rsidRPr="00770477" w14:paraId="30B16A6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6304EDF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10-B-27-2</w:t>
            </w:r>
          </w:p>
        </w:tc>
        <w:tc>
          <w:tcPr>
            <w:tcW w:w="1680" w:type="dxa"/>
            <w:hideMark/>
          </w:tcPr>
          <w:p w14:paraId="4F29364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0.518</w:t>
            </w:r>
          </w:p>
        </w:tc>
        <w:tc>
          <w:tcPr>
            <w:tcW w:w="2260" w:type="dxa"/>
            <w:hideMark/>
          </w:tcPr>
          <w:p w14:paraId="7B151C8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0.076</w:t>
            </w:r>
          </w:p>
        </w:tc>
        <w:tc>
          <w:tcPr>
            <w:tcW w:w="1660" w:type="dxa"/>
            <w:hideMark/>
          </w:tcPr>
          <w:p w14:paraId="73F58C1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1.504</w:t>
            </w:r>
          </w:p>
        </w:tc>
        <w:tc>
          <w:tcPr>
            <w:tcW w:w="2140" w:type="dxa"/>
            <w:hideMark/>
          </w:tcPr>
          <w:p w14:paraId="2E0B343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0.293</w:t>
            </w:r>
          </w:p>
        </w:tc>
        <w:tc>
          <w:tcPr>
            <w:tcW w:w="1660" w:type="dxa"/>
            <w:hideMark/>
          </w:tcPr>
          <w:p w14:paraId="7EDF7CF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0.375</w:t>
            </w:r>
          </w:p>
        </w:tc>
        <w:tc>
          <w:tcPr>
            <w:tcW w:w="2380" w:type="dxa"/>
            <w:hideMark/>
          </w:tcPr>
          <w:p w14:paraId="5ECB1A0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0.075</w:t>
            </w:r>
          </w:p>
        </w:tc>
      </w:tr>
      <w:tr w:rsidR="00302953" w:rsidRPr="00770477" w14:paraId="60561C2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214C140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10-C-0-1</w:t>
            </w:r>
          </w:p>
        </w:tc>
        <w:tc>
          <w:tcPr>
            <w:tcW w:w="1680" w:type="dxa"/>
            <w:hideMark/>
          </w:tcPr>
          <w:p w14:paraId="7EA8971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3.645</w:t>
            </w:r>
          </w:p>
        </w:tc>
        <w:tc>
          <w:tcPr>
            <w:tcW w:w="2260" w:type="dxa"/>
            <w:hideMark/>
          </w:tcPr>
          <w:p w14:paraId="24B8818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0.523</w:t>
            </w:r>
          </w:p>
        </w:tc>
        <w:tc>
          <w:tcPr>
            <w:tcW w:w="1660" w:type="dxa"/>
            <w:hideMark/>
          </w:tcPr>
          <w:p w14:paraId="554DF8C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4.897</w:t>
            </w:r>
          </w:p>
        </w:tc>
        <w:tc>
          <w:tcPr>
            <w:tcW w:w="2140" w:type="dxa"/>
            <w:hideMark/>
          </w:tcPr>
          <w:p w14:paraId="2B4DB0E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0.869</w:t>
            </w:r>
          </w:p>
        </w:tc>
        <w:tc>
          <w:tcPr>
            <w:tcW w:w="1660" w:type="dxa"/>
            <w:hideMark/>
          </w:tcPr>
          <w:p w14:paraId="5E875F4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4.221</w:t>
            </w:r>
          </w:p>
        </w:tc>
        <w:tc>
          <w:tcPr>
            <w:tcW w:w="2380" w:type="dxa"/>
            <w:hideMark/>
          </w:tcPr>
          <w:p w14:paraId="0A5E57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0.753</w:t>
            </w:r>
          </w:p>
        </w:tc>
      </w:tr>
      <w:tr w:rsidR="00302953" w:rsidRPr="00770477" w14:paraId="5C39AFBA"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6282E69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10-C-1-1</w:t>
            </w:r>
          </w:p>
        </w:tc>
        <w:tc>
          <w:tcPr>
            <w:tcW w:w="1680" w:type="dxa"/>
            <w:hideMark/>
          </w:tcPr>
          <w:p w14:paraId="52D6558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3.981</w:t>
            </w:r>
          </w:p>
        </w:tc>
        <w:tc>
          <w:tcPr>
            <w:tcW w:w="2260" w:type="dxa"/>
            <w:hideMark/>
          </w:tcPr>
          <w:p w14:paraId="039BE7E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0.641</w:t>
            </w:r>
          </w:p>
        </w:tc>
        <w:tc>
          <w:tcPr>
            <w:tcW w:w="1660" w:type="dxa"/>
            <w:hideMark/>
          </w:tcPr>
          <w:p w14:paraId="0F1B28F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4.706</w:t>
            </w:r>
          </w:p>
        </w:tc>
        <w:tc>
          <w:tcPr>
            <w:tcW w:w="2140" w:type="dxa"/>
            <w:hideMark/>
          </w:tcPr>
          <w:p w14:paraId="1FFF1BC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0.927</w:t>
            </w:r>
          </w:p>
        </w:tc>
        <w:tc>
          <w:tcPr>
            <w:tcW w:w="1660" w:type="dxa"/>
            <w:hideMark/>
          </w:tcPr>
          <w:p w14:paraId="18D9031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4.794</w:t>
            </w:r>
          </w:p>
        </w:tc>
        <w:tc>
          <w:tcPr>
            <w:tcW w:w="2380" w:type="dxa"/>
            <w:hideMark/>
          </w:tcPr>
          <w:p w14:paraId="5858A83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0.841</w:t>
            </w:r>
          </w:p>
        </w:tc>
      </w:tr>
      <w:tr w:rsidR="00302953" w:rsidRPr="00770477" w14:paraId="189515F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2C174E6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10-C-1-2</w:t>
            </w:r>
          </w:p>
        </w:tc>
        <w:tc>
          <w:tcPr>
            <w:tcW w:w="1680" w:type="dxa"/>
            <w:hideMark/>
          </w:tcPr>
          <w:p w14:paraId="1528C65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4.006</w:t>
            </w:r>
          </w:p>
        </w:tc>
        <w:tc>
          <w:tcPr>
            <w:tcW w:w="2260" w:type="dxa"/>
            <w:hideMark/>
          </w:tcPr>
          <w:p w14:paraId="584D3B5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0.645</w:t>
            </w:r>
          </w:p>
        </w:tc>
        <w:tc>
          <w:tcPr>
            <w:tcW w:w="1660" w:type="dxa"/>
            <w:hideMark/>
          </w:tcPr>
          <w:p w14:paraId="25EB37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4.859</w:t>
            </w:r>
          </w:p>
        </w:tc>
        <w:tc>
          <w:tcPr>
            <w:tcW w:w="2140" w:type="dxa"/>
            <w:hideMark/>
          </w:tcPr>
          <w:p w14:paraId="4BAEA66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0.957</w:t>
            </w:r>
          </w:p>
        </w:tc>
        <w:tc>
          <w:tcPr>
            <w:tcW w:w="1660" w:type="dxa"/>
            <w:hideMark/>
          </w:tcPr>
          <w:p w14:paraId="0631DCB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5.087</w:t>
            </w:r>
          </w:p>
        </w:tc>
        <w:tc>
          <w:tcPr>
            <w:tcW w:w="2380" w:type="dxa"/>
            <w:hideMark/>
          </w:tcPr>
          <w:p w14:paraId="41EC12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0.893</w:t>
            </w:r>
          </w:p>
        </w:tc>
      </w:tr>
      <w:tr w:rsidR="00302953" w:rsidRPr="00770477" w14:paraId="20B7419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2A77A70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10-C-2-1</w:t>
            </w:r>
          </w:p>
        </w:tc>
        <w:tc>
          <w:tcPr>
            <w:tcW w:w="1680" w:type="dxa"/>
            <w:hideMark/>
          </w:tcPr>
          <w:p w14:paraId="4B4E8CC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3.885</w:t>
            </w:r>
          </w:p>
        </w:tc>
        <w:tc>
          <w:tcPr>
            <w:tcW w:w="2260" w:type="dxa"/>
            <w:hideMark/>
          </w:tcPr>
          <w:p w14:paraId="1F7BB01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0.689</w:t>
            </w:r>
          </w:p>
        </w:tc>
        <w:tc>
          <w:tcPr>
            <w:tcW w:w="1660" w:type="dxa"/>
            <w:hideMark/>
          </w:tcPr>
          <w:p w14:paraId="671E6D1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4.740</w:t>
            </w:r>
          </w:p>
        </w:tc>
        <w:tc>
          <w:tcPr>
            <w:tcW w:w="2140" w:type="dxa"/>
            <w:hideMark/>
          </w:tcPr>
          <w:p w14:paraId="154C014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0.941</w:t>
            </w:r>
          </w:p>
        </w:tc>
        <w:tc>
          <w:tcPr>
            <w:tcW w:w="1660" w:type="dxa"/>
            <w:hideMark/>
          </w:tcPr>
          <w:p w14:paraId="1FDA705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4.678</w:t>
            </w:r>
          </w:p>
        </w:tc>
        <w:tc>
          <w:tcPr>
            <w:tcW w:w="2380" w:type="dxa"/>
            <w:hideMark/>
          </w:tcPr>
          <w:p w14:paraId="1A14882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0.832</w:t>
            </w:r>
          </w:p>
        </w:tc>
      </w:tr>
      <w:tr w:rsidR="00302953" w:rsidRPr="00770477" w14:paraId="4876678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315D05E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10-C-4-1</w:t>
            </w:r>
          </w:p>
        </w:tc>
        <w:tc>
          <w:tcPr>
            <w:tcW w:w="1680" w:type="dxa"/>
            <w:hideMark/>
          </w:tcPr>
          <w:p w14:paraId="58B7DE3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4.090</w:t>
            </w:r>
          </w:p>
        </w:tc>
        <w:tc>
          <w:tcPr>
            <w:tcW w:w="2260" w:type="dxa"/>
            <w:hideMark/>
          </w:tcPr>
          <w:p w14:paraId="20D4840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0.682</w:t>
            </w:r>
          </w:p>
        </w:tc>
        <w:tc>
          <w:tcPr>
            <w:tcW w:w="1660" w:type="dxa"/>
            <w:hideMark/>
          </w:tcPr>
          <w:p w14:paraId="13DAB6A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4.938</w:t>
            </w:r>
          </w:p>
        </w:tc>
        <w:tc>
          <w:tcPr>
            <w:tcW w:w="2140" w:type="dxa"/>
            <w:hideMark/>
          </w:tcPr>
          <w:p w14:paraId="489EB70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0.985</w:t>
            </w:r>
          </w:p>
        </w:tc>
        <w:tc>
          <w:tcPr>
            <w:tcW w:w="1660" w:type="dxa"/>
            <w:hideMark/>
          </w:tcPr>
          <w:p w14:paraId="0BE1745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4.578</w:t>
            </w:r>
          </w:p>
        </w:tc>
        <w:tc>
          <w:tcPr>
            <w:tcW w:w="2380" w:type="dxa"/>
            <w:hideMark/>
          </w:tcPr>
          <w:p w14:paraId="633A23A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0.787</w:t>
            </w:r>
          </w:p>
        </w:tc>
      </w:tr>
      <w:tr w:rsidR="00302953" w:rsidRPr="00770477" w14:paraId="54B72CC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016F7AA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10-C-6-1</w:t>
            </w:r>
          </w:p>
        </w:tc>
        <w:tc>
          <w:tcPr>
            <w:tcW w:w="1680" w:type="dxa"/>
            <w:hideMark/>
          </w:tcPr>
          <w:p w14:paraId="2CC1C1E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4.540</w:t>
            </w:r>
          </w:p>
        </w:tc>
        <w:tc>
          <w:tcPr>
            <w:tcW w:w="2260" w:type="dxa"/>
            <w:hideMark/>
          </w:tcPr>
          <w:p w14:paraId="20393F5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0.650</w:t>
            </w:r>
          </w:p>
        </w:tc>
        <w:tc>
          <w:tcPr>
            <w:tcW w:w="1660" w:type="dxa"/>
            <w:hideMark/>
          </w:tcPr>
          <w:p w14:paraId="4F40ED2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4.961</w:t>
            </w:r>
          </w:p>
        </w:tc>
        <w:tc>
          <w:tcPr>
            <w:tcW w:w="2140" w:type="dxa"/>
            <w:hideMark/>
          </w:tcPr>
          <w:p w14:paraId="08D7A86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0.878</w:t>
            </w:r>
          </w:p>
        </w:tc>
        <w:tc>
          <w:tcPr>
            <w:tcW w:w="1660" w:type="dxa"/>
            <w:hideMark/>
          </w:tcPr>
          <w:p w14:paraId="54638F4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5.012</w:t>
            </w:r>
          </w:p>
        </w:tc>
        <w:tc>
          <w:tcPr>
            <w:tcW w:w="2380" w:type="dxa"/>
            <w:hideMark/>
          </w:tcPr>
          <w:p w14:paraId="0A7C117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0.789</w:t>
            </w:r>
          </w:p>
        </w:tc>
      </w:tr>
      <w:tr w:rsidR="00302953" w:rsidRPr="00770477" w14:paraId="1C1589E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123D44E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10-C-10-1</w:t>
            </w:r>
          </w:p>
        </w:tc>
        <w:tc>
          <w:tcPr>
            <w:tcW w:w="1680" w:type="dxa"/>
            <w:hideMark/>
          </w:tcPr>
          <w:p w14:paraId="538A1D4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4.589</w:t>
            </w:r>
          </w:p>
        </w:tc>
        <w:tc>
          <w:tcPr>
            <w:tcW w:w="2260" w:type="dxa"/>
            <w:hideMark/>
          </w:tcPr>
          <w:p w14:paraId="7491025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0.795</w:t>
            </w:r>
          </w:p>
        </w:tc>
        <w:tc>
          <w:tcPr>
            <w:tcW w:w="1660" w:type="dxa"/>
            <w:hideMark/>
          </w:tcPr>
          <w:p w14:paraId="7A1347C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4.645</w:t>
            </w:r>
          </w:p>
        </w:tc>
        <w:tc>
          <w:tcPr>
            <w:tcW w:w="2140" w:type="dxa"/>
            <w:hideMark/>
          </w:tcPr>
          <w:p w14:paraId="50B663E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0.963</w:t>
            </w:r>
          </w:p>
        </w:tc>
        <w:tc>
          <w:tcPr>
            <w:tcW w:w="1660" w:type="dxa"/>
            <w:hideMark/>
          </w:tcPr>
          <w:p w14:paraId="00238C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5.225</w:t>
            </w:r>
          </w:p>
        </w:tc>
        <w:tc>
          <w:tcPr>
            <w:tcW w:w="2380" w:type="dxa"/>
            <w:hideMark/>
          </w:tcPr>
          <w:p w14:paraId="6ECF26E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0.926</w:t>
            </w:r>
          </w:p>
        </w:tc>
      </w:tr>
      <w:tr w:rsidR="00302953" w:rsidRPr="00770477" w14:paraId="5797ACF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0158142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10-C-17-1</w:t>
            </w:r>
          </w:p>
        </w:tc>
        <w:tc>
          <w:tcPr>
            <w:tcW w:w="1680" w:type="dxa"/>
            <w:hideMark/>
          </w:tcPr>
          <w:p w14:paraId="2B09B63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5.068</w:t>
            </w:r>
          </w:p>
        </w:tc>
        <w:tc>
          <w:tcPr>
            <w:tcW w:w="2260" w:type="dxa"/>
            <w:hideMark/>
          </w:tcPr>
          <w:p w14:paraId="2EA14A7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0.811</w:t>
            </w:r>
          </w:p>
        </w:tc>
        <w:tc>
          <w:tcPr>
            <w:tcW w:w="1660" w:type="dxa"/>
            <w:hideMark/>
          </w:tcPr>
          <w:p w14:paraId="7CB238F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4.839</w:t>
            </w:r>
          </w:p>
        </w:tc>
        <w:tc>
          <w:tcPr>
            <w:tcW w:w="2140" w:type="dxa"/>
            <w:hideMark/>
          </w:tcPr>
          <w:p w14:paraId="5C41393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0.965</w:t>
            </w:r>
          </w:p>
        </w:tc>
        <w:tc>
          <w:tcPr>
            <w:tcW w:w="1660" w:type="dxa"/>
            <w:hideMark/>
          </w:tcPr>
          <w:p w14:paraId="4D3D83A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5.674</w:t>
            </w:r>
          </w:p>
        </w:tc>
        <w:tc>
          <w:tcPr>
            <w:tcW w:w="2380" w:type="dxa"/>
            <w:hideMark/>
          </w:tcPr>
          <w:p w14:paraId="4BF02A6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0.908</w:t>
            </w:r>
          </w:p>
        </w:tc>
      </w:tr>
      <w:tr w:rsidR="00302953" w:rsidRPr="00770477" w14:paraId="53C3A6C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70D3BA7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10-C-27-1</w:t>
            </w:r>
          </w:p>
        </w:tc>
        <w:tc>
          <w:tcPr>
            <w:tcW w:w="1680" w:type="dxa"/>
            <w:hideMark/>
          </w:tcPr>
          <w:p w14:paraId="05A4C07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5.391</w:t>
            </w:r>
          </w:p>
        </w:tc>
        <w:tc>
          <w:tcPr>
            <w:tcW w:w="2260" w:type="dxa"/>
            <w:hideMark/>
          </w:tcPr>
          <w:p w14:paraId="1C797F3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0.819</w:t>
            </w:r>
          </w:p>
        </w:tc>
        <w:tc>
          <w:tcPr>
            <w:tcW w:w="1660" w:type="dxa"/>
            <w:hideMark/>
          </w:tcPr>
          <w:p w14:paraId="7C12017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4.974</w:t>
            </w:r>
          </w:p>
        </w:tc>
        <w:tc>
          <w:tcPr>
            <w:tcW w:w="2140" w:type="dxa"/>
            <w:hideMark/>
          </w:tcPr>
          <w:p w14:paraId="59D05EE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0.968</w:t>
            </w:r>
          </w:p>
        </w:tc>
        <w:tc>
          <w:tcPr>
            <w:tcW w:w="1660" w:type="dxa"/>
            <w:hideMark/>
          </w:tcPr>
          <w:p w14:paraId="29D5577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6.013</w:t>
            </w:r>
          </w:p>
        </w:tc>
        <w:tc>
          <w:tcPr>
            <w:tcW w:w="2380" w:type="dxa"/>
            <w:hideMark/>
          </w:tcPr>
          <w:p w14:paraId="7889A67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0.898</w:t>
            </w:r>
          </w:p>
        </w:tc>
      </w:tr>
      <w:tr w:rsidR="00302953" w:rsidRPr="00770477" w14:paraId="4C1BB29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13E1024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10-C-27-2</w:t>
            </w:r>
          </w:p>
        </w:tc>
        <w:tc>
          <w:tcPr>
            <w:tcW w:w="1680" w:type="dxa"/>
            <w:hideMark/>
          </w:tcPr>
          <w:p w14:paraId="3A20E7D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4.567</w:t>
            </w:r>
          </w:p>
        </w:tc>
        <w:tc>
          <w:tcPr>
            <w:tcW w:w="2260" w:type="dxa"/>
            <w:hideMark/>
          </w:tcPr>
          <w:p w14:paraId="1B6ABD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0.694</w:t>
            </w:r>
          </w:p>
        </w:tc>
        <w:tc>
          <w:tcPr>
            <w:tcW w:w="1660" w:type="dxa"/>
            <w:hideMark/>
          </w:tcPr>
          <w:p w14:paraId="68EB4F8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4.591</w:t>
            </w:r>
          </w:p>
        </w:tc>
        <w:tc>
          <w:tcPr>
            <w:tcW w:w="2140" w:type="dxa"/>
            <w:hideMark/>
          </w:tcPr>
          <w:p w14:paraId="265639D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0.893</w:t>
            </w:r>
          </w:p>
        </w:tc>
        <w:tc>
          <w:tcPr>
            <w:tcW w:w="1660" w:type="dxa"/>
            <w:hideMark/>
          </w:tcPr>
          <w:p w14:paraId="54F4EFF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5.108</w:t>
            </w:r>
          </w:p>
        </w:tc>
        <w:tc>
          <w:tcPr>
            <w:tcW w:w="2380" w:type="dxa"/>
            <w:hideMark/>
          </w:tcPr>
          <w:p w14:paraId="53A7169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0.763</w:t>
            </w:r>
          </w:p>
        </w:tc>
      </w:tr>
      <w:tr w:rsidR="00302953" w:rsidRPr="00770477" w14:paraId="3ACB855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5D9E589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10-D-0-1</w:t>
            </w:r>
          </w:p>
        </w:tc>
        <w:tc>
          <w:tcPr>
            <w:tcW w:w="1680" w:type="dxa"/>
            <w:hideMark/>
          </w:tcPr>
          <w:p w14:paraId="1EB9729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5.342</w:t>
            </w:r>
          </w:p>
        </w:tc>
        <w:tc>
          <w:tcPr>
            <w:tcW w:w="2260" w:type="dxa"/>
            <w:hideMark/>
          </w:tcPr>
          <w:p w14:paraId="4B6F08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0.766</w:t>
            </w:r>
          </w:p>
        </w:tc>
        <w:tc>
          <w:tcPr>
            <w:tcW w:w="1660" w:type="dxa"/>
            <w:hideMark/>
          </w:tcPr>
          <w:p w14:paraId="7DA49AB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6.066</w:t>
            </w:r>
          </w:p>
        </w:tc>
        <w:tc>
          <w:tcPr>
            <w:tcW w:w="2140" w:type="dxa"/>
            <w:hideMark/>
          </w:tcPr>
          <w:p w14:paraId="2ED138E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1.076</w:t>
            </w:r>
          </w:p>
        </w:tc>
        <w:tc>
          <w:tcPr>
            <w:tcW w:w="1660" w:type="dxa"/>
            <w:hideMark/>
          </w:tcPr>
          <w:p w14:paraId="2B7FB8B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5.100</w:t>
            </w:r>
          </w:p>
        </w:tc>
        <w:tc>
          <w:tcPr>
            <w:tcW w:w="2380" w:type="dxa"/>
            <w:hideMark/>
          </w:tcPr>
          <w:p w14:paraId="5DDE78C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0.910</w:t>
            </w:r>
          </w:p>
        </w:tc>
      </w:tr>
      <w:tr w:rsidR="00302953" w:rsidRPr="00770477" w14:paraId="43EAE48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2CC8274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10-D-1-1</w:t>
            </w:r>
          </w:p>
        </w:tc>
        <w:tc>
          <w:tcPr>
            <w:tcW w:w="1680" w:type="dxa"/>
            <w:hideMark/>
          </w:tcPr>
          <w:p w14:paraId="159807F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5.212</w:t>
            </w:r>
          </w:p>
        </w:tc>
        <w:tc>
          <w:tcPr>
            <w:tcW w:w="2260" w:type="dxa"/>
            <w:hideMark/>
          </w:tcPr>
          <w:p w14:paraId="04757C0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0.839</w:t>
            </w:r>
          </w:p>
        </w:tc>
        <w:tc>
          <w:tcPr>
            <w:tcW w:w="1660" w:type="dxa"/>
            <w:hideMark/>
          </w:tcPr>
          <w:p w14:paraId="2A23B2F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5.357</w:t>
            </w:r>
          </w:p>
        </w:tc>
        <w:tc>
          <w:tcPr>
            <w:tcW w:w="2140" w:type="dxa"/>
            <w:hideMark/>
          </w:tcPr>
          <w:p w14:paraId="369698A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1.055</w:t>
            </w:r>
          </w:p>
        </w:tc>
        <w:tc>
          <w:tcPr>
            <w:tcW w:w="1660" w:type="dxa"/>
            <w:hideMark/>
          </w:tcPr>
          <w:p w14:paraId="4A6C465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5.162</w:t>
            </w:r>
          </w:p>
        </w:tc>
        <w:tc>
          <w:tcPr>
            <w:tcW w:w="2380" w:type="dxa"/>
            <w:hideMark/>
          </w:tcPr>
          <w:p w14:paraId="36D27BF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0.906</w:t>
            </w:r>
          </w:p>
        </w:tc>
      </w:tr>
      <w:tr w:rsidR="00302953" w:rsidRPr="00770477" w14:paraId="51F032E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254E36E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10-D-1-2</w:t>
            </w:r>
          </w:p>
        </w:tc>
        <w:tc>
          <w:tcPr>
            <w:tcW w:w="1680" w:type="dxa"/>
            <w:hideMark/>
          </w:tcPr>
          <w:p w14:paraId="449C512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4.360</w:t>
            </w:r>
          </w:p>
        </w:tc>
        <w:tc>
          <w:tcPr>
            <w:tcW w:w="2260" w:type="dxa"/>
            <w:hideMark/>
          </w:tcPr>
          <w:p w14:paraId="3BE1D88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0.702</w:t>
            </w:r>
          </w:p>
        </w:tc>
        <w:tc>
          <w:tcPr>
            <w:tcW w:w="1660" w:type="dxa"/>
            <w:hideMark/>
          </w:tcPr>
          <w:p w14:paraId="623B7B1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5.047</w:t>
            </w:r>
          </w:p>
        </w:tc>
        <w:tc>
          <w:tcPr>
            <w:tcW w:w="2140" w:type="dxa"/>
            <w:hideMark/>
          </w:tcPr>
          <w:p w14:paraId="1EEE245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0.994</w:t>
            </w:r>
          </w:p>
        </w:tc>
        <w:tc>
          <w:tcPr>
            <w:tcW w:w="1660" w:type="dxa"/>
            <w:hideMark/>
          </w:tcPr>
          <w:p w14:paraId="30F497D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4.166</w:t>
            </w:r>
          </w:p>
        </w:tc>
        <w:tc>
          <w:tcPr>
            <w:tcW w:w="2380" w:type="dxa"/>
            <w:hideMark/>
          </w:tcPr>
          <w:p w14:paraId="3271C71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0.731</w:t>
            </w:r>
          </w:p>
        </w:tc>
      </w:tr>
      <w:tr w:rsidR="00302953" w:rsidRPr="00770477" w14:paraId="0B00098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06DD5E1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10-D-2-1</w:t>
            </w:r>
          </w:p>
        </w:tc>
        <w:tc>
          <w:tcPr>
            <w:tcW w:w="1680" w:type="dxa"/>
            <w:hideMark/>
          </w:tcPr>
          <w:p w14:paraId="756FB5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5.715</w:t>
            </w:r>
          </w:p>
        </w:tc>
        <w:tc>
          <w:tcPr>
            <w:tcW w:w="2260" w:type="dxa"/>
            <w:hideMark/>
          </w:tcPr>
          <w:p w14:paraId="59A344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1.013</w:t>
            </w:r>
          </w:p>
        </w:tc>
        <w:tc>
          <w:tcPr>
            <w:tcW w:w="1660" w:type="dxa"/>
            <w:hideMark/>
          </w:tcPr>
          <w:p w14:paraId="67980D7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5.417</w:t>
            </w:r>
          </w:p>
        </w:tc>
        <w:tc>
          <w:tcPr>
            <w:tcW w:w="2140" w:type="dxa"/>
            <w:hideMark/>
          </w:tcPr>
          <w:p w14:paraId="4F487D9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1.076</w:t>
            </w:r>
          </w:p>
        </w:tc>
        <w:tc>
          <w:tcPr>
            <w:tcW w:w="1660" w:type="dxa"/>
            <w:hideMark/>
          </w:tcPr>
          <w:p w14:paraId="2B0800E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5.969</w:t>
            </w:r>
          </w:p>
        </w:tc>
        <w:tc>
          <w:tcPr>
            <w:tcW w:w="2380" w:type="dxa"/>
            <w:hideMark/>
          </w:tcPr>
          <w:p w14:paraId="6D16491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1.061</w:t>
            </w:r>
          </w:p>
        </w:tc>
      </w:tr>
      <w:tr w:rsidR="00302953" w:rsidRPr="00770477" w14:paraId="0304010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1B7921E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10-D-4-1</w:t>
            </w:r>
          </w:p>
        </w:tc>
        <w:tc>
          <w:tcPr>
            <w:tcW w:w="1680" w:type="dxa"/>
            <w:hideMark/>
          </w:tcPr>
          <w:p w14:paraId="11159F4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5.046</w:t>
            </w:r>
          </w:p>
        </w:tc>
        <w:tc>
          <w:tcPr>
            <w:tcW w:w="2260" w:type="dxa"/>
            <w:hideMark/>
          </w:tcPr>
          <w:p w14:paraId="058C98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0.841</w:t>
            </w:r>
          </w:p>
        </w:tc>
        <w:tc>
          <w:tcPr>
            <w:tcW w:w="1660" w:type="dxa"/>
            <w:hideMark/>
          </w:tcPr>
          <w:p w14:paraId="7DC700B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5.014</w:t>
            </w:r>
          </w:p>
        </w:tc>
        <w:tc>
          <w:tcPr>
            <w:tcW w:w="2140" w:type="dxa"/>
            <w:hideMark/>
          </w:tcPr>
          <w:p w14:paraId="567281B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01E6DCE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5.478</w:t>
            </w:r>
          </w:p>
        </w:tc>
        <w:tc>
          <w:tcPr>
            <w:tcW w:w="2380" w:type="dxa"/>
            <w:hideMark/>
          </w:tcPr>
          <w:p w14:paraId="10B4CC0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0.942</w:t>
            </w:r>
          </w:p>
        </w:tc>
      </w:tr>
      <w:tr w:rsidR="00302953" w:rsidRPr="00770477" w14:paraId="078B675F"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4BA8949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10-D-6-1</w:t>
            </w:r>
          </w:p>
        </w:tc>
        <w:tc>
          <w:tcPr>
            <w:tcW w:w="1680" w:type="dxa"/>
            <w:hideMark/>
          </w:tcPr>
          <w:p w14:paraId="1D59CC1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4.863</w:t>
            </w:r>
          </w:p>
        </w:tc>
        <w:tc>
          <w:tcPr>
            <w:tcW w:w="2260" w:type="dxa"/>
            <w:hideMark/>
          </w:tcPr>
          <w:p w14:paraId="18F7474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0.696</w:t>
            </w:r>
          </w:p>
        </w:tc>
        <w:tc>
          <w:tcPr>
            <w:tcW w:w="1660" w:type="dxa"/>
            <w:hideMark/>
          </w:tcPr>
          <w:p w14:paraId="6177309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4.928</w:t>
            </w:r>
          </w:p>
        </w:tc>
        <w:tc>
          <w:tcPr>
            <w:tcW w:w="2140" w:type="dxa"/>
            <w:hideMark/>
          </w:tcPr>
          <w:p w14:paraId="3490B02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0.873</w:t>
            </w:r>
          </w:p>
        </w:tc>
        <w:tc>
          <w:tcPr>
            <w:tcW w:w="1660" w:type="dxa"/>
            <w:hideMark/>
          </w:tcPr>
          <w:p w14:paraId="2DC1CB9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5.028</w:t>
            </w:r>
          </w:p>
        </w:tc>
        <w:tc>
          <w:tcPr>
            <w:tcW w:w="2380" w:type="dxa"/>
            <w:hideMark/>
          </w:tcPr>
          <w:p w14:paraId="7EAB2A8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0.792</w:t>
            </w:r>
          </w:p>
        </w:tc>
      </w:tr>
      <w:tr w:rsidR="00302953" w:rsidRPr="00770477" w14:paraId="0B72410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0A09516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10-D-10-1</w:t>
            </w:r>
          </w:p>
        </w:tc>
        <w:tc>
          <w:tcPr>
            <w:tcW w:w="1680" w:type="dxa"/>
            <w:hideMark/>
          </w:tcPr>
          <w:p w14:paraId="22847E2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5.393</w:t>
            </w:r>
          </w:p>
        </w:tc>
        <w:tc>
          <w:tcPr>
            <w:tcW w:w="2260" w:type="dxa"/>
            <w:hideMark/>
          </w:tcPr>
          <w:p w14:paraId="4FE7D48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0.934</w:t>
            </w:r>
          </w:p>
        </w:tc>
        <w:tc>
          <w:tcPr>
            <w:tcW w:w="1660" w:type="dxa"/>
            <w:hideMark/>
          </w:tcPr>
          <w:p w14:paraId="0BD0909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5.186</w:t>
            </w:r>
          </w:p>
        </w:tc>
        <w:tc>
          <w:tcPr>
            <w:tcW w:w="2140" w:type="dxa"/>
            <w:hideMark/>
          </w:tcPr>
          <w:p w14:paraId="5B47B30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1.075</w:t>
            </w:r>
          </w:p>
        </w:tc>
        <w:tc>
          <w:tcPr>
            <w:tcW w:w="1660" w:type="dxa"/>
            <w:hideMark/>
          </w:tcPr>
          <w:p w14:paraId="68AB893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5.896</w:t>
            </w:r>
          </w:p>
        </w:tc>
        <w:tc>
          <w:tcPr>
            <w:tcW w:w="2380" w:type="dxa"/>
            <w:hideMark/>
          </w:tcPr>
          <w:p w14:paraId="17BB672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1.045</w:t>
            </w:r>
          </w:p>
        </w:tc>
      </w:tr>
      <w:tr w:rsidR="00302953" w:rsidRPr="00770477" w14:paraId="427FD4E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39348F6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10-D-17-1</w:t>
            </w:r>
          </w:p>
        </w:tc>
        <w:tc>
          <w:tcPr>
            <w:tcW w:w="1680" w:type="dxa"/>
            <w:hideMark/>
          </w:tcPr>
          <w:p w14:paraId="306EBD5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4.998</w:t>
            </w:r>
          </w:p>
        </w:tc>
        <w:tc>
          <w:tcPr>
            <w:tcW w:w="2260" w:type="dxa"/>
            <w:hideMark/>
          </w:tcPr>
          <w:p w14:paraId="236342D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0.800</w:t>
            </w:r>
          </w:p>
        </w:tc>
        <w:tc>
          <w:tcPr>
            <w:tcW w:w="1660" w:type="dxa"/>
            <w:hideMark/>
          </w:tcPr>
          <w:p w14:paraId="3207484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4.843</w:t>
            </w:r>
          </w:p>
        </w:tc>
        <w:tc>
          <w:tcPr>
            <w:tcW w:w="2140" w:type="dxa"/>
            <w:hideMark/>
          </w:tcPr>
          <w:p w14:paraId="5C6DC64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0.966</w:t>
            </w:r>
          </w:p>
        </w:tc>
        <w:tc>
          <w:tcPr>
            <w:tcW w:w="1660" w:type="dxa"/>
            <w:hideMark/>
          </w:tcPr>
          <w:p w14:paraId="7A5B975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5.381</w:t>
            </w:r>
          </w:p>
        </w:tc>
        <w:tc>
          <w:tcPr>
            <w:tcW w:w="2380" w:type="dxa"/>
            <w:hideMark/>
          </w:tcPr>
          <w:p w14:paraId="26CA85E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0.861</w:t>
            </w:r>
          </w:p>
        </w:tc>
      </w:tr>
      <w:tr w:rsidR="00302953" w:rsidRPr="00770477" w14:paraId="460721A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3D17373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10-D-17-2</w:t>
            </w:r>
          </w:p>
        </w:tc>
        <w:tc>
          <w:tcPr>
            <w:tcW w:w="1680" w:type="dxa"/>
            <w:hideMark/>
          </w:tcPr>
          <w:p w14:paraId="3EAD697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5.130</w:t>
            </w:r>
          </w:p>
        </w:tc>
        <w:tc>
          <w:tcPr>
            <w:tcW w:w="2260" w:type="dxa"/>
            <w:hideMark/>
          </w:tcPr>
          <w:p w14:paraId="1DB478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0.821</w:t>
            </w:r>
          </w:p>
        </w:tc>
        <w:tc>
          <w:tcPr>
            <w:tcW w:w="1660" w:type="dxa"/>
            <w:hideMark/>
          </w:tcPr>
          <w:p w14:paraId="2F758C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4.651</w:t>
            </w:r>
          </w:p>
        </w:tc>
        <w:tc>
          <w:tcPr>
            <w:tcW w:w="2140" w:type="dxa"/>
            <w:hideMark/>
          </w:tcPr>
          <w:p w14:paraId="4BA99F7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0.927</w:t>
            </w:r>
          </w:p>
        </w:tc>
        <w:tc>
          <w:tcPr>
            <w:tcW w:w="1660" w:type="dxa"/>
            <w:hideMark/>
          </w:tcPr>
          <w:p w14:paraId="4556DC3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5.549</w:t>
            </w:r>
          </w:p>
        </w:tc>
        <w:tc>
          <w:tcPr>
            <w:tcW w:w="2380" w:type="dxa"/>
            <w:hideMark/>
          </w:tcPr>
          <w:p w14:paraId="304AF0D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0.888</w:t>
            </w:r>
          </w:p>
        </w:tc>
      </w:tr>
      <w:tr w:rsidR="00302953" w:rsidRPr="00770477" w14:paraId="2650CDF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1AA3F06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10-D-27-1</w:t>
            </w:r>
          </w:p>
        </w:tc>
        <w:tc>
          <w:tcPr>
            <w:tcW w:w="1680" w:type="dxa"/>
            <w:hideMark/>
          </w:tcPr>
          <w:p w14:paraId="1E4B1B6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5.521</w:t>
            </w:r>
          </w:p>
        </w:tc>
        <w:tc>
          <w:tcPr>
            <w:tcW w:w="2260" w:type="dxa"/>
            <w:hideMark/>
          </w:tcPr>
          <w:p w14:paraId="426712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0.839</w:t>
            </w:r>
          </w:p>
        </w:tc>
        <w:tc>
          <w:tcPr>
            <w:tcW w:w="1660" w:type="dxa"/>
            <w:hideMark/>
          </w:tcPr>
          <w:p w14:paraId="0748971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5.133</w:t>
            </w:r>
          </w:p>
        </w:tc>
        <w:tc>
          <w:tcPr>
            <w:tcW w:w="2140" w:type="dxa"/>
            <w:hideMark/>
          </w:tcPr>
          <w:p w14:paraId="06D920A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0.999</w:t>
            </w:r>
          </w:p>
        </w:tc>
        <w:tc>
          <w:tcPr>
            <w:tcW w:w="1660" w:type="dxa"/>
            <w:hideMark/>
          </w:tcPr>
          <w:p w14:paraId="52C7661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6.031</w:t>
            </w:r>
          </w:p>
        </w:tc>
        <w:tc>
          <w:tcPr>
            <w:tcW w:w="2380" w:type="dxa"/>
            <w:hideMark/>
          </w:tcPr>
          <w:p w14:paraId="46A440A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0.901</w:t>
            </w:r>
          </w:p>
        </w:tc>
      </w:tr>
      <w:tr w:rsidR="00302953" w:rsidRPr="00770477" w14:paraId="25CAB12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04F93B6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10-D-27-2</w:t>
            </w:r>
          </w:p>
        </w:tc>
        <w:tc>
          <w:tcPr>
            <w:tcW w:w="1680" w:type="dxa"/>
            <w:hideMark/>
          </w:tcPr>
          <w:p w14:paraId="6869396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5.326</w:t>
            </w:r>
          </w:p>
        </w:tc>
        <w:tc>
          <w:tcPr>
            <w:tcW w:w="2260" w:type="dxa"/>
            <w:hideMark/>
          </w:tcPr>
          <w:p w14:paraId="27CD2EB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0.809</w:t>
            </w:r>
          </w:p>
        </w:tc>
        <w:tc>
          <w:tcPr>
            <w:tcW w:w="1660" w:type="dxa"/>
            <w:hideMark/>
          </w:tcPr>
          <w:p w14:paraId="05850E3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4.796</w:t>
            </w:r>
          </w:p>
        </w:tc>
        <w:tc>
          <w:tcPr>
            <w:tcW w:w="2140" w:type="dxa"/>
            <w:hideMark/>
          </w:tcPr>
          <w:p w14:paraId="5C7E827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0.933</w:t>
            </w:r>
          </w:p>
        </w:tc>
        <w:tc>
          <w:tcPr>
            <w:tcW w:w="1660" w:type="dxa"/>
            <w:hideMark/>
          </w:tcPr>
          <w:p w14:paraId="7C5FAAB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5.649</w:t>
            </w:r>
          </w:p>
        </w:tc>
        <w:tc>
          <w:tcPr>
            <w:tcW w:w="2380" w:type="dxa"/>
            <w:hideMark/>
          </w:tcPr>
          <w:p w14:paraId="7D2594C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0.844</w:t>
            </w:r>
          </w:p>
        </w:tc>
      </w:tr>
      <w:tr w:rsidR="00302953" w:rsidRPr="00770477" w14:paraId="573B89CF"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6BF9F01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10-I-0-3</w:t>
            </w:r>
          </w:p>
        </w:tc>
        <w:tc>
          <w:tcPr>
            <w:tcW w:w="1680" w:type="dxa"/>
            <w:hideMark/>
          </w:tcPr>
          <w:p w14:paraId="6E7B950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6.975</w:t>
            </w:r>
          </w:p>
        </w:tc>
        <w:tc>
          <w:tcPr>
            <w:tcW w:w="2260" w:type="dxa"/>
            <w:hideMark/>
          </w:tcPr>
          <w:p w14:paraId="16118AF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3A0CA94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5.636</w:t>
            </w:r>
          </w:p>
        </w:tc>
        <w:tc>
          <w:tcPr>
            <w:tcW w:w="2140" w:type="dxa"/>
            <w:hideMark/>
          </w:tcPr>
          <w:p w14:paraId="12C5EAB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4DC97E7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5.607</w:t>
            </w:r>
          </w:p>
        </w:tc>
        <w:tc>
          <w:tcPr>
            <w:tcW w:w="2380" w:type="dxa"/>
            <w:hideMark/>
          </w:tcPr>
          <w:p w14:paraId="46055FD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r>
      <w:tr w:rsidR="00302953" w:rsidRPr="00770477" w14:paraId="4F9623E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2222B2F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10-I-1-3</w:t>
            </w:r>
          </w:p>
        </w:tc>
        <w:tc>
          <w:tcPr>
            <w:tcW w:w="1680" w:type="dxa"/>
            <w:hideMark/>
          </w:tcPr>
          <w:p w14:paraId="2837EB9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6.210</w:t>
            </w:r>
          </w:p>
        </w:tc>
        <w:tc>
          <w:tcPr>
            <w:tcW w:w="2260" w:type="dxa"/>
            <w:hideMark/>
          </w:tcPr>
          <w:p w14:paraId="04550AF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4D92982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5.078</w:t>
            </w:r>
          </w:p>
        </w:tc>
        <w:tc>
          <w:tcPr>
            <w:tcW w:w="2140" w:type="dxa"/>
            <w:hideMark/>
          </w:tcPr>
          <w:p w14:paraId="0BE3AB4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382F2CA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5.699</w:t>
            </w:r>
          </w:p>
        </w:tc>
        <w:tc>
          <w:tcPr>
            <w:tcW w:w="2380" w:type="dxa"/>
            <w:hideMark/>
          </w:tcPr>
          <w:p w14:paraId="04D08BF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r>
      <w:tr w:rsidR="00302953" w:rsidRPr="00770477" w14:paraId="44218D1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4DED007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10-I-2-3</w:t>
            </w:r>
          </w:p>
        </w:tc>
        <w:tc>
          <w:tcPr>
            <w:tcW w:w="1680" w:type="dxa"/>
            <w:hideMark/>
          </w:tcPr>
          <w:p w14:paraId="1838502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5.641</w:t>
            </w:r>
          </w:p>
        </w:tc>
        <w:tc>
          <w:tcPr>
            <w:tcW w:w="2260" w:type="dxa"/>
            <w:hideMark/>
          </w:tcPr>
          <w:p w14:paraId="4368412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11989CF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5.036</w:t>
            </w:r>
          </w:p>
        </w:tc>
        <w:tc>
          <w:tcPr>
            <w:tcW w:w="2140" w:type="dxa"/>
            <w:hideMark/>
          </w:tcPr>
          <w:p w14:paraId="26C94AE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134B3DB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5.624</w:t>
            </w:r>
          </w:p>
        </w:tc>
        <w:tc>
          <w:tcPr>
            <w:tcW w:w="2380" w:type="dxa"/>
            <w:hideMark/>
          </w:tcPr>
          <w:p w14:paraId="488C298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r>
      <w:tr w:rsidR="00302953" w:rsidRPr="00770477" w14:paraId="00ED18F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562E608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10-I-4-3</w:t>
            </w:r>
          </w:p>
        </w:tc>
        <w:tc>
          <w:tcPr>
            <w:tcW w:w="1680" w:type="dxa"/>
            <w:hideMark/>
          </w:tcPr>
          <w:p w14:paraId="4C3B001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6.001</w:t>
            </w:r>
          </w:p>
        </w:tc>
        <w:tc>
          <w:tcPr>
            <w:tcW w:w="2260" w:type="dxa"/>
            <w:hideMark/>
          </w:tcPr>
          <w:p w14:paraId="0E7EC6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3095B26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5.014</w:t>
            </w:r>
          </w:p>
        </w:tc>
        <w:tc>
          <w:tcPr>
            <w:tcW w:w="2140" w:type="dxa"/>
            <w:hideMark/>
          </w:tcPr>
          <w:p w14:paraId="79EAC71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3EE42F0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5.813</w:t>
            </w:r>
          </w:p>
        </w:tc>
        <w:tc>
          <w:tcPr>
            <w:tcW w:w="2380" w:type="dxa"/>
            <w:hideMark/>
          </w:tcPr>
          <w:p w14:paraId="52ED9E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r>
      <w:tr w:rsidR="00302953" w:rsidRPr="00770477" w14:paraId="1A53405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22E42FA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10-I-6-3</w:t>
            </w:r>
          </w:p>
        </w:tc>
        <w:tc>
          <w:tcPr>
            <w:tcW w:w="1680" w:type="dxa"/>
            <w:hideMark/>
          </w:tcPr>
          <w:p w14:paraId="2703C9D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6.987</w:t>
            </w:r>
          </w:p>
        </w:tc>
        <w:tc>
          <w:tcPr>
            <w:tcW w:w="2260" w:type="dxa"/>
            <w:hideMark/>
          </w:tcPr>
          <w:p w14:paraId="5762413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6F6C947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5.648</w:t>
            </w:r>
          </w:p>
        </w:tc>
        <w:tc>
          <w:tcPr>
            <w:tcW w:w="2140" w:type="dxa"/>
            <w:hideMark/>
          </w:tcPr>
          <w:p w14:paraId="338955B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36AAA40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6.349</w:t>
            </w:r>
          </w:p>
        </w:tc>
        <w:tc>
          <w:tcPr>
            <w:tcW w:w="2380" w:type="dxa"/>
            <w:hideMark/>
          </w:tcPr>
          <w:p w14:paraId="4B626F4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r>
      <w:tr w:rsidR="00302953" w:rsidRPr="00770477" w14:paraId="1032CBB1"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06D7619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10-I-10-3</w:t>
            </w:r>
          </w:p>
        </w:tc>
        <w:tc>
          <w:tcPr>
            <w:tcW w:w="1680" w:type="dxa"/>
            <w:hideMark/>
          </w:tcPr>
          <w:p w14:paraId="0FC84CA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5.772</w:t>
            </w:r>
          </w:p>
        </w:tc>
        <w:tc>
          <w:tcPr>
            <w:tcW w:w="2260" w:type="dxa"/>
            <w:hideMark/>
          </w:tcPr>
          <w:p w14:paraId="123178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0EDE804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4.825</w:t>
            </w:r>
          </w:p>
        </w:tc>
        <w:tc>
          <w:tcPr>
            <w:tcW w:w="2140" w:type="dxa"/>
            <w:hideMark/>
          </w:tcPr>
          <w:p w14:paraId="08EBB52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55925E9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5.642</w:t>
            </w:r>
          </w:p>
        </w:tc>
        <w:tc>
          <w:tcPr>
            <w:tcW w:w="2380" w:type="dxa"/>
            <w:hideMark/>
          </w:tcPr>
          <w:p w14:paraId="6B434EC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r>
      <w:tr w:rsidR="00302953" w:rsidRPr="00770477" w14:paraId="7CF6DC2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07BD083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10-I-17-3</w:t>
            </w:r>
          </w:p>
        </w:tc>
        <w:tc>
          <w:tcPr>
            <w:tcW w:w="1680" w:type="dxa"/>
            <w:hideMark/>
          </w:tcPr>
          <w:p w14:paraId="79F0E15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6.247</w:t>
            </w:r>
          </w:p>
        </w:tc>
        <w:tc>
          <w:tcPr>
            <w:tcW w:w="2260" w:type="dxa"/>
            <w:hideMark/>
          </w:tcPr>
          <w:p w14:paraId="2901019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26A7195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5.016</w:t>
            </w:r>
          </w:p>
        </w:tc>
        <w:tc>
          <w:tcPr>
            <w:tcW w:w="2140" w:type="dxa"/>
            <w:hideMark/>
          </w:tcPr>
          <w:p w14:paraId="7383A80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1CD2A9D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6.249</w:t>
            </w:r>
          </w:p>
        </w:tc>
        <w:tc>
          <w:tcPr>
            <w:tcW w:w="2380" w:type="dxa"/>
            <w:hideMark/>
          </w:tcPr>
          <w:p w14:paraId="58CAF3C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r>
      <w:tr w:rsidR="00302953" w:rsidRPr="00770477" w14:paraId="4B0068E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2567B8B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10-I-27-3</w:t>
            </w:r>
          </w:p>
        </w:tc>
        <w:tc>
          <w:tcPr>
            <w:tcW w:w="1680" w:type="dxa"/>
            <w:hideMark/>
          </w:tcPr>
          <w:p w14:paraId="1726903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6.580</w:t>
            </w:r>
          </w:p>
        </w:tc>
        <w:tc>
          <w:tcPr>
            <w:tcW w:w="2260" w:type="dxa"/>
            <w:hideMark/>
          </w:tcPr>
          <w:p w14:paraId="3D773CE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22679F1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5.140</w:t>
            </w:r>
          </w:p>
        </w:tc>
        <w:tc>
          <w:tcPr>
            <w:tcW w:w="2140" w:type="dxa"/>
            <w:hideMark/>
          </w:tcPr>
          <w:p w14:paraId="7C4E176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c>
          <w:tcPr>
            <w:tcW w:w="1660" w:type="dxa"/>
            <w:hideMark/>
          </w:tcPr>
          <w:p w14:paraId="5AE4CE8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6.694</w:t>
            </w:r>
          </w:p>
        </w:tc>
        <w:tc>
          <w:tcPr>
            <w:tcW w:w="2380" w:type="dxa"/>
            <w:hideMark/>
          </w:tcPr>
          <w:p w14:paraId="16D380C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1.000</w:t>
            </w:r>
          </w:p>
        </w:tc>
      </w:tr>
      <w:tr w:rsidR="00302953" w:rsidRPr="00770477" w14:paraId="628133D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540" w:type="dxa"/>
            <w:noWrap/>
            <w:hideMark/>
          </w:tcPr>
          <w:p w14:paraId="69C51D23" w14:textId="77777777" w:rsidR="00302953" w:rsidRPr="00770477" w:rsidRDefault="00302953" w:rsidP="00622DCD">
            <w:pPr>
              <w:spacing w:line="240" w:lineRule="auto"/>
              <w:jc w:val="left"/>
              <w:rPr>
                <w:rFonts w:eastAsia="Times New Roman" w:cs="Times New Roman"/>
                <w:color w:val="000000"/>
                <w:sz w:val="22"/>
                <w:szCs w:val="22"/>
              </w:rPr>
            </w:pPr>
            <w:r w:rsidRPr="00770477">
              <w:rPr>
                <w:rFonts w:eastAsia="Times New Roman" w:cs="Times New Roman"/>
                <w:color w:val="000000"/>
                <w:sz w:val="22"/>
                <w:szCs w:val="22"/>
              </w:rPr>
              <w:t>10-I-999-4</w:t>
            </w:r>
          </w:p>
        </w:tc>
        <w:tc>
          <w:tcPr>
            <w:tcW w:w="1680" w:type="dxa"/>
            <w:hideMark/>
          </w:tcPr>
          <w:p w14:paraId="49FBC2E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0.005</w:t>
            </w:r>
          </w:p>
        </w:tc>
        <w:tc>
          <w:tcPr>
            <w:tcW w:w="2260" w:type="dxa"/>
            <w:hideMark/>
          </w:tcPr>
          <w:p w14:paraId="5A70BCB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c>
          <w:tcPr>
            <w:tcW w:w="1660" w:type="dxa"/>
            <w:hideMark/>
          </w:tcPr>
          <w:p w14:paraId="32044CB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0.003</w:t>
            </w:r>
          </w:p>
        </w:tc>
        <w:tc>
          <w:tcPr>
            <w:tcW w:w="2140" w:type="dxa"/>
            <w:hideMark/>
          </w:tcPr>
          <w:p w14:paraId="69FFBD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c>
          <w:tcPr>
            <w:tcW w:w="1660" w:type="dxa"/>
            <w:hideMark/>
          </w:tcPr>
          <w:p w14:paraId="1319B4D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0.002</w:t>
            </w:r>
          </w:p>
        </w:tc>
        <w:tc>
          <w:tcPr>
            <w:tcW w:w="2380" w:type="dxa"/>
            <w:hideMark/>
          </w:tcPr>
          <w:p w14:paraId="5C3B1AD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rPr>
              <w:t>BLANK</w:t>
            </w:r>
          </w:p>
        </w:tc>
      </w:tr>
    </w:tbl>
    <w:p w14:paraId="11AED6D7" w14:textId="77777777" w:rsidR="00302953" w:rsidRPr="00770477" w:rsidRDefault="00302953" w:rsidP="00302953">
      <w:pPr>
        <w:spacing w:line="240" w:lineRule="auto"/>
        <w:jc w:val="left"/>
        <w:rPr>
          <w:rFonts w:cs="Times New Roman"/>
        </w:rPr>
      </w:pPr>
      <w:r w:rsidRPr="00770477">
        <w:rPr>
          <w:rFonts w:cs="Times New Roman"/>
        </w:rPr>
        <w:br w:type="page"/>
      </w:r>
    </w:p>
    <w:p w14:paraId="7B74A2C2" w14:textId="3C7237ED" w:rsidR="00302953" w:rsidRPr="00687ADE" w:rsidRDefault="00302953" w:rsidP="00302953">
      <w:pPr>
        <w:pStyle w:val="Caption"/>
        <w:keepNext/>
        <w:rPr>
          <w:rFonts w:cs="Times New Roman"/>
        </w:rPr>
      </w:pPr>
      <w:bookmarkStart w:id="198" w:name="_Ref121496125"/>
      <w:bookmarkStart w:id="199" w:name="_Toc121494163"/>
      <w:bookmarkStart w:id="200" w:name="_Toc121495948"/>
      <w:r>
        <w:lastRenderedPageBreak/>
        <w:t xml:space="preserve">Table </w:t>
      </w:r>
      <w:fldSimple w:instr=" STYLEREF 1 \s ">
        <w:r w:rsidR="00061096">
          <w:rPr>
            <w:noProof/>
          </w:rPr>
          <w:t>10</w:t>
        </w:r>
      </w:fldSimple>
      <w:r w:rsidR="00B26DDF">
        <w:noBreakHyphen/>
      </w:r>
      <w:fldSimple w:instr=" SEQ Table \* ARABIC \s 1 ">
        <w:r w:rsidR="00061096">
          <w:rPr>
            <w:noProof/>
          </w:rPr>
          <w:t>10</w:t>
        </w:r>
      </w:fldSimple>
      <w:bookmarkEnd w:id="198"/>
      <w:r w:rsidRPr="00687ADE">
        <w:rPr>
          <w:rFonts w:cs="Times New Roman"/>
        </w:rPr>
        <w:t xml:space="preserve"> </w:t>
      </w:r>
      <w:r w:rsidRPr="00770477">
        <w:rPr>
          <w:rFonts w:cs="Times New Roman"/>
        </w:rPr>
        <w:t>Coefficient of variation (%) for metals samples. A mild variation exceedance is &gt;10% and a substantial exceedance is &gt;20%.</w:t>
      </w:r>
      <w:bookmarkEnd w:id="199"/>
      <w:bookmarkEnd w:id="200"/>
    </w:p>
    <w:tbl>
      <w:tblPr>
        <w:tblStyle w:val="PlainTable5"/>
        <w:tblW w:w="13124" w:type="dxa"/>
        <w:tblLook w:val="04A0" w:firstRow="1" w:lastRow="0" w:firstColumn="1" w:lastColumn="0" w:noHBand="0" w:noVBand="1"/>
      </w:tblPr>
      <w:tblGrid>
        <w:gridCol w:w="1320"/>
        <w:gridCol w:w="800"/>
        <w:gridCol w:w="820"/>
        <w:gridCol w:w="800"/>
        <w:gridCol w:w="660"/>
        <w:gridCol w:w="700"/>
        <w:gridCol w:w="764"/>
        <w:gridCol w:w="840"/>
        <w:gridCol w:w="700"/>
        <w:gridCol w:w="840"/>
        <w:gridCol w:w="940"/>
        <w:gridCol w:w="700"/>
        <w:gridCol w:w="800"/>
        <w:gridCol w:w="800"/>
        <w:gridCol w:w="700"/>
        <w:gridCol w:w="940"/>
      </w:tblGrid>
      <w:tr w:rsidR="00302953" w:rsidRPr="00770477" w14:paraId="07795641" w14:textId="77777777" w:rsidTr="00622DCD">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1320" w:type="dxa"/>
            <w:hideMark/>
          </w:tcPr>
          <w:p w14:paraId="4494F69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Sample ID</w:t>
            </w:r>
          </w:p>
        </w:tc>
        <w:tc>
          <w:tcPr>
            <w:tcW w:w="800" w:type="dxa"/>
            <w:noWrap/>
            <w:hideMark/>
          </w:tcPr>
          <w:p w14:paraId="21C40FE4"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Al</w:t>
            </w:r>
          </w:p>
        </w:tc>
        <w:tc>
          <w:tcPr>
            <w:tcW w:w="820" w:type="dxa"/>
            <w:noWrap/>
            <w:hideMark/>
          </w:tcPr>
          <w:p w14:paraId="79A250ED"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As</w:t>
            </w:r>
          </w:p>
        </w:tc>
        <w:tc>
          <w:tcPr>
            <w:tcW w:w="800" w:type="dxa"/>
            <w:noWrap/>
            <w:hideMark/>
          </w:tcPr>
          <w:p w14:paraId="63078FA7"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Be</w:t>
            </w:r>
          </w:p>
        </w:tc>
        <w:tc>
          <w:tcPr>
            <w:tcW w:w="660" w:type="dxa"/>
            <w:noWrap/>
            <w:hideMark/>
          </w:tcPr>
          <w:p w14:paraId="341EE7BD"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Ca</w:t>
            </w:r>
          </w:p>
        </w:tc>
        <w:tc>
          <w:tcPr>
            <w:tcW w:w="700" w:type="dxa"/>
            <w:noWrap/>
            <w:hideMark/>
          </w:tcPr>
          <w:p w14:paraId="20AD10FC"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Co</w:t>
            </w:r>
          </w:p>
        </w:tc>
        <w:tc>
          <w:tcPr>
            <w:tcW w:w="764" w:type="dxa"/>
            <w:noWrap/>
            <w:hideMark/>
          </w:tcPr>
          <w:p w14:paraId="2A71466D"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Cu</w:t>
            </w:r>
          </w:p>
        </w:tc>
        <w:tc>
          <w:tcPr>
            <w:tcW w:w="840" w:type="dxa"/>
            <w:noWrap/>
            <w:hideMark/>
          </w:tcPr>
          <w:p w14:paraId="56A783E3"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Fe</w:t>
            </w:r>
          </w:p>
        </w:tc>
        <w:tc>
          <w:tcPr>
            <w:tcW w:w="700" w:type="dxa"/>
            <w:noWrap/>
            <w:hideMark/>
          </w:tcPr>
          <w:p w14:paraId="737B6F75"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K</w:t>
            </w:r>
          </w:p>
        </w:tc>
        <w:tc>
          <w:tcPr>
            <w:tcW w:w="840" w:type="dxa"/>
            <w:noWrap/>
            <w:hideMark/>
          </w:tcPr>
          <w:p w14:paraId="616FCD18"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Mg</w:t>
            </w:r>
          </w:p>
        </w:tc>
        <w:tc>
          <w:tcPr>
            <w:tcW w:w="940" w:type="dxa"/>
            <w:noWrap/>
            <w:hideMark/>
          </w:tcPr>
          <w:p w14:paraId="191BF9A6"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Mn</w:t>
            </w:r>
          </w:p>
        </w:tc>
        <w:tc>
          <w:tcPr>
            <w:tcW w:w="700" w:type="dxa"/>
            <w:noWrap/>
            <w:hideMark/>
          </w:tcPr>
          <w:p w14:paraId="6145064E"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Na</w:t>
            </w:r>
          </w:p>
        </w:tc>
        <w:tc>
          <w:tcPr>
            <w:tcW w:w="800" w:type="dxa"/>
            <w:noWrap/>
            <w:hideMark/>
          </w:tcPr>
          <w:p w14:paraId="300FD699"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Ni</w:t>
            </w:r>
          </w:p>
        </w:tc>
        <w:tc>
          <w:tcPr>
            <w:tcW w:w="800" w:type="dxa"/>
            <w:noWrap/>
            <w:hideMark/>
          </w:tcPr>
          <w:p w14:paraId="6AA87383"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Pb</w:t>
            </w:r>
          </w:p>
        </w:tc>
        <w:tc>
          <w:tcPr>
            <w:tcW w:w="700" w:type="dxa"/>
            <w:noWrap/>
            <w:hideMark/>
          </w:tcPr>
          <w:p w14:paraId="5B6450D0"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Si</w:t>
            </w:r>
          </w:p>
        </w:tc>
        <w:tc>
          <w:tcPr>
            <w:tcW w:w="940" w:type="dxa"/>
            <w:noWrap/>
            <w:hideMark/>
          </w:tcPr>
          <w:p w14:paraId="327D2ECE"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Zn</w:t>
            </w:r>
          </w:p>
        </w:tc>
      </w:tr>
      <w:tr w:rsidR="00302953" w:rsidRPr="00770477" w14:paraId="646FEE92" w14:textId="77777777" w:rsidTr="00622DC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320" w:type="dxa"/>
            <w:noWrap/>
            <w:hideMark/>
          </w:tcPr>
          <w:p w14:paraId="54EE9EA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1-A-010</w:t>
            </w:r>
          </w:p>
        </w:tc>
        <w:tc>
          <w:tcPr>
            <w:tcW w:w="800" w:type="dxa"/>
            <w:noWrap/>
            <w:hideMark/>
          </w:tcPr>
          <w:p w14:paraId="614A535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20" w:type="dxa"/>
            <w:noWrap/>
            <w:hideMark/>
          </w:tcPr>
          <w:p w14:paraId="7B6C6AE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094D02A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660" w:type="dxa"/>
            <w:noWrap/>
            <w:hideMark/>
          </w:tcPr>
          <w:p w14:paraId="6A6B43B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301294A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64" w:type="dxa"/>
            <w:noWrap/>
            <w:hideMark/>
          </w:tcPr>
          <w:p w14:paraId="53DDD98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00F0055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13098B8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703AD1B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1B8B979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5542FF6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064BF45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2AE8BD9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3DBE0E7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3F3EB9E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5E20312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352054B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1-A-040</w:t>
            </w:r>
          </w:p>
        </w:tc>
        <w:tc>
          <w:tcPr>
            <w:tcW w:w="800" w:type="dxa"/>
            <w:noWrap/>
            <w:hideMark/>
          </w:tcPr>
          <w:p w14:paraId="345DFB9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20" w:type="dxa"/>
            <w:noWrap/>
            <w:hideMark/>
          </w:tcPr>
          <w:p w14:paraId="1489C24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03EEB8E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660" w:type="dxa"/>
            <w:noWrap/>
            <w:hideMark/>
          </w:tcPr>
          <w:p w14:paraId="7838DFC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38ED5E9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64" w:type="dxa"/>
            <w:noWrap/>
            <w:hideMark/>
          </w:tcPr>
          <w:p w14:paraId="0552680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456E801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3B356D4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0BAE95C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43B51B0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15DBDC8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2EA7E4D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7A03A02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7823653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00EEA4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49E1FBF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140A48F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1-A-090</w:t>
            </w:r>
          </w:p>
        </w:tc>
        <w:tc>
          <w:tcPr>
            <w:tcW w:w="800" w:type="dxa"/>
            <w:noWrap/>
            <w:hideMark/>
          </w:tcPr>
          <w:p w14:paraId="699ECA1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0.30</w:t>
            </w:r>
          </w:p>
        </w:tc>
        <w:tc>
          <w:tcPr>
            <w:tcW w:w="820" w:type="dxa"/>
            <w:noWrap/>
            <w:hideMark/>
          </w:tcPr>
          <w:p w14:paraId="0BBC507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6.91</w:t>
            </w:r>
          </w:p>
        </w:tc>
        <w:tc>
          <w:tcPr>
            <w:tcW w:w="800" w:type="dxa"/>
            <w:noWrap/>
            <w:hideMark/>
          </w:tcPr>
          <w:p w14:paraId="5268ADB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15.85</w:t>
            </w:r>
          </w:p>
        </w:tc>
        <w:tc>
          <w:tcPr>
            <w:tcW w:w="660" w:type="dxa"/>
            <w:noWrap/>
            <w:hideMark/>
          </w:tcPr>
          <w:p w14:paraId="14DD2B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1.04</w:t>
            </w:r>
          </w:p>
        </w:tc>
        <w:tc>
          <w:tcPr>
            <w:tcW w:w="700" w:type="dxa"/>
            <w:noWrap/>
            <w:hideMark/>
          </w:tcPr>
          <w:p w14:paraId="03D349C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764" w:type="dxa"/>
            <w:noWrap/>
            <w:hideMark/>
          </w:tcPr>
          <w:p w14:paraId="5BC1DCC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373F08A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10.94</w:t>
            </w:r>
          </w:p>
        </w:tc>
        <w:tc>
          <w:tcPr>
            <w:tcW w:w="700" w:type="dxa"/>
            <w:noWrap/>
            <w:hideMark/>
          </w:tcPr>
          <w:p w14:paraId="083B79B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0.65</w:t>
            </w:r>
          </w:p>
        </w:tc>
        <w:tc>
          <w:tcPr>
            <w:tcW w:w="840" w:type="dxa"/>
            <w:noWrap/>
            <w:hideMark/>
          </w:tcPr>
          <w:p w14:paraId="6CB7FCF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0.85</w:t>
            </w:r>
          </w:p>
        </w:tc>
        <w:tc>
          <w:tcPr>
            <w:tcW w:w="940" w:type="dxa"/>
            <w:noWrap/>
            <w:hideMark/>
          </w:tcPr>
          <w:p w14:paraId="696FCFF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70.67</w:t>
            </w:r>
          </w:p>
        </w:tc>
        <w:tc>
          <w:tcPr>
            <w:tcW w:w="700" w:type="dxa"/>
            <w:noWrap/>
            <w:hideMark/>
          </w:tcPr>
          <w:p w14:paraId="018A20E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1.40</w:t>
            </w:r>
          </w:p>
        </w:tc>
        <w:tc>
          <w:tcPr>
            <w:tcW w:w="800" w:type="dxa"/>
            <w:noWrap/>
            <w:hideMark/>
          </w:tcPr>
          <w:p w14:paraId="2B1D268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00" w:type="dxa"/>
            <w:noWrap/>
            <w:hideMark/>
          </w:tcPr>
          <w:p w14:paraId="185B85A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0A23F62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3.22</w:t>
            </w:r>
          </w:p>
        </w:tc>
        <w:tc>
          <w:tcPr>
            <w:tcW w:w="940" w:type="dxa"/>
            <w:noWrap/>
            <w:hideMark/>
          </w:tcPr>
          <w:p w14:paraId="20A7367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95.05</w:t>
            </w:r>
          </w:p>
        </w:tc>
      </w:tr>
      <w:tr w:rsidR="00302953" w:rsidRPr="00770477" w14:paraId="4574A17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7D8CFF4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1-A-160</w:t>
            </w:r>
          </w:p>
        </w:tc>
        <w:tc>
          <w:tcPr>
            <w:tcW w:w="800" w:type="dxa"/>
            <w:noWrap/>
            <w:hideMark/>
          </w:tcPr>
          <w:p w14:paraId="252AFBC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2.77</w:t>
            </w:r>
          </w:p>
        </w:tc>
        <w:tc>
          <w:tcPr>
            <w:tcW w:w="820" w:type="dxa"/>
            <w:noWrap/>
            <w:hideMark/>
          </w:tcPr>
          <w:p w14:paraId="7D0A9E3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3.34</w:t>
            </w:r>
          </w:p>
        </w:tc>
        <w:tc>
          <w:tcPr>
            <w:tcW w:w="800" w:type="dxa"/>
            <w:noWrap/>
            <w:hideMark/>
          </w:tcPr>
          <w:p w14:paraId="1B65A84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1.84</w:t>
            </w:r>
          </w:p>
        </w:tc>
        <w:tc>
          <w:tcPr>
            <w:tcW w:w="660" w:type="dxa"/>
            <w:noWrap/>
            <w:hideMark/>
          </w:tcPr>
          <w:p w14:paraId="25F4D00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1.62</w:t>
            </w:r>
          </w:p>
        </w:tc>
        <w:tc>
          <w:tcPr>
            <w:tcW w:w="700" w:type="dxa"/>
            <w:noWrap/>
            <w:hideMark/>
          </w:tcPr>
          <w:p w14:paraId="3BDCA30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764" w:type="dxa"/>
            <w:noWrap/>
            <w:hideMark/>
          </w:tcPr>
          <w:p w14:paraId="1A666C1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664DFC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15.27</w:t>
            </w:r>
          </w:p>
        </w:tc>
        <w:tc>
          <w:tcPr>
            <w:tcW w:w="700" w:type="dxa"/>
            <w:noWrap/>
            <w:hideMark/>
          </w:tcPr>
          <w:p w14:paraId="58D34F8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0.35</w:t>
            </w:r>
          </w:p>
        </w:tc>
        <w:tc>
          <w:tcPr>
            <w:tcW w:w="840" w:type="dxa"/>
            <w:noWrap/>
            <w:hideMark/>
          </w:tcPr>
          <w:p w14:paraId="3D9E1EC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1.56</w:t>
            </w:r>
          </w:p>
        </w:tc>
        <w:tc>
          <w:tcPr>
            <w:tcW w:w="940" w:type="dxa"/>
            <w:noWrap/>
            <w:hideMark/>
          </w:tcPr>
          <w:p w14:paraId="760F3EA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2.94</w:t>
            </w:r>
          </w:p>
        </w:tc>
        <w:tc>
          <w:tcPr>
            <w:tcW w:w="700" w:type="dxa"/>
            <w:noWrap/>
            <w:hideMark/>
          </w:tcPr>
          <w:p w14:paraId="41E3C41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0.65</w:t>
            </w:r>
          </w:p>
        </w:tc>
        <w:tc>
          <w:tcPr>
            <w:tcW w:w="800" w:type="dxa"/>
            <w:noWrap/>
            <w:hideMark/>
          </w:tcPr>
          <w:p w14:paraId="59E6995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00" w:type="dxa"/>
            <w:noWrap/>
            <w:hideMark/>
          </w:tcPr>
          <w:p w14:paraId="7E96A46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742D196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2.06</w:t>
            </w:r>
          </w:p>
        </w:tc>
        <w:tc>
          <w:tcPr>
            <w:tcW w:w="940" w:type="dxa"/>
            <w:noWrap/>
            <w:hideMark/>
          </w:tcPr>
          <w:p w14:paraId="013410C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40.59</w:t>
            </w:r>
          </w:p>
        </w:tc>
      </w:tr>
      <w:tr w:rsidR="00302953" w:rsidRPr="00770477" w14:paraId="0406FE5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2662759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1-A-270</w:t>
            </w:r>
          </w:p>
        </w:tc>
        <w:tc>
          <w:tcPr>
            <w:tcW w:w="800" w:type="dxa"/>
            <w:noWrap/>
            <w:hideMark/>
          </w:tcPr>
          <w:p w14:paraId="2A47269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20" w:type="dxa"/>
            <w:noWrap/>
            <w:hideMark/>
          </w:tcPr>
          <w:p w14:paraId="06A0097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4497937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660" w:type="dxa"/>
            <w:noWrap/>
            <w:hideMark/>
          </w:tcPr>
          <w:p w14:paraId="0601EEE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13374BF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64" w:type="dxa"/>
            <w:noWrap/>
            <w:hideMark/>
          </w:tcPr>
          <w:p w14:paraId="4B693A9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1EF964C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609B3F4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3ED6F6E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57CB0F0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240B625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63C8A0A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22C8534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7A309DF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3629FE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0198143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1B58655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1-A-670</w:t>
            </w:r>
          </w:p>
        </w:tc>
        <w:tc>
          <w:tcPr>
            <w:tcW w:w="800" w:type="dxa"/>
            <w:noWrap/>
            <w:hideMark/>
          </w:tcPr>
          <w:p w14:paraId="293384C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20" w:type="dxa"/>
            <w:noWrap/>
            <w:hideMark/>
          </w:tcPr>
          <w:p w14:paraId="3878C00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0B6B6CD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660" w:type="dxa"/>
            <w:noWrap/>
            <w:hideMark/>
          </w:tcPr>
          <w:p w14:paraId="333B329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0110DDC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64" w:type="dxa"/>
            <w:noWrap/>
            <w:hideMark/>
          </w:tcPr>
          <w:p w14:paraId="7F196FC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0DE2775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4408493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0CECFD2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7AB8698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0FB642C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5E2BBBC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4ECECC8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6E8A3D9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4869100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57CB7D2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424D372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1-B-010</w:t>
            </w:r>
          </w:p>
        </w:tc>
        <w:tc>
          <w:tcPr>
            <w:tcW w:w="800" w:type="dxa"/>
            <w:noWrap/>
            <w:hideMark/>
          </w:tcPr>
          <w:p w14:paraId="2748FE6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20" w:type="dxa"/>
            <w:noWrap/>
            <w:hideMark/>
          </w:tcPr>
          <w:p w14:paraId="365570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06BDE46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660" w:type="dxa"/>
            <w:noWrap/>
            <w:hideMark/>
          </w:tcPr>
          <w:p w14:paraId="3DF07D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4E0A189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64" w:type="dxa"/>
            <w:noWrap/>
            <w:hideMark/>
          </w:tcPr>
          <w:p w14:paraId="745E5B4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62E1A2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0519F56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4FE716F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6F694A0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3549431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569F6F5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3D7F605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5A9F5CC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2EB7AF4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6EC463D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348DE70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1-B-040</w:t>
            </w:r>
          </w:p>
        </w:tc>
        <w:tc>
          <w:tcPr>
            <w:tcW w:w="800" w:type="dxa"/>
            <w:noWrap/>
            <w:hideMark/>
          </w:tcPr>
          <w:p w14:paraId="42E52D3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0.88</w:t>
            </w:r>
          </w:p>
        </w:tc>
        <w:tc>
          <w:tcPr>
            <w:tcW w:w="820" w:type="dxa"/>
            <w:noWrap/>
            <w:hideMark/>
          </w:tcPr>
          <w:p w14:paraId="6D058FB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5.55</w:t>
            </w:r>
          </w:p>
        </w:tc>
        <w:tc>
          <w:tcPr>
            <w:tcW w:w="800" w:type="dxa"/>
            <w:noWrap/>
            <w:hideMark/>
          </w:tcPr>
          <w:p w14:paraId="09676AC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21.20</w:t>
            </w:r>
          </w:p>
        </w:tc>
        <w:tc>
          <w:tcPr>
            <w:tcW w:w="660" w:type="dxa"/>
            <w:noWrap/>
            <w:hideMark/>
          </w:tcPr>
          <w:p w14:paraId="5F77FB2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c>
          <w:tcPr>
            <w:tcW w:w="700" w:type="dxa"/>
            <w:noWrap/>
            <w:hideMark/>
          </w:tcPr>
          <w:p w14:paraId="18EBF7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764" w:type="dxa"/>
            <w:noWrap/>
            <w:hideMark/>
          </w:tcPr>
          <w:p w14:paraId="2F9499E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72E1A86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5605938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1.40</w:t>
            </w:r>
          </w:p>
        </w:tc>
        <w:tc>
          <w:tcPr>
            <w:tcW w:w="840" w:type="dxa"/>
            <w:noWrap/>
            <w:hideMark/>
          </w:tcPr>
          <w:p w14:paraId="2EF9EA2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29.89</w:t>
            </w:r>
          </w:p>
        </w:tc>
        <w:tc>
          <w:tcPr>
            <w:tcW w:w="940" w:type="dxa"/>
            <w:noWrap/>
            <w:hideMark/>
          </w:tcPr>
          <w:p w14:paraId="4499A06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102.42</w:t>
            </w:r>
          </w:p>
        </w:tc>
        <w:tc>
          <w:tcPr>
            <w:tcW w:w="700" w:type="dxa"/>
            <w:noWrap/>
            <w:hideMark/>
          </w:tcPr>
          <w:p w14:paraId="54AB8A6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0.34</w:t>
            </w:r>
          </w:p>
        </w:tc>
        <w:tc>
          <w:tcPr>
            <w:tcW w:w="800" w:type="dxa"/>
            <w:noWrap/>
            <w:hideMark/>
          </w:tcPr>
          <w:p w14:paraId="53E8617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00" w:type="dxa"/>
            <w:noWrap/>
            <w:hideMark/>
          </w:tcPr>
          <w:p w14:paraId="14F0BF5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72EA538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1.98</w:t>
            </w:r>
          </w:p>
        </w:tc>
        <w:tc>
          <w:tcPr>
            <w:tcW w:w="940" w:type="dxa"/>
            <w:noWrap/>
            <w:hideMark/>
          </w:tcPr>
          <w:p w14:paraId="2292A4A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159.06</w:t>
            </w:r>
          </w:p>
        </w:tc>
      </w:tr>
      <w:tr w:rsidR="00302953" w:rsidRPr="00770477" w14:paraId="126C54D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7F3693D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1-B-090</w:t>
            </w:r>
          </w:p>
        </w:tc>
        <w:tc>
          <w:tcPr>
            <w:tcW w:w="800" w:type="dxa"/>
            <w:noWrap/>
            <w:hideMark/>
          </w:tcPr>
          <w:p w14:paraId="6BD227B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20" w:type="dxa"/>
            <w:noWrap/>
            <w:hideMark/>
          </w:tcPr>
          <w:p w14:paraId="784AB9D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65C8AB5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660" w:type="dxa"/>
            <w:noWrap/>
            <w:hideMark/>
          </w:tcPr>
          <w:p w14:paraId="5E62565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7D9810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64" w:type="dxa"/>
            <w:noWrap/>
            <w:hideMark/>
          </w:tcPr>
          <w:p w14:paraId="4DB3E7E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09D53B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544548E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010B11A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20B0E29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3CF0F0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02342A1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263FC71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77C4A3A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4DC8262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690E4BD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60FFE8E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1-B-160</w:t>
            </w:r>
          </w:p>
        </w:tc>
        <w:tc>
          <w:tcPr>
            <w:tcW w:w="800" w:type="dxa"/>
            <w:noWrap/>
            <w:hideMark/>
          </w:tcPr>
          <w:p w14:paraId="5496476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20" w:type="dxa"/>
            <w:noWrap/>
            <w:hideMark/>
          </w:tcPr>
          <w:p w14:paraId="243ED6D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19C509C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660" w:type="dxa"/>
            <w:noWrap/>
            <w:hideMark/>
          </w:tcPr>
          <w:p w14:paraId="371564B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4AC6CF7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64" w:type="dxa"/>
            <w:noWrap/>
            <w:hideMark/>
          </w:tcPr>
          <w:p w14:paraId="481237D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7DF5EA2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5E23F3D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244D6E4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498C22A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20198B5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0F02CD4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7989629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2697761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1B99744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1A28D29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6480499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1-B-270</w:t>
            </w:r>
          </w:p>
        </w:tc>
        <w:tc>
          <w:tcPr>
            <w:tcW w:w="800" w:type="dxa"/>
            <w:noWrap/>
            <w:hideMark/>
          </w:tcPr>
          <w:p w14:paraId="2894724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1.95</w:t>
            </w:r>
          </w:p>
        </w:tc>
        <w:tc>
          <w:tcPr>
            <w:tcW w:w="820" w:type="dxa"/>
            <w:noWrap/>
            <w:hideMark/>
          </w:tcPr>
          <w:p w14:paraId="61F03B9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6.00</w:t>
            </w:r>
          </w:p>
        </w:tc>
        <w:tc>
          <w:tcPr>
            <w:tcW w:w="800" w:type="dxa"/>
            <w:noWrap/>
            <w:hideMark/>
          </w:tcPr>
          <w:p w14:paraId="582B2C7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27.06</w:t>
            </w:r>
          </w:p>
        </w:tc>
        <w:tc>
          <w:tcPr>
            <w:tcW w:w="660" w:type="dxa"/>
            <w:noWrap/>
            <w:hideMark/>
          </w:tcPr>
          <w:p w14:paraId="0B55501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1.03</w:t>
            </w:r>
          </w:p>
        </w:tc>
        <w:tc>
          <w:tcPr>
            <w:tcW w:w="700" w:type="dxa"/>
            <w:noWrap/>
            <w:hideMark/>
          </w:tcPr>
          <w:p w14:paraId="62EF003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764" w:type="dxa"/>
            <w:noWrap/>
            <w:hideMark/>
          </w:tcPr>
          <w:p w14:paraId="05E800B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30714CC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059BE47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2.27</w:t>
            </w:r>
          </w:p>
        </w:tc>
        <w:tc>
          <w:tcPr>
            <w:tcW w:w="840" w:type="dxa"/>
            <w:noWrap/>
            <w:hideMark/>
          </w:tcPr>
          <w:p w14:paraId="4897444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2.58</w:t>
            </w:r>
          </w:p>
        </w:tc>
        <w:tc>
          <w:tcPr>
            <w:tcW w:w="940" w:type="dxa"/>
            <w:noWrap/>
            <w:hideMark/>
          </w:tcPr>
          <w:p w14:paraId="6E22217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65.87</w:t>
            </w:r>
          </w:p>
        </w:tc>
        <w:tc>
          <w:tcPr>
            <w:tcW w:w="700" w:type="dxa"/>
            <w:noWrap/>
            <w:hideMark/>
          </w:tcPr>
          <w:p w14:paraId="2E6BBB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0.94</w:t>
            </w:r>
          </w:p>
        </w:tc>
        <w:tc>
          <w:tcPr>
            <w:tcW w:w="800" w:type="dxa"/>
            <w:noWrap/>
            <w:hideMark/>
          </w:tcPr>
          <w:p w14:paraId="75FACC5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00" w:type="dxa"/>
            <w:noWrap/>
            <w:hideMark/>
          </w:tcPr>
          <w:p w14:paraId="317DA30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3BE549B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0.32</w:t>
            </w:r>
          </w:p>
        </w:tc>
        <w:tc>
          <w:tcPr>
            <w:tcW w:w="940" w:type="dxa"/>
            <w:noWrap/>
            <w:hideMark/>
          </w:tcPr>
          <w:p w14:paraId="664903E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151.88</w:t>
            </w:r>
          </w:p>
        </w:tc>
      </w:tr>
      <w:tr w:rsidR="00302953" w:rsidRPr="00770477" w14:paraId="6B89675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2B240B3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1-B-670</w:t>
            </w:r>
          </w:p>
        </w:tc>
        <w:tc>
          <w:tcPr>
            <w:tcW w:w="800" w:type="dxa"/>
            <w:noWrap/>
            <w:hideMark/>
          </w:tcPr>
          <w:p w14:paraId="20CE98A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20" w:type="dxa"/>
            <w:noWrap/>
            <w:hideMark/>
          </w:tcPr>
          <w:p w14:paraId="30C2A1B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35C3F1E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660" w:type="dxa"/>
            <w:noWrap/>
            <w:hideMark/>
          </w:tcPr>
          <w:p w14:paraId="3923283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14CBB4C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64" w:type="dxa"/>
            <w:noWrap/>
            <w:hideMark/>
          </w:tcPr>
          <w:p w14:paraId="65E22E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3130DEA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3ADA582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6573AAF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217218A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31277EA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5331AB6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338A2C4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56D12B5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317834A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44B3B30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114DC7E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1-C-040</w:t>
            </w:r>
          </w:p>
        </w:tc>
        <w:tc>
          <w:tcPr>
            <w:tcW w:w="800" w:type="dxa"/>
            <w:noWrap/>
            <w:hideMark/>
          </w:tcPr>
          <w:p w14:paraId="6FF9A56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0.56</w:t>
            </w:r>
          </w:p>
        </w:tc>
        <w:tc>
          <w:tcPr>
            <w:tcW w:w="820" w:type="dxa"/>
            <w:noWrap/>
            <w:hideMark/>
          </w:tcPr>
          <w:p w14:paraId="574C4A9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4.90</w:t>
            </w:r>
          </w:p>
        </w:tc>
        <w:tc>
          <w:tcPr>
            <w:tcW w:w="800" w:type="dxa"/>
            <w:noWrap/>
            <w:hideMark/>
          </w:tcPr>
          <w:p w14:paraId="24D791B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43.61</w:t>
            </w:r>
          </w:p>
        </w:tc>
        <w:tc>
          <w:tcPr>
            <w:tcW w:w="660" w:type="dxa"/>
            <w:noWrap/>
            <w:hideMark/>
          </w:tcPr>
          <w:p w14:paraId="7CFD54F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1.02</w:t>
            </w:r>
          </w:p>
        </w:tc>
        <w:tc>
          <w:tcPr>
            <w:tcW w:w="700" w:type="dxa"/>
            <w:noWrap/>
            <w:hideMark/>
          </w:tcPr>
          <w:p w14:paraId="1DB293B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764" w:type="dxa"/>
            <w:noWrap/>
            <w:hideMark/>
          </w:tcPr>
          <w:p w14:paraId="66DA1F5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58F1EFA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5482B9D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0.40</w:t>
            </w:r>
          </w:p>
        </w:tc>
        <w:tc>
          <w:tcPr>
            <w:tcW w:w="840" w:type="dxa"/>
            <w:noWrap/>
            <w:hideMark/>
          </w:tcPr>
          <w:p w14:paraId="362082D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0.71</w:t>
            </w:r>
          </w:p>
        </w:tc>
        <w:tc>
          <w:tcPr>
            <w:tcW w:w="940" w:type="dxa"/>
            <w:noWrap/>
            <w:hideMark/>
          </w:tcPr>
          <w:p w14:paraId="18473C4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700" w:type="dxa"/>
            <w:noWrap/>
            <w:hideMark/>
          </w:tcPr>
          <w:p w14:paraId="7FDF698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0.80</w:t>
            </w:r>
          </w:p>
        </w:tc>
        <w:tc>
          <w:tcPr>
            <w:tcW w:w="800" w:type="dxa"/>
            <w:noWrap/>
            <w:hideMark/>
          </w:tcPr>
          <w:p w14:paraId="38E0005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00" w:type="dxa"/>
            <w:noWrap/>
            <w:hideMark/>
          </w:tcPr>
          <w:p w14:paraId="0479C82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4F010D2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0.67</w:t>
            </w:r>
          </w:p>
        </w:tc>
        <w:tc>
          <w:tcPr>
            <w:tcW w:w="940" w:type="dxa"/>
            <w:noWrap/>
            <w:hideMark/>
          </w:tcPr>
          <w:p w14:paraId="7662BB2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17.40</w:t>
            </w:r>
          </w:p>
        </w:tc>
      </w:tr>
      <w:tr w:rsidR="00302953" w:rsidRPr="00770477" w14:paraId="69DF8D3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3CE7A27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1-C-090</w:t>
            </w:r>
          </w:p>
        </w:tc>
        <w:tc>
          <w:tcPr>
            <w:tcW w:w="800" w:type="dxa"/>
            <w:noWrap/>
            <w:hideMark/>
          </w:tcPr>
          <w:p w14:paraId="1D501B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85.09</w:t>
            </w:r>
          </w:p>
        </w:tc>
        <w:tc>
          <w:tcPr>
            <w:tcW w:w="820" w:type="dxa"/>
            <w:noWrap/>
            <w:hideMark/>
          </w:tcPr>
          <w:p w14:paraId="253FA62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27.04</w:t>
            </w:r>
          </w:p>
        </w:tc>
        <w:tc>
          <w:tcPr>
            <w:tcW w:w="800" w:type="dxa"/>
            <w:noWrap/>
            <w:hideMark/>
          </w:tcPr>
          <w:p w14:paraId="15D623C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75.40</w:t>
            </w:r>
          </w:p>
        </w:tc>
        <w:tc>
          <w:tcPr>
            <w:tcW w:w="660" w:type="dxa"/>
            <w:noWrap/>
            <w:hideMark/>
          </w:tcPr>
          <w:p w14:paraId="532640B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1.33</w:t>
            </w:r>
          </w:p>
        </w:tc>
        <w:tc>
          <w:tcPr>
            <w:tcW w:w="700" w:type="dxa"/>
            <w:noWrap/>
            <w:hideMark/>
          </w:tcPr>
          <w:p w14:paraId="7D8D564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764" w:type="dxa"/>
            <w:noWrap/>
            <w:hideMark/>
          </w:tcPr>
          <w:p w14:paraId="32343C5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18FC69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2664F91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2.60</w:t>
            </w:r>
          </w:p>
        </w:tc>
        <w:tc>
          <w:tcPr>
            <w:tcW w:w="840" w:type="dxa"/>
            <w:noWrap/>
            <w:hideMark/>
          </w:tcPr>
          <w:p w14:paraId="0AB51C0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0.67</w:t>
            </w:r>
          </w:p>
        </w:tc>
        <w:tc>
          <w:tcPr>
            <w:tcW w:w="940" w:type="dxa"/>
            <w:noWrap/>
            <w:hideMark/>
          </w:tcPr>
          <w:p w14:paraId="6100501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27.37</w:t>
            </w:r>
          </w:p>
        </w:tc>
        <w:tc>
          <w:tcPr>
            <w:tcW w:w="700" w:type="dxa"/>
            <w:noWrap/>
            <w:hideMark/>
          </w:tcPr>
          <w:p w14:paraId="640D7A9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1.51</w:t>
            </w:r>
          </w:p>
        </w:tc>
        <w:tc>
          <w:tcPr>
            <w:tcW w:w="800" w:type="dxa"/>
            <w:noWrap/>
            <w:hideMark/>
          </w:tcPr>
          <w:p w14:paraId="7425C75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00" w:type="dxa"/>
            <w:noWrap/>
            <w:hideMark/>
          </w:tcPr>
          <w:p w14:paraId="685CC9B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4AB44AF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2.38</w:t>
            </w:r>
          </w:p>
        </w:tc>
        <w:tc>
          <w:tcPr>
            <w:tcW w:w="940" w:type="dxa"/>
            <w:noWrap/>
            <w:hideMark/>
          </w:tcPr>
          <w:p w14:paraId="01AD213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38.85</w:t>
            </w:r>
          </w:p>
        </w:tc>
      </w:tr>
      <w:tr w:rsidR="00302953" w:rsidRPr="00770477" w14:paraId="11A1710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4038B80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1-C-160</w:t>
            </w:r>
          </w:p>
        </w:tc>
        <w:tc>
          <w:tcPr>
            <w:tcW w:w="800" w:type="dxa"/>
            <w:noWrap/>
            <w:hideMark/>
          </w:tcPr>
          <w:p w14:paraId="5AF958A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20" w:type="dxa"/>
            <w:noWrap/>
            <w:hideMark/>
          </w:tcPr>
          <w:p w14:paraId="2ACB1CF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4D240EB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660" w:type="dxa"/>
            <w:noWrap/>
            <w:hideMark/>
          </w:tcPr>
          <w:p w14:paraId="7B54950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76E55F7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64" w:type="dxa"/>
            <w:noWrap/>
            <w:hideMark/>
          </w:tcPr>
          <w:p w14:paraId="588C4E3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19A27DA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09BB8DC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7B3A7C1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0DB7105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42FAA3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246D08F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05FE92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1238A2A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21C4B00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78AD3A3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79790E4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1-C-270</w:t>
            </w:r>
          </w:p>
        </w:tc>
        <w:tc>
          <w:tcPr>
            <w:tcW w:w="800" w:type="dxa"/>
            <w:noWrap/>
            <w:hideMark/>
          </w:tcPr>
          <w:p w14:paraId="342493C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20" w:type="dxa"/>
            <w:noWrap/>
            <w:hideMark/>
          </w:tcPr>
          <w:p w14:paraId="7A45192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47E3807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660" w:type="dxa"/>
            <w:noWrap/>
            <w:hideMark/>
          </w:tcPr>
          <w:p w14:paraId="7DC3C97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5B14C69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64" w:type="dxa"/>
            <w:noWrap/>
            <w:hideMark/>
          </w:tcPr>
          <w:p w14:paraId="4712E8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3B6B23B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184705D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77B6FBF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41EC1E4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1A532A0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0380B91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7C48AF8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0B8356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48A18D0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6EAF06A1"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289FFC1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1-C-430</w:t>
            </w:r>
          </w:p>
        </w:tc>
        <w:tc>
          <w:tcPr>
            <w:tcW w:w="800" w:type="dxa"/>
            <w:noWrap/>
            <w:hideMark/>
          </w:tcPr>
          <w:p w14:paraId="1C96042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0.17</w:t>
            </w:r>
          </w:p>
        </w:tc>
        <w:tc>
          <w:tcPr>
            <w:tcW w:w="820" w:type="dxa"/>
            <w:noWrap/>
            <w:hideMark/>
          </w:tcPr>
          <w:p w14:paraId="4229F5D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2.34</w:t>
            </w:r>
          </w:p>
        </w:tc>
        <w:tc>
          <w:tcPr>
            <w:tcW w:w="800" w:type="dxa"/>
            <w:noWrap/>
            <w:hideMark/>
          </w:tcPr>
          <w:p w14:paraId="5EC89F8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36.67</w:t>
            </w:r>
          </w:p>
        </w:tc>
        <w:tc>
          <w:tcPr>
            <w:tcW w:w="660" w:type="dxa"/>
            <w:noWrap/>
            <w:hideMark/>
          </w:tcPr>
          <w:p w14:paraId="519DE6B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0.57</w:t>
            </w:r>
          </w:p>
        </w:tc>
        <w:tc>
          <w:tcPr>
            <w:tcW w:w="700" w:type="dxa"/>
            <w:noWrap/>
            <w:hideMark/>
          </w:tcPr>
          <w:p w14:paraId="31AA174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764" w:type="dxa"/>
            <w:noWrap/>
            <w:hideMark/>
          </w:tcPr>
          <w:p w14:paraId="654B321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10CC900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12BDBB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1.13</w:t>
            </w:r>
          </w:p>
        </w:tc>
        <w:tc>
          <w:tcPr>
            <w:tcW w:w="840" w:type="dxa"/>
            <w:noWrap/>
            <w:hideMark/>
          </w:tcPr>
          <w:p w14:paraId="13C0940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1.27</w:t>
            </w:r>
          </w:p>
        </w:tc>
        <w:tc>
          <w:tcPr>
            <w:tcW w:w="940" w:type="dxa"/>
            <w:noWrap/>
            <w:hideMark/>
          </w:tcPr>
          <w:p w14:paraId="5DFB2BA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83.86</w:t>
            </w:r>
          </w:p>
        </w:tc>
        <w:tc>
          <w:tcPr>
            <w:tcW w:w="700" w:type="dxa"/>
            <w:noWrap/>
            <w:hideMark/>
          </w:tcPr>
          <w:p w14:paraId="07C77DF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0.97</w:t>
            </w:r>
          </w:p>
        </w:tc>
        <w:tc>
          <w:tcPr>
            <w:tcW w:w="800" w:type="dxa"/>
            <w:noWrap/>
            <w:hideMark/>
          </w:tcPr>
          <w:p w14:paraId="0B3838B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00" w:type="dxa"/>
            <w:noWrap/>
            <w:hideMark/>
          </w:tcPr>
          <w:p w14:paraId="06E458A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012939B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0.27</w:t>
            </w:r>
          </w:p>
        </w:tc>
        <w:tc>
          <w:tcPr>
            <w:tcW w:w="940" w:type="dxa"/>
            <w:noWrap/>
            <w:hideMark/>
          </w:tcPr>
          <w:p w14:paraId="2598B6F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44.34</w:t>
            </w:r>
          </w:p>
        </w:tc>
      </w:tr>
      <w:tr w:rsidR="00302953" w:rsidRPr="00770477" w14:paraId="61F8597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4B9E33F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1-C-670</w:t>
            </w:r>
          </w:p>
        </w:tc>
        <w:tc>
          <w:tcPr>
            <w:tcW w:w="800" w:type="dxa"/>
            <w:noWrap/>
            <w:hideMark/>
          </w:tcPr>
          <w:p w14:paraId="0F3CEC3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20" w:type="dxa"/>
            <w:noWrap/>
            <w:hideMark/>
          </w:tcPr>
          <w:p w14:paraId="2F3DDCA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7345FB9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660" w:type="dxa"/>
            <w:noWrap/>
            <w:hideMark/>
          </w:tcPr>
          <w:p w14:paraId="5ED2517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458BE1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64" w:type="dxa"/>
            <w:noWrap/>
            <w:hideMark/>
          </w:tcPr>
          <w:p w14:paraId="2267149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678CE5D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235ABA9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6AB5A10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54F05A4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23C3EE2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2E93DC8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798108A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6634E88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16CA179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7340543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0F8E1BD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2-A-010</w:t>
            </w:r>
          </w:p>
        </w:tc>
        <w:tc>
          <w:tcPr>
            <w:tcW w:w="800" w:type="dxa"/>
            <w:noWrap/>
            <w:hideMark/>
          </w:tcPr>
          <w:p w14:paraId="59CF554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20" w:type="dxa"/>
            <w:noWrap/>
            <w:hideMark/>
          </w:tcPr>
          <w:p w14:paraId="02088CB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1D0C35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660" w:type="dxa"/>
            <w:noWrap/>
            <w:hideMark/>
          </w:tcPr>
          <w:p w14:paraId="785D3B3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2BB5ED5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64" w:type="dxa"/>
            <w:noWrap/>
            <w:hideMark/>
          </w:tcPr>
          <w:p w14:paraId="7D5E471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24DB2C0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0735ED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3AD6CEE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5DCB309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5713895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2389885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6E3FECA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2566E9A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781FB3C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0F733977"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05EAF4E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2-A-040</w:t>
            </w:r>
          </w:p>
        </w:tc>
        <w:tc>
          <w:tcPr>
            <w:tcW w:w="800" w:type="dxa"/>
            <w:noWrap/>
            <w:hideMark/>
          </w:tcPr>
          <w:p w14:paraId="21C1392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20" w:type="dxa"/>
            <w:noWrap/>
            <w:hideMark/>
          </w:tcPr>
          <w:p w14:paraId="0CBB3A3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05B5BCD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660" w:type="dxa"/>
            <w:noWrap/>
            <w:hideMark/>
          </w:tcPr>
          <w:p w14:paraId="2819F1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0647FA3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64" w:type="dxa"/>
            <w:noWrap/>
            <w:hideMark/>
          </w:tcPr>
          <w:p w14:paraId="1257CA8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4D018B1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4F42AAD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4BA16CC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0AD7B4C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103E70D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467B8C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0CDBEE0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6C470D2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7CD195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39C4809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5270532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2-A-090</w:t>
            </w:r>
          </w:p>
        </w:tc>
        <w:tc>
          <w:tcPr>
            <w:tcW w:w="800" w:type="dxa"/>
            <w:noWrap/>
            <w:hideMark/>
          </w:tcPr>
          <w:p w14:paraId="3A32357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1.75</w:t>
            </w:r>
          </w:p>
        </w:tc>
        <w:tc>
          <w:tcPr>
            <w:tcW w:w="820" w:type="dxa"/>
            <w:noWrap/>
            <w:hideMark/>
          </w:tcPr>
          <w:p w14:paraId="3338EDB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3.15</w:t>
            </w:r>
          </w:p>
        </w:tc>
        <w:tc>
          <w:tcPr>
            <w:tcW w:w="800" w:type="dxa"/>
            <w:noWrap/>
            <w:hideMark/>
          </w:tcPr>
          <w:p w14:paraId="2A0472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1.82</w:t>
            </w:r>
          </w:p>
        </w:tc>
        <w:tc>
          <w:tcPr>
            <w:tcW w:w="660" w:type="dxa"/>
            <w:noWrap/>
            <w:hideMark/>
          </w:tcPr>
          <w:p w14:paraId="079B1E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1.43</w:t>
            </w:r>
          </w:p>
        </w:tc>
        <w:tc>
          <w:tcPr>
            <w:tcW w:w="700" w:type="dxa"/>
            <w:noWrap/>
            <w:hideMark/>
          </w:tcPr>
          <w:p w14:paraId="64DAC0D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3.70</w:t>
            </w:r>
          </w:p>
        </w:tc>
        <w:tc>
          <w:tcPr>
            <w:tcW w:w="764" w:type="dxa"/>
            <w:noWrap/>
            <w:hideMark/>
          </w:tcPr>
          <w:p w14:paraId="3723CB1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40" w:type="dxa"/>
            <w:noWrap/>
            <w:hideMark/>
          </w:tcPr>
          <w:p w14:paraId="7333484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1.95</w:t>
            </w:r>
          </w:p>
        </w:tc>
        <w:tc>
          <w:tcPr>
            <w:tcW w:w="700" w:type="dxa"/>
            <w:noWrap/>
            <w:hideMark/>
          </w:tcPr>
          <w:p w14:paraId="1168057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1.44</w:t>
            </w:r>
          </w:p>
        </w:tc>
        <w:tc>
          <w:tcPr>
            <w:tcW w:w="840" w:type="dxa"/>
            <w:noWrap/>
            <w:hideMark/>
          </w:tcPr>
          <w:p w14:paraId="5EA55E1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1.09</w:t>
            </w:r>
          </w:p>
        </w:tc>
        <w:tc>
          <w:tcPr>
            <w:tcW w:w="940" w:type="dxa"/>
            <w:noWrap/>
            <w:hideMark/>
          </w:tcPr>
          <w:p w14:paraId="0917B8B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0.63</w:t>
            </w:r>
          </w:p>
        </w:tc>
        <w:tc>
          <w:tcPr>
            <w:tcW w:w="700" w:type="dxa"/>
            <w:noWrap/>
            <w:hideMark/>
          </w:tcPr>
          <w:p w14:paraId="6E15A02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1.36</w:t>
            </w:r>
          </w:p>
        </w:tc>
        <w:tc>
          <w:tcPr>
            <w:tcW w:w="800" w:type="dxa"/>
            <w:noWrap/>
            <w:hideMark/>
          </w:tcPr>
          <w:p w14:paraId="4EAD5B3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13.40</w:t>
            </w:r>
          </w:p>
        </w:tc>
        <w:tc>
          <w:tcPr>
            <w:tcW w:w="800" w:type="dxa"/>
            <w:noWrap/>
            <w:hideMark/>
          </w:tcPr>
          <w:p w14:paraId="6B92558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2.74</w:t>
            </w:r>
          </w:p>
        </w:tc>
        <w:tc>
          <w:tcPr>
            <w:tcW w:w="700" w:type="dxa"/>
            <w:noWrap/>
            <w:hideMark/>
          </w:tcPr>
          <w:p w14:paraId="67E80D7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4.70</w:t>
            </w:r>
          </w:p>
        </w:tc>
        <w:tc>
          <w:tcPr>
            <w:tcW w:w="940" w:type="dxa"/>
            <w:noWrap/>
            <w:hideMark/>
          </w:tcPr>
          <w:p w14:paraId="4C5A282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2.61</w:t>
            </w:r>
          </w:p>
        </w:tc>
      </w:tr>
      <w:tr w:rsidR="00302953" w:rsidRPr="00770477" w14:paraId="5977C71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42871CA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2-A-160</w:t>
            </w:r>
          </w:p>
        </w:tc>
        <w:tc>
          <w:tcPr>
            <w:tcW w:w="800" w:type="dxa"/>
            <w:noWrap/>
            <w:hideMark/>
          </w:tcPr>
          <w:p w14:paraId="54639BD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20" w:type="dxa"/>
            <w:noWrap/>
            <w:hideMark/>
          </w:tcPr>
          <w:p w14:paraId="0C5E918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2300A1C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660" w:type="dxa"/>
            <w:noWrap/>
            <w:hideMark/>
          </w:tcPr>
          <w:p w14:paraId="6A4B5E0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686333B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64" w:type="dxa"/>
            <w:noWrap/>
            <w:hideMark/>
          </w:tcPr>
          <w:p w14:paraId="40C3F96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3942C8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520F83F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3846856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0479999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4806EEE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4D08101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495D81E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234DE61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7E81ED4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6EB37C5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631D3CD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2-A-270</w:t>
            </w:r>
          </w:p>
        </w:tc>
        <w:tc>
          <w:tcPr>
            <w:tcW w:w="800" w:type="dxa"/>
            <w:noWrap/>
            <w:hideMark/>
          </w:tcPr>
          <w:p w14:paraId="73B386C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20" w:type="dxa"/>
            <w:noWrap/>
            <w:hideMark/>
          </w:tcPr>
          <w:p w14:paraId="494754F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50946B1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660" w:type="dxa"/>
            <w:noWrap/>
            <w:hideMark/>
          </w:tcPr>
          <w:p w14:paraId="68DE256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2D4CDF0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64" w:type="dxa"/>
            <w:noWrap/>
            <w:hideMark/>
          </w:tcPr>
          <w:p w14:paraId="7914820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22CE389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5C5EBDA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399F32C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2B6B8DC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5829E4F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5A41353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12A2566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78D920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3CADB2D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0DDB149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76B6B87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2-A-430</w:t>
            </w:r>
          </w:p>
        </w:tc>
        <w:tc>
          <w:tcPr>
            <w:tcW w:w="800" w:type="dxa"/>
            <w:noWrap/>
            <w:hideMark/>
          </w:tcPr>
          <w:p w14:paraId="5ACFFF4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20" w:type="dxa"/>
            <w:noWrap/>
            <w:hideMark/>
          </w:tcPr>
          <w:p w14:paraId="78803FD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1.38</w:t>
            </w:r>
          </w:p>
        </w:tc>
        <w:tc>
          <w:tcPr>
            <w:tcW w:w="800" w:type="dxa"/>
            <w:noWrap/>
            <w:hideMark/>
          </w:tcPr>
          <w:p w14:paraId="6B1E3C8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2.10</w:t>
            </w:r>
          </w:p>
        </w:tc>
        <w:tc>
          <w:tcPr>
            <w:tcW w:w="660" w:type="dxa"/>
            <w:noWrap/>
            <w:hideMark/>
          </w:tcPr>
          <w:p w14:paraId="0203DE3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0.55</w:t>
            </w:r>
          </w:p>
        </w:tc>
        <w:tc>
          <w:tcPr>
            <w:tcW w:w="700" w:type="dxa"/>
            <w:noWrap/>
            <w:hideMark/>
          </w:tcPr>
          <w:p w14:paraId="69714E4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1.49</w:t>
            </w:r>
          </w:p>
        </w:tc>
        <w:tc>
          <w:tcPr>
            <w:tcW w:w="764" w:type="dxa"/>
            <w:noWrap/>
            <w:hideMark/>
          </w:tcPr>
          <w:p w14:paraId="3AD4F9A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40" w:type="dxa"/>
            <w:noWrap/>
            <w:hideMark/>
          </w:tcPr>
          <w:p w14:paraId="177934F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1.37</w:t>
            </w:r>
          </w:p>
        </w:tc>
        <w:tc>
          <w:tcPr>
            <w:tcW w:w="700" w:type="dxa"/>
            <w:noWrap/>
            <w:hideMark/>
          </w:tcPr>
          <w:p w14:paraId="1FF17FE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1.08</w:t>
            </w:r>
          </w:p>
        </w:tc>
        <w:tc>
          <w:tcPr>
            <w:tcW w:w="840" w:type="dxa"/>
            <w:noWrap/>
            <w:hideMark/>
          </w:tcPr>
          <w:p w14:paraId="0EC5C10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0.56</w:t>
            </w:r>
          </w:p>
        </w:tc>
        <w:tc>
          <w:tcPr>
            <w:tcW w:w="940" w:type="dxa"/>
            <w:noWrap/>
            <w:hideMark/>
          </w:tcPr>
          <w:p w14:paraId="5389FA4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1.45</w:t>
            </w:r>
          </w:p>
        </w:tc>
        <w:tc>
          <w:tcPr>
            <w:tcW w:w="700" w:type="dxa"/>
            <w:noWrap/>
            <w:hideMark/>
          </w:tcPr>
          <w:p w14:paraId="6F53A1D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0.65</w:t>
            </w:r>
          </w:p>
        </w:tc>
        <w:tc>
          <w:tcPr>
            <w:tcW w:w="800" w:type="dxa"/>
            <w:noWrap/>
            <w:hideMark/>
          </w:tcPr>
          <w:p w14:paraId="76741DA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00" w:type="dxa"/>
            <w:noWrap/>
            <w:hideMark/>
          </w:tcPr>
          <w:p w14:paraId="5FA26F3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0.64</w:t>
            </w:r>
          </w:p>
        </w:tc>
        <w:tc>
          <w:tcPr>
            <w:tcW w:w="700" w:type="dxa"/>
            <w:noWrap/>
            <w:hideMark/>
          </w:tcPr>
          <w:p w14:paraId="7590E82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0.45</w:t>
            </w:r>
          </w:p>
        </w:tc>
        <w:tc>
          <w:tcPr>
            <w:tcW w:w="940" w:type="dxa"/>
            <w:noWrap/>
            <w:hideMark/>
          </w:tcPr>
          <w:p w14:paraId="5326AD8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11.16</w:t>
            </w:r>
          </w:p>
        </w:tc>
      </w:tr>
      <w:tr w:rsidR="00302953" w:rsidRPr="00770477" w14:paraId="57ADAF9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28B1BFD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2-B-010</w:t>
            </w:r>
          </w:p>
        </w:tc>
        <w:tc>
          <w:tcPr>
            <w:tcW w:w="800" w:type="dxa"/>
            <w:noWrap/>
            <w:hideMark/>
          </w:tcPr>
          <w:p w14:paraId="4618A26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20" w:type="dxa"/>
            <w:noWrap/>
            <w:hideMark/>
          </w:tcPr>
          <w:p w14:paraId="3A1AE4F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34CFB81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660" w:type="dxa"/>
            <w:noWrap/>
            <w:hideMark/>
          </w:tcPr>
          <w:p w14:paraId="1FD73A8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1EEE236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64" w:type="dxa"/>
            <w:noWrap/>
            <w:hideMark/>
          </w:tcPr>
          <w:p w14:paraId="30D089F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4B48E1D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460D595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09291CB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093FAEF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6B26FCD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51BE7AC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1379FB6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49ADFAE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327F460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3BB317A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3D3701A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2-B-040</w:t>
            </w:r>
          </w:p>
        </w:tc>
        <w:tc>
          <w:tcPr>
            <w:tcW w:w="800" w:type="dxa"/>
            <w:noWrap/>
            <w:hideMark/>
          </w:tcPr>
          <w:p w14:paraId="0247924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20" w:type="dxa"/>
            <w:noWrap/>
            <w:hideMark/>
          </w:tcPr>
          <w:p w14:paraId="0EC283A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5740A44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660" w:type="dxa"/>
            <w:noWrap/>
            <w:hideMark/>
          </w:tcPr>
          <w:p w14:paraId="65EB6B7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1386CA7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64" w:type="dxa"/>
            <w:noWrap/>
            <w:hideMark/>
          </w:tcPr>
          <w:p w14:paraId="3511F1F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0C7CC6E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29E6956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0DFD9CC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55755A4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1214848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382BD2E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0446CEC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2B782AA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3C08E12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2915BE6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609FEE4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2-B-090</w:t>
            </w:r>
          </w:p>
        </w:tc>
        <w:tc>
          <w:tcPr>
            <w:tcW w:w="800" w:type="dxa"/>
            <w:noWrap/>
            <w:hideMark/>
          </w:tcPr>
          <w:p w14:paraId="7285475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8.88</w:t>
            </w:r>
          </w:p>
        </w:tc>
        <w:tc>
          <w:tcPr>
            <w:tcW w:w="820" w:type="dxa"/>
            <w:noWrap/>
            <w:hideMark/>
          </w:tcPr>
          <w:p w14:paraId="7E0E2F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4.21</w:t>
            </w:r>
          </w:p>
        </w:tc>
        <w:tc>
          <w:tcPr>
            <w:tcW w:w="800" w:type="dxa"/>
            <w:noWrap/>
            <w:hideMark/>
          </w:tcPr>
          <w:p w14:paraId="0130790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0.32</w:t>
            </w:r>
          </w:p>
        </w:tc>
        <w:tc>
          <w:tcPr>
            <w:tcW w:w="660" w:type="dxa"/>
            <w:noWrap/>
            <w:hideMark/>
          </w:tcPr>
          <w:p w14:paraId="3B9F603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0.56</w:t>
            </w:r>
          </w:p>
        </w:tc>
        <w:tc>
          <w:tcPr>
            <w:tcW w:w="700" w:type="dxa"/>
            <w:noWrap/>
            <w:hideMark/>
          </w:tcPr>
          <w:p w14:paraId="6C3A64E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0.29</w:t>
            </w:r>
          </w:p>
        </w:tc>
        <w:tc>
          <w:tcPr>
            <w:tcW w:w="764" w:type="dxa"/>
            <w:noWrap/>
            <w:hideMark/>
          </w:tcPr>
          <w:p w14:paraId="173D2E0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3.13</w:t>
            </w:r>
          </w:p>
        </w:tc>
        <w:tc>
          <w:tcPr>
            <w:tcW w:w="840" w:type="dxa"/>
            <w:noWrap/>
            <w:hideMark/>
          </w:tcPr>
          <w:p w14:paraId="211BD38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0.44</w:t>
            </w:r>
          </w:p>
        </w:tc>
        <w:tc>
          <w:tcPr>
            <w:tcW w:w="700" w:type="dxa"/>
            <w:noWrap/>
            <w:hideMark/>
          </w:tcPr>
          <w:p w14:paraId="438ECE1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1.19</w:t>
            </w:r>
          </w:p>
        </w:tc>
        <w:tc>
          <w:tcPr>
            <w:tcW w:w="840" w:type="dxa"/>
            <w:noWrap/>
            <w:hideMark/>
          </w:tcPr>
          <w:p w14:paraId="58851F5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1.23</w:t>
            </w:r>
          </w:p>
        </w:tc>
        <w:tc>
          <w:tcPr>
            <w:tcW w:w="940" w:type="dxa"/>
            <w:noWrap/>
            <w:hideMark/>
          </w:tcPr>
          <w:p w14:paraId="06106EC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1.17</w:t>
            </w:r>
          </w:p>
        </w:tc>
        <w:tc>
          <w:tcPr>
            <w:tcW w:w="700" w:type="dxa"/>
            <w:noWrap/>
            <w:hideMark/>
          </w:tcPr>
          <w:p w14:paraId="3F75984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0.77</w:t>
            </w:r>
          </w:p>
        </w:tc>
        <w:tc>
          <w:tcPr>
            <w:tcW w:w="800" w:type="dxa"/>
            <w:noWrap/>
            <w:hideMark/>
          </w:tcPr>
          <w:p w14:paraId="1D600EE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5.26</w:t>
            </w:r>
          </w:p>
        </w:tc>
        <w:tc>
          <w:tcPr>
            <w:tcW w:w="800" w:type="dxa"/>
            <w:noWrap/>
            <w:hideMark/>
          </w:tcPr>
          <w:p w14:paraId="09275F8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4.40</w:t>
            </w:r>
          </w:p>
        </w:tc>
        <w:tc>
          <w:tcPr>
            <w:tcW w:w="700" w:type="dxa"/>
            <w:noWrap/>
            <w:hideMark/>
          </w:tcPr>
          <w:p w14:paraId="468766D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2.23</w:t>
            </w:r>
          </w:p>
        </w:tc>
        <w:tc>
          <w:tcPr>
            <w:tcW w:w="940" w:type="dxa"/>
            <w:noWrap/>
            <w:hideMark/>
          </w:tcPr>
          <w:p w14:paraId="5381794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2.66</w:t>
            </w:r>
          </w:p>
        </w:tc>
      </w:tr>
      <w:tr w:rsidR="00302953" w:rsidRPr="00770477" w14:paraId="07C3874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4237598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2-B-160</w:t>
            </w:r>
          </w:p>
        </w:tc>
        <w:tc>
          <w:tcPr>
            <w:tcW w:w="800" w:type="dxa"/>
            <w:noWrap/>
            <w:hideMark/>
          </w:tcPr>
          <w:p w14:paraId="60735D0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25.85</w:t>
            </w:r>
          </w:p>
        </w:tc>
        <w:tc>
          <w:tcPr>
            <w:tcW w:w="820" w:type="dxa"/>
            <w:noWrap/>
            <w:hideMark/>
          </w:tcPr>
          <w:p w14:paraId="44C4911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5.38</w:t>
            </w:r>
          </w:p>
        </w:tc>
        <w:tc>
          <w:tcPr>
            <w:tcW w:w="800" w:type="dxa"/>
            <w:noWrap/>
            <w:hideMark/>
          </w:tcPr>
          <w:p w14:paraId="43FFC88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13.44</w:t>
            </w:r>
          </w:p>
        </w:tc>
        <w:tc>
          <w:tcPr>
            <w:tcW w:w="660" w:type="dxa"/>
            <w:noWrap/>
            <w:hideMark/>
          </w:tcPr>
          <w:p w14:paraId="46BC7EF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1.59</w:t>
            </w:r>
          </w:p>
        </w:tc>
        <w:tc>
          <w:tcPr>
            <w:tcW w:w="700" w:type="dxa"/>
            <w:noWrap/>
            <w:hideMark/>
          </w:tcPr>
          <w:p w14:paraId="4860A69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0.41</w:t>
            </w:r>
          </w:p>
        </w:tc>
        <w:tc>
          <w:tcPr>
            <w:tcW w:w="764" w:type="dxa"/>
            <w:noWrap/>
            <w:hideMark/>
          </w:tcPr>
          <w:p w14:paraId="3EE40AA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40" w:type="dxa"/>
            <w:noWrap/>
            <w:hideMark/>
          </w:tcPr>
          <w:p w14:paraId="4D78B48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15.63</w:t>
            </w:r>
          </w:p>
        </w:tc>
        <w:tc>
          <w:tcPr>
            <w:tcW w:w="700" w:type="dxa"/>
            <w:noWrap/>
            <w:hideMark/>
          </w:tcPr>
          <w:p w14:paraId="2AB28A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2.96</w:t>
            </w:r>
          </w:p>
        </w:tc>
        <w:tc>
          <w:tcPr>
            <w:tcW w:w="840" w:type="dxa"/>
            <w:noWrap/>
            <w:hideMark/>
          </w:tcPr>
          <w:p w14:paraId="1E74E98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1.91</w:t>
            </w:r>
          </w:p>
        </w:tc>
        <w:tc>
          <w:tcPr>
            <w:tcW w:w="940" w:type="dxa"/>
            <w:noWrap/>
            <w:hideMark/>
          </w:tcPr>
          <w:p w14:paraId="062F1AB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1.98</w:t>
            </w:r>
          </w:p>
        </w:tc>
        <w:tc>
          <w:tcPr>
            <w:tcW w:w="700" w:type="dxa"/>
            <w:noWrap/>
            <w:hideMark/>
          </w:tcPr>
          <w:p w14:paraId="5821777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2.77</w:t>
            </w:r>
          </w:p>
        </w:tc>
        <w:tc>
          <w:tcPr>
            <w:tcW w:w="800" w:type="dxa"/>
            <w:noWrap/>
            <w:hideMark/>
          </w:tcPr>
          <w:p w14:paraId="16F0C98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3.93</w:t>
            </w:r>
          </w:p>
        </w:tc>
        <w:tc>
          <w:tcPr>
            <w:tcW w:w="800" w:type="dxa"/>
            <w:noWrap/>
            <w:hideMark/>
          </w:tcPr>
          <w:p w14:paraId="2E70FE5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17.53</w:t>
            </w:r>
          </w:p>
        </w:tc>
        <w:tc>
          <w:tcPr>
            <w:tcW w:w="700" w:type="dxa"/>
            <w:noWrap/>
            <w:hideMark/>
          </w:tcPr>
          <w:p w14:paraId="3FDA1A7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4.39</w:t>
            </w:r>
          </w:p>
        </w:tc>
        <w:tc>
          <w:tcPr>
            <w:tcW w:w="940" w:type="dxa"/>
            <w:noWrap/>
            <w:hideMark/>
          </w:tcPr>
          <w:p w14:paraId="2D35E5F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32.83</w:t>
            </w:r>
          </w:p>
        </w:tc>
      </w:tr>
      <w:tr w:rsidR="00302953" w:rsidRPr="00770477" w14:paraId="1321674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7328724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2-B-430</w:t>
            </w:r>
          </w:p>
        </w:tc>
        <w:tc>
          <w:tcPr>
            <w:tcW w:w="800" w:type="dxa"/>
            <w:noWrap/>
            <w:hideMark/>
          </w:tcPr>
          <w:p w14:paraId="71B4C0F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20" w:type="dxa"/>
            <w:noWrap/>
            <w:hideMark/>
          </w:tcPr>
          <w:p w14:paraId="3E5BC65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61D4756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660" w:type="dxa"/>
            <w:noWrap/>
            <w:hideMark/>
          </w:tcPr>
          <w:p w14:paraId="2EA9F2E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48D837A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64" w:type="dxa"/>
            <w:noWrap/>
            <w:hideMark/>
          </w:tcPr>
          <w:p w14:paraId="29DBA9D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6B0F11A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3C24A2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64785ED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78DBCBE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232B312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4B0A120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5C6203A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37334CE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461AF47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3F93DE9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0384C84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2-B-670</w:t>
            </w:r>
          </w:p>
        </w:tc>
        <w:tc>
          <w:tcPr>
            <w:tcW w:w="800" w:type="dxa"/>
            <w:noWrap/>
            <w:hideMark/>
          </w:tcPr>
          <w:p w14:paraId="1804BE7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20" w:type="dxa"/>
            <w:noWrap/>
            <w:hideMark/>
          </w:tcPr>
          <w:p w14:paraId="090C81B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3FD8840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660" w:type="dxa"/>
            <w:noWrap/>
            <w:hideMark/>
          </w:tcPr>
          <w:p w14:paraId="704DA56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6DCF6EB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64" w:type="dxa"/>
            <w:noWrap/>
            <w:hideMark/>
          </w:tcPr>
          <w:p w14:paraId="49D6ED3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5556701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7017869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51930C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1165764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7C76BEF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728895F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7CED2FC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324E5DB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036E75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7C05850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26CEA98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2-C-010</w:t>
            </w:r>
          </w:p>
        </w:tc>
        <w:tc>
          <w:tcPr>
            <w:tcW w:w="800" w:type="dxa"/>
            <w:noWrap/>
            <w:hideMark/>
          </w:tcPr>
          <w:p w14:paraId="614BABF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20" w:type="dxa"/>
            <w:noWrap/>
            <w:hideMark/>
          </w:tcPr>
          <w:p w14:paraId="2F10F47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387FCCA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660" w:type="dxa"/>
            <w:noWrap/>
            <w:hideMark/>
          </w:tcPr>
          <w:p w14:paraId="19DBF95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26F8648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64" w:type="dxa"/>
            <w:noWrap/>
            <w:hideMark/>
          </w:tcPr>
          <w:p w14:paraId="2236640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1BA8C64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34CB41D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74A8FFA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1265DA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686C14B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1562CBE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0A3626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5A5FA5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224CEBF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71D38D9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7ACD21A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2-C-040</w:t>
            </w:r>
          </w:p>
        </w:tc>
        <w:tc>
          <w:tcPr>
            <w:tcW w:w="800" w:type="dxa"/>
            <w:noWrap/>
            <w:hideMark/>
          </w:tcPr>
          <w:p w14:paraId="2A90E1D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20" w:type="dxa"/>
            <w:noWrap/>
            <w:hideMark/>
          </w:tcPr>
          <w:p w14:paraId="13354E7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7F104F7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660" w:type="dxa"/>
            <w:noWrap/>
            <w:hideMark/>
          </w:tcPr>
          <w:p w14:paraId="2FC5B4C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4EB58F8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64" w:type="dxa"/>
            <w:noWrap/>
            <w:hideMark/>
          </w:tcPr>
          <w:p w14:paraId="264F5E2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4DDC7FB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1F1BB4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04FA57C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1305296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4813422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25DD4F7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363E9A1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1AAB3D7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40" w:type="dxa"/>
            <w:noWrap/>
            <w:hideMark/>
          </w:tcPr>
          <w:p w14:paraId="36623D3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6B4218AB"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5BECE56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2-C-090</w:t>
            </w:r>
          </w:p>
        </w:tc>
        <w:tc>
          <w:tcPr>
            <w:tcW w:w="800" w:type="dxa"/>
            <w:noWrap/>
            <w:hideMark/>
          </w:tcPr>
          <w:p w14:paraId="2A2975C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20" w:type="dxa"/>
            <w:noWrap/>
            <w:hideMark/>
          </w:tcPr>
          <w:p w14:paraId="13978F6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3865734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660" w:type="dxa"/>
            <w:noWrap/>
            <w:hideMark/>
          </w:tcPr>
          <w:p w14:paraId="270362B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47EF327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64" w:type="dxa"/>
            <w:noWrap/>
            <w:hideMark/>
          </w:tcPr>
          <w:p w14:paraId="3E6EEDB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40A28F6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37650B6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3A747C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21C84A6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1BDA398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1DDE35D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70C4DA6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4AFBF5C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3F10315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2A8FD0A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61B9433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2-C-270</w:t>
            </w:r>
          </w:p>
        </w:tc>
        <w:tc>
          <w:tcPr>
            <w:tcW w:w="800" w:type="dxa"/>
            <w:noWrap/>
            <w:hideMark/>
          </w:tcPr>
          <w:p w14:paraId="1B539E5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9.21</w:t>
            </w:r>
          </w:p>
        </w:tc>
        <w:tc>
          <w:tcPr>
            <w:tcW w:w="820" w:type="dxa"/>
            <w:noWrap/>
            <w:hideMark/>
          </w:tcPr>
          <w:p w14:paraId="71EF67B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1.01</w:t>
            </w:r>
          </w:p>
        </w:tc>
        <w:tc>
          <w:tcPr>
            <w:tcW w:w="800" w:type="dxa"/>
            <w:noWrap/>
            <w:hideMark/>
          </w:tcPr>
          <w:p w14:paraId="086BDDE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1.52</w:t>
            </w:r>
          </w:p>
        </w:tc>
        <w:tc>
          <w:tcPr>
            <w:tcW w:w="660" w:type="dxa"/>
            <w:noWrap/>
            <w:hideMark/>
          </w:tcPr>
          <w:p w14:paraId="2D2DE1A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0.37</w:t>
            </w:r>
          </w:p>
        </w:tc>
        <w:tc>
          <w:tcPr>
            <w:tcW w:w="700" w:type="dxa"/>
            <w:noWrap/>
            <w:hideMark/>
          </w:tcPr>
          <w:p w14:paraId="5437B17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8.34</w:t>
            </w:r>
          </w:p>
        </w:tc>
        <w:tc>
          <w:tcPr>
            <w:tcW w:w="764" w:type="dxa"/>
            <w:noWrap/>
            <w:hideMark/>
          </w:tcPr>
          <w:p w14:paraId="77A0199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4.42</w:t>
            </w:r>
          </w:p>
        </w:tc>
        <w:tc>
          <w:tcPr>
            <w:tcW w:w="840" w:type="dxa"/>
            <w:noWrap/>
            <w:hideMark/>
          </w:tcPr>
          <w:p w14:paraId="54029D4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4.47</w:t>
            </w:r>
          </w:p>
        </w:tc>
        <w:tc>
          <w:tcPr>
            <w:tcW w:w="700" w:type="dxa"/>
            <w:noWrap/>
            <w:hideMark/>
          </w:tcPr>
          <w:p w14:paraId="0357B9E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c>
          <w:tcPr>
            <w:tcW w:w="840" w:type="dxa"/>
            <w:noWrap/>
            <w:hideMark/>
          </w:tcPr>
          <w:p w14:paraId="5784A7D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0.38</w:t>
            </w:r>
          </w:p>
        </w:tc>
        <w:tc>
          <w:tcPr>
            <w:tcW w:w="940" w:type="dxa"/>
            <w:noWrap/>
            <w:hideMark/>
          </w:tcPr>
          <w:p w14:paraId="1727CEC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1.61</w:t>
            </w:r>
          </w:p>
        </w:tc>
        <w:tc>
          <w:tcPr>
            <w:tcW w:w="700" w:type="dxa"/>
            <w:noWrap/>
            <w:hideMark/>
          </w:tcPr>
          <w:p w14:paraId="6D3482C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0.37</w:t>
            </w:r>
          </w:p>
        </w:tc>
        <w:tc>
          <w:tcPr>
            <w:tcW w:w="800" w:type="dxa"/>
            <w:noWrap/>
            <w:hideMark/>
          </w:tcPr>
          <w:p w14:paraId="128B02D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00" w:type="dxa"/>
            <w:noWrap/>
            <w:hideMark/>
          </w:tcPr>
          <w:p w14:paraId="79F98CA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6.51</w:t>
            </w:r>
          </w:p>
        </w:tc>
        <w:tc>
          <w:tcPr>
            <w:tcW w:w="700" w:type="dxa"/>
            <w:noWrap/>
            <w:hideMark/>
          </w:tcPr>
          <w:p w14:paraId="759607F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0.33</w:t>
            </w:r>
          </w:p>
        </w:tc>
        <w:tc>
          <w:tcPr>
            <w:tcW w:w="940" w:type="dxa"/>
            <w:noWrap/>
            <w:hideMark/>
          </w:tcPr>
          <w:p w14:paraId="17BC36D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1.23</w:t>
            </w:r>
          </w:p>
        </w:tc>
      </w:tr>
      <w:tr w:rsidR="00302953" w:rsidRPr="00770477" w14:paraId="01303DF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6A44A9F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2-C-430</w:t>
            </w:r>
          </w:p>
        </w:tc>
        <w:tc>
          <w:tcPr>
            <w:tcW w:w="800" w:type="dxa"/>
            <w:noWrap/>
            <w:hideMark/>
          </w:tcPr>
          <w:p w14:paraId="6739B9B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20" w:type="dxa"/>
            <w:noWrap/>
            <w:hideMark/>
          </w:tcPr>
          <w:p w14:paraId="2C961F1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163349A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660" w:type="dxa"/>
            <w:noWrap/>
            <w:hideMark/>
          </w:tcPr>
          <w:p w14:paraId="489DBAD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66160A9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64" w:type="dxa"/>
            <w:noWrap/>
            <w:hideMark/>
          </w:tcPr>
          <w:p w14:paraId="76A15B6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273C9E1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5B89B5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4CF8F4A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05CEEBC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6E374EA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5AD28E4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5AA919A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2448F52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940" w:type="dxa"/>
            <w:noWrap/>
            <w:hideMark/>
          </w:tcPr>
          <w:p w14:paraId="1DF2A85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5ED3A790"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32C6D17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2-C-670</w:t>
            </w:r>
          </w:p>
        </w:tc>
        <w:tc>
          <w:tcPr>
            <w:tcW w:w="800" w:type="dxa"/>
            <w:noWrap/>
            <w:hideMark/>
          </w:tcPr>
          <w:p w14:paraId="105F028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2.97</w:t>
            </w:r>
          </w:p>
        </w:tc>
        <w:tc>
          <w:tcPr>
            <w:tcW w:w="820" w:type="dxa"/>
            <w:noWrap/>
            <w:hideMark/>
          </w:tcPr>
          <w:p w14:paraId="27EFAA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0.96</w:t>
            </w:r>
          </w:p>
        </w:tc>
        <w:tc>
          <w:tcPr>
            <w:tcW w:w="800" w:type="dxa"/>
            <w:noWrap/>
            <w:hideMark/>
          </w:tcPr>
          <w:p w14:paraId="307D0D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6.42</w:t>
            </w:r>
          </w:p>
        </w:tc>
        <w:tc>
          <w:tcPr>
            <w:tcW w:w="660" w:type="dxa"/>
            <w:noWrap/>
            <w:hideMark/>
          </w:tcPr>
          <w:p w14:paraId="48831B5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1.05</w:t>
            </w:r>
          </w:p>
        </w:tc>
        <w:tc>
          <w:tcPr>
            <w:tcW w:w="700" w:type="dxa"/>
            <w:noWrap/>
            <w:hideMark/>
          </w:tcPr>
          <w:p w14:paraId="68BD17E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8.16</w:t>
            </w:r>
          </w:p>
        </w:tc>
        <w:tc>
          <w:tcPr>
            <w:tcW w:w="764" w:type="dxa"/>
            <w:noWrap/>
            <w:hideMark/>
          </w:tcPr>
          <w:p w14:paraId="394C11E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11.54</w:t>
            </w:r>
          </w:p>
        </w:tc>
        <w:tc>
          <w:tcPr>
            <w:tcW w:w="840" w:type="dxa"/>
            <w:noWrap/>
            <w:hideMark/>
          </w:tcPr>
          <w:p w14:paraId="3656A75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8.38</w:t>
            </w:r>
          </w:p>
        </w:tc>
        <w:tc>
          <w:tcPr>
            <w:tcW w:w="700" w:type="dxa"/>
            <w:noWrap/>
            <w:hideMark/>
          </w:tcPr>
          <w:p w14:paraId="355EED8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1.15</w:t>
            </w:r>
          </w:p>
        </w:tc>
        <w:tc>
          <w:tcPr>
            <w:tcW w:w="840" w:type="dxa"/>
            <w:noWrap/>
            <w:hideMark/>
          </w:tcPr>
          <w:p w14:paraId="15CB38F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1.12</w:t>
            </w:r>
          </w:p>
        </w:tc>
        <w:tc>
          <w:tcPr>
            <w:tcW w:w="940" w:type="dxa"/>
            <w:noWrap/>
            <w:hideMark/>
          </w:tcPr>
          <w:p w14:paraId="305575A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8.22</w:t>
            </w:r>
          </w:p>
        </w:tc>
        <w:tc>
          <w:tcPr>
            <w:tcW w:w="700" w:type="dxa"/>
            <w:noWrap/>
            <w:hideMark/>
          </w:tcPr>
          <w:p w14:paraId="598EA52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0.87</w:t>
            </w:r>
          </w:p>
        </w:tc>
        <w:tc>
          <w:tcPr>
            <w:tcW w:w="800" w:type="dxa"/>
            <w:noWrap/>
            <w:hideMark/>
          </w:tcPr>
          <w:p w14:paraId="50620F0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00" w:type="dxa"/>
            <w:noWrap/>
            <w:hideMark/>
          </w:tcPr>
          <w:p w14:paraId="5CE734D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9.47</w:t>
            </w:r>
          </w:p>
        </w:tc>
        <w:tc>
          <w:tcPr>
            <w:tcW w:w="700" w:type="dxa"/>
            <w:noWrap/>
            <w:hideMark/>
          </w:tcPr>
          <w:p w14:paraId="2CE2156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0.22</w:t>
            </w:r>
          </w:p>
        </w:tc>
        <w:tc>
          <w:tcPr>
            <w:tcW w:w="940" w:type="dxa"/>
            <w:noWrap/>
            <w:hideMark/>
          </w:tcPr>
          <w:p w14:paraId="785B3A2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21.92</w:t>
            </w:r>
          </w:p>
        </w:tc>
      </w:tr>
      <w:tr w:rsidR="00302953" w:rsidRPr="00770477" w14:paraId="61DAE52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78D029A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9-A-6</w:t>
            </w:r>
          </w:p>
        </w:tc>
        <w:tc>
          <w:tcPr>
            <w:tcW w:w="800" w:type="dxa"/>
            <w:noWrap/>
            <w:hideMark/>
          </w:tcPr>
          <w:p w14:paraId="64DA226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0.65</w:t>
            </w:r>
          </w:p>
        </w:tc>
        <w:tc>
          <w:tcPr>
            <w:tcW w:w="820" w:type="dxa"/>
            <w:noWrap/>
            <w:hideMark/>
          </w:tcPr>
          <w:p w14:paraId="1F66179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00" w:type="dxa"/>
            <w:noWrap/>
            <w:hideMark/>
          </w:tcPr>
          <w:p w14:paraId="2AA3DDB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660" w:type="dxa"/>
            <w:noWrap/>
            <w:hideMark/>
          </w:tcPr>
          <w:p w14:paraId="6B7D717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0.47</w:t>
            </w:r>
          </w:p>
        </w:tc>
        <w:tc>
          <w:tcPr>
            <w:tcW w:w="700" w:type="dxa"/>
            <w:noWrap/>
            <w:hideMark/>
          </w:tcPr>
          <w:p w14:paraId="467801E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764" w:type="dxa"/>
            <w:noWrap/>
            <w:hideMark/>
          </w:tcPr>
          <w:p w14:paraId="04EEFDC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5F8A678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52.86</w:t>
            </w:r>
          </w:p>
        </w:tc>
        <w:tc>
          <w:tcPr>
            <w:tcW w:w="700" w:type="dxa"/>
            <w:noWrap/>
            <w:hideMark/>
          </w:tcPr>
          <w:p w14:paraId="5BB179C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0.01</w:t>
            </w:r>
          </w:p>
        </w:tc>
        <w:tc>
          <w:tcPr>
            <w:tcW w:w="840" w:type="dxa"/>
            <w:noWrap/>
            <w:hideMark/>
          </w:tcPr>
          <w:p w14:paraId="4299D72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2.83</w:t>
            </w:r>
          </w:p>
        </w:tc>
        <w:tc>
          <w:tcPr>
            <w:tcW w:w="940" w:type="dxa"/>
            <w:noWrap/>
            <w:hideMark/>
          </w:tcPr>
          <w:p w14:paraId="22DFE9C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12.06</w:t>
            </w:r>
          </w:p>
        </w:tc>
        <w:tc>
          <w:tcPr>
            <w:tcW w:w="700" w:type="dxa"/>
            <w:noWrap/>
            <w:hideMark/>
          </w:tcPr>
          <w:p w14:paraId="031865B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c>
          <w:tcPr>
            <w:tcW w:w="800" w:type="dxa"/>
            <w:noWrap/>
            <w:hideMark/>
          </w:tcPr>
          <w:p w14:paraId="5A03D37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00" w:type="dxa"/>
            <w:noWrap/>
            <w:hideMark/>
          </w:tcPr>
          <w:p w14:paraId="5FD41A8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6709A00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1.30</w:t>
            </w:r>
          </w:p>
        </w:tc>
        <w:tc>
          <w:tcPr>
            <w:tcW w:w="940" w:type="dxa"/>
            <w:noWrap/>
            <w:hideMark/>
          </w:tcPr>
          <w:p w14:paraId="774D0C3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9.05</w:t>
            </w:r>
          </w:p>
        </w:tc>
      </w:tr>
      <w:tr w:rsidR="00302953" w:rsidRPr="00770477" w14:paraId="125FFE8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25972D4B"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9-A-17</w:t>
            </w:r>
          </w:p>
        </w:tc>
        <w:tc>
          <w:tcPr>
            <w:tcW w:w="800" w:type="dxa"/>
            <w:noWrap/>
            <w:hideMark/>
          </w:tcPr>
          <w:p w14:paraId="33B15B5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0.34</w:t>
            </w:r>
          </w:p>
        </w:tc>
        <w:tc>
          <w:tcPr>
            <w:tcW w:w="820" w:type="dxa"/>
            <w:noWrap/>
            <w:hideMark/>
          </w:tcPr>
          <w:p w14:paraId="3609917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13.26</w:t>
            </w:r>
          </w:p>
        </w:tc>
        <w:tc>
          <w:tcPr>
            <w:tcW w:w="800" w:type="dxa"/>
            <w:noWrap/>
            <w:hideMark/>
          </w:tcPr>
          <w:p w14:paraId="281F386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5700"/>
              </w:rPr>
            </w:pPr>
          </w:p>
        </w:tc>
        <w:tc>
          <w:tcPr>
            <w:tcW w:w="660" w:type="dxa"/>
            <w:noWrap/>
            <w:hideMark/>
          </w:tcPr>
          <w:p w14:paraId="50C4D3D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0.14</w:t>
            </w:r>
          </w:p>
        </w:tc>
        <w:tc>
          <w:tcPr>
            <w:tcW w:w="700" w:type="dxa"/>
            <w:noWrap/>
            <w:hideMark/>
          </w:tcPr>
          <w:p w14:paraId="2A00A17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764" w:type="dxa"/>
            <w:noWrap/>
            <w:hideMark/>
          </w:tcPr>
          <w:p w14:paraId="753E7C4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7932EF9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27.02</w:t>
            </w:r>
          </w:p>
        </w:tc>
        <w:tc>
          <w:tcPr>
            <w:tcW w:w="700" w:type="dxa"/>
            <w:noWrap/>
            <w:hideMark/>
          </w:tcPr>
          <w:p w14:paraId="321F0D8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0.04</w:t>
            </w:r>
          </w:p>
        </w:tc>
        <w:tc>
          <w:tcPr>
            <w:tcW w:w="840" w:type="dxa"/>
            <w:noWrap/>
            <w:hideMark/>
          </w:tcPr>
          <w:p w14:paraId="6C562C5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0.02</w:t>
            </w:r>
          </w:p>
        </w:tc>
        <w:tc>
          <w:tcPr>
            <w:tcW w:w="940" w:type="dxa"/>
            <w:noWrap/>
            <w:hideMark/>
          </w:tcPr>
          <w:p w14:paraId="40EFBF9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0.13</w:t>
            </w:r>
          </w:p>
        </w:tc>
        <w:tc>
          <w:tcPr>
            <w:tcW w:w="700" w:type="dxa"/>
            <w:noWrap/>
            <w:hideMark/>
          </w:tcPr>
          <w:p w14:paraId="4896413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00" w:type="dxa"/>
            <w:noWrap/>
            <w:hideMark/>
          </w:tcPr>
          <w:p w14:paraId="47501B9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673F566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03E3AD5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0.25</w:t>
            </w:r>
          </w:p>
        </w:tc>
        <w:tc>
          <w:tcPr>
            <w:tcW w:w="940" w:type="dxa"/>
            <w:noWrap/>
            <w:hideMark/>
          </w:tcPr>
          <w:p w14:paraId="507E250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r>
      <w:tr w:rsidR="00302953" w:rsidRPr="00770477" w14:paraId="1CE918B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07B51BC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9-B-6</w:t>
            </w:r>
          </w:p>
        </w:tc>
        <w:tc>
          <w:tcPr>
            <w:tcW w:w="800" w:type="dxa"/>
            <w:noWrap/>
            <w:hideMark/>
          </w:tcPr>
          <w:p w14:paraId="49F654E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2.59</w:t>
            </w:r>
          </w:p>
        </w:tc>
        <w:tc>
          <w:tcPr>
            <w:tcW w:w="820" w:type="dxa"/>
            <w:noWrap/>
            <w:hideMark/>
          </w:tcPr>
          <w:p w14:paraId="0A2374E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6.08</w:t>
            </w:r>
          </w:p>
        </w:tc>
        <w:tc>
          <w:tcPr>
            <w:tcW w:w="800" w:type="dxa"/>
            <w:noWrap/>
            <w:hideMark/>
          </w:tcPr>
          <w:p w14:paraId="0D47FBF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660" w:type="dxa"/>
            <w:noWrap/>
            <w:hideMark/>
          </w:tcPr>
          <w:p w14:paraId="1D98E7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0.43</w:t>
            </w:r>
          </w:p>
        </w:tc>
        <w:tc>
          <w:tcPr>
            <w:tcW w:w="700" w:type="dxa"/>
            <w:noWrap/>
            <w:hideMark/>
          </w:tcPr>
          <w:p w14:paraId="0DE2C96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764" w:type="dxa"/>
            <w:noWrap/>
            <w:hideMark/>
          </w:tcPr>
          <w:p w14:paraId="505595E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7E64100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21.28</w:t>
            </w:r>
          </w:p>
        </w:tc>
        <w:tc>
          <w:tcPr>
            <w:tcW w:w="700" w:type="dxa"/>
            <w:noWrap/>
            <w:hideMark/>
          </w:tcPr>
          <w:p w14:paraId="5FC7282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0.63</w:t>
            </w:r>
          </w:p>
        </w:tc>
        <w:tc>
          <w:tcPr>
            <w:tcW w:w="840" w:type="dxa"/>
            <w:noWrap/>
            <w:hideMark/>
          </w:tcPr>
          <w:p w14:paraId="765CD4C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0.29</w:t>
            </w:r>
          </w:p>
        </w:tc>
        <w:tc>
          <w:tcPr>
            <w:tcW w:w="940" w:type="dxa"/>
            <w:noWrap/>
            <w:hideMark/>
          </w:tcPr>
          <w:p w14:paraId="625CE53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11.30</w:t>
            </w:r>
          </w:p>
        </w:tc>
        <w:tc>
          <w:tcPr>
            <w:tcW w:w="700" w:type="dxa"/>
            <w:noWrap/>
            <w:hideMark/>
          </w:tcPr>
          <w:p w14:paraId="20D2248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0.21</w:t>
            </w:r>
          </w:p>
        </w:tc>
        <w:tc>
          <w:tcPr>
            <w:tcW w:w="800" w:type="dxa"/>
            <w:noWrap/>
            <w:hideMark/>
          </w:tcPr>
          <w:p w14:paraId="38D1308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00" w:type="dxa"/>
            <w:noWrap/>
            <w:hideMark/>
          </w:tcPr>
          <w:p w14:paraId="4C4090A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63FB159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0.61</w:t>
            </w:r>
          </w:p>
        </w:tc>
        <w:tc>
          <w:tcPr>
            <w:tcW w:w="940" w:type="dxa"/>
            <w:noWrap/>
            <w:hideMark/>
          </w:tcPr>
          <w:p w14:paraId="3277118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45.05</w:t>
            </w:r>
          </w:p>
        </w:tc>
      </w:tr>
      <w:tr w:rsidR="00302953" w:rsidRPr="00770477" w14:paraId="32693BC6"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356579F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9-B-17</w:t>
            </w:r>
          </w:p>
        </w:tc>
        <w:tc>
          <w:tcPr>
            <w:tcW w:w="800" w:type="dxa"/>
            <w:noWrap/>
            <w:hideMark/>
          </w:tcPr>
          <w:p w14:paraId="110605D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1.46</w:t>
            </w:r>
          </w:p>
        </w:tc>
        <w:tc>
          <w:tcPr>
            <w:tcW w:w="820" w:type="dxa"/>
            <w:noWrap/>
            <w:hideMark/>
          </w:tcPr>
          <w:p w14:paraId="2F1B4A5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10.38</w:t>
            </w:r>
          </w:p>
        </w:tc>
        <w:tc>
          <w:tcPr>
            <w:tcW w:w="800" w:type="dxa"/>
            <w:noWrap/>
            <w:hideMark/>
          </w:tcPr>
          <w:p w14:paraId="44FFFD1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5700"/>
              </w:rPr>
            </w:pPr>
          </w:p>
        </w:tc>
        <w:tc>
          <w:tcPr>
            <w:tcW w:w="660" w:type="dxa"/>
            <w:noWrap/>
            <w:hideMark/>
          </w:tcPr>
          <w:p w14:paraId="2B9E380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0.76</w:t>
            </w:r>
          </w:p>
        </w:tc>
        <w:tc>
          <w:tcPr>
            <w:tcW w:w="700" w:type="dxa"/>
            <w:noWrap/>
            <w:hideMark/>
          </w:tcPr>
          <w:p w14:paraId="6FD7122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764" w:type="dxa"/>
            <w:noWrap/>
            <w:hideMark/>
          </w:tcPr>
          <w:p w14:paraId="28DFED7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31A6720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w:t>
            </w:r>
          </w:p>
        </w:tc>
        <w:tc>
          <w:tcPr>
            <w:tcW w:w="700" w:type="dxa"/>
            <w:noWrap/>
            <w:hideMark/>
          </w:tcPr>
          <w:p w14:paraId="597086E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0.75</w:t>
            </w:r>
          </w:p>
        </w:tc>
        <w:tc>
          <w:tcPr>
            <w:tcW w:w="840" w:type="dxa"/>
            <w:noWrap/>
            <w:hideMark/>
          </w:tcPr>
          <w:p w14:paraId="4CF40D0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1.03</w:t>
            </w:r>
          </w:p>
        </w:tc>
        <w:tc>
          <w:tcPr>
            <w:tcW w:w="940" w:type="dxa"/>
            <w:noWrap/>
            <w:hideMark/>
          </w:tcPr>
          <w:p w14:paraId="49A4BFD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3.82</w:t>
            </w:r>
          </w:p>
        </w:tc>
        <w:tc>
          <w:tcPr>
            <w:tcW w:w="700" w:type="dxa"/>
            <w:noWrap/>
            <w:hideMark/>
          </w:tcPr>
          <w:p w14:paraId="505FEC4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00" w:type="dxa"/>
            <w:noWrap/>
            <w:hideMark/>
          </w:tcPr>
          <w:p w14:paraId="0AF8257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00" w:type="dxa"/>
            <w:noWrap/>
            <w:hideMark/>
          </w:tcPr>
          <w:p w14:paraId="6CC2904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7F27227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1.06</w:t>
            </w:r>
          </w:p>
        </w:tc>
        <w:tc>
          <w:tcPr>
            <w:tcW w:w="940" w:type="dxa"/>
            <w:noWrap/>
            <w:hideMark/>
          </w:tcPr>
          <w:p w14:paraId="1B62A53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r>
      <w:tr w:rsidR="00302953" w:rsidRPr="00770477" w14:paraId="1D3E440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0A26DA0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w:t>
            </w:r>
          </w:p>
        </w:tc>
        <w:tc>
          <w:tcPr>
            <w:tcW w:w="800" w:type="dxa"/>
            <w:noWrap/>
            <w:hideMark/>
          </w:tcPr>
          <w:p w14:paraId="0F86C96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3.71</w:t>
            </w:r>
          </w:p>
        </w:tc>
        <w:tc>
          <w:tcPr>
            <w:tcW w:w="820" w:type="dxa"/>
            <w:noWrap/>
            <w:hideMark/>
          </w:tcPr>
          <w:p w14:paraId="40E9819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00" w:type="dxa"/>
            <w:noWrap/>
            <w:hideMark/>
          </w:tcPr>
          <w:p w14:paraId="591D130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660" w:type="dxa"/>
            <w:noWrap/>
            <w:hideMark/>
          </w:tcPr>
          <w:p w14:paraId="4B710FC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0.15</w:t>
            </w:r>
          </w:p>
        </w:tc>
        <w:tc>
          <w:tcPr>
            <w:tcW w:w="700" w:type="dxa"/>
            <w:noWrap/>
            <w:hideMark/>
          </w:tcPr>
          <w:p w14:paraId="4B77EDC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764" w:type="dxa"/>
            <w:noWrap/>
            <w:hideMark/>
          </w:tcPr>
          <w:p w14:paraId="52EA085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774EE70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2901767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0.75</w:t>
            </w:r>
          </w:p>
        </w:tc>
        <w:tc>
          <w:tcPr>
            <w:tcW w:w="840" w:type="dxa"/>
            <w:noWrap/>
            <w:hideMark/>
          </w:tcPr>
          <w:p w14:paraId="382BAB4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2.83</w:t>
            </w:r>
          </w:p>
        </w:tc>
        <w:tc>
          <w:tcPr>
            <w:tcW w:w="940" w:type="dxa"/>
            <w:noWrap/>
            <w:hideMark/>
          </w:tcPr>
          <w:p w14:paraId="7E574F2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3.66</w:t>
            </w:r>
          </w:p>
        </w:tc>
        <w:tc>
          <w:tcPr>
            <w:tcW w:w="700" w:type="dxa"/>
            <w:noWrap/>
            <w:hideMark/>
          </w:tcPr>
          <w:p w14:paraId="7685B05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00" w:type="dxa"/>
            <w:noWrap/>
            <w:hideMark/>
          </w:tcPr>
          <w:p w14:paraId="01CAD39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5D244DE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54CD6F0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1.57</w:t>
            </w:r>
          </w:p>
        </w:tc>
        <w:tc>
          <w:tcPr>
            <w:tcW w:w="940" w:type="dxa"/>
            <w:noWrap/>
            <w:hideMark/>
          </w:tcPr>
          <w:p w14:paraId="68298E2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105.05</w:t>
            </w:r>
          </w:p>
        </w:tc>
      </w:tr>
      <w:tr w:rsidR="00302953" w:rsidRPr="00770477" w14:paraId="1775253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78C3C72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10-A-17</w:t>
            </w:r>
          </w:p>
        </w:tc>
        <w:tc>
          <w:tcPr>
            <w:tcW w:w="800" w:type="dxa"/>
            <w:noWrap/>
            <w:hideMark/>
          </w:tcPr>
          <w:p w14:paraId="09BC3FD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1.92</w:t>
            </w:r>
          </w:p>
        </w:tc>
        <w:tc>
          <w:tcPr>
            <w:tcW w:w="820" w:type="dxa"/>
            <w:noWrap/>
            <w:hideMark/>
          </w:tcPr>
          <w:p w14:paraId="15EA141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2.54</w:t>
            </w:r>
          </w:p>
        </w:tc>
        <w:tc>
          <w:tcPr>
            <w:tcW w:w="800" w:type="dxa"/>
            <w:noWrap/>
            <w:hideMark/>
          </w:tcPr>
          <w:p w14:paraId="501283C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660" w:type="dxa"/>
            <w:noWrap/>
            <w:hideMark/>
          </w:tcPr>
          <w:p w14:paraId="71569B6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0.82</w:t>
            </w:r>
          </w:p>
        </w:tc>
        <w:tc>
          <w:tcPr>
            <w:tcW w:w="700" w:type="dxa"/>
            <w:noWrap/>
            <w:hideMark/>
          </w:tcPr>
          <w:p w14:paraId="229468A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764" w:type="dxa"/>
            <w:noWrap/>
            <w:hideMark/>
          </w:tcPr>
          <w:p w14:paraId="32809FC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0B7E2A2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0222D42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4.94</w:t>
            </w:r>
          </w:p>
        </w:tc>
        <w:tc>
          <w:tcPr>
            <w:tcW w:w="840" w:type="dxa"/>
            <w:noWrap/>
            <w:hideMark/>
          </w:tcPr>
          <w:p w14:paraId="0D30F34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0.60</w:t>
            </w:r>
          </w:p>
        </w:tc>
        <w:tc>
          <w:tcPr>
            <w:tcW w:w="940" w:type="dxa"/>
            <w:noWrap/>
            <w:hideMark/>
          </w:tcPr>
          <w:p w14:paraId="29F16C8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6.09</w:t>
            </w:r>
          </w:p>
        </w:tc>
        <w:tc>
          <w:tcPr>
            <w:tcW w:w="700" w:type="dxa"/>
            <w:noWrap/>
            <w:hideMark/>
          </w:tcPr>
          <w:p w14:paraId="2DDCFB9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0.54</w:t>
            </w:r>
          </w:p>
        </w:tc>
        <w:tc>
          <w:tcPr>
            <w:tcW w:w="800" w:type="dxa"/>
            <w:noWrap/>
            <w:hideMark/>
          </w:tcPr>
          <w:p w14:paraId="11AD36F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00" w:type="dxa"/>
            <w:noWrap/>
            <w:hideMark/>
          </w:tcPr>
          <w:p w14:paraId="3D22BF7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79191C7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0.61</w:t>
            </w:r>
          </w:p>
        </w:tc>
        <w:tc>
          <w:tcPr>
            <w:tcW w:w="940" w:type="dxa"/>
            <w:noWrap/>
            <w:hideMark/>
          </w:tcPr>
          <w:p w14:paraId="5366526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r>
      <w:tr w:rsidR="00302953" w:rsidRPr="00770477" w14:paraId="565F9AE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0420C3D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w:t>
            </w:r>
          </w:p>
        </w:tc>
        <w:tc>
          <w:tcPr>
            <w:tcW w:w="800" w:type="dxa"/>
            <w:noWrap/>
            <w:hideMark/>
          </w:tcPr>
          <w:p w14:paraId="7805A5F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20" w:type="dxa"/>
            <w:noWrap/>
            <w:hideMark/>
          </w:tcPr>
          <w:p w14:paraId="0BBC913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0.69</w:t>
            </w:r>
          </w:p>
        </w:tc>
        <w:tc>
          <w:tcPr>
            <w:tcW w:w="800" w:type="dxa"/>
            <w:noWrap/>
            <w:hideMark/>
          </w:tcPr>
          <w:p w14:paraId="5C1B52A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660" w:type="dxa"/>
            <w:noWrap/>
            <w:hideMark/>
          </w:tcPr>
          <w:p w14:paraId="1F3DC30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w:t>
            </w:r>
          </w:p>
        </w:tc>
        <w:tc>
          <w:tcPr>
            <w:tcW w:w="700" w:type="dxa"/>
            <w:noWrap/>
            <w:hideMark/>
          </w:tcPr>
          <w:p w14:paraId="1F70BE6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764" w:type="dxa"/>
            <w:noWrap/>
            <w:hideMark/>
          </w:tcPr>
          <w:p w14:paraId="4344AEB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3CEE5DC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1F9116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0.44</w:t>
            </w:r>
          </w:p>
        </w:tc>
        <w:tc>
          <w:tcPr>
            <w:tcW w:w="840" w:type="dxa"/>
            <w:noWrap/>
            <w:hideMark/>
          </w:tcPr>
          <w:p w14:paraId="1C05F55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0.24</w:t>
            </w:r>
          </w:p>
        </w:tc>
        <w:tc>
          <w:tcPr>
            <w:tcW w:w="940" w:type="dxa"/>
            <w:noWrap/>
            <w:hideMark/>
          </w:tcPr>
          <w:p w14:paraId="2BA2B1D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2.75</w:t>
            </w:r>
          </w:p>
        </w:tc>
        <w:tc>
          <w:tcPr>
            <w:tcW w:w="700" w:type="dxa"/>
            <w:noWrap/>
            <w:hideMark/>
          </w:tcPr>
          <w:p w14:paraId="1B8CB89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00" w:type="dxa"/>
            <w:noWrap/>
            <w:hideMark/>
          </w:tcPr>
          <w:p w14:paraId="0092DAB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1CDC7D9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51CBA43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1.21</w:t>
            </w:r>
          </w:p>
        </w:tc>
        <w:tc>
          <w:tcPr>
            <w:tcW w:w="940" w:type="dxa"/>
            <w:noWrap/>
            <w:hideMark/>
          </w:tcPr>
          <w:p w14:paraId="0C6694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51.08</w:t>
            </w:r>
          </w:p>
        </w:tc>
      </w:tr>
      <w:tr w:rsidR="00302953" w:rsidRPr="00770477" w14:paraId="683E78C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2CC7852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10-B-27</w:t>
            </w:r>
          </w:p>
        </w:tc>
        <w:tc>
          <w:tcPr>
            <w:tcW w:w="800" w:type="dxa"/>
            <w:noWrap/>
            <w:hideMark/>
          </w:tcPr>
          <w:p w14:paraId="7D4B600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1.92</w:t>
            </w:r>
          </w:p>
        </w:tc>
        <w:tc>
          <w:tcPr>
            <w:tcW w:w="820" w:type="dxa"/>
            <w:noWrap/>
            <w:hideMark/>
          </w:tcPr>
          <w:p w14:paraId="4FB02EA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3.46</w:t>
            </w:r>
          </w:p>
        </w:tc>
        <w:tc>
          <w:tcPr>
            <w:tcW w:w="800" w:type="dxa"/>
            <w:noWrap/>
            <w:hideMark/>
          </w:tcPr>
          <w:p w14:paraId="34FBBB5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660" w:type="dxa"/>
            <w:noWrap/>
            <w:hideMark/>
          </w:tcPr>
          <w:p w14:paraId="384E517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0.18</w:t>
            </w:r>
          </w:p>
        </w:tc>
        <w:tc>
          <w:tcPr>
            <w:tcW w:w="700" w:type="dxa"/>
            <w:noWrap/>
            <w:hideMark/>
          </w:tcPr>
          <w:p w14:paraId="2F992FA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764" w:type="dxa"/>
            <w:noWrap/>
            <w:hideMark/>
          </w:tcPr>
          <w:p w14:paraId="22C6148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240F3AD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775221B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0.10</w:t>
            </w:r>
          </w:p>
        </w:tc>
        <w:tc>
          <w:tcPr>
            <w:tcW w:w="840" w:type="dxa"/>
            <w:noWrap/>
            <w:hideMark/>
          </w:tcPr>
          <w:p w14:paraId="24E4B69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0.15</w:t>
            </w:r>
          </w:p>
        </w:tc>
        <w:tc>
          <w:tcPr>
            <w:tcW w:w="940" w:type="dxa"/>
            <w:noWrap/>
            <w:hideMark/>
          </w:tcPr>
          <w:p w14:paraId="753C6BA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5.42</w:t>
            </w:r>
          </w:p>
        </w:tc>
        <w:tc>
          <w:tcPr>
            <w:tcW w:w="700" w:type="dxa"/>
            <w:noWrap/>
            <w:hideMark/>
          </w:tcPr>
          <w:p w14:paraId="29F9FDF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0.11</w:t>
            </w:r>
          </w:p>
        </w:tc>
        <w:tc>
          <w:tcPr>
            <w:tcW w:w="800" w:type="dxa"/>
            <w:noWrap/>
            <w:hideMark/>
          </w:tcPr>
          <w:p w14:paraId="7690DDF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00" w:type="dxa"/>
            <w:noWrap/>
            <w:hideMark/>
          </w:tcPr>
          <w:p w14:paraId="2E9F785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36D94D8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c>
          <w:tcPr>
            <w:tcW w:w="940" w:type="dxa"/>
            <w:noWrap/>
            <w:hideMark/>
          </w:tcPr>
          <w:p w14:paraId="4980AB7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114.26</w:t>
            </w:r>
          </w:p>
        </w:tc>
      </w:tr>
      <w:tr w:rsidR="00302953" w:rsidRPr="00770477" w14:paraId="54F0F5F0"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3FAD2D6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w:t>
            </w:r>
          </w:p>
        </w:tc>
        <w:tc>
          <w:tcPr>
            <w:tcW w:w="800" w:type="dxa"/>
            <w:noWrap/>
            <w:hideMark/>
          </w:tcPr>
          <w:p w14:paraId="71B2EB6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0.18</w:t>
            </w:r>
          </w:p>
        </w:tc>
        <w:tc>
          <w:tcPr>
            <w:tcW w:w="820" w:type="dxa"/>
            <w:noWrap/>
            <w:hideMark/>
          </w:tcPr>
          <w:p w14:paraId="77FECB3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3.46</w:t>
            </w:r>
          </w:p>
        </w:tc>
        <w:tc>
          <w:tcPr>
            <w:tcW w:w="800" w:type="dxa"/>
            <w:noWrap/>
            <w:hideMark/>
          </w:tcPr>
          <w:p w14:paraId="04C667A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660" w:type="dxa"/>
            <w:noWrap/>
            <w:hideMark/>
          </w:tcPr>
          <w:p w14:paraId="4A8247F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0.03</w:t>
            </w:r>
          </w:p>
        </w:tc>
        <w:tc>
          <w:tcPr>
            <w:tcW w:w="700" w:type="dxa"/>
            <w:noWrap/>
            <w:hideMark/>
          </w:tcPr>
          <w:p w14:paraId="030F4BE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764" w:type="dxa"/>
            <w:noWrap/>
            <w:hideMark/>
          </w:tcPr>
          <w:p w14:paraId="7CDEFAA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114406C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79C422B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0.20</w:t>
            </w:r>
          </w:p>
        </w:tc>
        <w:tc>
          <w:tcPr>
            <w:tcW w:w="840" w:type="dxa"/>
            <w:noWrap/>
            <w:hideMark/>
          </w:tcPr>
          <w:p w14:paraId="7474589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1.23</w:t>
            </w:r>
          </w:p>
        </w:tc>
        <w:tc>
          <w:tcPr>
            <w:tcW w:w="940" w:type="dxa"/>
            <w:noWrap/>
            <w:hideMark/>
          </w:tcPr>
          <w:p w14:paraId="2E78576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700" w:type="dxa"/>
            <w:noWrap/>
            <w:hideMark/>
          </w:tcPr>
          <w:p w14:paraId="59BCDDB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0.16</w:t>
            </w:r>
          </w:p>
        </w:tc>
        <w:tc>
          <w:tcPr>
            <w:tcW w:w="800" w:type="dxa"/>
            <w:noWrap/>
            <w:hideMark/>
          </w:tcPr>
          <w:p w14:paraId="3D924EC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00" w:type="dxa"/>
            <w:noWrap/>
            <w:hideMark/>
          </w:tcPr>
          <w:p w14:paraId="30E61DD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07127A6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0.07</w:t>
            </w:r>
          </w:p>
        </w:tc>
        <w:tc>
          <w:tcPr>
            <w:tcW w:w="940" w:type="dxa"/>
            <w:noWrap/>
            <w:hideMark/>
          </w:tcPr>
          <w:p w14:paraId="6AEE599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114.08</w:t>
            </w:r>
          </w:p>
        </w:tc>
      </w:tr>
      <w:tr w:rsidR="00302953" w:rsidRPr="00770477" w14:paraId="570752D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3B17D5A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10-C-27</w:t>
            </w:r>
          </w:p>
        </w:tc>
        <w:tc>
          <w:tcPr>
            <w:tcW w:w="800" w:type="dxa"/>
            <w:noWrap/>
            <w:hideMark/>
          </w:tcPr>
          <w:p w14:paraId="1C6B220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0.06</w:t>
            </w:r>
          </w:p>
        </w:tc>
        <w:tc>
          <w:tcPr>
            <w:tcW w:w="820" w:type="dxa"/>
            <w:noWrap/>
            <w:hideMark/>
          </w:tcPr>
          <w:p w14:paraId="55047A1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3.14</w:t>
            </w:r>
          </w:p>
        </w:tc>
        <w:tc>
          <w:tcPr>
            <w:tcW w:w="800" w:type="dxa"/>
            <w:noWrap/>
            <w:hideMark/>
          </w:tcPr>
          <w:p w14:paraId="27CDD77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660" w:type="dxa"/>
            <w:noWrap/>
            <w:hideMark/>
          </w:tcPr>
          <w:p w14:paraId="1ECFF92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1.16</w:t>
            </w:r>
          </w:p>
        </w:tc>
        <w:tc>
          <w:tcPr>
            <w:tcW w:w="700" w:type="dxa"/>
            <w:noWrap/>
            <w:hideMark/>
          </w:tcPr>
          <w:p w14:paraId="2B9514F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764" w:type="dxa"/>
            <w:noWrap/>
            <w:hideMark/>
          </w:tcPr>
          <w:p w14:paraId="1153425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4224FD4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2015D92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0.37</w:t>
            </w:r>
          </w:p>
        </w:tc>
        <w:tc>
          <w:tcPr>
            <w:tcW w:w="840" w:type="dxa"/>
            <w:noWrap/>
            <w:hideMark/>
          </w:tcPr>
          <w:p w14:paraId="013760E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1.61</w:t>
            </w:r>
          </w:p>
        </w:tc>
        <w:tc>
          <w:tcPr>
            <w:tcW w:w="940" w:type="dxa"/>
            <w:noWrap/>
            <w:hideMark/>
          </w:tcPr>
          <w:p w14:paraId="448DC50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40.91</w:t>
            </w:r>
          </w:p>
        </w:tc>
        <w:tc>
          <w:tcPr>
            <w:tcW w:w="700" w:type="dxa"/>
            <w:noWrap/>
            <w:hideMark/>
          </w:tcPr>
          <w:p w14:paraId="0DCB829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0.42</w:t>
            </w:r>
          </w:p>
        </w:tc>
        <w:tc>
          <w:tcPr>
            <w:tcW w:w="800" w:type="dxa"/>
            <w:noWrap/>
            <w:hideMark/>
          </w:tcPr>
          <w:p w14:paraId="535DCE3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00" w:type="dxa"/>
            <w:noWrap/>
            <w:hideMark/>
          </w:tcPr>
          <w:p w14:paraId="50BE163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2767E35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0.03</w:t>
            </w:r>
          </w:p>
        </w:tc>
        <w:tc>
          <w:tcPr>
            <w:tcW w:w="940" w:type="dxa"/>
            <w:noWrap/>
            <w:hideMark/>
          </w:tcPr>
          <w:p w14:paraId="5789A83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r>
      <w:tr w:rsidR="00302953" w:rsidRPr="00770477" w14:paraId="13C372E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4F0214E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w:t>
            </w:r>
          </w:p>
        </w:tc>
        <w:tc>
          <w:tcPr>
            <w:tcW w:w="800" w:type="dxa"/>
            <w:noWrap/>
            <w:hideMark/>
          </w:tcPr>
          <w:p w14:paraId="1DE8424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4.77</w:t>
            </w:r>
          </w:p>
        </w:tc>
        <w:tc>
          <w:tcPr>
            <w:tcW w:w="820" w:type="dxa"/>
            <w:noWrap/>
            <w:hideMark/>
          </w:tcPr>
          <w:p w14:paraId="724444C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2.26</w:t>
            </w:r>
          </w:p>
        </w:tc>
        <w:tc>
          <w:tcPr>
            <w:tcW w:w="800" w:type="dxa"/>
            <w:noWrap/>
            <w:hideMark/>
          </w:tcPr>
          <w:p w14:paraId="400FB16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660" w:type="dxa"/>
            <w:noWrap/>
            <w:hideMark/>
          </w:tcPr>
          <w:p w14:paraId="35169DB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0.30</w:t>
            </w:r>
          </w:p>
        </w:tc>
        <w:tc>
          <w:tcPr>
            <w:tcW w:w="700" w:type="dxa"/>
            <w:noWrap/>
            <w:hideMark/>
          </w:tcPr>
          <w:p w14:paraId="3FACECF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764" w:type="dxa"/>
            <w:noWrap/>
            <w:hideMark/>
          </w:tcPr>
          <w:p w14:paraId="680A984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798043D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48B67DF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0.21</w:t>
            </w:r>
          </w:p>
        </w:tc>
        <w:tc>
          <w:tcPr>
            <w:tcW w:w="840" w:type="dxa"/>
            <w:noWrap/>
            <w:hideMark/>
          </w:tcPr>
          <w:p w14:paraId="1C0B733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1.95</w:t>
            </w:r>
          </w:p>
        </w:tc>
        <w:tc>
          <w:tcPr>
            <w:tcW w:w="940" w:type="dxa"/>
            <w:noWrap/>
            <w:hideMark/>
          </w:tcPr>
          <w:p w14:paraId="7E5053A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97.72</w:t>
            </w:r>
          </w:p>
        </w:tc>
        <w:tc>
          <w:tcPr>
            <w:tcW w:w="700" w:type="dxa"/>
            <w:noWrap/>
            <w:hideMark/>
          </w:tcPr>
          <w:p w14:paraId="6AA5465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p>
        </w:tc>
        <w:tc>
          <w:tcPr>
            <w:tcW w:w="800" w:type="dxa"/>
            <w:noWrap/>
            <w:hideMark/>
          </w:tcPr>
          <w:p w14:paraId="6188656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00" w:type="dxa"/>
            <w:noWrap/>
            <w:hideMark/>
          </w:tcPr>
          <w:p w14:paraId="48A5F1A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2135B04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1.19</w:t>
            </w:r>
          </w:p>
        </w:tc>
        <w:tc>
          <w:tcPr>
            <w:tcW w:w="940" w:type="dxa"/>
            <w:noWrap/>
            <w:hideMark/>
          </w:tcPr>
          <w:p w14:paraId="23B938C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r>
      <w:tr w:rsidR="00302953" w:rsidRPr="00770477" w14:paraId="15EBD70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4C1C98A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10-D-17</w:t>
            </w:r>
          </w:p>
        </w:tc>
        <w:tc>
          <w:tcPr>
            <w:tcW w:w="800" w:type="dxa"/>
            <w:noWrap/>
            <w:hideMark/>
          </w:tcPr>
          <w:p w14:paraId="0019457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2.43</w:t>
            </w:r>
          </w:p>
        </w:tc>
        <w:tc>
          <w:tcPr>
            <w:tcW w:w="820" w:type="dxa"/>
            <w:noWrap/>
            <w:hideMark/>
          </w:tcPr>
          <w:p w14:paraId="648AB74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3.82</w:t>
            </w:r>
          </w:p>
        </w:tc>
        <w:tc>
          <w:tcPr>
            <w:tcW w:w="800" w:type="dxa"/>
            <w:noWrap/>
            <w:hideMark/>
          </w:tcPr>
          <w:p w14:paraId="38A6F35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660" w:type="dxa"/>
            <w:noWrap/>
            <w:hideMark/>
          </w:tcPr>
          <w:p w14:paraId="77D24D6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0.31</w:t>
            </w:r>
          </w:p>
        </w:tc>
        <w:tc>
          <w:tcPr>
            <w:tcW w:w="700" w:type="dxa"/>
            <w:noWrap/>
            <w:hideMark/>
          </w:tcPr>
          <w:p w14:paraId="59F18CB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764" w:type="dxa"/>
            <w:noWrap/>
            <w:hideMark/>
          </w:tcPr>
          <w:p w14:paraId="22AF356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840" w:type="dxa"/>
            <w:noWrap/>
            <w:hideMark/>
          </w:tcPr>
          <w:p w14:paraId="36A04E6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3EEC1EF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2.66</w:t>
            </w:r>
          </w:p>
        </w:tc>
        <w:tc>
          <w:tcPr>
            <w:tcW w:w="840" w:type="dxa"/>
            <w:noWrap/>
            <w:hideMark/>
          </w:tcPr>
          <w:p w14:paraId="036D560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0.81</w:t>
            </w:r>
          </w:p>
        </w:tc>
        <w:tc>
          <w:tcPr>
            <w:tcW w:w="940" w:type="dxa"/>
            <w:noWrap/>
            <w:hideMark/>
          </w:tcPr>
          <w:p w14:paraId="148B2CE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19.86</w:t>
            </w:r>
          </w:p>
        </w:tc>
        <w:tc>
          <w:tcPr>
            <w:tcW w:w="700" w:type="dxa"/>
            <w:noWrap/>
            <w:hideMark/>
          </w:tcPr>
          <w:p w14:paraId="3A458CC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0.08</w:t>
            </w:r>
          </w:p>
        </w:tc>
        <w:tc>
          <w:tcPr>
            <w:tcW w:w="800" w:type="dxa"/>
            <w:noWrap/>
            <w:hideMark/>
          </w:tcPr>
          <w:p w14:paraId="193599D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800" w:type="dxa"/>
            <w:noWrap/>
            <w:hideMark/>
          </w:tcPr>
          <w:p w14:paraId="385C6D4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700" w:type="dxa"/>
            <w:noWrap/>
            <w:hideMark/>
          </w:tcPr>
          <w:p w14:paraId="4CD92D4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0.22</w:t>
            </w:r>
          </w:p>
        </w:tc>
        <w:tc>
          <w:tcPr>
            <w:tcW w:w="940" w:type="dxa"/>
            <w:noWrap/>
            <w:hideMark/>
          </w:tcPr>
          <w:p w14:paraId="42AA2F7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r>
      <w:tr w:rsidR="00302953" w:rsidRPr="00770477" w14:paraId="3B4CD549"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13A5DA0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10-D-27</w:t>
            </w:r>
          </w:p>
        </w:tc>
        <w:tc>
          <w:tcPr>
            <w:tcW w:w="800" w:type="dxa"/>
            <w:noWrap/>
            <w:hideMark/>
          </w:tcPr>
          <w:p w14:paraId="5CA9086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1.09</w:t>
            </w:r>
          </w:p>
        </w:tc>
        <w:tc>
          <w:tcPr>
            <w:tcW w:w="820" w:type="dxa"/>
            <w:noWrap/>
            <w:hideMark/>
          </w:tcPr>
          <w:p w14:paraId="5BB3CEB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4.51</w:t>
            </w:r>
          </w:p>
        </w:tc>
        <w:tc>
          <w:tcPr>
            <w:tcW w:w="800" w:type="dxa"/>
            <w:noWrap/>
            <w:hideMark/>
          </w:tcPr>
          <w:p w14:paraId="1C0E8CB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660" w:type="dxa"/>
            <w:noWrap/>
            <w:hideMark/>
          </w:tcPr>
          <w:p w14:paraId="7539057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0.05</w:t>
            </w:r>
          </w:p>
        </w:tc>
        <w:tc>
          <w:tcPr>
            <w:tcW w:w="700" w:type="dxa"/>
            <w:noWrap/>
            <w:hideMark/>
          </w:tcPr>
          <w:p w14:paraId="2793C74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764" w:type="dxa"/>
            <w:noWrap/>
            <w:hideMark/>
          </w:tcPr>
          <w:p w14:paraId="6B4FC96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840" w:type="dxa"/>
            <w:noWrap/>
            <w:hideMark/>
          </w:tcPr>
          <w:p w14:paraId="6EEF39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6A6AD67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0.46</w:t>
            </w:r>
          </w:p>
        </w:tc>
        <w:tc>
          <w:tcPr>
            <w:tcW w:w="840" w:type="dxa"/>
            <w:noWrap/>
            <w:hideMark/>
          </w:tcPr>
          <w:p w14:paraId="1FB2A43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0.55</w:t>
            </w:r>
          </w:p>
        </w:tc>
        <w:tc>
          <w:tcPr>
            <w:tcW w:w="940" w:type="dxa"/>
            <w:noWrap/>
            <w:hideMark/>
          </w:tcPr>
          <w:p w14:paraId="2352BE0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22.88</w:t>
            </w:r>
          </w:p>
        </w:tc>
        <w:tc>
          <w:tcPr>
            <w:tcW w:w="700" w:type="dxa"/>
            <w:noWrap/>
            <w:hideMark/>
          </w:tcPr>
          <w:p w14:paraId="3850E98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0.33</w:t>
            </w:r>
          </w:p>
        </w:tc>
        <w:tc>
          <w:tcPr>
            <w:tcW w:w="800" w:type="dxa"/>
            <w:noWrap/>
            <w:hideMark/>
          </w:tcPr>
          <w:p w14:paraId="131C023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800" w:type="dxa"/>
            <w:noWrap/>
            <w:hideMark/>
          </w:tcPr>
          <w:p w14:paraId="348CC7F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700" w:type="dxa"/>
            <w:noWrap/>
            <w:hideMark/>
          </w:tcPr>
          <w:p w14:paraId="17E081D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0.62</w:t>
            </w:r>
          </w:p>
        </w:tc>
        <w:tc>
          <w:tcPr>
            <w:tcW w:w="940" w:type="dxa"/>
            <w:noWrap/>
            <w:hideMark/>
          </w:tcPr>
          <w:p w14:paraId="1AE0C0B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105.65</w:t>
            </w:r>
          </w:p>
        </w:tc>
      </w:tr>
    </w:tbl>
    <w:p w14:paraId="0D9F37F3" w14:textId="77777777" w:rsidR="00302953" w:rsidRPr="00770477" w:rsidRDefault="00302953" w:rsidP="00302953">
      <w:pPr>
        <w:spacing w:line="240" w:lineRule="auto"/>
        <w:jc w:val="left"/>
        <w:rPr>
          <w:rFonts w:cs="Times New Roman"/>
        </w:rPr>
        <w:sectPr w:rsidR="00302953" w:rsidRPr="00770477" w:rsidSect="0048531E">
          <w:pgSz w:w="15840" w:h="12240" w:orient="landscape"/>
          <w:pgMar w:top="1440" w:right="1440" w:bottom="1440" w:left="1440" w:header="720" w:footer="720" w:gutter="0"/>
          <w:cols w:space="720"/>
          <w:docGrid w:linePitch="360"/>
        </w:sectPr>
      </w:pPr>
    </w:p>
    <w:p w14:paraId="3032245E" w14:textId="354BF1AE" w:rsidR="00302953" w:rsidRDefault="00302953" w:rsidP="00302953">
      <w:pPr>
        <w:pStyle w:val="Caption"/>
        <w:keepNext/>
      </w:pPr>
      <w:bookmarkStart w:id="201" w:name="_Ref121496127"/>
      <w:bookmarkStart w:id="202" w:name="_Toc121494164"/>
      <w:bookmarkStart w:id="203" w:name="_Toc121495949"/>
      <w:r>
        <w:lastRenderedPageBreak/>
        <w:t xml:space="preserve">Table </w:t>
      </w:r>
      <w:fldSimple w:instr=" STYLEREF 1 \s ">
        <w:r w:rsidR="00061096">
          <w:rPr>
            <w:noProof/>
          </w:rPr>
          <w:t>10</w:t>
        </w:r>
      </w:fldSimple>
      <w:r w:rsidR="00B26DDF">
        <w:noBreakHyphen/>
      </w:r>
      <w:fldSimple w:instr=" SEQ Table \* ARABIC \s 1 ">
        <w:r w:rsidR="00061096">
          <w:rPr>
            <w:noProof/>
          </w:rPr>
          <w:t>11</w:t>
        </w:r>
      </w:fldSimple>
      <w:bookmarkEnd w:id="201"/>
      <w:r w:rsidRPr="00A13580">
        <w:rPr>
          <w:rFonts w:cs="Times New Roman"/>
        </w:rPr>
        <w:t xml:space="preserve"> </w:t>
      </w:r>
      <w:r w:rsidRPr="00770477">
        <w:rPr>
          <w:rFonts w:cs="Times New Roman"/>
        </w:rPr>
        <w:t>Coefficient of variation (%) for phosphorus and all three neonicotinoids. A mild variation exceedance is &gt;10% and a substantial exceedance is &gt;20%.</w:t>
      </w:r>
      <w:bookmarkEnd w:id="202"/>
      <w:bookmarkEnd w:id="203"/>
    </w:p>
    <w:tbl>
      <w:tblPr>
        <w:tblStyle w:val="PlainTable5"/>
        <w:tblW w:w="7324" w:type="dxa"/>
        <w:tblLook w:val="04A0" w:firstRow="1" w:lastRow="0" w:firstColumn="1" w:lastColumn="0" w:noHBand="0" w:noVBand="1"/>
      </w:tblPr>
      <w:tblGrid>
        <w:gridCol w:w="1320"/>
        <w:gridCol w:w="764"/>
        <w:gridCol w:w="1740"/>
        <w:gridCol w:w="1720"/>
        <w:gridCol w:w="1780"/>
      </w:tblGrid>
      <w:tr w:rsidR="00302953" w:rsidRPr="00770477" w14:paraId="42A99B09" w14:textId="77777777" w:rsidTr="00622DCD">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1320" w:type="dxa"/>
            <w:hideMark/>
          </w:tcPr>
          <w:p w14:paraId="0EAA01BE"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Sample ID</w:t>
            </w:r>
          </w:p>
        </w:tc>
        <w:tc>
          <w:tcPr>
            <w:tcW w:w="764" w:type="dxa"/>
            <w:noWrap/>
            <w:hideMark/>
          </w:tcPr>
          <w:p w14:paraId="2B119677"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P</w:t>
            </w:r>
          </w:p>
        </w:tc>
        <w:tc>
          <w:tcPr>
            <w:tcW w:w="1740" w:type="dxa"/>
            <w:noWrap/>
            <w:hideMark/>
          </w:tcPr>
          <w:p w14:paraId="5CC60ECC"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Acetamiprid</w:t>
            </w:r>
          </w:p>
        </w:tc>
        <w:tc>
          <w:tcPr>
            <w:tcW w:w="1720" w:type="dxa"/>
            <w:noWrap/>
            <w:hideMark/>
          </w:tcPr>
          <w:p w14:paraId="35329176"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Dinotefuran</w:t>
            </w:r>
          </w:p>
        </w:tc>
        <w:tc>
          <w:tcPr>
            <w:tcW w:w="1780" w:type="dxa"/>
            <w:noWrap/>
            <w:hideMark/>
          </w:tcPr>
          <w:p w14:paraId="70031E2D"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Imidacloprid</w:t>
            </w:r>
          </w:p>
        </w:tc>
      </w:tr>
      <w:tr w:rsidR="00302953" w:rsidRPr="00770477" w14:paraId="54A4F6CE" w14:textId="77777777" w:rsidTr="00622DC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320" w:type="dxa"/>
            <w:noWrap/>
            <w:hideMark/>
          </w:tcPr>
          <w:p w14:paraId="7FAD775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1-A-010</w:t>
            </w:r>
          </w:p>
        </w:tc>
        <w:tc>
          <w:tcPr>
            <w:tcW w:w="764" w:type="dxa"/>
            <w:noWrap/>
            <w:hideMark/>
          </w:tcPr>
          <w:p w14:paraId="3CC7507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29.54</w:t>
            </w:r>
          </w:p>
        </w:tc>
        <w:tc>
          <w:tcPr>
            <w:tcW w:w="1740" w:type="dxa"/>
            <w:noWrap/>
            <w:hideMark/>
          </w:tcPr>
          <w:p w14:paraId="4566D0C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p>
        </w:tc>
        <w:tc>
          <w:tcPr>
            <w:tcW w:w="1720" w:type="dxa"/>
            <w:noWrap/>
            <w:hideMark/>
          </w:tcPr>
          <w:p w14:paraId="146348B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780" w:type="dxa"/>
            <w:noWrap/>
            <w:hideMark/>
          </w:tcPr>
          <w:p w14:paraId="3FE87A3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26A2DC21"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579D157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1-A-040</w:t>
            </w:r>
          </w:p>
        </w:tc>
        <w:tc>
          <w:tcPr>
            <w:tcW w:w="764" w:type="dxa"/>
            <w:noWrap/>
            <w:hideMark/>
          </w:tcPr>
          <w:p w14:paraId="404DBE9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740" w:type="dxa"/>
            <w:noWrap/>
            <w:hideMark/>
          </w:tcPr>
          <w:p w14:paraId="0195757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2.33</w:t>
            </w:r>
          </w:p>
        </w:tc>
        <w:tc>
          <w:tcPr>
            <w:tcW w:w="1720" w:type="dxa"/>
            <w:noWrap/>
            <w:hideMark/>
          </w:tcPr>
          <w:p w14:paraId="5DC7D1B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4.94</w:t>
            </w:r>
          </w:p>
        </w:tc>
        <w:tc>
          <w:tcPr>
            <w:tcW w:w="1780" w:type="dxa"/>
            <w:noWrap/>
            <w:hideMark/>
          </w:tcPr>
          <w:p w14:paraId="55C5F70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6.01</w:t>
            </w:r>
          </w:p>
        </w:tc>
      </w:tr>
      <w:tr w:rsidR="00302953" w:rsidRPr="00770477" w14:paraId="744AE40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50E398E2"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1-A-090</w:t>
            </w:r>
          </w:p>
        </w:tc>
        <w:tc>
          <w:tcPr>
            <w:tcW w:w="764" w:type="dxa"/>
            <w:noWrap/>
            <w:hideMark/>
          </w:tcPr>
          <w:p w14:paraId="466CE71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740" w:type="dxa"/>
            <w:noWrap/>
            <w:hideMark/>
          </w:tcPr>
          <w:p w14:paraId="5AEA917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720" w:type="dxa"/>
            <w:noWrap/>
            <w:hideMark/>
          </w:tcPr>
          <w:p w14:paraId="73DC0EF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780" w:type="dxa"/>
            <w:noWrap/>
            <w:hideMark/>
          </w:tcPr>
          <w:p w14:paraId="5C383B6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5A37F04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781BFBE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1-A-160</w:t>
            </w:r>
          </w:p>
        </w:tc>
        <w:tc>
          <w:tcPr>
            <w:tcW w:w="764" w:type="dxa"/>
            <w:noWrap/>
            <w:hideMark/>
          </w:tcPr>
          <w:p w14:paraId="649B887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4.50</w:t>
            </w:r>
          </w:p>
        </w:tc>
        <w:tc>
          <w:tcPr>
            <w:tcW w:w="1740" w:type="dxa"/>
            <w:noWrap/>
            <w:hideMark/>
          </w:tcPr>
          <w:p w14:paraId="3DCFE67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720" w:type="dxa"/>
            <w:noWrap/>
            <w:hideMark/>
          </w:tcPr>
          <w:p w14:paraId="6BC9793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780" w:type="dxa"/>
            <w:noWrap/>
            <w:hideMark/>
          </w:tcPr>
          <w:p w14:paraId="2B3CE55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52DCEC8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2F09EFA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1-A-270</w:t>
            </w:r>
          </w:p>
        </w:tc>
        <w:tc>
          <w:tcPr>
            <w:tcW w:w="764" w:type="dxa"/>
            <w:noWrap/>
            <w:hideMark/>
          </w:tcPr>
          <w:p w14:paraId="2B3B5F9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740" w:type="dxa"/>
            <w:noWrap/>
            <w:hideMark/>
          </w:tcPr>
          <w:p w14:paraId="1FCEE4B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13.78</w:t>
            </w:r>
          </w:p>
        </w:tc>
        <w:tc>
          <w:tcPr>
            <w:tcW w:w="1720" w:type="dxa"/>
            <w:noWrap/>
            <w:hideMark/>
          </w:tcPr>
          <w:p w14:paraId="5F2A326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13.48</w:t>
            </w:r>
          </w:p>
        </w:tc>
        <w:tc>
          <w:tcPr>
            <w:tcW w:w="1780" w:type="dxa"/>
            <w:noWrap/>
            <w:hideMark/>
          </w:tcPr>
          <w:p w14:paraId="70DC6A0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12.23</w:t>
            </w:r>
          </w:p>
        </w:tc>
      </w:tr>
      <w:tr w:rsidR="00302953" w:rsidRPr="00770477" w14:paraId="768D565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006BE53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1-A-670</w:t>
            </w:r>
          </w:p>
        </w:tc>
        <w:tc>
          <w:tcPr>
            <w:tcW w:w="764" w:type="dxa"/>
            <w:noWrap/>
            <w:hideMark/>
          </w:tcPr>
          <w:p w14:paraId="464562D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13.62</w:t>
            </w:r>
          </w:p>
        </w:tc>
        <w:tc>
          <w:tcPr>
            <w:tcW w:w="1740" w:type="dxa"/>
            <w:noWrap/>
            <w:hideMark/>
          </w:tcPr>
          <w:p w14:paraId="6EECE51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5700"/>
              </w:rPr>
            </w:pPr>
          </w:p>
        </w:tc>
        <w:tc>
          <w:tcPr>
            <w:tcW w:w="1720" w:type="dxa"/>
            <w:noWrap/>
            <w:hideMark/>
          </w:tcPr>
          <w:p w14:paraId="111D574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780" w:type="dxa"/>
            <w:noWrap/>
            <w:hideMark/>
          </w:tcPr>
          <w:p w14:paraId="2DAA3A5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51ACFF7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2735A0D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1-B-010</w:t>
            </w:r>
          </w:p>
        </w:tc>
        <w:tc>
          <w:tcPr>
            <w:tcW w:w="764" w:type="dxa"/>
            <w:noWrap/>
            <w:hideMark/>
          </w:tcPr>
          <w:p w14:paraId="4F69421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740" w:type="dxa"/>
            <w:noWrap/>
            <w:hideMark/>
          </w:tcPr>
          <w:p w14:paraId="14190CE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18.94</w:t>
            </w:r>
          </w:p>
        </w:tc>
        <w:tc>
          <w:tcPr>
            <w:tcW w:w="1720" w:type="dxa"/>
            <w:noWrap/>
            <w:hideMark/>
          </w:tcPr>
          <w:p w14:paraId="200FC0C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17.91</w:t>
            </w:r>
          </w:p>
        </w:tc>
        <w:tc>
          <w:tcPr>
            <w:tcW w:w="1780" w:type="dxa"/>
            <w:noWrap/>
            <w:hideMark/>
          </w:tcPr>
          <w:p w14:paraId="176325C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20.45</w:t>
            </w:r>
          </w:p>
        </w:tc>
      </w:tr>
      <w:tr w:rsidR="00302953" w:rsidRPr="00770477" w14:paraId="2743939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74D1263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1-B-040</w:t>
            </w:r>
          </w:p>
        </w:tc>
        <w:tc>
          <w:tcPr>
            <w:tcW w:w="764" w:type="dxa"/>
            <w:noWrap/>
            <w:hideMark/>
          </w:tcPr>
          <w:p w14:paraId="16B4B9D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740" w:type="dxa"/>
            <w:noWrap/>
            <w:hideMark/>
          </w:tcPr>
          <w:p w14:paraId="2E4B4D0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720" w:type="dxa"/>
            <w:noWrap/>
            <w:hideMark/>
          </w:tcPr>
          <w:p w14:paraId="19D77F3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780" w:type="dxa"/>
            <w:noWrap/>
            <w:hideMark/>
          </w:tcPr>
          <w:p w14:paraId="7B37D0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108D25B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6682692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1-B-090</w:t>
            </w:r>
          </w:p>
        </w:tc>
        <w:tc>
          <w:tcPr>
            <w:tcW w:w="764" w:type="dxa"/>
            <w:noWrap/>
            <w:hideMark/>
          </w:tcPr>
          <w:p w14:paraId="3409518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740" w:type="dxa"/>
            <w:noWrap/>
            <w:hideMark/>
          </w:tcPr>
          <w:p w14:paraId="648905F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1.20</w:t>
            </w:r>
          </w:p>
        </w:tc>
        <w:tc>
          <w:tcPr>
            <w:tcW w:w="1720" w:type="dxa"/>
            <w:noWrap/>
            <w:hideMark/>
          </w:tcPr>
          <w:p w14:paraId="77B622A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1.98</w:t>
            </w:r>
          </w:p>
        </w:tc>
        <w:tc>
          <w:tcPr>
            <w:tcW w:w="1780" w:type="dxa"/>
            <w:noWrap/>
            <w:hideMark/>
          </w:tcPr>
          <w:p w14:paraId="215D3A2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3.70</w:t>
            </w:r>
          </w:p>
        </w:tc>
      </w:tr>
      <w:tr w:rsidR="00302953" w:rsidRPr="00770477" w14:paraId="079095D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11ECA9C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1-B-160</w:t>
            </w:r>
          </w:p>
        </w:tc>
        <w:tc>
          <w:tcPr>
            <w:tcW w:w="764" w:type="dxa"/>
            <w:noWrap/>
            <w:hideMark/>
          </w:tcPr>
          <w:p w14:paraId="3F394DD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4.54</w:t>
            </w:r>
          </w:p>
        </w:tc>
        <w:tc>
          <w:tcPr>
            <w:tcW w:w="1740" w:type="dxa"/>
            <w:noWrap/>
            <w:hideMark/>
          </w:tcPr>
          <w:p w14:paraId="146D280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720" w:type="dxa"/>
            <w:noWrap/>
            <w:hideMark/>
          </w:tcPr>
          <w:p w14:paraId="3AA62B8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780" w:type="dxa"/>
            <w:noWrap/>
            <w:hideMark/>
          </w:tcPr>
          <w:p w14:paraId="13DFB0D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573389C7"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50D1B34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1-B-270</w:t>
            </w:r>
          </w:p>
        </w:tc>
        <w:tc>
          <w:tcPr>
            <w:tcW w:w="764" w:type="dxa"/>
            <w:noWrap/>
            <w:hideMark/>
          </w:tcPr>
          <w:p w14:paraId="17D8420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740" w:type="dxa"/>
            <w:noWrap/>
            <w:hideMark/>
          </w:tcPr>
          <w:p w14:paraId="5E6AC59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720" w:type="dxa"/>
            <w:noWrap/>
            <w:hideMark/>
          </w:tcPr>
          <w:p w14:paraId="412AF5A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780" w:type="dxa"/>
            <w:noWrap/>
            <w:hideMark/>
          </w:tcPr>
          <w:p w14:paraId="281F635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6379B702"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6F396A7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1-B-670</w:t>
            </w:r>
          </w:p>
        </w:tc>
        <w:tc>
          <w:tcPr>
            <w:tcW w:w="764" w:type="dxa"/>
            <w:noWrap/>
            <w:hideMark/>
          </w:tcPr>
          <w:p w14:paraId="08B6228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2.99</w:t>
            </w:r>
          </w:p>
        </w:tc>
        <w:tc>
          <w:tcPr>
            <w:tcW w:w="1740" w:type="dxa"/>
            <w:noWrap/>
            <w:hideMark/>
          </w:tcPr>
          <w:p w14:paraId="4E57AA6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720" w:type="dxa"/>
            <w:noWrap/>
            <w:hideMark/>
          </w:tcPr>
          <w:p w14:paraId="142FFF1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780" w:type="dxa"/>
            <w:noWrap/>
            <w:hideMark/>
          </w:tcPr>
          <w:p w14:paraId="1059E382"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4F93DA81"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4F6EBE3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1-C-040</w:t>
            </w:r>
          </w:p>
        </w:tc>
        <w:tc>
          <w:tcPr>
            <w:tcW w:w="764" w:type="dxa"/>
            <w:noWrap/>
            <w:hideMark/>
          </w:tcPr>
          <w:p w14:paraId="668317F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740" w:type="dxa"/>
            <w:noWrap/>
            <w:hideMark/>
          </w:tcPr>
          <w:p w14:paraId="4E3A76F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720" w:type="dxa"/>
            <w:noWrap/>
            <w:hideMark/>
          </w:tcPr>
          <w:p w14:paraId="33F258E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780" w:type="dxa"/>
            <w:noWrap/>
            <w:hideMark/>
          </w:tcPr>
          <w:p w14:paraId="7348EC0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7C6657E8"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76325A6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1-C-090</w:t>
            </w:r>
          </w:p>
        </w:tc>
        <w:tc>
          <w:tcPr>
            <w:tcW w:w="764" w:type="dxa"/>
            <w:noWrap/>
            <w:hideMark/>
          </w:tcPr>
          <w:p w14:paraId="04C335E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25.25</w:t>
            </w:r>
          </w:p>
        </w:tc>
        <w:tc>
          <w:tcPr>
            <w:tcW w:w="1740" w:type="dxa"/>
            <w:noWrap/>
            <w:hideMark/>
          </w:tcPr>
          <w:p w14:paraId="4FF89F8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16.99</w:t>
            </w:r>
          </w:p>
        </w:tc>
        <w:tc>
          <w:tcPr>
            <w:tcW w:w="1720" w:type="dxa"/>
            <w:noWrap/>
            <w:hideMark/>
          </w:tcPr>
          <w:p w14:paraId="100D2DD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11.79</w:t>
            </w:r>
          </w:p>
        </w:tc>
        <w:tc>
          <w:tcPr>
            <w:tcW w:w="1780" w:type="dxa"/>
            <w:noWrap/>
            <w:hideMark/>
          </w:tcPr>
          <w:p w14:paraId="64A3D66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12.71</w:t>
            </w:r>
          </w:p>
        </w:tc>
      </w:tr>
      <w:tr w:rsidR="00302953" w:rsidRPr="00770477" w14:paraId="79FDFB3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7D475B9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1-C-160</w:t>
            </w:r>
          </w:p>
        </w:tc>
        <w:tc>
          <w:tcPr>
            <w:tcW w:w="764" w:type="dxa"/>
            <w:noWrap/>
            <w:hideMark/>
          </w:tcPr>
          <w:p w14:paraId="3591708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740" w:type="dxa"/>
            <w:noWrap/>
            <w:hideMark/>
          </w:tcPr>
          <w:p w14:paraId="27966ED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13.90</w:t>
            </w:r>
          </w:p>
        </w:tc>
        <w:tc>
          <w:tcPr>
            <w:tcW w:w="1720" w:type="dxa"/>
            <w:noWrap/>
            <w:hideMark/>
          </w:tcPr>
          <w:p w14:paraId="5127F83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10.06</w:t>
            </w:r>
          </w:p>
        </w:tc>
        <w:tc>
          <w:tcPr>
            <w:tcW w:w="1780" w:type="dxa"/>
            <w:noWrap/>
            <w:hideMark/>
          </w:tcPr>
          <w:p w14:paraId="056B21D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11.20</w:t>
            </w:r>
          </w:p>
        </w:tc>
      </w:tr>
      <w:tr w:rsidR="00302953" w:rsidRPr="00770477" w14:paraId="31D36C7F"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1F9C2D9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1-C-270</w:t>
            </w:r>
          </w:p>
        </w:tc>
        <w:tc>
          <w:tcPr>
            <w:tcW w:w="764" w:type="dxa"/>
            <w:noWrap/>
            <w:hideMark/>
          </w:tcPr>
          <w:p w14:paraId="458E29B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89.82</w:t>
            </w:r>
          </w:p>
        </w:tc>
        <w:tc>
          <w:tcPr>
            <w:tcW w:w="1740" w:type="dxa"/>
            <w:noWrap/>
            <w:hideMark/>
          </w:tcPr>
          <w:p w14:paraId="79E310D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p>
        </w:tc>
        <w:tc>
          <w:tcPr>
            <w:tcW w:w="1720" w:type="dxa"/>
            <w:noWrap/>
            <w:hideMark/>
          </w:tcPr>
          <w:p w14:paraId="170B081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780" w:type="dxa"/>
            <w:noWrap/>
            <w:hideMark/>
          </w:tcPr>
          <w:p w14:paraId="1D4316E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770A4EB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16F61B4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1-C-430</w:t>
            </w:r>
          </w:p>
        </w:tc>
        <w:tc>
          <w:tcPr>
            <w:tcW w:w="764" w:type="dxa"/>
            <w:noWrap/>
            <w:hideMark/>
          </w:tcPr>
          <w:p w14:paraId="7A81562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740" w:type="dxa"/>
            <w:noWrap/>
            <w:hideMark/>
          </w:tcPr>
          <w:p w14:paraId="4ED2C41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720" w:type="dxa"/>
            <w:noWrap/>
            <w:hideMark/>
          </w:tcPr>
          <w:p w14:paraId="06B9DA4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780" w:type="dxa"/>
            <w:noWrap/>
            <w:hideMark/>
          </w:tcPr>
          <w:p w14:paraId="22F6F46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3DB13B9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617A604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1-C-670</w:t>
            </w:r>
          </w:p>
        </w:tc>
        <w:tc>
          <w:tcPr>
            <w:tcW w:w="764" w:type="dxa"/>
            <w:noWrap/>
            <w:hideMark/>
          </w:tcPr>
          <w:p w14:paraId="2ECD4F3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25.38</w:t>
            </w:r>
          </w:p>
        </w:tc>
        <w:tc>
          <w:tcPr>
            <w:tcW w:w="1740" w:type="dxa"/>
            <w:noWrap/>
            <w:hideMark/>
          </w:tcPr>
          <w:p w14:paraId="1564409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p>
        </w:tc>
        <w:tc>
          <w:tcPr>
            <w:tcW w:w="1720" w:type="dxa"/>
            <w:noWrap/>
            <w:hideMark/>
          </w:tcPr>
          <w:p w14:paraId="420E3A9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780" w:type="dxa"/>
            <w:noWrap/>
            <w:hideMark/>
          </w:tcPr>
          <w:p w14:paraId="36E9AD7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202F641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5348365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2-A-010</w:t>
            </w:r>
          </w:p>
        </w:tc>
        <w:tc>
          <w:tcPr>
            <w:tcW w:w="764" w:type="dxa"/>
            <w:noWrap/>
            <w:hideMark/>
          </w:tcPr>
          <w:p w14:paraId="1459BF0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740" w:type="dxa"/>
            <w:noWrap/>
            <w:hideMark/>
          </w:tcPr>
          <w:p w14:paraId="520299C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1.27</w:t>
            </w:r>
          </w:p>
        </w:tc>
        <w:tc>
          <w:tcPr>
            <w:tcW w:w="1720" w:type="dxa"/>
            <w:noWrap/>
            <w:hideMark/>
          </w:tcPr>
          <w:p w14:paraId="48D25B8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2.01</w:t>
            </w:r>
          </w:p>
        </w:tc>
        <w:tc>
          <w:tcPr>
            <w:tcW w:w="1780" w:type="dxa"/>
            <w:noWrap/>
            <w:hideMark/>
          </w:tcPr>
          <w:p w14:paraId="490D598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1.59</w:t>
            </w:r>
          </w:p>
        </w:tc>
      </w:tr>
      <w:tr w:rsidR="00302953" w:rsidRPr="00770477" w14:paraId="63C863A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551F58A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2-A-040</w:t>
            </w:r>
          </w:p>
        </w:tc>
        <w:tc>
          <w:tcPr>
            <w:tcW w:w="764" w:type="dxa"/>
            <w:noWrap/>
            <w:hideMark/>
          </w:tcPr>
          <w:p w14:paraId="2E984B5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740" w:type="dxa"/>
            <w:noWrap/>
            <w:hideMark/>
          </w:tcPr>
          <w:p w14:paraId="238F388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6.34</w:t>
            </w:r>
          </w:p>
        </w:tc>
        <w:tc>
          <w:tcPr>
            <w:tcW w:w="1720" w:type="dxa"/>
            <w:noWrap/>
            <w:hideMark/>
          </w:tcPr>
          <w:p w14:paraId="48793AE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3.01</w:t>
            </w:r>
          </w:p>
        </w:tc>
        <w:tc>
          <w:tcPr>
            <w:tcW w:w="1780" w:type="dxa"/>
            <w:noWrap/>
            <w:hideMark/>
          </w:tcPr>
          <w:p w14:paraId="6DD6C82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2.16</w:t>
            </w:r>
          </w:p>
        </w:tc>
      </w:tr>
      <w:tr w:rsidR="00302953" w:rsidRPr="00770477" w14:paraId="548AB991"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19A379B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2-A-090</w:t>
            </w:r>
          </w:p>
        </w:tc>
        <w:tc>
          <w:tcPr>
            <w:tcW w:w="764" w:type="dxa"/>
            <w:noWrap/>
            <w:hideMark/>
          </w:tcPr>
          <w:p w14:paraId="2F8089D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740" w:type="dxa"/>
            <w:noWrap/>
            <w:hideMark/>
          </w:tcPr>
          <w:p w14:paraId="7133DCD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720" w:type="dxa"/>
            <w:noWrap/>
            <w:hideMark/>
          </w:tcPr>
          <w:p w14:paraId="6DABC34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780" w:type="dxa"/>
            <w:noWrap/>
            <w:hideMark/>
          </w:tcPr>
          <w:p w14:paraId="716F43D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4A3A3ADF"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68FDD28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2-A-160</w:t>
            </w:r>
          </w:p>
        </w:tc>
        <w:tc>
          <w:tcPr>
            <w:tcW w:w="764" w:type="dxa"/>
            <w:noWrap/>
            <w:hideMark/>
          </w:tcPr>
          <w:p w14:paraId="6C818F1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3.41</w:t>
            </w:r>
          </w:p>
        </w:tc>
        <w:tc>
          <w:tcPr>
            <w:tcW w:w="1740" w:type="dxa"/>
            <w:noWrap/>
            <w:hideMark/>
          </w:tcPr>
          <w:p w14:paraId="415BDC6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720" w:type="dxa"/>
            <w:noWrap/>
            <w:hideMark/>
          </w:tcPr>
          <w:p w14:paraId="7C22E39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780" w:type="dxa"/>
            <w:noWrap/>
            <w:hideMark/>
          </w:tcPr>
          <w:p w14:paraId="6181C39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7B86834C"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36F158E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2-A-270</w:t>
            </w:r>
          </w:p>
        </w:tc>
        <w:tc>
          <w:tcPr>
            <w:tcW w:w="764" w:type="dxa"/>
            <w:noWrap/>
            <w:hideMark/>
          </w:tcPr>
          <w:p w14:paraId="63EB576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740" w:type="dxa"/>
            <w:noWrap/>
            <w:hideMark/>
          </w:tcPr>
          <w:p w14:paraId="5683DB1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720" w:type="dxa"/>
            <w:noWrap/>
            <w:hideMark/>
          </w:tcPr>
          <w:p w14:paraId="1B78B35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780" w:type="dxa"/>
            <w:noWrap/>
            <w:hideMark/>
          </w:tcPr>
          <w:p w14:paraId="0084A3A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4F612174"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7267E7B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2-A-430</w:t>
            </w:r>
          </w:p>
        </w:tc>
        <w:tc>
          <w:tcPr>
            <w:tcW w:w="764" w:type="dxa"/>
            <w:noWrap/>
            <w:hideMark/>
          </w:tcPr>
          <w:p w14:paraId="1730DBC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740" w:type="dxa"/>
            <w:noWrap/>
            <w:hideMark/>
          </w:tcPr>
          <w:p w14:paraId="486B3C3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720" w:type="dxa"/>
            <w:noWrap/>
            <w:hideMark/>
          </w:tcPr>
          <w:p w14:paraId="54F250F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780" w:type="dxa"/>
            <w:noWrap/>
            <w:hideMark/>
          </w:tcPr>
          <w:p w14:paraId="6F19E48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4DEAA0B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5C4D364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2-B-010</w:t>
            </w:r>
          </w:p>
        </w:tc>
        <w:tc>
          <w:tcPr>
            <w:tcW w:w="764" w:type="dxa"/>
            <w:noWrap/>
            <w:hideMark/>
          </w:tcPr>
          <w:p w14:paraId="19284B8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740" w:type="dxa"/>
            <w:noWrap/>
            <w:hideMark/>
          </w:tcPr>
          <w:p w14:paraId="39E5B4E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4.58</w:t>
            </w:r>
          </w:p>
        </w:tc>
        <w:tc>
          <w:tcPr>
            <w:tcW w:w="1720" w:type="dxa"/>
            <w:noWrap/>
            <w:hideMark/>
          </w:tcPr>
          <w:p w14:paraId="3C59293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4.35</w:t>
            </w:r>
          </w:p>
        </w:tc>
        <w:tc>
          <w:tcPr>
            <w:tcW w:w="1780" w:type="dxa"/>
            <w:noWrap/>
            <w:hideMark/>
          </w:tcPr>
          <w:p w14:paraId="438E875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2.50</w:t>
            </w:r>
          </w:p>
        </w:tc>
      </w:tr>
      <w:tr w:rsidR="00302953" w:rsidRPr="00770477" w14:paraId="4FAC913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3D25833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2-B-040</w:t>
            </w:r>
          </w:p>
        </w:tc>
        <w:tc>
          <w:tcPr>
            <w:tcW w:w="764" w:type="dxa"/>
            <w:noWrap/>
            <w:hideMark/>
          </w:tcPr>
          <w:p w14:paraId="6326FDC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0.47</w:t>
            </w:r>
          </w:p>
        </w:tc>
        <w:tc>
          <w:tcPr>
            <w:tcW w:w="1740" w:type="dxa"/>
            <w:noWrap/>
            <w:hideMark/>
          </w:tcPr>
          <w:p w14:paraId="69E2118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720" w:type="dxa"/>
            <w:noWrap/>
            <w:hideMark/>
          </w:tcPr>
          <w:p w14:paraId="20C86E1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780" w:type="dxa"/>
            <w:noWrap/>
            <w:hideMark/>
          </w:tcPr>
          <w:p w14:paraId="4435669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4694C375"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2A4B7180"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2-B-090</w:t>
            </w:r>
          </w:p>
        </w:tc>
        <w:tc>
          <w:tcPr>
            <w:tcW w:w="764" w:type="dxa"/>
            <w:noWrap/>
            <w:hideMark/>
          </w:tcPr>
          <w:p w14:paraId="2B4E0DC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740" w:type="dxa"/>
            <w:noWrap/>
            <w:hideMark/>
          </w:tcPr>
          <w:p w14:paraId="6C73295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720" w:type="dxa"/>
            <w:noWrap/>
            <w:hideMark/>
          </w:tcPr>
          <w:p w14:paraId="1905C23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780" w:type="dxa"/>
            <w:noWrap/>
            <w:hideMark/>
          </w:tcPr>
          <w:p w14:paraId="0CF8F9D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235742A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541B34FF"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2-B-160</w:t>
            </w:r>
          </w:p>
        </w:tc>
        <w:tc>
          <w:tcPr>
            <w:tcW w:w="764" w:type="dxa"/>
            <w:noWrap/>
            <w:hideMark/>
          </w:tcPr>
          <w:p w14:paraId="32CCFE2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740" w:type="dxa"/>
            <w:noWrap/>
            <w:hideMark/>
          </w:tcPr>
          <w:p w14:paraId="7D3E8D4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720" w:type="dxa"/>
            <w:noWrap/>
            <w:hideMark/>
          </w:tcPr>
          <w:p w14:paraId="63BFEE8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780" w:type="dxa"/>
            <w:noWrap/>
            <w:hideMark/>
          </w:tcPr>
          <w:p w14:paraId="552FBC4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627BDC59"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65A46CA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2-B-430</w:t>
            </w:r>
          </w:p>
        </w:tc>
        <w:tc>
          <w:tcPr>
            <w:tcW w:w="764" w:type="dxa"/>
            <w:noWrap/>
            <w:hideMark/>
          </w:tcPr>
          <w:p w14:paraId="6FE97C7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740" w:type="dxa"/>
            <w:noWrap/>
            <w:hideMark/>
          </w:tcPr>
          <w:p w14:paraId="6B59B33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720" w:type="dxa"/>
            <w:noWrap/>
            <w:hideMark/>
          </w:tcPr>
          <w:p w14:paraId="6B3DC6F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780" w:type="dxa"/>
            <w:noWrap/>
            <w:hideMark/>
          </w:tcPr>
          <w:p w14:paraId="3C068DD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6AF3F5C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44C1367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2-B-670</w:t>
            </w:r>
          </w:p>
        </w:tc>
        <w:tc>
          <w:tcPr>
            <w:tcW w:w="764" w:type="dxa"/>
            <w:noWrap/>
            <w:hideMark/>
          </w:tcPr>
          <w:p w14:paraId="4353884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740" w:type="dxa"/>
            <w:noWrap/>
            <w:hideMark/>
          </w:tcPr>
          <w:p w14:paraId="769F570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6.56</w:t>
            </w:r>
          </w:p>
        </w:tc>
        <w:tc>
          <w:tcPr>
            <w:tcW w:w="1720" w:type="dxa"/>
            <w:noWrap/>
            <w:hideMark/>
          </w:tcPr>
          <w:p w14:paraId="59DB1FA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6.95</w:t>
            </w:r>
          </w:p>
        </w:tc>
        <w:tc>
          <w:tcPr>
            <w:tcW w:w="1780" w:type="dxa"/>
            <w:noWrap/>
            <w:hideMark/>
          </w:tcPr>
          <w:p w14:paraId="46594D3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8.84</w:t>
            </w:r>
          </w:p>
        </w:tc>
      </w:tr>
      <w:tr w:rsidR="00302953" w:rsidRPr="00770477" w14:paraId="76CB2C83"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2C2868A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2-C-010</w:t>
            </w:r>
          </w:p>
        </w:tc>
        <w:tc>
          <w:tcPr>
            <w:tcW w:w="764" w:type="dxa"/>
            <w:noWrap/>
            <w:hideMark/>
          </w:tcPr>
          <w:p w14:paraId="2543794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0.44</w:t>
            </w:r>
          </w:p>
        </w:tc>
        <w:tc>
          <w:tcPr>
            <w:tcW w:w="1740" w:type="dxa"/>
            <w:noWrap/>
            <w:hideMark/>
          </w:tcPr>
          <w:p w14:paraId="2891666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720" w:type="dxa"/>
            <w:noWrap/>
            <w:hideMark/>
          </w:tcPr>
          <w:p w14:paraId="6D113DD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780" w:type="dxa"/>
            <w:noWrap/>
            <w:hideMark/>
          </w:tcPr>
          <w:p w14:paraId="497DB66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67E1438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6B77860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2-C-040</w:t>
            </w:r>
          </w:p>
        </w:tc>
        <w:tc>
          <w:tcPr>
            <w:tcW w:w="764" w:type="dxa"/>
            <w:noWrap/>
            <w:hideMark/>
          </w:tcPr>
          <w:p w14:paraId="635E0F9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740" w:type="dxa"/>
            <w:noWrap/>
            <w:hideMark/>
          </w:tcPr>
          <w:p w14:paraId="2A87F0B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0.03</w:t>
            </w:r>
          </w:p>
        </w:tc>
        <w:tc>
          <w:tcPr>
            <w:tcW w:w="1720" w:type="dxa"/>
            <w:noWrap/>
            <w:hideMark/>
          </w:tcPr>
          <w:p w14:paraId="3C2B4BF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0.45</w:t>
            </w:r>
          </w:p>
        </w:tc>
        <w:tc>
          <w:tcPr>
            <w:tcW w:w="1780" w:type="dxa"/>
            <w:noWrap/>
            <w:hideMark/>
          </w:tcPr>
          <w:p w14:paraId="640D28C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3.34</w:t>
            </w:r>
          </w:p>
        </w:tc>
      </w:tr>
      <w:tr w:rsidR="00302953" w:rsidRPr="00770477" w14:paraId="7BA98F9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47E8CD4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2-C-090</w:t>
            </w:r>
          </w:p>
        </w:tc>
        <w:tc>
          <w:tcPr>
            <w:tcW w:w="764" w:type="dxa"/>
            <w:noWrap/>
            <w:hideMark/>
          </w:tcPr>
          <w:p w14:paraId="491866A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740" w:type="dxa"/>
            <w:noWrap/>
            <w:hideMark/>
          </w:tcPr>
          <w:p w14:paraId="4826D52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0.65</w:t>
            </w:r>
          </w:p>
        </w:tc>
        <w:tc>
          <w:tcPr>
            <w:tcW w:w="1720" w:type="dxa"/>
            <w:noWrap/>
            <w:hideMark/>
          </w:tcPr>
          <w:p w14:paraId="14CD2E9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4.74</w:t>
            </w:r>
          </w:p>
        </w:tc>
        <w:tc>
          <w:tcPr>
            <w:tcW w:w="1780" w:type="dxa"/>
            <w:noWrap/>
            <w:hideMark/>
          </w:tcPr>
          <w:p w14:paraId="1E81FBE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1.83</w:t>
            </w:r>
          </w:p>
        </w:tc>
      </w:tr>
      <w:tr w:rsidR="00302953" w:rsidRPr="00770477" w14:paraId="4840D8D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32F6FA1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2-C-270</w:t>
            </w:r>
          </w:p>
        </w:tc>
        <w:tc>
          <w:tcPr>
            <w:tcW w:w="764" w:type="dxa"/>
            <w:noWrap/>
            <w:hideMark/>
          </w:tcPr>
          <w:p w14:paraId="47E5E50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740" w:type="dxa"/>
            <w:noWrap/>
            <w:hideMark/>
          </w:tcPr>
          <w:p w14:paraId="59911E9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720" w:type="dxa"/>
            <w:noWrap/>
            <w:hideMark/>
          </w:tcPr>
          <w:p w14:paraId="2F4FF5F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780" w:type="dxa"/>
            <w:noWrap/>
            <w:hideMark/>
          </w:tcPr>
          <w:p w14:paraId="299B5CB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6A9731D8"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7ACB42FC"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2-C-430</w:t>
            </w:r>
          </w:p>
        </w:tc>
        <w:tc>
          <w:tcPr>
            <w:tcW w:w="764" w:type="dxa"/>
            <w:noWrap/>
            <w:hideMark/>
          </w:tcPr>
          <w:p w14:paraId="62D5B50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740" w:type="dxa"/>
            <w:noWrap/>
            <w:hideMark/>
          </w:tcPr>
          <w:p w14:paraId="3B8FCF8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720" w:type="dxa"/>
            <w:noWrap/>
            <w:hideMark/>
          </w:tcPr>
          <w:p w14:paraId="17182D2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c>
          <w:tcPr>
            <w:tcW w:w="1780" w:type="dxa"/>
            <w:noWrap/>
            <w:hideMark/>
          </w:tcPr>
          <w:p w14:paraId="158A02B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302953" w:rsidRPr="00770477" w14:paraId="1402ED5B"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456025F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lastRenderedPageBreak/>
              <w:t>2-C-670</w:t>
            </w:r>
          </w:p>
        </w:tc>
        <w:tc>
          <w:tcPr>
            <w:tcW w:w="764" w:type="dxa"/>
            <w:noWrap/>
            <w:hideMark/>
          </w:tcPr>
          <w:p w14:paraId="149DC0F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p>
        </w:tc>
        <w:tc>
          <w:tcPr>
            <w:tcW w:w="1740" w:type="dxa"/>
            <w:noWrap/>
            <w:hideMark/>
          </w:tcPr>
          <w:p w14:paraId="0301633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720" w:type="dxa"/>
            <w:noWrap/>
            <w:hideMark/>
          </w:tcPr>
          <w:p w14:paraId="6748A68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780" w:type="dxa"/>
            <w:noWrap/>
            <w:hideMark/>
          </w:tcPr>
          <w:p w14:paraId="692A3A1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r>
      <w:tr w:rsidR="00302953" w:rsidRPr="00770477" w14:paraId="149A526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4F58789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9-A-6</w:t>
            </w:r>
          </w:p>
        </w:tc>
        <w:tc>
          <w:tcPr>
            <w:tcW w:w="764" w:type="dxa"/>
            <w:noWrap/>
            <w:hideMark/>
          </w:tcPr>
          <w:p w14:paraId="10177CC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740" w:type="dxa"/>
            <w:noWrap/>
            <w:hideMark/>
          </w:tcPr>
          <w:p w14:paraId="701B513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720" w:type="dxa"/>
            <w:noWrap/>
            <w:hideMark/>
          </w:tcPr>
          <w:p w14:paraId="630759C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780" w:type="dxa"/>
            <w:noWrap/>
            <w:hideMark/>
          </w:tcPr>
          <w:p w14:paraId="2C0D484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r>
      <w:tr w:rsidR="00302953" w:rsidRPr="00770477" w14:paraId="5A3589D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7F577933"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9-A-17</w:t>
            </w:r>
          </w:p>
        </w:tc>
        <w:tc>
          <w:tcPr>
            <w:tcW w:w="764" w:type="dxa"/>
            <w:noWrap/>
            <w:hideMark/>
          </w:tcPr>
          <w:p w14:paraId="59D1A68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9.43</w:t>
            </w:r>
          </w:p>
        </w:tc>
        <w:tc>
          <w:tcPr>
            <w:tcW w:w="1740" w:type="dxa"/>
            <w:noWrap/>
            <w:hideMark/>
          </w:tcPr>
          <w:p w14:paraId="5AEEF6A4"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1.14</w:t>
            </w:r>
          </w:p>
        </w:tc>
        <w:tc>
          <w:tcPr>
            <w:tcW w:w="1720" w:type="dxa"/>
            <w:noWrap/>
            <w:hideMark/>
          </w:tcPr>
          <w:p w14:paraId="1C78CAB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18.56</w:t>
            </w:r>
          </w:p>
        </w:tc>
        <w:tc>
          <w:tcPr>
            <w:tcW w:w="1780" w:type="dxa"/>
            <w:noWrap/>
            <w:hideMark/>
          </w:tcPr>
          <w:p w14:paraId="6106BAB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21.79</w:t>
            </w:r>
          </w:p>
        </w:tc>
      </w:tr>
      <w:tr w:rsidR="00302953" w:rsidRPr="00770477" w14:paraId="1393E68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52F6FAD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9-B-6</w:t>
            </w:r>
          </w:p>
        </w:tc>
        <w:tc>
          <w:tcPr>
            <w:tcW w:w="764" w:type="dxa"/>
            <w:noWrap/>
            <w:hideMark/>
          </w:tcPr>
          <w:p w14:paraId="6802DBB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2.57</w:t>
            </w:r>
          </w:p>
        </w:tc>
        <w:tc>
          <w:tcPr>
            <w:tcW w:w="1740" w:type="dxa"/>
            <w:noWrap/>
            <w:hideMark/>
          </w:tcPr>
          <w:p w14:paraId="50B480E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3.62</w:t>
            </w:r>
          </w:p>
        </w:tc>
        <w:tc>
          <w:tcPr>
            <w:tcW w:w="1720" w:type="dxa"/>
            <w:noWrap/>
            <w:hideMark/>
          </w:tcPr>
          <w:p w14:paraId="37C2144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3.31</w:t>
            </w:r>
          </w:p>
        </w:tc>
        <w:tc>
          <w:tcPr>
            <w:tcW w:w="1780" w:type="dxa"/>
            <w:noWrap/>
            <w:hideMark/>
          </w:tcPr>
          <w:p w14:paraId="2B91CDE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2.39</w:t>
            </w:r>
          </w:p>
        </w:tc>
      </w:tr>
      <w:tr w:rsidR="00302953" w:rsidRPr="00770477" w14:paraId="0AC7466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2BFFFFA5"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9-B-17</w:t>
            </w:r>
          </w:p>
        </w:tc>
        <w:tc>
          <w:tcPr>
            <w:tcW w:w="764" w:type="dxa"/>
            <w:noWrap/>
            <w:hideMark/>
          </w:tcPr>
          <w:p w14:paraId="16FF29A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5.13</w:t>
            </w:r>
          </w:p>
        </w:tc>
        <w:tc>
          <w:tcPr>
            <w:tcW w:w="1740" w:type="dxa"/>
            <w:noWrap/>
            <w:hideMark/>
          </w:tcPr>
          <w:p w14:paraId="55EE5EF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33.33</w:t>
            </w:r>
          </w:p>
        </w:tc>
        <w:tc>
          <w:tcPr>
            <w:tcW w:w="1720" w:type="dxa"/>
            <w:noWrap/>
            <w:hideMark/>
          </w:tcPr>
          <w:p w14:paraId="34BDD50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29.24</w:t>
            </w:r>
          </w:p>
        </w:tc>
        <w:tc>
          <w:tcPr>
            <w:tcW w:w="1780" w:type="dxa"/>
            <w:noWrap/>
            <w:hideMark/>
          </w:tcPr>
          <w:p w14:paraId="71A2BA0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33.35</w:t>
            </w:r>
          </w:p>
        </w:tc>
      </w:tr>
      <w:tr w:rsidR="00302953" w:rsidRPr="00770477" w14:paraId="2D3D2CAF"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19E4CF89"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w:t>
            </w:r>
          </w:p>
        </w:tc>
        <w:tc>
          <w:tcPr>
            <w:tcW w:w="764" w:type="dxa"/>
            <w:noWrap/>
            <w:hideMark/>
          </w:tcPr>
          <w:p w14:paraId="79FA86BE"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26.19</w:t>
            </w:r>
          </w:p>
        </w:tc>
        <w:tc>
          <w:tcPr>
            <w:tcW w:w="1740" w:type="dxa"/>
            <w:noWrap/>
            <w:hideMark/>
          </w:tcPr>
          <w:p w14:paraId="1B102E46"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0.18</w:t>
            </w:r>
          </w:p>
        </w:tc>
        <w:tc>
          <w:tcPr>
            <w:tcW w:w="1720" w:type="dxa"/>
            <w:noWrap/>
            <w:hideMark/>
          </w:tcPr>
          <w:p w14:paraId="56CBE1A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2.81</w:t>
            </w:r>
          </w:p>
        </w:tc>
        <w:tc>
          <w:tcPr>
            <w:tcW w:w="1780" w:type="dxa"/>
            <w:noWrap/>
            <w:hideMark/>
          </w:tcPr>
          <w:p w14:paraId="669CED0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2.09</w:t>
            </w:r>
          </w:p>
        </w:tc>
      </w:tr>
      <w:tr w:rsidR="00302953" w:rsidRPr="00770477" w14:paraId="445BE67C"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1EE80FF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10-A-17</w:t>
            </w:r>
          </w:p>
        </w:tc>
        <w:tc>
          <w:tcPr>
            <w:tcW w:w="764" w:type="dxa"/>
            <w:noWrap/>
            <w:hideMark/>
          </w:tcPr>
          <w:p w14:paraId="47B8464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0.00</w:t>
            </w:r>
          </w:p>
        </w:tc>
        <w:tc>
          <w:tcPr>
            <w:tcW w:w="1740" w:type="dxa"/>
            <w:noWrap/>
            <w:hideMark/>
          </w:tcPr>
          <w:p w14:paraId="036CCE5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3.80</w:t>
            </w:r>
          </w:p>
        </w:tc>
        <w:tc>
          <w:tcPr>
            <w:tcW w:w="1720" w:type="dxa"/>
            <w:noWrap/>
            <w:hideMark/>
          </w:tcPr>
          <w:p w14:paraId="00348A1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2.81</w:t>
            </w:r>
          </w:p>
        </w:tc>
        <w:tc>
          <w:tcPr>
            <w:tcW w:w="1780" w:type="dxa"/>
            <w:noWrap/>
            <w:hideMark/>
          </w:tcPr>
          <w:p w14:paraId="7AA26DD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3.15</w:t>
            </w:r>
          </w:p>
        </w:tc>
      </w:tr>
      <w:tr w:rsidR="00302953" w:rsidRPr="00770477" w14:paraId="420EB5D6"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14A5F924"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10-B-1</w:t>
            </w:r>
          </w:p>
        </w:tc>
        <w:tc>
          <w:tcPr>
            <w:tcW w:w="764" w:type="dxa"/>
            <w:noWrap/>
            <w:hideMark/>
          </w:tcPr>
          <w:p w14:paraId="3E53A89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10.67</w:t>
            </w:r>
          </w:p>
        </w:tc>
        <w:tc>
          <w:tcPr>
            <w:tcW w:w="1740" w:type="dxa"/>
            <w:noWrap/>
            <w:hideMark/>
          </w:tcPr>
          <w:p w14:paraId="2A78039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3.63</w:t>
            </w:r>
          </w:p>
        </w:tc>
        <w:tc>
          <w:tcPr>
            <w:tcW w:w="1720" w:type="dxa"/>
            <w:noWrap/>
            <w:hideMark/>
          </w:tcPr>
          <w:p w14:paraId="592DD9E5"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5.39</w:t>
            </w:r>
          </w:p>
        </w:tc>
        <w:tc>
          <w:tcPr>
            <w:tcW w:w="1780" w:type="dxa"/>
            <w:noWrap/>
            <w:hideMark/>
          </w:tcPr>
          <w:p w14:paraId="4F0D0892"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2.64</w:t>
            </w:r>
          </w:p>
        </w:tc>
      </w:tr>
      <w:tr w:rsidR="00302953" w:rsidRPr="00770477" w14:paraId="11FEA74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4962A2B1"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10-B-27</w:t>
            </w:r>
          </w:p>
        </w:tc>
        <w:tc>
          <w:tcPr>
            <w:tcW w:w="764" w:type="dxa"/>
            <w:noWrap/>
            <w:hideMark/>
          </w:tcPr>
          <w:p w14:paraId="680832D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16.64</w:t>
            </w:r>
          </w:p>
        </w:tc>
        <w:tc>
          <w:tcPr>
            <w:tcW w:w="1740" w:type="dxa"/>
            <w:noWrap/>
            <w:hideMark/>
          </w:tcPr>
          <w:p w14:paraId="1D94754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4.44</w:t>
            </w:r>
          </w:p>
        </w:tc>
        <w:tc>
          <w:tcPr>
            <w:tcW w:w="1720" w:type="dxa"/>
            <w:noWrap/>
            <w:hideMark/>
          </w:tcPr>
          <w:p w14:paraId="6364A7B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3.41</w:t>
            </w:r>
          </w:p>
        </w:tc>
        <w:tc>
          <w:tcPr>
            <w:tcW w:w="1780" w:type="dxa"/>
            <w:noWrap/>
            <w:hideMark/>
          </w:tcPr>
          <w:p w14:paraId="27841AA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3.19</w:t>
            </w:r>
          </w:p>
        </w:tc>
      </w:tr>
      <w:tr w:rsidR="00302953" w:rsidRPr="00770477" w14:paraId="3E1E9602"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7164DE6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10-C-1</w:t>
            </w:r>
          </w:p>
        </w:tc>
        <w:tc>
          <w:tcPr>
            <w:tcW w:w="764" w:type="dxa"/>
            <w:noWrap/>
            <w:hideMark/>
          </w:tcPr>
          <w:p w14:paraId="45B526C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57.33</w:t>
            </w:r>
          </w:p>
        </w:tc>
        <w:tc>
          <w:tcPr>
            <w:tcW w:w="1740" w:type="dxa"/>
            <w:noWrap/>
            <w:hideMark/>
          </w:tcPr>
          <w:p w14:paraId="519D88D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0.45</w:t>
            </w:r>
          </w:p>
        </w:tc>
        <w:tc>
          <w:tcPr>
            <w:tcW w:w="1720" w:type="dxa"/>
            <w:noWrap/>
            <w:hideMark/>
          </w:tcPr>
          <w:p w14:paraId="2396A2A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2.25</w:t>
            </w:r>
          </w:p>
        </w:tc>
        <w:tc>
          <w:tcPr>
            <w:tcW w:w="1780" w:type="dxa"/>
            <w:noWrap/>
            <w:hideMark/>
          </w:tcPr>
          <w:p w14:paraId="64EB9E2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4.20</w:t>
            </w:r>
          </w:p>
        </w:tc>
      </w:tr>
      <w:tr w:rsidR="00302953" w:rsidRPr="00770477" w14:paraId="67C5B475"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366D96C8"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10-C-27</w:t>
            </w:r>
          </w:p>
        </w:tc>
        <w:tc>
          <w:tcPr>
            <w:tcW w:w="764" w:type="dxa"/>
            <w:noWrap/>
            <w:hideMark/>
          </w:tcPr>
          <w:p w14:paraId="253E382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0.53</w:t>
            </w:r>
          </w:p>
        </w:tc>
        <w:tc>
          <w:tcPr>
            <w:tcW w:w="1740" w:type="dxa"/>
            <w:noWrap/>
            <w:hideMark/>
          </w:tcPr>
          <w:p w14:paraId="5EFCB3D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11.71</w:t>
            </w:r>
          </w:p>
        </w:tc>
        <w:tc>
          <w:tcPr>
            <w:tcW w:w="1720" w:type="dxa"/>
            <w:noWrap/>
            <w:hideMark/>
          </w:tcPr>
          <w:p w14:paraId="1F8C152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5.67</w:t>
            </w:r>
          </w:p>
        </w:tc>
        <w:tc>
          <w:tcPr>
            <w:tcW w:w="1780" w:type="dxa"/>
            <w:noWrap/>
            <w:hideMark/>
          </w:tcPr>
          <w:p w14:paraId="5C13342E"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11.52</w:t>
            </w:r>
          </w:p>
        </w:tc>
      </w:tr>
      <w:tr w:rsidR="00302953" w:rsidRPr="00770477" w14:paraId="19D89CA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26A8CDFD"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w:t>
            </w:r>
          </w:p>
        </w:tc>
        <w:tc>
          <w:tcPr>
            <w:tcW w:w="764" w:type="dxa"/>
            <w:noWrap/>
            <w:hideMark/>
          </w:tcPr>
          <w:p w14:paraId="34F3227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0006"/>
              </w:rPr>
            </w:pPr>
            <w:r w:rsidRPr="00770477">
              <w:rPr>
                <w:rFonts w:eastAsia="Times New Roman" w:cs="Times New Roman"/>
                <w:color w:val="9C0006"/>
              </w:rPr>
              <w:t>64.28</w:t>
            </w:r>
          </w:p>
        </w:tc>
        <w:tc>
          <w:tcPr>
            <w:tcW w:w="1740" w:type="dxa"/>
            <w:noWrap/>
            <w:hideMark/>
          </w:tcPr>
          <w:p w14:paraId="6E7D70D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12.59</w:t>
            </w:r>
          </w:p>
        </w:tc>
        <w:tc>
          <w:tcPr>
            <w:tcW w:w="1720" w:type="dxa"/>
            <w:noWrap/>
            <w:hideMark/>
          </w:tcPr>
          <w:p w14:paraId="5D5DD00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4.21</w:t>
            </w:r>
          </w:p>
        </w:tc>
        <w:tc>
          <w:tcPr>
            <w:tcW w:w="1780" w:type="dxa"/>
            <w:noWrap/>
            <w:hideMark/>
          </w:tcPr>
          <w:p w14:paraId="73017454"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9C5700"/>
              </w:rPr>
            </w:pPr>
            <w:r w:rsidRPr="00770477">
              <w:rPr>
                <w:rFonts w:eastAsia="Times New Roman" w:cs="Times New Roman"/>
                <w:color w:val="9C5700"/>
              </w:rPr>
              <w:t>15.10</w:t>
            </w:r>
          </w:p>
        </w:tc>
      </w:tr>
      <w:tr w:rsidR="00302953" w:rsidRPr="00770477" w14:paraId="30964C17"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25FF4A87"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10-D-17</w:t>
            </w:r>
          </w:p>
        </w:tc>
        <w:tc>
          <w:tcPr>
            <w:tcW w:w="764" w:type="dxa"/>
            <w:noWrap/>
            <w:hideMark/>
          </w:tcPr>
          <w:p w14:paraId="4DDAE0E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0.84</w:t>
            </w:r>
          </w:p>
        </w:tc>
        <w:tc>
          <w:tcPr>
            <w:tcW w:w="1740" w:type="dxa"/>
            <w:noWrap/>
            <w:hideMark/>
          </w:tcPr>
          <w:p w14:paraId="60F3D3A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1.84</w:t>
            </w:r>
          </w:p>
        </w:tc>
        <w:tc>
          <w:tcPr>
            <w:tcW w:w="1720" w:type="dxa"/>
            <w:noWrap/>
            <w:hideMark/>
          </w:tcPr>
          <w:p w14:paraId="050C0C5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2.86</w:t>
            </w:r>
          </w:p>
        </w:tc>
        <w:tc>
          <w:tcPr>
            <w:tcW w:w="1780" w:type="dxa"/>
            <w:noWrap/>
            <w:hideMark/>
          </w:tcPr>
          <w:p w14:paraId="3A42D29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2.16</w:t>
            </w:r>
          </w:p>
        </w:tc>
      </w:tr>
      <w:tr w:rsidR="00302953" w:rsidRPr="00770477" w14:paraId="6A3634CE"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10F1E8A6"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10-D-27</w:t>
            </w:r>
          </w:p>
        </w:tc>
        <w:tc>
          <w:tcPr>
            <w:tcW w:w="764" w:type="dxa"/>
            <w:noWrap/>
            <w:hideMark/>
          </w:tcPr>
          <w:p w14:paraId="2B76D71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2.38</w:t>
            </w:r>
          </w:p>
        </w:tc>
        <w:tc>
          <w:tcPr>
            <w:tcW w:w="1740" w:type="dxa"/>
            <w:noWrap/>
            <w:hideMark/>
          </w:tcPr>
          <w:p w14:paraId="0925417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2.54</w:t>
            </w:r>
          </w:p>
        </w:tc>
        <w:tc>
          <w:tcPr>
            <w:tcW w:w="1720" w:type="dxa"/>
            <w:noWrap/>
            <w:hideMark/>
          </w:tcPr>
          <w:p w14:paraId="754DB5C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4.80</w:t>
            </w:r>
          </w:p>
        </w:tc>
        <w:tc>
          <w:tcPr>
            <w:tcW w:w="1780" w:type="dxa"/>
            <w:noWrap/>
            <w:hideMark/>
          </w:tcPr>
          <w:p w14:paraId="414409B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4.62</w:t>
            </w:r>
          </w:p>
        </w:tc>
      </w:tr>
    </w:tbl>
    <w:p w14:paraId="3C94B5ED" w14:textId="77777777" w:rsidR="00302953" w:rsidRPr="00770477" w:rsidRDefault="00302953" w:rsidP="00302953">
      <w:pPr>
        <w:spacing w:line="240" w:lineRule="auto"/>
        <w:jc w:val="left"/>
        <w:rPr>
          <w:rFonts w:cs="Times New Roman"/>
        </w:rPr>
      </w:pPr>
    </w:p>
    <w:p w14:paraId="30141EF0" w14:textId="77777777" w:rsidR="00302953" w:rsidRPr="00770477" w:rsidRDefault="00302953" w:rsidP="00302953">
      <w:pPr>
        <w:spacing w:line="240" w:lineRule="auto"/>
        <w:jc w:val="left"/>
        <w:rPr>
          <w:rFonts w:cs="Times New Roman"/>
        </w:rPr>
      </w:pPr>
    </w:p>
    <w:p w14:paraId="0EF3AEDD" w14:textId="77777777" w:rsidR="00302953" w:rsidRPr="00770477" w:rsidRDefault="00302953" w:rsidP="00302953">
      <w:pPr>
        <w:spacing w:line="240" w:lineRule="auto"/>
        <w:rPr>
          <w:rFonts w:cs="Times New Roman"/>
        </w:rPr>
      </w:pPr>
    </w:p>
    <w:p w14:paraId="35880750" w14:textId="1179731C" w:rsidR="00302953" w:rsidRPr="00A13580" w:rsidRDefault="00302953" w:rsidP="00302953">
      <w:pPr>
        <w:pStyle w:val="Caption"/>
        <w:keepNext/>
        <w:spacing w:line="240" w:lineRule="auto"/>
        <w:rPr>
          <w:rFonts w:cs="Times New Roman"/>
        </w:rPr>
      </w:pPr>
      <w:bookmarkStart w:id="204" w:name="_Ref121495957"/>
      <w:bookmarkStart w:id="205" w:name="_Toc121494165"/>
      <w:bookmarkStart w:id="206" w:name="_Toc121495950"/>
      <w:r>
        <w:t xml:space="preserve">Table </w:t>
      </w:r>
      <w:fldSimple w:instr=" STYLEREF 1 \s ">
        <w:r w:rsidR="00061096">
          <w:rPr>
            <w:noProof/>
          </w:rPr>
          <w:t>10</w:t>
        </w:r>
      </w:fldSimple>
      <w:r w:rsidR="00B26DDF">
        <w:noBreakHyphen/>
      </w:r>
      <w:fldSimple w:instr=" SEQ Table \* ARABIC \s 1 ">
        <w:r w:rsidR="00061096">
          <w:rPr>
            <w:noProof/>
          </w:rPr>
          <w:t>12</w:t>
        </w:r>
      </w:fldSimple>
      <w:bookmarkEnd w:id="204"/>
      <w:r w:rsidRPr="00A13580">
        <w:rPr>
          <w:rFonts w:cs="Times New Roman"/>
        </w:rPr>
        <w:t xml:space="preserve"> </w:t>
      </w:r>
      <w:r w:rsidRPr="00770477">
        <w:rPr>
          <w:rFonts w:cs="Times New Roman"/>
        </w:rPr>
        <w:t>Contaminant front experiment results. Column initially saturated with DI water then an 11,000 µS</w:t>
      </w:r>
      <w:r>
        <w:rPr>
          <w:rFonts w:cs="Times New Roman"/>
        </w:rPr>
        <w:t xml:space="preserve"> </w:t>
      </w:r>
      <w:r w:rsidRPr="00770477">
        <w:rPr>
          <w:rFonts w:cs="Times New Roman"/>
        </w:rPr>
        <w:t>cm</w:t>
      </w:r>
      <w:r>
        <w:rPr>
          <w:rFonts w:cs="Times New Roman"/>
          <w:vertAlign w:val="superscript"/>
        </w:rPr>
        <w:t>-1</w:t>
      </w:r>
      <w:r w:rsidRPr="00770477">
        <w:rPr>
          <w:rFonts w:cs="Times New Roman"/>
        </w:rPr>
        <w:t xml:space="preserve"> NaCl solution poured with 6 in. of ponding at the top of the bioretention simulation sand and effluent SC values measured. One pore volume was ~300 </w:t>
      </w:r>
      <w:proofErr w:type="spellStart"/>
      <w:r w:rsidRPr="00770477">
        <w:rPr>
          <w:rFonts w:cs="Times New Roman"/>
        </w:rPr>
        <w:t>mL.</w:t>
      </w:r>
      <w:bookmarkEnd w:id="205"/>
      <w:bookmarkEnd w:id="206"/>
      <w:proofErr w:type="spellEnd"/>
    </w:p>
    <w:tbl>
      <w:tblPr>
        <w:tblStyle w:val="PlainTable4"/>
        <w:tblW w:w="7324" w:type="dxa"/>
        <w:tblLook w:val="04A0" w:firstRow="1" w:lastRow="0" w:firstColumn="1" w:lastColumn="0" w:noHBand="0" w:noVBand="1"/>
      </w:tblPr>
      <w:tblGrid>
        <w:gridCol w:w="1320"/>
        <w:gridCol w:w="764"/>
        <w:gridCol w:w="1740"/>
        <w:gridCol w:w="1720"/>
        <w:gridCol w:w="1780"/>
      </w:tblGrid>
      <w:tr w:rsidR="00302953" w:rsidRPr="00770477" w14:paraId="763CB95C" w14:textId="77777777" w:rsidTr="00622DCD">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320" w:type="dxa"/>
            <w:hideMark/>
          </w:tcPr>
          <w:p w14:paraId="3E8D564A" w14:textId="77777777" w:rsidR="00302953" w:rsidRPr="00770477" w:rsidRDefault="00302953" w:rsidP="00622DCD">
            <w:pPr>
              <w:spacing w:line="240" w:lineRule="auto"/>
              <w:jc w:val="left"/>
              <w:rPr>
                <w:rFonts w:eastAsia="Times New Roman" w:cs="Times New Roman"/>
                <w:color w:val="000000"/>
              </w:rPr>
            </w:pPr>
            <w:r w:rsidRPr="00770477">
              <w:rPr>
                <w:rFonts w:eastAsia="Times New Roman" w:cs="Times New Roman"/>
                <w:color w:val="000000"/>
              </w:rPr>
              <w:t>Start Time</w:t>
            </w:r>
          </w:p>
        </w:tc>
        <w:tc>
          <w:tcPr>
            <w:tcW w:w="764" w:type="dxa"/>
            <w:noWrap/>
            <w:hideMark/>
          </w:tcPr>
          <w:p w14:paraId="4F3420A2"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End Time</w:t>
            </w:r>
          </w:p>
        </w:tc>
        <w:tc>
          <w:tcPr>
            <w:tcW w:w="1740" w:type="dxa"/>
            <w:noWrap/>
            <w:hideMark/>
          </w:tcPr>
          <w:p w14:paraId="1DD4D932"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Flow Rate</w:t>
            </w:r>
          </w:p>
        </w:tc>
        <w:tc>
          <w:tcPr>
            <w:tcW w:w="1720" w:type="dxa"/>
            <w:noWrap/>
            <w:hideMark/>
          </w:tcPr>
          <w:p w14:paraId="099D0DB0"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Specific Conductivity (</w:t>
            </w:r>
            <w:r w:rsidRPr="00770477">
              <w:rPr>
                <w:rFonts w:cs="Times New Roman"/>
              </w:rPr>
              <w:t>µS</w:t>
            </w:r>
            <w:r>
              <w:rPr>
                <w:rFonts w:cs="Times New Roman"/>
              </w:rPr>
              <w:t xml:space="preserve"> </w:t>
            </w:r>
            <w:proofErr w:type="gramStart"/>
            <w:r w:rsidRPr="00770477">
              <w:rPr>
                <w:rFonts w:cs="Times New Roman"/>
              </w:rPr>
              <w:t>cm</w:t>
            </w:r>
            <w:r>
              <w:rPr>
                <w:rFonts w:cs="Times New Roman"/>
                <w:vertAlign w:val="superscript"/>
              </w:rPr>
              <w:t>-1</w:t>
            </w:r>
            <w:proofErr w:type="gramEnd"/>
            <w:r w:rsidRPr="00770477">
              <w:rPr>
                <w:rFonts w:eastAsia="Times New Roman" w:cs="Times New Roman"/>
                <w:color w:val="000000"/>
              </w:rPr>
              <w:t>)</w:t>
            </w:r>
          </w:p>
        </w:tc>
        <w:tc>
          <w:tcPr>
            <w:tcW w:w="1780" w:type="dxa"/>
            <w:noWrap/>
            <w:hideMark/>
          </w:tcPr>
          <w:p w14:paraId="6922C717" w14:textId="77777777" w:rsidR="00302953" w:rsidRPr="00770477" w:rsidRDefault="00302953" w:rsidP="00622DC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770477">
              <w:rPr>
                <w:rFonts w:eastAsia="Times New Roman" w:cs="Times New Roman"/>
                <w:color w:val="000000"/>
              </w:rPr>
              <w:t>Total Volume Passed</w:t>
            </w:r>
          </w:p>
        </w:tc>
      </w:tr>
      <w:tr w:rsidR="00302953" w:rsidRPr="00770477" w14:paraId="21C8614D" w14:textId="77777777" w:rsidTr="00622DC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320" w:type="dxa"/>
            <w:noWrap/>
            <w:hideMark/>
          </w:tcPr>
          <w:p w14:paraId="129FEFDE" w14:textId="77777777" w:rsidR="00302953" w:rsidRPr="00770477" w:rsidRDefault="00302953" w:rsidP="00622DCD">
            <w:pPr>
              <w:spacing w:line="240" w:lineRule="auto"/>
              <w:jc w:val="left"/>
              <w:rPr>
                <w:rFonts w:eastAsia="Times New Roman" w:cs="Times New Roman"/>
                <w:b w:val="0"/>
                <w:bCs w:val="0"/>
              </w:rPr>
            </w:pPr>
            <w:r w:rsidRPr="00770477">
              <w:rPr>
                <w:rFonts w:eastAsia="Times New Roman" w:cs="Times New Roman"/>
                <w:b w:val="0"/>
                <w:bCs w:val="0"/>
              </w:rPr>
              <w:t>1621</w:t>
            </w:r>
          </w:p>
        </w:tc>
        <w:tc>
          <w:tcPr>
            <w:tcW w:w="764" w:type="dxa"/>
            <w:noWrap/>
            <w:hideMark/>
          </w:tcPr>
          <w:p w14:paraId="1CC1CB6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770477">
              <w:rPr>
                <w:rFonts w:eastAsia="Times New Roman" w:cs="Times New Roman"/>
              </w:rPr>
              <w:t>1626</w:t>
            </w:r>
          </w:p>
        </w:tc>
        <w:tc>
          <w:tcPr>
            <w:tcW w:w="1740" w:type="dxa"/>
            <w:noWrap/>
            <w:hideMark/>
          </w:tcPr>
          <w:p w14:paraId="51A5DBC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770477">
              <w:rPr>
                <w:rFonts w:eastAsia="Times New Roman" w:cs="Times New Roman"/>
              </w:rPr>
              <w:t>6.6</w:t>
            </w:r>
          </w:p>
        </w:tc>
        <w:tc>
          <w:tcPr>
            <w:tcW w:w="1720" w:type="dxa"/>
            <w:noWrap/>
            <w:hideMark/>
          </w:tcPr>
          <w:p w14:paraId="62ED508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770477">
              <w:rPr>
                <w:rFonts w:eastAsia="Times New Roman" w:cs="Times New Roman"/>
              </w:rPr>
              <w:t>1831</w:t>
            </w:r>
          </w:p>
        </w:tc>
        <w:tc>
          <w:tcPr>
            <w:tcW w:w="1780" w:type="dxa"/>
            <w:noWrap/>
            <w:hideMark/>
          </w:tcPr>
          <w:p w14:paraId="45387409"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770477">
              <w:rPr>
                <w:rFonts w:eastAsia="Times New Roman" w:cs="Times New Roman"/>
              </w:rPr>
              <w:t>33</w:t>
            </w:r>
          </w:p>
        </w:tc>
      </w:tr>
      <w:tr w:rsidR="00302953" w:rsidRPr="00770477" w14:paraId="33BC5EFD"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1F498D42" w14:textId="77777777" w:rsidR="00302953" w:rsidRPr="00770477" w:rsidRDefault="00302953" w:rsidP="00622DCD">
            <w:pPr>
              <w:spacing w:line="240" w:lineRule="auto"/>
              <w:jc w:val="left"/>
              <w:rPr>
                <w:rFonts w:eastAsia="Times New Roman" w:cs="Times New Roman"/>
                <w:b w:val="0"/>
                <w:bCs w:val="0"/>
              </w:rPr>
            </w:pPr>
            <w:r w:rsidRPr="00770477">
              <w:rPr>
                <w:rFonts w:eastAsia="Times New Roman" w:cs="Times New Roman"/>
                <w:b w:val="0"/>
                <w:bCs w:val="0"/>
              </w:rPr>
              <w:t>1630</w:t>
            </w:r>
          </w:p>
        </w:tc>
        <w:tc>
          <w:tcPr>
            <w:tcW w:w="764" w:type="dxa"/>
            <w:noWrap/>
            <w:hideMark/>
          </w:tcPr>
          <w:p w14:paraId="63BCDEF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770477">
              <w:rPr>
                <w:rFonts w:eastAsia="Times New Roman" w:cs="Times New Roman"/>
              </w:rPr>
              <w:t>1635</w:t>
            </w:r>
          </w:p>
        </w:tc>
        <w:tc>
          <w:tcPr>
            <w:tcW w:w="1740" w:type="dxa"/>
            <w:noWrap/>
            <w:hideMark/>
          </w:tcPr>
          <w:p w14:paraId="5FC36AB9"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770477">
              <w:rPr>
                <w:rFonts w:eastAsia="Times New Roman" w:cs="Times New Roman"/>
              </w:rPr>
              <w:t>6.6</w:t>
            </w:r>
          </w:p>
        </w:tc>
        <w:tc>
          <w:tcPr>
            <w:tcW w:w="1720" w:type="dxa"/>
            <w:noWrap/>
            <w:hideMark/>
          </w:tcPr>
          <w:p w14:paraId="66E21ABD"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770477">
              <w:rPr>
                <w:rFonts w:eastAsia="Times New Roman" w:cs="Times New Roman"/>
              </w:rPr>
              <w:t>1670</w:t>
            </w:r>
          </w:p>
        </w:tc>
        <w:tc>
          <w:tcPr>
            <w:tcW w:w="1780" w:type="dxa"/>
            <w:noWrap/>
            <w:hideMark/>
          </w:tcPr>
          <w:p w14:paraId="0B28B53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770477">
              <w:rPr>
                <w:rFonts w:eastAsia="Times New Roman" w:cs="Times New Roman"/>
              </w:rPr>
              <w:t>66</w:t>
            </w:r>
          </w:p>
        </w:tc>
      </w:tr>
      <w:tr w:rsidR="00302953" w:rsidRPr="00770477" w14:paraId="64BF398D"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hideMark/>
          </w:tcPr>
          <w:p w14:paraId="5C94D43E" w14:textId="77777777" w:rsidR="00302953" w:rsidRPr="00770477" w:rsidRDefault="00302953" w:rsidP="00622DCD">
            <w:pPr>
              <w:spacing w:line="240" w:lineRule="auto"/>
              <w:jc w:val="left"/>
              <w:rPr>
                <w:rFonts w:eastAsia="Times New Roman" w:cs="Times New Roman"/>
                <w:b w:val="0"/>
                <w:bCs w:val="0"/>
              </w:rPr>
            </w:pPr>
            <w:r w:rsidRPr="00770477">
              <w:rPr>
                <w:rFonts w:eastAsia="Times New Roman" w:cs="Times New Roman"/>
                <w:b w:val="0"/>
                <w:bCs w:val="0"/>
              </w:rPr>
              <w:t>1637</w:t>
            </w:r>
          </w:p>
        </w:tc>
        <w:tc>
          <w:tcPr>
            <w:tcW w:w="764" w:type="dxa"/>
            <w:noWrap/>
            <w:hideMark/>
          </w:tcPr>
          <w:p w14:paraId="549F418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770477">
              <w:rPr>
                <w:rFonts w:eastAsia="Times New Roman" w:cs="Times New Roman"/>
              </w:rPr>
              <w:t>1642</w:t>
            </w:r>
          </w:p>
        </w:tc>
        <w:tc>
          <w:tcPr>
            <w:tcW w:w="1740" w:type="dxa"/>
            <w:noWrap/>
            <w:hideMark/>
          </w:tcPr>
          <w:p w14:paraId="7CA21E0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770477">
              <w:rPr>
                <w:rFonts w:eastAsia="Times New Roman" w:cs="Times New Roman"/>
              </w:rPr>
              <w:t>6.4</w:t>
            </w:r>
          </w:p>
        </w:tc>
        <w:tc>
          <w:tcPr>
            <w:tcW w:w="1720" w:type="dxa"/>
            <w:noWrap/>
            <w:hideMark/>
          </w:tcPr>
          <w:p w14:paraId="7265E22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770477">
              <w:rPr>
                <w:rFonts w:eastAsia="Times New Roman" w:cs="Times New Roman"/>
              </w:rPr>
              <w:t>1630</w:t>
            </w:r>
          </w:p>
        </w:tc>
        <w:tc>
          <w:tcPr>
            <w:tcW w:w="1780" w:type="dxa"/>
            <w:noWrap/>
            <w:hideMark/>
          </w:tcPr>
          <w:p w14:paraId="49A1F19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770477">
              <w:rPr>
                <w:rFonts w:eastAsia="Times New Roman" w:cs="Times New Roman"/>
              </w:rPr>
              <w:t>98</w:t>
            </w:r>
          </w:p>
        </w:tc>
      </w:tr>
      <w:tr w:rsidR="00302953" w:rsidRPr="00770477" w14:paraId="50FC5F1F"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tcPr>
          <w:p w14:paraId="170FB96E" w14:textId="77777777" w:rsidR="00302953" w:rsidRPr="00770477" w:rsidRDefault="00302953" w:rsidP="00622DCD">
            <w:pPr>
              <w:spacing w:line="240" w:lineRule="auto"/>
              <w:jc w:val="left"/>
              <w:rPr>
                <w:rFonts w:eastAsia="Times New Roman" w:cs="Times New Roman"/>
                <w:b w:val="0"/>
                <w:bCs w:val="0"/>
              </w:rPr>
            </w:pPr>
            <w:r w:rsidRPr="00770477">
              <w:rPr>
                <w:rFonts w:eastAsia="Times New Roman" w:cs="Times New Roman"/>
                <w:b w:val="0"/>
                <w:bCs w:val="0"/>
              </w:rPr>
              <w:t>1644</w:t>
            </w:r>
          </w:p>
        </w:tc>
        <w:tc>
          <w:tcPr>
            <w:tcW w:w="764" w:type="dxa"/>
            <w:noWrap/>
          </w:tcPr>
          <w:p w14:paraId="51497751"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770477">
              <w:rPr>
                <w:rFonts w:eastAsia="Times New Roman" w:cs="Times New Roman"/>
              </w:rPr>
              <w:t>1649</w:t>
            </w:r>
          </w:p>
        </w:tc>
        <w:tc>
          <w:tcPr>
            <w:tcW w:w="1740" w:type="dxa"/>
            <w:noWrap/>
          </w:tcPr>
          <w:p w14:paraId="0A734DC6"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770477">
              <w:rPr>
                <w:rFonts w:eastAsia="Times New Roman" w:cs="Times New Roman"/>
              </w:rPr>
              <w:t>6.2</w:t>
            </w:r>
          </w:p>
        </w:tc>
        <w:tc>
          <w:tcPr>
            <w:tcW w:w="1720" w:type="dxa"/>
            <w:noWrap/>
          </w:tcPr>
          <w:p w14:paraId="047B554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770477">
              <w:rPr>
                <w:rFonts w:eastAsia="Times New Roman" w:cs="Times New Roman"/>
              </w:rPr>
              <w:t>1630</w:t>
            </w:r>
          </w:p>
        </w:tc>
        <w:tc>
          <w:tcPr>
            <w:tcW w:w="1780" w:type="dxa"/>
            <w:noWrap/>
          </w:tcPr>
          <w:p w14:paraId="0A82A4E3"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770477">
              <w:rPr>
                <w:rFonts w:eastAsia="Times New Roman" w:cs="Times New Roman"/>
              </w:rPr>
              <w:t>129</w:t>
            </w:r>
          </w:p>
        </w:tc>
      </w:tr>
      <w:tr w:rsidR="00302953" w:rsidRPr="00770477" w14:paraId="2A6BBA9A"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tcPr>
          <w:p w14:paraId="7CDA0D1D" w14:textId="77777777" w:rsidR="00302953" w:rsidRPr="00770477" w:rsidRDefault="00302953" w:rsidP="00622DCD">
            <w:pPr>
              <w:spacing w:line="240" w:lineRule="auto"/>
              <w:jc w:val="left"/>
              <w:rPr>
                <w:rFonts w:eastAsia="Times New Roman" w:cs="Times New Roman"/>
                <w:b w:val="0"/>
                <w:bCs w:val="0"/>
              </w:rPr>
            </w:pPr>
            <w:r w:rsidRPr="00770477">
              <w:rPr>
                <w:rFonts w:eastAsia="Times New Roman" w:cs="Times New Roman"/>
                <w:b w:val="0"/>
                <w:bCs w:val="0"/>
              </w:rPr>
              <w:t>1650</w:t>
            </w:r>
          </w:p>
        </w:tc>
        <w:tc>
          <w:tcPr>
            <w:tcW w:w="764" w:type="dxa"/>
            <w:noWrap/>
          </w:tcPr>
          <w:p w14:paraId="5435FE1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770477">
              <w:rPr>
                <w:rFonts w:eastAsia="Times New Roman" w:cs="Times New Roman"/>
              </w:rPr>
              <w:t>1655</w:t>
            </w:r>
          </w:p>
        </w:tc>
        <w:tc>
          <w:tcPr>
            <w:tcW w:w="1740" w:type="dxa"/>
            <w:noWrap/>
          </w:tcPr>
          <w:p w14:paraId="3662334B"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770477">
              <w:rPr>
                <w:rFonts w:eastAsia="Times New Roman" w:cs="Times New Roman"/>
              </w:rPr>
              <w:t>6.2</w:t>
            </w:r>
          </w:p>
        </w:tc>
        <w:tc>
          <w:tcPr>
            <w:tcW w:w="1720" w:type="dxa"/>
            <w:noWrap/>
          </w:tcPr>
          <w:p w14:paraId="705683C8"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770477">
              <w:rPr>
                <w:rFonts w:eastAsia="Times New Roman" w:cs="Times New Roman"/>
              </w:rPr>
              <w:t>1955</w:t>
            </w:r>
          </w:p>
        </w:tc>
        <w:tc>
          <w:tcPr>
            <w:tcW w:w="1780" w:type="dxa"/>
            <w:noWrap/>
          </w:tcPr>
          <w:p w14:paraId="420A910F"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770477">
              <w:rPr>
                <w:rFonts w:eastAsia="Times New Roman" w:cs="Times New Roman"/>
              </w:rPr>
              <w:t>160</w:t>
            </w:r>
          </w:p>
        </w:tc>
      </w:tr>
      <w:tr w:rsidR="00302953" w:rsidRPr="00770477" w14:paraId="1BB369E3"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tcPr>
          <w:p w14:paraId="01E26ABC" w14:textId="77777777" w:rsidR="00302953" w:rsidRPr="00770477" w:rsidRDefault="00302953" w:rsidP="00622DCD">
            <w:pPr>
              <w:spacing w:line="240" w:lineRule="auto"/>
              <w:jc w:val="left"/>
              <w:rPr>
                <w:rFonts w:eastAsia="Times New Roman" w:cs="Times New Roman"/>
                <w:b w:val="0"/>
                <w:bCs w:val="0"/>
              </w:rPr>
            </w:pPr>
            <w:r w:rsidRPr="00770477">
              <w:rPr>
                <w:rFonts w:eastAsia="Times New Roman" w:cs="Times New Roman"/>
                <w:b w:val="0"/>
                <w:bCs w:val="0"/>
              </w:rPr>
              <w:t>1657</w:t>
            </w:r>
          </w:p>
        </w:tc>
        <w:tc>
          <w:tcPr>
            <w:tcW w:w="764" w:type="dxa"/>
            <w:noWrap/>
          </w:tcPr>
          <w:p w14:paraId="6625580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770477">
              <w:rPr>
                <w:rFonts w:eastAsia="Times New Roman" w:cs="Times New Roman"/>
              </w:rPr>
              <w:t>1702</w:t>
            </w:r>
          </w:p>
        </w:tc>
        <w:tc>
          <w:tcPr>
            <w:tcW w:w="1740" w:type="dxa"/>
            <w:noWrap/>
          </w:tcPr>
          <w:p w14:paraId="41AF0B6B"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770477">
              <w:rPr>
                <w:rFonts w:eastAsia="Times New Roman" w:cs="Times New Roman"/>
              </w:rPr>
              <w:t>6.2</w:t>
            </w:r>
          </w:p>
        </w:tc>
        <w:tc>
          <w:tcPr>
            <w:tcW w:w="1720" w:type="dxa"/>
            <w:noWrap/>
          </w:tcPr>
          <w:p w14:paraId="7355D08C"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770477">
              <w:rPr>
                <w:rFonts w:eastAsia="Times New Roman" w:cs="Times New Roman"/>
              </w:rPr>
              <w:t>4530</w:t>
            </w:r>
          </w:p>
        </w:tc>
        <w:tc>
          <w:tcPr>
            <w:tcW w:w="1780" w:type="dxa"/>
            <w:noWrap/>
          </w:tcPr>
          <w:p w14:paraId="3E2E9268"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770477">
              <w:rPr>
                <w:rFonts w:eastAsia="Times New Roman" w:cs="Times New Roman"/>
              </w:rPr>
              <w:t>191</w:t>
            </w:r>
          </w:p>
        </w:tc>
      </w:tr>
      <w:tr w:rsidR="00302953" w:rsidRPr="00770477" w14:paraId="7C4D4C44"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tcPr>
          <w:p w14:paraId="4CF1F597" w14:textId="77777777" w:rsidR="00302953" w:rsidRPr="00770477" w:rsidRDefault="00302953" w:rsidP="00622DCD">
            <w:pPr>
              <w:spacing w:line="240" w:lineRule="auto"/>
              <w:jc w:val="left"/>
              <w:rPr>
                <w:rFonts w:eastAsia="Times New Roman" w:cs="Times New Roman"/>
                <w:b w:val="0"/>
                <w:bCs w:val="0"/>
              </w:rPr>
            </w:pPr>
            <w:r w:rsidRPr="00770477">
              <w:rPr>
                <w:rFonts w:eastAsia="Times New Roman" w:cs="Times New Roman"/>
                <w:b w:val="0"/>
                <w:bCs w:val="0"/>
              </w:rPr>
              <w:t>1704</w:t>
            </w:r>
          </w:p>
        </w:tc>
        <w:tc>
          <w:tcPr>
            <w:tcW w:w="764" w:type="dxa"/>
            <w:noWrap/>
          </w:tcPr>
          <w:p w14:paraId="796790AC"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770477">
              <w:rPr>
                <w:rFonts w:eastAsia="Times New Roman" w:cs="Times New Roman"/>
              </w:rPr>
              <w:t>1709</w:t>
            </w:r>
          </w:p>
        </w:tc>
        <w:tc>
          <w:tcPr>
            <w:tcW w:w="1740" w:type="dxa"/>
            <w:noWrap/>
          </w:tcPr>
          <w:p w14:paraId="1526092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770477">
              <w:rPr>
                <w:rFonts w:eastAsia="Times New Roman" w:cs="Times New Roman"/>
              </w:rPr>
              <w:t>6.4</w:t>
            </w:r>
          </w:p>
        </w:tc>
        <w:tc>
          <w:tcPr>
            <w:tcW w:w="1720" w:type="dxa"/>
            <w:noWrap/>
          </w:tcPr>
          <w:p w14:paraId="6F38E72A"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770477">
              <w:rPr>
                <w:rFonts w:eastAsia="Times New Roman" w:cs="Times New Roman"/>
              </w:rPr>
              <w:t>8015</w:t>
            </w:r>
          </w:p>
        </w:tc>
        <w:tc>
          <w:tcPr>
            <w:tcW w:w="1780" w:type="dxa"/>
            <w:noWrap/>
          </w:tcPr>
          <w:p w14:paraId="75092E97"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770477">
              <w:rPr>
                <w:rFonts w:eastAsia="Times New Roman" w:cs="Times New Roman"/>
              </w:rPr>
              <w:t>223</w:t>
            </w:r>
          </w:p>
        </w:tc>
      </w:tr>
      <w:tr w:rsidR="00302953" w:rsidRPr="00770477" w14:paraId="6842BCBE"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tcPr>
          <w:p w14:paraId="3C73BED2" w14:textId="77777777" w:rsidR="00302953" w:rsidRPr="00770477" w:rsidRDefault="00302953" w:rsidP="00622DCD">
            <w:pPr>
              <w:spacing w:line="240" w:lineRule="auto"/>
              <w:jc w:val="left"/>
              <w:rPr>
                <w:rFonts w:eastAsia="Times New Roman" w:cs="Times New Roman"/>
                <w:b w:val="0"/>
                <w:bCs w:val="0"/>
              </w:rPr>
            </w:pPr>
            <w:r w:rsidRPr="00770477">
              <w:rPr>
                <w:rFonts w:eastAsia="Times New Roman" w:cs="Times New Roman"/>
                <w:b w:val="0"/>
                <w:bCs w:val="0"/>
              </w:rPr>
              <w:t>1711</w:t>
            </w:r>
          </w:p>
        </w:tc>
        <w:tc>
          <w:tcPr>
            <w:tcW w:w="764" w:type="dxa"/>
            <w:noWrap/>
          </w:tcPr>
          <w:p w14:paraId="3F6C4A5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770477">
              <w:rPr>
                <w:rFonts w:eastAsia="Times New Roman" w:cs="Times New Roman"/>
              </w:rPr>
              <w:t>1717</w:t>
            </w:r>
          </w:p>
        </w:tc>
        <w:tc>
          <w:tcPr>
            <w:tcW w:w="1740" w:type="dxa"/>
            <w:noWrap/>
          </w:tcPr>
          <w:p w14:paraId="386CD375"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770477">
              <w:rPr>
                <w:rFonts w:eastAsia="Times New Roman" w:cs="Times New Roman"/>
              </w:rPr>
              <w:t>6.5</w:t>
            </w:r>
          </w:p>
        </w:tc>
        <w:tc>
          <w:tcPr>
            <w:tcW w:w="1720" w:type="dxa"/>
            <w:noWrap/>
          </w:tcPr>
          <w:p w14:paraId="41F8FFE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770477">
              <w:rPr>
                <w:rFonts w:eastAsia="Times New Roman" w:cs="Times New Roman"/>
              </w:rPr>
              <w:t>9890</w:t>
            </w:r>
          </w:p>
        </w:tc>
        <w:tc>
          <w:tcPr>
            <w:tcW w:w="1780" w:type="dxa"/>
            <w:noWrap/>
          </w:tcPr>
          <w:p w14:paraId="087E16F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770477">
              <w:rPr>
                <w:rFonts w:eastAsia="Times New Roman" w:cs="Times New Roman"/>
              </w:rPr>
              <w:t>262</w:t>
            </w:r>
          </w:p>
        </w:tc>
      </w:tr>
      <w:tr w:rsidR="00302953" w:rsidRPr="00770477" w14:paraId="78DD4289" w14:textId="77777777" w:rsidTr="00622DC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20" w:type="dxa"/>
            <w:noWrap/>
          </w:tcPr>
          <w:p w14:paraId="634FB0C5" w14:textId="77777777" w:rsidR="00302953" w:rsidRPr="00770477" w:rsidRDefault="00302953" w:rsidP="00622DCD">
            <w:pPr>
              <w:spacing w:line="240" w:lineRule="auto"/>
              <w:jc w:val="left"/>
              <w:rPr>
                <w:rFonts w:eastAsia="Times New Roman" w:cs="Times New Roman"/>
                <w:b w:val="0"/>
                <w:bCs w:val="0"/>
              </w:rPr>
            </w:pPr>
            <w:r w:rsidRPr="00770477">
              <w:rPr>
                <w:rFonts w:eastAsia="Times New Roman" w:cs="Times New Roman"/>
                <w:b w:val="0"/>
                <w:bCs w:val="0"/>
              </w:rPr>
              <w:t>1721</w:t>
            </w:r>
          </w:p>
        </w:tc>
        <w:tc>
          <w:tcPr>
            <w:tcW w:w="764" w:type="dxa"/>
            <w:noWrap/>
          </w:tcPr>
          <w:p w14:paraId="033D570D"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770477">
              <w:rPr>
                <w:rFonts w:eastAsia="Times New Roman" w:cs="Times New Roman"/>
              </w:rPr>
              <w:t>1726</w:t>
            </w:r>
          </w:p>
        </w:tc>
        <w:tc>
          <w:tcPr>
            <w:tcW w:w="1740" w:type="dxa"/>
            <w:noWrap/>
          </w:tcPr>
          <w:p w14:paraId="63414D43"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770477">
              <w:rPr>
                <w:rFonts w:eastAsia="Times New Roman" w:cs="Times New Roman"/>
              </w:rPr>
              <w:t>5.8</w:t>
            </w:r>
          </w:p>
        </w:tc>
        <w:tc>
          <w:tcPr>
            <w:tcW w:w="1720" w:type="dxa"/>
            <w:noWrap/>
          </w:tcPr>
          <w:p w14:paraId="5B3DDE61"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770477">
              <w:rPr>
                <w:rFonts w:eastAsia="Times New Roman" w:cs="Times New Roman"/>
              </w:rPr>
              <w:t>11030</w:t>
            </w:r>
          </w:p>
        </w:tc>
        <w:tc>
          <w:tcPr>
            <w:tcW w:w="1780" w:type="dxa"/>
            <w:noWrap/>
          </w:tcPr>
          <w:p w14:paraId="6F891450" w14:textId="77777777" w:rsidR="00302953" w:rsidRPr="00770477" w:rsidRDefault="00302953" w:rsidP="00622DCD">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770477">
              <w:rPr>
                <w:rFonts w:eastAsia="Times New Roman" w:cs="Times New Roman"/>
              </w:rPr>
              <w:t>291</w:t>
            </w:r>
          </w:p>
        </w:tc>
      </w:tr>
      <w:tr w:rsidR="00302953" w:rsidRPr="00770477" w14:paraId="665815A9" w14:textId="77777777" w:rsidTr="00622DCD">
        <w:trPr>
          <w:trHeight w:val="315"/>
        </w:trPr>
        <w:tc>
          <w:tcPr>
            <w:cnfStyle w:val="001000000000" w:firstRow="0" w:lastRow="0" w:firstColumn="1" w:lastColumn="0" w:oddVBand="0" w:evenVBand="0" w:oddHBand="0" w:evenHBand="0" w:firstRowFirstColumn="0" w:firstRowLastColumn="0" w:lastRowFirstColumn="0" w:lastRowLastColumn="0"/>
            <w:tcW w:w="1320" w:type="dxa"/>
            <w:noWrap/>
          </w:tcPr>
          <w:p w14:paraId="5B4E7D2D" w14:textId="77777777" w:rsidR="00302953" w:rsidRPr="00770477" w:rsidRDefault="00302953" w:rsidP="00622DCD">
            <w:pPr>
              <w:spacing w:line="240" w:lineRule="auto"/>
              <w:jc w:val="left"/>
              <w:rPr>
                <w:rFonts w:eastAsia="Times New Roman" w:cs="Times New Roman"/>
                <w:b w:val="0"/>
                <w:bCs w:val="0"/>
              </w:rPr>
            </w:pPr>
            <w:r w:rsidRPr="00770477">
              <w:rPr>
                <w:rFonts w:eastAsia="Times New Roman" w:cs="Times New Roman"/>
                <w:b w:val="0"/>
                <w:bCs w:val="0"/>
              </w:rPr>
              <w:t>1729</w:t>
            </w:r>
          </w:p>
        </w:tc>
        <w:tc>
          <w:tcPr>
            <w:tcW w:w="764" w:type="dxa"/>
            <w:noWrap/>
          </w:tcPr>
          <w:p w14:paraId="6D25077A"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770477">
              <w:rPr>
                <w:rFonts w:eastAsia="Times New Roman" w:cs="Times New Roman"/>
              </w:rPr>
              <w:t>1734</w:t>
            </w:r>
          </w:p>
        </w:tc>
        <w:tc>
          <w:tcPr>
            <w:tcW w:w="1740" w:type="dxa"/>
            <w:noWrap/>
          </w:tcPr>
          <w:p w14:paraId="409CD53F"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770477">
              <w:rPr>
                <w:rFonts w:eastAsia="Times New Roman" w:cs="Times New Roman"/>
              </w:rPr>
              <w:t>5.6</w:t>
            </w:r>
          </w:p>
        </w:tc>
        <w:tc>
          <w:tcPr>
            <w:tcW w:w="1720" w:type="dxa"/>
            <w:noWrap/>
          </w:tcPr>
          <w:p w14:paraId="5BADAA87"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770477">
              <w:rPr>
                <w:rFonts w:eastAsia="Times New Roman" w:cs="Times New Roman"/>
              </w:rPr>
              <w:t>11290</w:t>
            </w:r>
          </w:p>
        </w:tc>
        <w:tc>
          <w:tcPr>
            <w:tcW w:w="1780" w:type="dxa"/>
            <w:noWrap/>
          </w:tcPr>
          <w:p w14:paraId="3073D250" w14:textId="77777777" w:rsidR="00302953" w:rsidRPr="00770477" w:rsidRDefault="00302953" w:rsidP="00622DCD">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770477">
              <w:rPr>
                <w:rFonts w:eastAsia="Times New Roman" w:cs="Times New Roman"/>
              </w:rPr>
              <w:t>319</w:t>
            </w:r>
          </w:p>
        </w:tc>
      </w:tr>
    </w:tbl>
    <w:p w14:paraId="3FD83041" w14:textId="77777777" w:rsidR="003B6E2D" w:rsidRPr="003B6E2D" w:rsidRDefault="003B6E2D" w:rsidP="003B6E2D"/>
    <w:sectPr w:rsidR="003B6E2D" w:rsidRPr="003B6E2D" w:rsidSect="004853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74E6F" w14:textId="77777777" w:rsidR="00B23F32" w:rsidRDefault="00B23F32" w:rsidP="00CB2497">
      <w:pPr>
        <w:spacing w:line="240" w:lineRule="auto"/>
      </w:pPr>
      <w:r>
        <w:separator/>
      </w:r>
    </w:p>
  </w:endnote>
  <w:endnote w:type="continuationSeparator" w:id="0">
    <w:p w14:paraId="17238C5E" w14:textId="77777777" w:rsidR="00B23F32" w:rsidRDefault="00B23F32" w:rsidP="00CB2497">
      <w:pPr>
        <w:spacing w:line="240" w:lineRule="auto"/>
      </w:pPr>
      <w:r>
        <w:continuationSeparator/>
      </w:r>
    </w:p>
  </w:endnote>
  <w:endnote w:type="continuationNotice" w:id="1">
    <w:p w14:paraId="4B371A15" w14:textId="77777777" w:rsidR="00B23F32" w:rsidRDefault="00B23F3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97290755"/>
      <w:docPartObj>
        <w:docPartGallery w:val="Page Numbers (Bottom of Page)"/>
        <w:docPartUnique/>
      </w:docPartObj>
    </w:sdtPr>
    <w:sdtContent>
      <w:p w14:paraId="535A80B7" w14:textId="168B9B11" w:rsidR="0048531E" w:rsidRDefault="0048531E" w:rsidP="00BE199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350F6D">
          <w:rPr>
            <w:rStyle w:val="PageNumber"/>
            <w:noProof/>
          </w:rPr>
          <w:t>xv</w:t>
        </w:r>
        <w:r>
          <w:rPr>
            <w:rStyle w:val="PageNumber"/>
          </w:rPr>
          <w:fldChar w:fldCharType="end"/>
        </w:r>
      </w:p>
    </w:sdtContent>
  </w:sdt>
  <w:p w14:paraId="64FDD721" w14:textId="77777777" w:rsidR="00E51E43" w:rsidRDefault="00E51E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A87A3" w14:textId="64827C31" w:rsidR="00AC7503" w:rsidRDefault="00AC7503" w:rsidP="00594D20">
    <w:pPr>
      <w:pStyle w:val="Footer"/>
      <w:jc w:val="center"/>
    </w:pPr>
  </w:p>
  <w:p w14:paraId="52ADCBF8" w14:textId="77777777" w:rsidR="00B2068F" w:rsidRDefault="00B206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72832061"/>
      <w:docPartObj>
        <w:docPartGallery w:val="Page Numbers (Bottom of Page)"/>
        <w:docPartUnique/>
      </w:docPartObj>
    </w:sdtPr>
    <w:sdtContent>
      <w:p w14:paraId="0EF37F13" w14:textId="77777777" w:rsidR="00E933A0" w:rsidRDefault="00E933A0" w:rsidP="00BE199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166</w:t>
        </w:r>
        <w:r>
          <w:rPr>
            <w:rStyle w:val="PageNumber"/>
          </w:rPr>
          <w:fldChar w:fldCharType="end"/>
        </w:r>
      </w:p>
    </w:sdtContent>
  </w:sdt>
  <w:p w14:paraId="2E5EAA22" w14:textId="77777777" w:rsidR="00E933A0" w:rsidRDefault="00E933A0" w:rsidP="00594D20">
    <w:pPr>
      <w:pStyle w:val="Footer"/>
      <w:jc w:val="center"/>
    </w:pPr>
  </w:p>
  <w:p w14:paraId="00B1B6F8" w14:textId="77777777" w:rsidR="00E933A0" w:rsidRDefault="00E933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C6033" w14:textId="77777777" w:rsidR="00B23F32" w:rsidRDefault="00B23F32" w:rsidP="00CB2497">
      <w:pPr>
        <w:spacing w:line="240" w:lineRule="auto"/>
      </w:pPr>
      <w:r>
        <w:separator/>
      </w:r>
    </w:p>
  </w:footnote>
  <w:footnote w:type="continuationSeparator" w:id="0">
    <w:p w14:paraId="1EB05C91" w14:textId="77777777" w:rsidR="00B23F32" w:rsidRDefault="00B23F32" w:rsidP="00CB2497">
      <w:pPr>
        <w:spacing w:line="240" w:lineRule="auto"/>
      </w:pPr>
      <w:r>
        <w:continuationSeparator/>
      </w:r>
    </w:p>
  </w:footnote>
  <w:footnote w:type="continuationNotice" w:id="1">
    <w:p w14:paraId="04A5CC53" w14:textId="77777777" w:rsidR="00B23F32" w:rsidRDefault="00B23F3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33E42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60FE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2AE4AA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D7655B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8CE472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8C11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2A3F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5CF3B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0FA49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083BE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1A04D9"/>
    <w:multiLevelType w:val="hybridMultilevel"/>
    <w:tmpl w:val="0678871C"/>
    <w:lvl w:ilvl="0" w:tplc="16F2B73C">
      <w:start w:val="2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D25691"/>
    <w:multiLevelType w:val="hybridMultilevel"/>
    <w:tmpl w:val="61A8F0EC"/>
    <w:lvl w:ilvl="0" w:tplc="E2D6D6B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2A4CE2"/>
    <w:multiLevelType w:val="hybridMultilevel"/>
    <w:tmpl w:val="BEB01DD6"/>
    <w:lvl w:ilvl="0" w:tplc="D37E2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B968ED"/>
    <w:multiLevelType w:val="hybridMultilevel"/>
    <w:tmpl w:val="0C1C0E88"/>
    <w:lvl w:ilvl="0" w:tplc="D7D4658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105EED"/>
    <w:multiLevelType w:val="hybridMultilevel"/>
    <w:tmpl w:val="D0BEB1B2"/>
    <w:lvl w:ilvl="0" w:tplc="8E3067A0">
      <w:start w:val="2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1F777C"/>
    <w:multiLevelType w:val="hybridMultilevel"/>
    <w:tmpl w:val="B6288E2E"/>
    <w:lvl w:ilvl="0" w:tplc="020249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9485DB4"/>
    <w:multiLevelType w:val="multilevel"/>
    <w:tmpl w:val="426EE5A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2F102E38"/>
    <w:multiLevelType w:val="hybridMultilevel"/>
    <w:tmpl w:val="B17A29F4"/>
    <w:lvl w:ilvl="0" w:tplc="42F659C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2C4E49"/>
    <w:multiLevelType w:val="hybridMultilevel"/>
    <w:tmpl w:val="8AEE7822"/>
    <w:lvl w:ilvl="0" w:tplc="0FF20C92">
      <w:start w:val="1"/>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EF75829"/>
    <w:multiLevelType w:val="hybridMultilevel"/>
    <w:tmpl w:val="5CD82C24"/>
    <w:lvl w:ilvl="0" w:tplc="D0665362">
      <w:start w:val="1"/>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B13526B"/>
    <w:multiLevelType w:val="multilevel"/>
    <w:tmpl w:val="0692517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upperLetter"/>
      <w:lvlRestart w:val="0"/>
      <w:pStyle w:val="Heading8"/>
      <w:lvlText w:val="Appendix %8"/>
      <w:lvlJc w:val="left"/>
      <w:pPr>
        <w:ind w:left="1440" w:hanging="1440"/>
      </w:pPr>
      <w:rPr>
        <w:rFonts w:hint="default"/>
      </w:rPr>
    </w:lvl>
    <w:lvl w:ilvl="8">
      <w:start w:val="1"/>
      <w:numFmt w:val="upperLetter"/>
      <w:lvlRestart w:val="0"/>
      <w:lvlText w:val="Appendix %9"/>
      <w:lvlJc w:val="left"/>
      <w:pPr>
        <w:ind w:left="1584" w:hanging="1584"/>
      </w:pPr>
      <w:rPr>
        <w:rFonts w:hint="default"/>
      </w:rPr>
    </w:lvl>
  </w:abstractNum>
  <w:abstractNum w:abstractNumId="21" w15:restartNumberingAfterBreak="0">
    <w:nsid w:val="5E2628BC"/>
    <w:multiLevelType w:val="hybridMultilevel"/>
    <w:tmpl w:val="E32822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24D6FA6"/>
    <w:multiLevelType w:val="hybridMultilevel"/>
    <w:tmpl w:val="42E602B2"/>
    <w:lvl w:ilvl="0" w:tplc="AF223F24">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7926FF"/>
    <w:multiLevelType w:val="hybridMultilevel"/>
    <w:tmpl w:val="D552547A"/>
    <w:lvl w:ilvl="0" w:tplc="5B60EF3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5C10A1"/>
    <w:multiLevelType w:val="multilevel"/>
    <w:tmpl w:val="2474D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A000E08"/>
    <w:multiLevelType w:val="hybridMultilevel"/>
    <w:tmpl w:val="938CD2DA"/>
    <w:lvl w:ilvl="0" w:tplc="89BA2278">
      <w:start w:val="1"/>
      <w:numFmt w:val="decimal"/>
      <w:lvlText w:val="%1."/>
      <w:lvlJc w:val="left"/>
      <w:pPr>
        <w:ind w:left="720" w:hanging="360"/>
      </w:pPr>
    </w:lvl>
    <w:lvl w:ilvl="1" w:tplc="B36018AA">
      <w:start w:val="1"/>
      <w:numFmt w:val="lowerLetter"/>
      <w:lvlText w:val="%2."/>
      <w:lvlJc w:val="left"/>
      <w:pPr>
        <w:ind w:left="1440" w:hanging="360"/>
      </w:pPr>
    </w:lvl>
    <w:lvl w:ilvl="2" w:tplc="B02C229E">
      <w:start w:val="1"/>
      <w:numFmt w:val="lowerRoman"/>
      <w:lvlText w:val="%3."/>
      <w:lvlJc w:val="right"/>
      <w:pPr>
        <w:ind w:left="2160" w:hanging="180"/>
      </w:pPr>
    </w:lvl>
    <w:lvl w:ilvl="3" w:tplc="706AF762">
      <w:start w:val="1"/>
      <w:numFmt w:val="decimal"/>
      <w:lvlText w:val="%4."/>
      <w:lvlJc w:val="left"/>
      <w:pPr>
        <w:ind w:left="2880" w:hanging="360"/>
      </w:pPr>
    </w:lvl>
    <w:lvl w:ilvl="4" w:tplc="F6F0E2A8">
      <w:start w:val="1"/>
      <w:numFmt w:val="lowerLetter"/>
      <w:lvlText w:val="%5."/>
      <w:lvlJc w:val="left"/>
      <w:pPr>
        <w:ind w:left="3600" w:hanging="360"/>
      </w:pPr>
    </w:lvl>
    <w:lvl w:ilvl="5" w:tplc="025E1E0E">
      <w:start w:val="1"/>
      <w:numFmt w:val="lowerRoman"/>
      <w:lvlText w:val="%6."/>
      <w:lvlJc w:val="right"/>
      <w:pPr>
        <w:ind w:left="4320" w:hanging="180"/>
      </w:pPr>
    </w:lvl>
    <w:lvl w:ilvl="6" w:tplc="7E54FAEC">
      <w:start w:val="1"/>
      <w:numFmt w:val="decimal"/>
      <w:lvlText w:val="%7."/>
      <w:lvlJc w:val="left"/>
      <w:pPr>
        <w:ind w:left="5040" w:hanging="360"/>
      </w:pPr>
    </w:lvl>
    <w:lvl w:ilvl="7" w:tplc="E5CEBB8E">
      <w:start w:val="1"/>
      <w:numFmt w:val="lowerLetter"/>
      <w:lvlText w:val="%8."/>
      <w:lvlJc w:val="left"/>
      <w:pPr>
        <w:ind w:left="5760" w:hanging="360"/>
      </w:pPr>
    </w:lvl>
    <w:lvl w:ilvl="8" w:tplc="E2B85D92">
      <w:start w:val="1"/>
      <w:numFmt w:val="lowerRoman"/>
      <w:lvlText w:val="%9."/>
      <w:lvlJc w:val="right"/>
      <w:pPr>
        <w:ind w:left="6480" w:hanging="180"/>
      </w:pPr>
    </w:lvl>
  </w:abstractNum>
  <w:num w:numId="1" w16cid:durableId="474179363">
    <w:abstractNumId w:val="12"/>
  </w:num>
  <w:num w:numId="2" w16cid:durableId="1734280403">
    <w:abstractNumId w:val="19"/>
  </w:num>
  <w:num w:numId="3" w16cid:durableId="202060707">
    <w:abstractNumId w:val="18"/>
  </w:num>
  <w:num w:numId="4" w16cid:durableId="1723795366">
    <w:abstractNumId w:val="17"/>
  </w:num>
  <w:num w:numId="5" w16cid:durableId="2110810815">
    <w:abstractNumId w:val="10"/>
  </w:num>
  <w:num w:numId="6" w16cid:durableId="1840076143">
    <w:abstractNumId w:val="14"/>
  </w:num>
  <w:num w:numId="7" w16cid:durableId="1895506177">
    <w:abstractNumId w:val="11"/>
  </w:num>
  <w:num w:numId="8" w16cid:durableId="915743656">
    <w:abstractNumId w:val="13"/>
  </w:num>
  <w:num w:numId="9" w16cid:durableId="1692994906">
    <w:abstractNumId w:val="23"/>
  </w:num>
  <w:num w:numId="10" w16cid:durableId="732776213">
    <w:abstractNumId w:val="22"/>
  </w:num>
  <w:num w:numId="11" w16cid:durableId="1632588901">
    <w:abstractNumId w:val="16"/>
  </w:num>
  <w:num w:numId="12" w16cid:durableId="1794710368">
    <w:abstractNumId w:val="21"/>
  </w:num>
  <w:num w:numId="13" w16cid:durableId="2077051997">
    <w:abstractNumId w:val="15"/>
  </w:num>
  <w:num w:numId="14" w16cid:durableId="789787552">
    <w:abstractNumId w:val="25"/>
  </w:num>
  <w:num w:numId="15" w16cid:durableId="639195011">
    <w:abstractNumId w:val="24"/>
  </w:num>
  <w:num w:numId="16" w16cid:durableId="2133918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813822">
    <w:abstractNumId w:val="16"/>
    <w:lvlOverride w:ilvl="0">
      <w:lvl w:ilvl="0">
        <w:start w:val="1"/>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upperLetter"/>
        <w:pStyle w:val="Heading9"/>
        <w:lvlText w:val="Appendix %9"/>
        <w:lvlJc w:val="left"/>
        <w:pPr>
          <w:ind w:left="1584" w:hanging="1584"/>
        </w:pPr>
        <w:rPr>
          <w:rFonts w:hint="default"/>
        </w:rPr>
      </w:lvl>
    </w:lvlOverride>
  </w:num>
  <w:num w:numId="18" w16cid:durableId="1253317102">
    <w:abstractNumId w:val="0"/>
  </w:num>
  <w:num w:numId="19" w16cid:durableId="843395788">
    <w:abstractNumId w:val="1"/>
  </w:num>
  <w:num w:numId="20" w16cid:durableId="342048199">
    <w:abstractNumId w:val="2"/>
  </w:num>
  <w:num w:numId="21" w16cid:durableId="1360008543">
    <w:abstractNumId w:val="3"/>
  </w:num>
  <w:num w:numId="22" w16cid:durableId="351299412">
    <w:abstractNumId w:val="8"/>
  </w:num>
  <w:num w:numId="23" w16cid:durableId="446317936">
    <w:abstractNumId w:val="4"/>
  </w:num>
  <w:num w:numId="24" w16cid:durableId="570505478">
    <w:abstractNumId w:val="5"/>
  </w:num>
  <w:num w:numId="25" w16cid:durableId="140192030">
    <w:abstractNumId w:val="6"/>
  </w:num>
  <w:num w:numId="26" w16cid:durableId="1151797663">
    <w:abstractNumId w:val="7"/>
  </w:num>
  <w:num w:numId="27" w16cid:durableId="2096196728">
    <w:abstractNumId w:val="9"/>
  </w:num>
  <w:num w:numId="28" w16cid:durableId="1085762424">
    <w:abstractNumId w:val="16"/>
    <w:lvlOverride w:ilvl="0">
      <w:lvl w:ilvl="0">
        <w:start w:val="1"/>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upperLetter"/>
        <w:lvlRestart w:val="0"/>
        <w:pStyle w:val="Heading9"/>
        <w:lvlText w:val="Appendix %9"/>
        <w:lvlJc w:val="left"/>
        <w:pPr>
          <w:ind w:left="1584" w:hanging="1584"/>
        </w:pPr>
        <w:rPr>
          <w:rFonts w:hint="default"/>
        </w:rPr>
      </w:lvl>
    </w:lvlOverride>
  </w:num>
  <w:num w:numId="29" w16cid:durableId="131973090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862"/>
    <w:rsid w:val="00000037"/>
    <w:rsid w:val="0000092B"/>
    <w:rsid w:val="00001191"/>
    <w:rsid w:val="00001B01"/>
    <w:rsid w:val="00002745"/>
    <w:rsid w:val="00002CFB"/>
    <w:rsid w:val="000039C1"/>
    <w:rsid w:val="000042C1"/>
    <w:rsid w:val="0000444B"/>
    <w:rsid w:val="0000558D"/>
    <w:rsid w:val="000058E4"/>
    <w:rsid w:val="00005A18"/>
    <w:rsid w:val="00005AEF"/>
    <w:rsid w:val="00005C72"/>
    <w:rsid w:val="00006051"/>
    <w:rsid w:val="0000611B"/>
    <w:rsid w:val="0000699D"/>
    <w:rsid w:val="00006C2D"/>
    <w:rsid w:val="00006E9C"/>
    <w:rsid w:val="00006FC0"/>
    <w:rsid w:val="00007F7F"/>
    <w:rsid w:val="000100DB"/>
    <w:rsid w:val="0001012B"/>
    <w:rsid w:val="0001087F"/>
    <w:rsid w:val="00011B1F"/>
    <w:rsid w:val="00011F1D"/>
    <w:rsid w:val="00011FDA"/>
    <w:rsid w:val="000123B0"/>
    <w:rsid w:val="000124EC"/>
    <w:rsid w:val="000134A5"/>
    <w:rsid w:val="00014759"/>
    <w:rsid w:val="00014ADB"/>
    <w:rsid w:val="00015128"/>
    <w:rsid w:val="000152B8"/>
    <w:rsid w:val="00015CF8"/>
    <w:rsid w:val="000162CC"/>
    <w:rsid w:val="00017673"/>
    <w:rsid w:val="00020259"/>
    <w:rsid w:val="00020398"/>
    <w:rsid w:val="000205D8"/>
    <w:rsid w:val="000205FF"/>
    <w:rsid w:val="0002065A"/>
    <w:rsid w:val="000208F4"/>
    <w:rsid w:val="00020981"/>
    <w:rsid w:val="00020BDA"/>
    <w:rsid w:val="00021069"/>
    <w:rsid w:val="0002107C"/>
    <w:rsid w:val="000217BB"/>
    <w:rsid w:val="000221A2"/>
    <w:rsid w:val="0002265A"/>
    <w:rsid w:val="00023A04"/>
    <w:rsid w:val="00023CDE"/>
    <w:rsid w:val="00023FC2"/>
    <w:rsid w:val="00024252"/>
    <w:rsid w:val="00024532"/>
    <w:rsid w:val="000248CC"/>
    <w:rsid w:val="00024FBE"/>
    <w:rsid w:val="000253AC"/>
    <w:rsid w:val="00025553"/>
    <w:rsid w:val="00025583"/>
    <w:rsid w:val="000256F4"/>
    <w:rsid w:val="00025A22"/>
    <w:rsid w:val="00026004"/>
    <w:rsid w:val="000260C5"/>
    <w:rsid w:val="0002617D"/>
    <w:rsid w:val="000268B2"/>
    <w:rsid w:val="00026DD8"/>
    <w:rsid w:val="00027404"/>
    <w:rsid w:val="00027ADC"/>
    <w:rsid w:val="00027DA8"/>
    <w:rsid w:val="00030997"/>
    <w:rsid w:val="00030C5A"/>
    <w:rsid w:val="00030E47"/>
    <w:rsid w:val="00030F49"/>
    <w:rsid w:val="0003152F"/>
    <w:rsid w:val="000316E0"/>
    <w:rsid w:val="00031C3E"/>
    <w:rsid w:val="00031E00"/>
    <w:rsid w:val="000320E0"/>
    <w:rsid w:val="000321B6"/>
    <w:rsid w:val="000324D4"/>
    <w:rsid w:val="0003260F"/>
    <w:rsid w:val="00032A42"/>
    <w:rsid w:val="00032B80"/>
    <w:rsid w:val="00033735"/>
    <w:rsid w:val="0003399F"/>
    <w:rsid w:val="00033B02"/>
    <w:rsid w:val="00034129"/>
    <w:rsid w:val="0003419E"/>
    <w:rsid w:val="0003425B"/>
    <w:rsid w:val="00034824"/>
    <w:rsid w:val="00034917"/>
    <w:rsid w:val="00034FF4"/>
    <w:rsid w:val="00035C48"/>
    <w:rsid w:val="00035E26"/>
    <w:rsid w:val="00036243"/>
    <w:rsid w:val="0003672B"/>
    <w:rsid w:val="000369E1"/>
    <w:rsid w:val="00037C89"/>
    <w:rsid w:val="00037CBC"/>
    <w:rsid w:val="000404F9"/>
    <w:rsid w:val="00040D22"/>
    <w:rsid w:val="00040D4A"/>
    <w:rsid w:val="0004139C"/>
    <w:rsid w:val="00041454"/>
    <w:rsid w:val="00041C7B"/>
    <w:rsid w:val="00041DBF"/>
    <w:rsid w:val="0004287C"/>
    <w:rsid w:val="000428E6"/>
    <w:rsid w:val="00042A45"/>
    <w:rsid w:val="00043954"/>
    <w:rsid w:val="000441DA"/>
    <w:rsid w:val="0004436E"/>
    <w:rsid w:val="00044403"/>
    <w:rsid w:val="00044531"/>
    <w:rsid w:val="00044626"/>
    <w:rsid w:val="00044ADF"/>
    <w:rsid w:val="00045392"/>
    <w:rsid w:val="000455D0"/>
    <w:rsid w:val="0004577B"/>
    <w:rsid w:val="00045BBD"/>
    <w:rsid w:val="00045BCF"/>
    <w:rsid w:val="00045E82"/>
    <w:rsid w:val="0004618E"/>
    <w:rsid w:val="0004641F"/>
    <w:rsid w:val="0004675F"/>
    <w:rsid w:val="000470F9"/>
    <w:rsid w:val="00047403"/>
    <w:rsid w:val="0004785E"/>
    <w:rsid w:val="00047CF4"/>
    <w:rsid w:val="0005034F"/>
    <w:rsid w:val="000504D3"/>
    <w:rsid w:val="00050BCA"/>
    <w:rsid w:val="00051DED"/>
    <w:rsid w:val="00052AD3"/>
    <w:rsid w:val="00052E3E"/>
    <w:rsid w:val="00053742"/>
    <w:rsid w:val="00053D98"/>
    <w:rsid w:val="00054B39"/>
    <w:rsid w:val="00054C86"/>
    <w:rsid w:val="00054F04"/>
    <w:rsid w:val="00055471"/>
    <w:rsid w:val="00055B72"/>
    <w:rsid w:val="000561A0"/>
    <w:rsid w:val="000561AD"/>
    <w:rsid w:val="00056545"/>
    <w:rsid w:val="0005679C"/>
    <w:rsid w:val="000578FA"/>
    <w:rsid w:val="000609DE"/>
    <w:rsid w:val="00060E3C"/>
    <w:rsid w:val="00061096"/>
    <w:rsid w:val="00061887"/>
    <w:rsid w:val="00061C47"/>
    <w:rsid w:val="00061CC1"/>
    <w:rsid w:val="00061DAB"/>
    <w:rsid w:val="00062006"/>
    <w:rsid w:val="000623F2"/>
    <w:rsid w:val="0006240B"/>
    <w:rsid w:val="00062FF5"/>
    <w:rsid w:val="00063894"/>
    <w:rsid w:val="00063DA9"/>
    <w:rsid w:val="0006474D"/>
    <w:rsid w:val="00064F7A"/>
    <w:rsid w:val="00065033"/>
    <w:rsid w:val="00065834"/>
    <w:rsid w:val="0006605F"/>
    <w:rsid w:val="00067735"/>
    <w:rsid w:val="0007058E"/>
    <w:rsid w:val="00070BB4"/>
    <w:rsid w:val="00071490"/>
    <w:rsid w:val="00071546"/>
    <w:rsid w:val="00071551"/>
    <w:rsid w:val="00071DC9"/>
    <w:rsid w:val="0007204F"/>
    <w:rsid w:val="00072144"/>
    <w:rsid w:val="00072552"/>
    <w:rsid w:val="0007256E"/>
    <w:rsid w:val="00072C0A"/>
    <w:rsid w:val="000735E5"/>
    <w:rsid w:val="00074422"/>
    <w:rsid w:val="0007457D"/>
    <w:rsid w:val="00075C96"/>
    <w:rsid w:val="00075F55"/>
    <w:rsid w:val="00076BF1"/>
    <w:rsid w:val="00077BEA"/>
    <w:rsid w:val="00077F76"/>
    <w:rsid w:val="00080DE7"/>
    <w:rsid w:val="00081610"/>
    <w:rsid w:val="00082795"/>
    <w:rsid w:val="000828EA"/>
    <w:rsid w:val="000838D7"/>
    <w:rsid w:val="00084013"/>
    <w:rsid w:val="00084674"/>
    <w:rsid w:val="00084688"/>
    <w:rsid w:val="00084D33"/>
    <w:rsid w:val="00084E77"/>
    <w:rsid w:val="0008618E"/>
    <w:rsid w:val="000862DE"/>
    <w:rsid w:val="000868B1"/>
    <w:rsid w:val="00086F7C"/>
    <w:rsid w:val="0008720A"/>
    <w:rsid w:val="00087BA5"/>
    <w:rsid w:val="00087D2B"/>
    <w:rsid w:val="00087F83"/>
    <w:rsid w:val="000900F9"/>
    <w:rsid w:val="000904EB"/>
    <w:rsid w:val="000905C5"/>
    <w:rsid w:val="00090DF9"/>
    <w:rsid w:val="000910E1"/>
    <w:rsid w:val="00091184"/>
    <w:rsid w:val="00091948"/>
    <w:rsid w:val="00091D5E"/>
    <w:rsid w:val="000921A9"/>
    <w:rsid w:val="0009264F"/>
    <w:rsid w:val="00092936"/>
    <w:rsid w:val="00092AA8"/>
    <w:rsid w:val="00092D28"/>
    <w:rsid w:val="00092F09"/>
    <w:rsid w:val="0009308D"/>
    <w:rsid w:val="000931FF"/>
    <w:rsid w:val="00093AC0"/>
    <w:rsid w:val="00093D70"/>
    <w:rsid w:val="00093D9A"/>
    <w:rsid w:val="00093F3B"/>
    <w:rsid w:val="0009400F"/>
    <w:rsid w:val="0009419F"/>
    <w:rsid w:val="0009423E"/>
    <w:rsid w:val="00094570"/>
    <w:rsid w:val="00094AF7"/>
    <w:rsid w:val="000961AA"/>
    <w:rsid w:val="00096822"/>
    <w:rsid w:val="000974A2"/>
    <w:rsid w:val="0009774A"/>
    <w:rsid w:val="000A0591"/>
    <w:rsid w:val="000A0774"/>
    <w:rsid w:val="000A1B43"/>
    <w:rsid w:val="000A2240"/>
    <w:rsid w:val="000A2383"/>
    <w:rsid w:val="000A2D09"/>
    <w:rsid w:val="000A3685"/>
    <w:rsid w:val="000A3CCB"/>
    <w:rsid w:val="000A453A"/>
    <w:rsid w:val="000A4A35"/>
    <w:rsid w:val="000A4BC2"/>
    <w:rsid w:val="000A4F1B"/>
    <w:rsid w:val="000A5A4C"/>
    <w:rsid w:val="000A5BA4"/>
    <w:rsid w:val="000A6274"/>
    <w:rsid w:val="000A66DC"/>
    <w:rsid w:val="000A6868"/>
    <w:rsid w:val="000A6B4C"/>
    <w:rsid w:val="000A7093"/>
    <w:rsid w:val="000A70BA"/>
    <w:rsid w:val="000A759C"/>
    <w:rsid w:val="000A75FE"/>
    <w:rsid w:val="000A769B"/>
    <w:rsid w:val="000A77F1"/>
    <w:rsid w:val="000A7911"/>
    <w:rsid w:val="000A7A2B"/>
    <w:rsid w:val="000B0028"/>
    <w:rsid w:val="000B0D01"/>
    <w:rsid w:val="000B0EB2"/>
    <w:rsid w:val="000B1592"/>
    <w:rsid w:val="000B15ED"/>
    <w:rsid w:val="000B1BBD"/>
    <w:rsid w:val="000B1C5E"/>
    <w:rsid w:val="000B1D88"/>
    <w:rsid w:val="000B2295"/>
    <w:rsid w:val="000B23D2"/>
    <w:rsid w:val="000B280A"/>
    <w:rsid w:val="000B2C7A"/>
    <w:rsid w:val="000B2CB1"/>
    <w:rsid w:val="000B2E20"/>
    <w:rsid w:val="000B2EEF"/>
    <w:rsid w:val="000B32F0"/>
    <w:rsid w:val="000B3CF0"/>
    <w:rsid w:val="000B3F3C"/>
    <w:rsid w:val="000B4CFE"/>
    <w:rsid w:val="000B5135"/>
    <w:rsid w:val="000B5172"/>
    <w:rsid w:val="000B5324"/>
    <w:rsid w:val="000B5A7F"/>
    <w:rsid w:val="000B5B85"/>
    <w:rsid w:val="000B63D7"/>
    <w:rsid w:val="000B677D"/>
    <w:rsid w:val="000B7587"/>
    <w:rsid w:val="000C024A"/>
    <w:rsid w:val="000C034F"/>
    <w:rsid w:val="000C048C"/>
    <w:rsid w:val="000C06CD"/>
    <w:rsid w:val="000C082C"/>
    <w:rsid w:val="000C084F"/>
    <w:rsid w:val="000C0CBC"/>
    <w:rsid w:val="000C1CA2"/>
    <w:rsid w:val="000C1EDE"/>
    <w:rsid w:val="000C22D7"/>
    <w:rsid w:val="000C3F6D"/>
    <w:rsid w:val="000C410F"/>
    <w:rsid w:val="000C4477"/>
    <w:rsid w:val="000C4BBA"/>
    <w:rsid w:val="000C4EFC"/>
    <w:rsid w:val="000C5757"/>
    <w:rsid w:val="000C5FE8"/>
    <w:rsid w:val="000C65B6"/>
    <w:rsid w:val="000C6B08"/>
    <w:rsid w:val="000C6B78"/>
    <w:rsid w:val="000C71B0"/>
    <w:rsid w:val="000C74DE"/>
    <w:rsid w:val="000C7A56"/>
    <w:rsid w:val="000C7BB4"/>
    <w:rsid w:val="000C7EDB"/>
    <w:rsid w:val="000D0441"/>
    <w:rsid w:val="000D049D"/>
    <w:rsid w:val="000D081C"/>
    <w:rsid w:val="000D0FA5"/>
    <w:rsid w:val="000D17FD"/>
    <w:rsid w:val="000D18B8"/>
    <w:rsid w:val="000D19F8"/>
    <w:rsid w:val="000D1B33"/>
    <w:rsid w:val="000D229F"/>
    <w:rsid w:val="000D230F"/>
    <w:rsid w:val="000D2A02"/>
    <w:rsid w:val="000D3205"/>
    <w:rsid w:val="000D36AC"/>
    <w:rsid w:val="000D443A"/>
    <w:rsid w:val="000D59CD"/>
    <w:rsid w:val="000D59DF"/>
    <w:rsid w:val="000D5F4F"/>
    <w:rsid w:val="000D6319"/>
    <w:rsid w:val="000D68AF"/>
    <w:rsid w:val="000D71D8"/>
    <w:rsid w:val="000D7528"/>
    <w:rsid w:val="000D7F29"/>
    <w:rsid w:val="000D7FA5"/>
    <w:rsid w:val="000D7FD9"/>
    <w:rsid w:val="000E00DA"/>
    <w:rsid w:val="000E1174"/>
    <w:rsid w:val="000E1C6C"/>
    <w:rsid w:val="000E2FAE"/>
    <w:rsid w:val="000E2FEE"/>
    <w:rsid w:val="000E3424"/>
    <w:rsid w:val="000E43E6"/>
    <w:rsid w:val="000E45F8"/>
    <w:rsid w:val="000E47B4"/>
    <w:rsid w:val="000E4C5E"/>
    <w:rsid w:val="000E4D38"/>
    <w:rsid w:val="000E4E0A"/>
    <w:rsid w:val="000E5316"/>
    <w:rsid w:val="000E6077"/>
    <w:rsid w:val="000E6667"/>
    <w:rsid w:val="000E670A"/>
    <w:rsid w:val="000E6A8D"/>
    <w:rsid w:val="000E6EC5"/>
    <w:rsid w:val="000E77C2"/>
    <w:rsid w:val="000E7A93"/>
    <w:rsid w:val="000E7E97"/>
    <w:rsid w:val="000F0020"/>
    <w:rsid w:val="000F0399"/>
    <w:rsid w:val="000F05E4"/>
    <w:rsid w:val="000F06AC"/>
    <w:rsid w:val="000F093A"/>
    <w:rsid w:val="000F1009"/>
    <w:rsid w:val="000F1BC1"/>
    <w:rsid w:val="000F24E7"/>
    <w:rsid w:val="000F26B4"/>
    <w:rsid w:val="000F34D5"/>
    <w:rsid w:val="000F3987"/>
    <w:rsid w:val="000F3AF8"/>
    <w:rsid w:val="000F3F2B"/>
    <w:rsid w:val="000F4ABC"/>
    <w:rsid w:val="000F538A"/>
    <w:rsid w:val="000F5582"/>
    <w:rsid w:val="000F5B18"/>
    <w:rsid w:val="000F5EF3"/>
    <w:rsid w:val="000F6A80"/>
    <w:rsid w:val="000F78C1"/>
    <w:rsid w:val="000F7BE5"/>
    <w:rsid w:val="00100199"/>
    <w:rsid w:val="00101C21"/>
    <w:rsid w:val="00102BCD"/>
    <w:rsid w:val="00102C0C"/>
    <w:rsid w:val="00103032"/>
    <w:rsid w:val="00103453"/>
    <w:rsid w:val="0010358E"/>
    <w:rsid w:val="0010377C"/>
    <w:rsid w:val="00103CA8"/>
    <w:rsid w:val="0010406F"/>
    <w:rsid w:val="00104580"/>
    <w:rsid w:val="0010470D"/>
    <w:rsid w:val="00104B29"/>
    <w:rsid w:val="00104FAB"/>
    <w:rsid w:val="001054C6"/>
    <w:rsid w:val="00105C57"/>
    <w:rsid w:val="00105CBC"/>
    <w:rsid w:val="00106166"/>
    <w:rsid w:val="00106C1A"/>
    <w:rsid w:val="00106C43"/>
    <w:rsid w:val="00106DCD"/>
    <w:rsid w:val="00106F1F"/>
    <w:rsid w:val="0010792E"/>
    <w:rsid w:val="001106B8"/>
    <w:rsid w:val="001108EB"/>
    <w:rsid w:val="00111259"/>
    <w:rsid w:val="00111346"/>
    <w:rsid w:val="0011145D"/>
    <w:rsid w:val="001114C0"/>
    <w:rsid w:val="00111C7E"/>
    <w:rsid w:val="00111CCD"/>
    <w:rsid w:val="001123AA"/>
    <w:rsid w:val="00112A2A"/>
    <w:rsid w:val="00114071"/>
    <w:rsid w:val="00114273"/>
    <w:rsid w:val="001146BE"/>
    <w:rsid w:val="0011486F"/>
    <w:rsid w:val="00114C9A"/>
    <w:rsid w:val="00115A4A"/>
    <w:rsid w:val="00115C1A"/>
    <w:rsid w:val="00115E43"/>
    <w:rsid w:val="00116540"/>
    <w:rsid w:val="0011676F"/>
    <w:rsid w:val="00116CCE"/>
    <w:rsid w:val="00116E14"/>
    <w:rsid w:val="00116F23"/>
    <w:rsid w:val="0011785F"/>
    <w:rsid w:val="00117B32"/>
    <w:rsid w:val="00117DA8"/>
    <w:rsid w:val="00120510"/>
    <w:rsid w:val="001205CE"/>
    <w:rsid w:val="00120AE8"/>
    <w:rsid w:val="00120D04"/>
    <w:rsid w:val="001214E0"/>
    <w:rsid w:val="00121B84"/>
    <w:rsid w:val="00122029"/>
    <w:rsid w:val="0012296D"/>
    <w:rsid w:val="00123187"/>
    <w:rsid w:val="001238AA"/>
    <w:rsid w:val="001238F6"/>
    <w:rsid w:val="00124B07"/>
    <w:rsid w:val="00124E6A"/>
    <w:rsid w:val="00124F56"/>
    <w:rsid w:val="00125CAF"/>
    <w:rsid w:val="00125EF8"/>
    <w:rsid w:val="0012655F"/>
    <w:rsid w:val="00126F49"/>
    <w:rsid w:val="00127699"/>
    <w:rsid w:val="001277EC"/>
    <w:rsid w:val="001279CD"/>
    <w:rsid w:val="00130553"/>
    <w:rsid w:val="0013097C"/>
    <w:rsid w:val="00130A70"/>
    <w:rsid w:val="0013131E"/>
    <w:rsid w:val="001313A7"/>
    <w:rsid w:val="00131512"/>
    <w:rsid w:val="001318B4"/>
    <w:rsid w:val="00131BA0"/>
    <w:rsid w:val="0013333E"/>
    <w:rsid w:val="00133594"/>
    <w:rsid w:val="00133636"/>
    <w:rsid w:val="00133B87"/>
    <w:rsid w:val="00133B9E"/>
    <w:rsid w:val="00134BFE"/>
    <w:rsid w:val="00135153"/>
    <w:rsid w:val="0013574E"/>
    <w:rsid w:val="00135A6D"/>
    <w:rsid w:val="00136B64"/>
    <w:rsid w:val="001371B9"/>
    <w:rsid w:val="00137337"/>
    <w:rsid w:val="0013779C"/>
    <w:rsid w:val="00137D15"/>
    <w:rsid w:val="00140203"/>
    <w:rsid w:val="00141416"/>
    <w:rsid w:val="001417B1"/>
    <w:rsid w:val="00141B75"/>
    <w:rsid w:val="00142028"/>
    <w:rsid w:val="00142DF3"/>
    <w:rsid w:val="001433C3"/>
    <w:rsid w:val="00144366"/>
    <w:rsid w:val="0014448E"/>
    <w:rsid w:val="001444EC"/>
    <w:rsid w:val="0014462B"/>
    <w:rsid w:val="00144920"/>
    <w:rsid w:val="00144B06"/>
    <w:rsid w:val="00144D23"/>
    <w:rsid w:val="00145005"/>
    <w:rsid w:val="00145294"/>
    <w:rsid w:val="001454E3"/>
    <w:rsid w:val="001457D0"/>
    <w:rsid w:val="001458A9"/>
    <w:rsid w:val="00145AFA"/>
    <w:rsid w:val="00145B90"/>
    <w:rsid w:val="0014643A"/>
    <w:rsid w:val="0014643F"/>
    <w:rsid w:val="001467EE"/>
    <w:rsid w:val="00147451"/>
    <w:rsid w:val="00150206"/>
    <w:rsid w:val="00150446"/>
    <w:rsid w:val="00150792"/>
    <w:rsid w:val="001508F2"/>
    <w:rsid w:val="00150ABC"/>
    <w:rsid w:val="00150D32"/>
    <w:rsid w:val="00151301"/>
    <w:rsid w:val="00151B8C"/>
    <w:rsid w:val="00151BB9"/>
    <w:rsid w:val="001520D5"/>
    <w:rsid w:val="00152515"/>
    <w:rsid w:val="00152598"/>
    <w:rsid w:val="00152993"/>
    <w:rsid w:val="00152B50"/>
    <w:rsid w:val="00152C33"/>
    <w:rsid w:val="00152EA8"/>
    <w:rsid w:val="0015369B"/>
    <w:rsid w:val="00153FBC"/>
    <w:rsid w:val="00154AF7"/>
    <w:rsid w:val="00154DC7"/>
    <w:rsid w:val="001550E1"/>
    <w:rsid w:val="001554E2"/>
    <w:rsid w:val="001555E0"/>
    <w:rsid w:val="0015564B"/>
    <w:rsid w:val="00155951"/>
    <w:rsid w:val="001560BF"/>
    <w:rsid w:val="0015637F"/>
    <w:rsid w:val="001564F5"/>
    <w:rsid w:val="001565E2"/>
    <w:rsid w:val="00157983"/>
    <w:rsid w:val="00157FE2"/>
    <w:rsid w:val="00160029"/>
    <w:rsid w:val="001600FA"/>
    <w:rsid w:val="00160D38"/>
    <w:rsid w:val="00161231"/>
    <w:rsid w:val="001612D6"/>
    <w:rsid w:val="001615D8"/>
    <w:rsid w:val="00162996"/>
    <w:rsid w:val="00162B90"/>
    <w:rsid w:val="00163305"/>
    <w:rsid w:val="0016365F"/>
    <w:rsid w:val="00163737"/>
    <w:rsid w:val="001638D9"/>
    <w:rsid w:val="00163A21"/>
    <w:rsid w:val="00163F95"/>
    <w:rsid w:val="001642F8"/>
    <w:rsid w:val="00165012"/>
    <w:rsid w:val="00166ECD"/>
    <w:rsid w:val="00167E6B"/>
    <w:rsid w:val="001704B3"/>
    <w:rsid w:val="0017065B"/>
    <w:rsid w:val="0017068C"/>
    <w:rsid w:val="001706E6"/>
    <w:rsid w:val="00170B97"/>
    <w:rsid w:val="00171309"/>
    <w:rsid w:val="00171499"/>
    <w:rsid w:val="001715E6"/>
    <w:rsid w:val="001726C6"/>
    <w:rsid w:val="00172A02"/>
    <w:rsid w:val="00172AFF"/>
    <w:rsid w:val="001733C7"/>
    <w:rsid w:val="00173745"/>
    <w:rsid w:val="001737A8"/>
    <w:rsid w:val="00173828"/>
    <w:rsid w:val="00173A6A"/>
    <w:rsid w:val="00173CFB"/>
    <w:rsid w:val="00174E36"/>
    <w:rsid w:val="00174FA9"/>
    <w:rsid w:val="001750F2"/>
    <w:rsid w:val="001758C5"/>
    <w:rsid w:val="00175B72"/>
    <w:rsid w:val="00176CC2"/>
    <w:rsid w:val="00176E5A"/>
    <w:rsid w:val="0017752E"/>
    <w:rsid w:val="00177543"/>
    <w:rsid w:val="00177981"/>
    <w:rsid w:val="00177B05"/>
    <w:rsid w:val="001801FB"/>
    <w:rsid w:val="001807EF"/>
    <w:rsid w:val="001808C8"/>
    <w:rsid w:val="00180F73"/>
    <w:rsid w:val="00181295"/>
    <w:rsid w:val="001818DA"/>
    <w:rsid w:val="00181C0A"/>
    <w:rsid w:val="00181E02"/>
    <w:rsid w:val="001830D5"/>
    <w:rsid w:val="001830E2"/>
    <w:rsid w:val="001833A2"/>
    <w:rsid w:val="0018352C"/>
    <w:rsid w:val="00183EBE"/>
    <w:rsid w:val="00184270"/>
    <w:rsid w:val="001850B7"/>
    <w:rsid w:val="00185B5A"/>
    <w:rsid w:val="0018615A"/>
    <w:rsid w:val="00186700"/>
    <w:rsid w:val="00186C8C"/>
    <w:rsid w:val="001870E5"/>
    <w:rsid w:val="00187AE3"/>
    <w:rsid w:val="001900FB"/>
    <w:rsid w:val="001910CA"/>
    <w:rsid w:val="00191B62"/>
    <w:rsid w:val="00191EAC"/>
    <w:rsid w:val="00192185"/>
    <w:rsid w:val="001924A1"/>
    <w:rsid w:val="0019259A"/>
    <w:rsid w:val="00192918"/>
    <w:rsid w:val="00192C01"/>
    <w:rsid w:val="00192F28"/>
    <w:rsid w:val="001937CF"/>
    <w:rsid w:val="00193B0B"/>
    <w:rsid w:val="00193E1D"/>
    <w:rsid w:val="0019457B"/>
    <w:rsid w:val="0019457F"/>
    <w:rsid w:val="0019464D"/>
    <w:rsid w:val="00194807"/>
    <w:rsid w:val="00197870"/>
    <w:rsid w:val="00197BB2"/>
    <w:rsid w:val="001A02B1"/>
    <w:rsid w:val="001A0547"/>
    <w:rsid w:val="001A0719"/>
    <w:rsid w:val="001A07CE"/>
    <w:rsid w:val="001A114C"/>
    <w:rsid w:val="001A120C"/>
    <w:rsid w:val="001A138B"/>
    <w:rsid w:val="001A1B3A"/>
    <w:rsid w:val="001A22D0"/>
    <w:rsid w:val="001A23E2"/>
    <w:rsid w:val="001A27AF"/>
    <w:rsid w:val="001A2957"/>
    <w:rsid w:val="001A339C"/>
    <w:rsid w:val="001A36E7"/>
    <w:rsid w:val="001A38C8"/>
    <w:rsid w:val="001A4B5C"/>
    <w:rsid w:val="001A5212"/>
    <w:rsid w:val="001A5283"/>
    <w:rsid w:val="001A550B"/>
    <w:rsid w:val="001A5D83"/>
    <w:rsid w:val="001A67B8"/>
    <w:rsid w:val="001A69E6"/>
    <w:rsid w:val="001A6DCB"/>
    <w:rsid w:val="001A72F8"/>
    <w:rsid w:val="001A7398"/>
    <w:rsid w:val="001A73A7"/>
    <w:rsid w:val="001A77FD"/>
    <w:rsid w:val="001A7DD1"/>
    <w:rsid w:val="001B033A"/>
    <w:rsid w:val="001B0879"/>
    <w:rsid w:val="001B0C78"/>
    <w:rsid w:val="001B1628"/>
    <w:rsid w:val="001B2DAF"/>
    <w:rsid w:val="001B2DDD"/>
    <w:rsid w:val="001B3356"/>
    <w:rsid w:val="001B3763"/>
    <w:rsid w:val="001B3A56"/>
    <w:rsid w:val="001B3BFE"/>
    <w:rsid w:val="001B4392"/>
    <w:rsid w:val="001B4AF7"/>
    <w:rsid w:val="001B4DDF"/>
    <w:rsid w:val="001B509D"/>
    <w:rsid w:val="001B5ACC"/>
    <w:rsid w:val="001B5B40"/>
    <w:rsid w:val="001B6683"/>
    <w:rsid w:val="001B69CC"/>
    <w:rsid w:val="001B7C1E"/>
    <w:rsid w:val="001C0232"/>
    <w:rsid w:val="001C0F53"/>
    <w:rsid w:val="001C12EC"/>
    <w:rsid w:val="001C1B67"/>
    <w:rsid w:val="001C2A13"/>
    <w:rsid w:val="001C2A79"/>
    <w:rsid w:val="001C2BEE"/>
    <w:rsid w:val="001C3C86"/>
    <w:rsid w:val="001C48F9"/>
    <w:rsid w:val="001C5323"/>
    <w:rsid w:val="001C5602"/>
    <w:rsid w:val="001C56DD"/>
    <w:rsid w:val="001C5B3F"/>
    <w:rsid w:val="001C63AA"/>
    <w:rsid w:val="001C72B2"/>
    <w:rsid w:val="001C789C"/>
    <w:rsid w:val="001C7912"/>
    <w:rsid w:val="001D008C"/>
    <w:rsid w:val="001D0109"/>
    <w:rsid w:val="001D1167"/>
    <w:rsid w:val="001D1E0C"/>
    <w:rsid w:val="001D2015"/>
    <w:rsid w:val="001D21F8"/>
    <w:rsid w:val="001D2217"/>
    <w:rsid w:val="001D2487"/>
    <w:rsid w:val="001D2488"/>
    <w:rsid w:val="001D24F0"/>
    <w:rsid w:val="001D2CD4"/>
    <w:rsid w:val="001D372C"/>
    <w:rsid w:val="001D3A0E"/>
    <w:rsid w:val="001D3C44"/>
    <w:rsid w:val="001D4725"/>
    <w:rsid w:val="001D5521"/>
    <w:rsid w:val="001D573C"/>
    <w:rsid w:val="001D5FAD"/>
    <w:rsid w:val="001D6130"/>
    <w:rsid w:val="001D647C"/>
    <w:rsid w:val="001D6DC6"/>
    <w:rsid w:val="001D6E5B"/>
    <w:rsid w:val="001D6EB6"/>
    <w:rsid w:val="001D7693"/>
    <w:rsid w:val="001D7B17"/>
    <w:rsid w:val="001D7BF2"/>
    <w:rsid w:val="001D7C03"/>
    <w:rsid w:val="001D7DE5"/>
    <w:rsid w:val="001E0521"/>
    <w:rsid w:val="001E05B7"/>
    <w:rsid w:val="001E065B"/>
    <w:rsid w:val="001E0BC7"/>
    <w:rsid w:val="001E0BD1"/>
    <w:rsid w:val="001E1146"/>
    <w:rsid w:val="001E2BDF"/>
    <w:rsid w:val="001E337D"/>
    <w:rsid w:val="001E416A"/>
    <w:rsid w:val="001E46A9"/>
    <w:rsid w:val="001E51DB"/>
    <w:rsid w:val="001E551F"/>
    <w:rsid w:val="001E55EF"/>
    <w:rsid w:val="001E61B7"/>
    <w:rsid w:val="001E6433"/>
    <w:rsid w:val="001E6B9B"/>
    <w:rsid w:val="001E6C6E"/>
    <w:rsid w:val="001E73FD"/>
    <w:rsid w:val="001E7733"/>
    <w:rsid w:val="001E7F03"/>
    <w:rsid w:val="001F0699"/>
    <w:rsid w:val="001F0AF9"/>
    <w:rsid w:val="001F1250"/>
    <w:rsid w:val="001F1A82"/>
    <w:rsid w:val="001F1D62"/>
    <w:rsid w:val="001F231E"/>
    <w:rsid w:val="001F3003"/>
    <w:rsid w:val="001F312A"/>
    <w:rsid w:val="001F33D3"/>
    <w:rsid w:val="001F36C4"/>
    <w:rsid w:val="001F38EC"/>
    <w:rsid w:val="001F393E"/>
    <w:rsid w:val="001F4CE5"/>
    <w:rsid w:val="001F5240"/>
    <w:rsid w:val="001F5298"/>
    <w:rsid w:val="001F54FD"/>
    <w:rsid w:val="001F6217"/>
    <w:rsid w:val="001F6938"/>
    <w:rsid w:val="001F6A5D"/>
    <w:rsid w:val="001F70BB"/>
    <w:rsid w:val="001F73C0"/>
    <w:rsid w:val="001F75B8"/>
    <w:rsid w:val="001F773E"/>
    <w:rsid w:val="001F7C01"/>
    <w:rsid w:val="001F7E5A"/>
    <w:rsid w:val="00200111"/>
    <w:rsid w:val="002008B7"/>
    <w:rsid w:val="002012F9"/>
    <w:rsid w:val="0020173F"/>
    <w:rsid w:val="0020291D"/>
    <w:rsid w:val="00203385"/>
    <w:rsid w:val="002034F0"/>
    <w:rsid w:val="00203833"/>
    <w:rsid w:val="00203854"/>
    <w:rsid w:val="00203925"/>
    <w:rsid w:val="00204361"/>
    <w:rsid w:val="00204714"/>
    <w:rsid w:val="00204C51"/>
    <w:rsid w:val="00204C8F"/>
    <w:rsid w:val="00205086"/>
    <w:rsid w:val="002050AB"/>
    <w:rsid w:val="00205FED"/>
    <w:rsid w:val="0020623F"/>
    <w:rsid w:val="00206A6C"/>
    <w:rsid w:val="002074AD"/>
    <w:rsid w:val="00207ADF"/>
    <w:rsid w:val="00207B68"/>
    <w:rsid w:val="00207B6B"/>
    <w:rsid w:val="002104A7"/>
    <w:rsid w:val="0021061C"/>
    <w:rsid w:val="0021159D"/>
    <w:rsid w:val="00211767"/>
    <w:rsid w:val="002119AB"/>
    <w:rsid w:val="00212068"/>
    <w:rsid w:val="002121FD"/>
    <w:rsid w:val="0021220C"/>
    <w:rsid w:val="002124A6"/>
    <w:rsid w:val="0021260C"/>
    <w:rsid w:val="00212970"/>
    <w:rsid w:val="00212E80"/>
    <w:rsid w:val="00212F84"/>
    <w:rsid w:val="00213234"/>
    <w:rsid w:val="002133AB"/>
    <w:rsid w:val="00213C57"/>
    <w:rsid w:val="00213FEA"/>
    <w:rsid w:val="00214FAE"/>
    <w:rsid w:val="00214FB9"/>
    <w:rsid w:val="0021561B"/>
    <w:rsid w:val="00215F48"/>
    <w:rsid w:val="00216652"/>
    <w:rsid w:val="00216920"/>
    <w:rsid w:val="00216967"/>
    <w:rsid w:val="00217702"/>
    <w:rsid w:val="002177D2"/>
    <w:rsid w:val="00217A1F"/>
    <w:rsid w:val="00220248"/>
    <w:rsid w:val="0022050A"/>
    <w:rsid w:val="00220943"/>
    <w:rsid w:val="0022122F"/>
    <w:rsid w:val="002218FD"/>
    <w:rsid w:val="0022323C"/>
    <w:rsid w:val="0022359B"/>
    <w:rsid w:val="0022498C"/>
    <w:rsid w:val="00224EFC"/>
    <w:rsid w:val="00225F91"/>
    <w:rsid w:val="0022629D"/>
    <w:rsid w:val="00226813"/>
    <w:rsid w:val="002269C8"/>
    <w:rsid w:val="00226B00"/>
    <w:rsid w:val="00226C78"/>
    <w:rsid w:val="0022758F"/>
    <w:rsid w:val="0022777C"/>
    <w:rsid w:val="00227B95"/>
    <w:rsid w:val="00227EF2"/>
    <w:rsid w:val="00230BFE"/>
    <w:rsid w:val="00230D53"/>
    <w:rsid w:val="00230DDF"/>
    <w:rsid w:val="00230E3D"/>
    <w:rsid w:val="00231085"/>
    <w:rsid w:val="00231594"/>
    <w:rsid w:val="00231910"/>
    <w:rsid w:val="00231AE0"/>
    <w:rsid w:val="00231F10"/>
    <w:rsid w:val="00232C4C"/>
    <w:rsid w:val="00233D6A"/>
    <w:rsid w:val="00234657"/>
    <w:rsid w:val="00234A8E"/>
    <w:rsid w:val="00234F41"/>
    <w:rsid w:val="002352C5"/>
    <w:rsid w:val="002358D6"/>
    <w:rsid w:val="00235C25"/>
    <w:rsid w:val="00235CAB"/>
    <w:rsid w:val="00236A65"/>
    <w:rsid w:val="00236D0E"/>
    <w:rsid w:val="00236D46"/>
    <w:rsid w:val="002370A6"/>
    <w:rsid w:val="002373BE"/>
    <w:rsid w:val="00237464"/>
    <w:rsid w:val="00237F8B"/>
    <w:rsid w:val="00240198"/>
    <w:rsid w:val="00241B13"/>
    <w:rsid w:val="002424CC"/>
    <w:rsid w:val="002426E1"/>
    <w:rsid w:val="002427FC"/>
    <w:rsid w:val="00242888"/>
    <w:rsid w:val="00243152"/>
    <w:rsid w:val="0024316B"/>
    <w:rsid w:val="0024366A"/>
    <w:rsid w:val="00243EBF"/>
    <w:rsid w:val="00244072"/>
    <w:rsid w:val="00244464"/>
    <w:rsid w:val="00244740"/>
    <w:rsid w:val="00244D45"/>
    <w:rsid w:val="00245157"/>
    <w:rsid w:val="0024578C"/>
    <w:rsid w:val="002465C2"/>
    <w:rsid w:val="00246B81"/>
    <w:rsid w:val="00246BB5"/>
    <w:rsid w:val="00246E9F"/>
    <w:rsid w:val="002473EB"/>
    <w:rsid w:val="00247475"/>
    <w:rsid w:val="00247555"/>
    <w:rsid w:val="0024780A"/>
    <w:rsid w:val="00250143"/>
    <w:rsid w:val="0025036A"/>
    <w:rsid w:val="00250AE4"/>
    <w:rsid w:val="00250F1B"/>
    <w:rsid w:val="00251C15"/>
    <w:rsid w:val="00252D15"/>
    <w:rsid w:val="002532B5"/>
    <w:rsid w:val="00253425"/>
    <w:rsid w:val="0025342C"/>
    <w:rsid w:val="002536A1"/>
    <w:rsid w:val="00253EF9"/>
    <w:rsid w:val="002560B1"/>
    <w:rsid w:val="0025644F"/>
    <w:rsid w:val="0025721A"/>
    <w:rsid w:val="00257277"/>
    <w:rsid w:val="00257512"/>
    <w:rsid w:val="00257A3E"/>
    <w:rsid w:val="00257A40"/>
    <w:rsid w:val="00257E08"/>
    <w:rsid w:val="00257F77"/>
    <w:rsid w:val="00260BAF"/>
    <w:rsid w:val="00260BD4"/>
    <w:rsid w:val="00261405"/>
    <w:rsid w:val="00261BD6"/>
    <w:rsid w:val="00262E0D"/>
    <w:rsid w:val="0026333D"/>
    <w:rsid w:val="00263564"/>
    <w:rsid w:val="002635B1"/>
    <w:rsid w:val="00263DE3"/>
    <w:rsid w:val="00264F44"/>
    <w:rsid w:val="00265BB4"/>
    <w:rsid w:val="00265F9B"/>
    <w:rsid w:val="002664AC"/>
    <w:rsid w:val="00266A6B"/>
    <w:rsid w:val="002671B4"/>
    <w:rsid w:val="002675FB"/>
    <w:rsid w:val="0026781F"/>
    <w:rsid w:val="00267A37"/>
    <w:rsid w:val="00267CCC"/>
    <w:rsid w:val="002704D3"/>
    <w:rsid w:val="00270507"/>
    <w:rsid w:val="002708DC"/>
    <w:rsid w:val="00270DBF"/>
    <w:rsid w:val="002712EA"/>
    <w:rsid w:val="002717C5"/>
    <w:rsid w:val="00271947"/>
    <w:rsid w:val="002722A6"/>
    <w:rsid w:val="00272809"/>
    <w:rsid w:val="00272EA1"/>
    <w:rsid w:val="002748C1"/>
    <w:rsid w:val="002748F8"/>
    <w:rsid w:val="00274AB2"/>
    <w:rsid w:val="00276058"/>
    <w:rsid w:val="00276769"/>
    <w:rsid w:val="00276F09"/>
    <w:rsid w:val="002770B8"/>
    <w:rsid w:val="00277103"/>
    <w:rsid w:val="0027793C"/>
    <w:rsid w:val="00277D71"/>
    <w:rsid w:val="00280204"/>
    <w:rsid w:val="002803CB"/>
    <w:rsid w:val="00280DD1"/>
    <w:rsid w:val="00280DE5"/>
    <w:rsid w:val="0028122C"/>
    <w:rsid w:val="002819E4"/>
    <w:rsid w:val="00282031"/>
    <w:rsid w:val="0028269F"/>
    <w:rsid w:val="00282C65"/>
    <w:rsid w:val="00282E06"/>
    <w:rsid w:val="00282ECC"/>
    <w:rsid w:val="00283013"/>
    <w:rsid w:val="002839B1"/>
    <w:rsid w:val="00283D98"/>
    <w:rsid w:val="00283E5E"/>
    <w:rsid w:val="00284AE3"/>
    <w:rsid w:val="00284B9F"/>
    <w:rsid w:val="00284EB1"/>
    <w:rsid w:val="0028564B"/>
    <w:rsid w:val="002859F6"/>
    <w:rsid w:val="0028621E"/>
    <w:rsid w:val="0028623E"/>
    <w:rsid w:val="00286A63"/>
    <w:rsid w:val="00287490"/>
    <w:rsid w:val="002874A4"/>
    <w:rsid w:val="00287D78"/>
    <w:rsid w:val="0029015C"/>
    <w:rsid w:val="002907EF"/>
    <w:rsid w:val="002908CA"/>
    <w:rsid w:val="00291D08"/>
    <w:rsid w:val="00292567"/>
    <w:rsid w:val="00292B43"/>
    <w:rsid w:val="00292F7C"/>
    <w:rsid w:val="00293AE0"/>
    <w:rsid w:val="00293C4C"/>
    <w:rsid w:val="00294FA5"/>
    <w:rsid w:val="002956A7"/>
    <w:rsid w:val="00295B70"/>
    <w:rsid w:val="00295FB1"/>
    <w:rsid w:val="002967AD"/>
    <w:rsid w:val="00296C09"/>
    <w:rsid w:val="002970C5"/>
    <w:rsid w:val="0029766E"/>
    <w:rsid w:val="00297B6B"/>
    <w:rsid w:val="00297B7F"/>
    <w:rsid w:val="00297C86"/>
    <w:rsid w:val="00297DBF"/>
    <w:rsid w:val="00297F75"/>
    <w:rsid w:val="002A036A"/>
    <w:rsid w:val="002A058D"/>
    <w:rsid w:val="002A13BF"/>
    <w:rsid w:val="002A19B0"/>
    <w:rsid w:val="002A1B03"/>
    <w:rsid w:val="002A267E"/>
    <w:rsid w:val="002A27C5"/>
    <w:rsid w:val="002A2FEE"/>
    <w:rsid w:val="002A399A"/>
    <w:rsid w:val="002A4023"/>
    <w:rsid w:val="002A402D"/>
    <w:rsid w:val="002A4365"/>
    <w:rsid w:val="002A4C0C"/>
    <w:rsid w:val="002A503B"/>
    <w:rsid w:val="002A5368"/>
    <w:rsid w:val="002A55DF"/>
    <w:rsid w:val="002A5633"/>
    <w:rsid w:val="002A5E2F"/>
    <w:rsid w:val="002A6150"/>
    <w:rsid w:val="002A6748"/>
    <w:rsid w:val="002A679D"/>
    <w:rsid w:val="002A6A7E"/>
    <w:rsid w:val="002A6E4D"/>
    <w:rsid w:val="002A755C"/>
    <w:rsid w:val="002A7842"/>
    <w:rsid w:val="002B121C"/>
    <w:rsid w:val="002B1AA5"/>
    <w:rsid w:val="002B25F8"/>
    <w:rsid w:val="002B2D55"/>
    <w:rsid w:val="002B326A"/>
    <w:rsid w:val="002B330F"/>
    <w:rsid w:val="002B4D89"/>
    <w:rsid w:val="002B4DFF"/>
    <w:rsid w:val="002B58A9"/>
    <w:rsid w:val="002B5EA6"/>
    <w:rsid w:val="002B5F17"/>
    <w:rsid w:val="002B6400"/>
    <w:rsid w:val="002B64CA"/>
    <w:rsid w:val="002B6A30"/>
    <w:rsid w:val="002B6EBD"/>
    <w:rsid w:val="002B7801"/>
    <w:rsid w:val="002B782A"/>
    <w:rsid w:val="002C1DE4"/>
    <w:rsid w:val="002C212E"/>
    <w:rsid w:val="002C2733"/>
    <w:rsid w:val="002C27E1"/>
    <w:rsid w:val="002C2FB8"/>
    <w:rsid w:val="002C31DB"/>
    <w:rsid w:val="002C387A"/>
    <w:rsid w:val="002C4566"/>
    <w:rsid w:val="002C4842"/>
    <w:rsid w:val="002C4A39"/>
    <w:rsid w:val="002C4FD1"/>
    <w:rsid w:val="002C5F66"/>
    <w:rsid w:val="002C61AC"/>
    <w:rsid w:val="002C7346"/>
    <w:rsid w:val="002C7A0C"/>
    <w:rsid w:val="002C7F71"/>
    <w:rsid w:val="002D0542"/>
    <w:rsid w:val="002D0875"/>
    <w:rsid w:val="002D0B2D"/>
    <w:rsid w:val="002D0BE5"/>
    <w:rsid w:val="002D0EE2"/>
    <w:rsid w:val="002D168F"/>
    <w:rsid w:val="002D1976"/>
    <w:rsid w:val="002D1B13"/>
    <w:rsid w:val="002D229F"/>
    <w:rsid w:val="002D2989"/>
    <w:rsid w:val="002D33D6"/>
    <w:rsid w:val="002D34EC"/>
    <w:rsid w:val="002D35D0"/>
    <w:rsid w:val="002D3BFC"/>
    <w:rsid w:val="002D4085"/>
    <w:rsid w:val="002D44DB"/>
    <w:rsid w:val="002D4D90"/>
    <w:rsid w:val="002D68CC"/>
    <w:rsid w:val="002D6919"/>
    <w:rsid w:val="002D7266"/>
    <w:rsid w:val="002D7671"/>
    <w:rsid w:val="002D77F9"/>
    <w:rsid w:val="002D7B32"/>
    <w:rsid w:val="002E03B7"/>
    <w:rsid w:val="002E0956"/>
    <w:rsid w:val="002E0A32"/>
    <w:rsid w:val="002E1561"/>
    <w:rsid w:val="002E22B1"/>
    <w:rsid w:val="002E23EE"/>
    <w:rsid w:val="002E2A47"/>
    <w:rsid w:val="002E2D74"/>
    <w:rsid w:val="002E3A73"/>
    <w:rsid w:val="002E3E31"/>
    <w:rsid w:val="002E5549"/>
    <w:rsid w:val="002E5AD4"/>
    <w:rsid w:val="002E5C44"/>
    <w:rsid w:val="002E5FD3"/>
    <w:rsid w:val="002E6425"/>
    <w:rsid w:val="002E7AB8"/>
    <w:rsid w:val="002E7B38"/>
    <w:rsid w:val="002E7C53"/>
    <w:rsid w:val="002E7CFF"/>
    <w:rsid w:val="002F00ED"/>
    <w:rsid w:val="002F1345"/>
    <w:rsid w:val="002F1418"/>
    <w:rsid w:val="002F1546"/>
    <w:rsid w:val="002F1585"/>
    <w:rsid w:val="002F2149"/>
    <w:rsid w:val="002F273C"/>
    <w:rsid w:val="002F27E8"/>
    <w:rsid w:val="002F29DA"/>
    <w:rsid w:val="002F2A26"/>
    <w:rsid w:val="002F3010"/>
    <w:rsid w:val="002F3454"/>
    <w:rsid w:val="002F46A1"/>
    <w:rsid w:val="002F48E8"/>
    <w:rsid w:val="002F4D93"/>
    <w:rsid w:val="002F4FDA"/>
    <w:rsid w:val="002F5405"/>
    <w:rsid w:val="002F57F9"/>
    <w:rsid w:val="002F5B33"/>
    <w:rsid w:val="002F68C8"/>
    <w:rsid w:val="00301AF5"/>
    <w:rsid w:val="00302953"/>
    <w:rsid w:val="00304193"/>
    <w:rsid w:val="00304393"/>
    <w:rsid w:val="0030455E"/>
    <w:rsid w:val="00304E50"/>
    <w:rsid w:val="003054BF"/>
    <w:rsid w:val="00305906"/>
    <w:rsid w:val="00305CC1"/>
    <w:rsid w:val="0030615B"/>
    <w:rsid w:val="00306325"/>
    <w:rsid w:val="003067A1"/>
    <w:rsid w:val="00306AE3"/>
    <w:rsid w:val="00306DD3"/>
    <w:rsid w:val="00306E2F"/>
    <w:rsid w:val="003074E7"/>
    <w:rsid w:val="00307BFB"/>
    <w:rsid w:val="00311091"/>
    <w:rsid w:val="00311314"/>
    <w:rsid w:val="003116E6"/>
    <w:rsid w:val="00311A33"/>
    <w:rsid w:val="00311EE3"/>
    <w:rsid w:val="0031258A"/>
    <w:rsid w:val="00313644"/>
    <w:rsid w:val="003139CE"/>
    <w:rsid w:val="00314872"/>
    <w:rsid w:val="003149AC"/>
    <w:rsid w:val="00315BB9"/>
    <w:rsid w:val="00315E15"/>
    <w:rsid w:val="00315E60"/>
    <w:rsid w:val="00317BE1"/>
    <w:rsid w:val="00317D99"/>
    <w:rsid w:val="00320159"/>
    <w:rsid w:val="003202F0"/>
    <w:rsid w:val="00320385"/>
    <w:rsid w:val="00321546"/>
    <w:rsid w:val="003218F0"/>
    <w:rsid w:val="00321AF2"/>
    <w:rsid w:val="00321C72"/>
    <w:rsid w:val="00321D14"/>
    <w:rsid w:val="00322A06"/>
    <w:rsid w:val="00322DEF"/>
    <w:rsid w:val="00325474"/>
    <w:rsid w:val="0032548F"/>
    <w:rsid w:val="0032561C"/>
    <w:rsid w:val="00325ED5"/>
    <w:rsid w:val="00326297"/>
    <w:rsid w:val="00326A2F"/>
    <w:rsid w:val="003276E9"/>
    <w:rsid w:val="00327930"/>
    <w:rsid w:val="00330CDA"/>
    <w:rsid w:val="00331342"/>
    <w:rsid w:val="00331FAB"/>
    <w:rsid w:val="003320EF"/>
    <w:rsid w:val="00332136"/>
    <w:rsid w:val="003321D4"/>
    <w:rsid w:val="00332CB2"/>
    <w:rsid w:val="00332DE4"/>
    <w:rsid w:val="00332EF4"/>
    <w:rsid w:val="00333738"/>
    <w:rsid w:val="003341B5"/>
    <w:rsid w:val="00335871"/>
    <w:rsid w:val="00336451"/>
    <w:rsid w:val="003370FA"/>
    <w:rsid w:val="003372F6"/>
    <w:rsid w:val="00337382"/>
    <w:rsid w:val="003379AD"/>
    <w:rsid w:val="003379D3"/>
    <w:rsid w:val="00337A77"/>
    <w:rsid w:val="0034019A"/>
    <w:rsid w:val="003402E7"/>
    <w:rsid w:val="003403ED"/>
    <w:rsid w:val="0034079E"/>
    <w:rsid w:val="003408B8"/>
    <w:rsid w:val="00340A31"/>
    <w:rsid w:val="00340BF7"/>
    <w:rsid w:val="003415E1"/>
    <w:rsid w:val="00341903"/>
    <w:rsid w:val="00341955"/>
    <w:rsid w:val="00341D2B"/>
    <w:rsid w:val="00341D95"/>
    <w:rsid w:val="003425CE"/>
    <w:rsid w:val="00342758"/>
    <w:rsid w:val="00342CCB"/>
    <w:rsid w:val="00342F63"/>
    <w:rsid w:val="00343368"/>
    <w:rsid w:val="003437B8"/>
    <w:rsid w:val="00344656"/>
    <w:rsid w:val="00344E04"/>
    <w:rsid w:val="00345443"/>
    <w:rsid w:val="00345BE1"/>
    <w:rsid w:val="00345BF2"/>
    <w:rsid w:val="003464B8"/>
    <w:rsid w:val="00346E91"/>
    <w:rsid w:val="0034783E"/>
    <w:rsid w:val="003479B3"/>
    <w:rsid w:val="00350F6D"/>
    <w:rsid w:val="00351A0D"/>
    <w:rsid w:val="00351C7B"/>
    <w:rsid w:val="00351CBA"/>
    <w:rsid w:val="00351E8E"/>
    <w:rsid w:val="00352364"/>
    <w:rsid w:val="0035247F"/>
    <w:rsid w:val="0035273D"/>
    <w:rsid w:val="0035289F"/>
    <w:rsid w:val="00352D29"/>
    <w:rsid w:val="003532E2"/>
    <w:rsid w:val="00353CCC"/>
    <w:rsid w:val="00353E97"/>
    <w:rsid w:val="00354347"/>
    <w:rsid w:val="0035542F"/>
    <w:rsid w:val="00355870"/>
    <w:rsid w:val="0035588C"/>
    <w:rsid w:val="003558D4"/>
    <w:rsid w:val="00355CB4"/>
    <w:rsid w:val="00355EB9"/>
    <w:rsid w:val="0035657F"/>
    <w:rsid w:val="00356EDE"/>
    <w:rsid w:val="0035747A"/>
    <w:rsid w:val="00357BF8"/>
    <w:rsid w:val="00357DE6"/>
    <w:rsid w:val="00360426"/>
    <w:rsid w:val="0036049D"/>
    <w:rsid w:val="0036101D"/>
    <w:rsid w:val="003611C6"/>
    <w:rsid w:val="00361DCD"/>
    <w:rsid w:val="00361E40"/>
    <w:rsid w:val="00362331"/>
    <w:rsid w:val="00362907"/>
    <w:rsid w:val="00363419"/>
    <w:rsid w:val="003635C0"/>
    <w:rsid w:val="00363DD6"/>
    <w:rsid w:val="003652D3"/>
    <w:rsid w:val="0036534A"/>
    <w:rsid w:val="00365AA2"/>
    <w:rsid w:val="00365F4B"/>
    <w:rsid w:val="0036644A"/>
    <w:rsid w:val="003677BE"/>
    <w:rsid w:val="003679B6"/>
    <w:rsid w:val="00367D11"/>
    <w:rsid w:val="00367E5D"/>
    <w:rsid w:val="003706D4"/>
    <w:rsid w:val="00370D16"/>
    <w:rsid w:val="00370F9A"/>
    <w:rsid w:val="0037117A"/>
    <w:rsid w:val="0037136E"/>
    <w:rsid w:val="003726A5"/>
    <w:rsid w:val="00372846"/>
    <w:rsid w:val="003729E5"/>
    <w:rsid w:val="00372A45"/>
    <w:rsid w:val="003731EF"/>
    <w:rsid w:val="00373258"/>
    <w:rsid w:val="00373B62"/>
    <w:rsid w:val="00373B7E"/>
    <w:rsid w:val="00373E55"/>
    <w:rsid w:val="00374459"/>
    <w:rsid w:val="003746D7"/>
    <w:rsid w:val="00375D07"/>
    <w:rsid w:val="00376AB1"/>
    <w:rsid w:val="00376BA0"/>
    <w:rsid w:val="00381A9C"/>
    <w:rsid w:val="00381D4E"/>
    <w:rsid w:val="003828B5"/>
    <w:rsid w:val="0038316C"/>
    <w:rsid w:val="003833A9"/>
    <w:rsid w:val="00383A38"/>
    <w:rsid w:val="00383C45"/>
    <w:rsid w:val="00384017"/>
    <w:rsid w:val="003842DC"/>
    <w:rsid w:val="003844C1"/>
    <w:rsid w:val="003850B6"/>
    <w:rsid w:val="00385660"/>
    <w:rsid w:val="0038597C"/>
    <w:rsid w:val="00385B73"/>
    <w:rsid w:val="0038754B"/>
    <w:rsid w:val="00387626"/>
    <w:rsid w:val="00387AAB"/>
    <w:rsid w:val="00387B8A"/>
    <w:rsid w:val="00390B1A"/>
    <w:rsid w:val="003912FA"/>
    <w:rsid w:val="00391674"/>
    <w:rsid w:val="00391801"/>
    <w:rsid w:val="0039202B"/>
    <w:rsid w:val="0039236E"/>
    <w:rsid w:val="00392546"/>
    <w:rsid w:val="00392978"/>
    <w:rsid w:val="00393080"/>
    <w:rsid w:val="0039397A"/>
    <w:rsid w:val="003941EE"/>
    <w:rsid w:val="00394EF8"/>
    <w:rsid w:val="00395117"/>
    <w:rsid w:val="00395130"/>
    <w:rsid w:val="00396D3F"/>
    <w:rsid w:val="0039732D"/>
    <w:rsid w:val="003976AB"/>
    <w:rsid w:val="003A034E"/>
    <w:rsid w:val="003A0F5A"/>
    <w:rsid w:val="003A1571"/>
    <w:rsid w:val="003A2585"/>
    <w:rsid w:val="003A278C"/>
    <w:rsid w:val="003A28F7"/>
    <w:rsid w:val="003A2915"/>
    <w:rsid w:val="003A2D3D"/>
    <w:rsid w:val="003A30AB"/>
    <w:rsid w:val="003A36CC"/>
    <w:rsid w:val="003A3DC0"/>
    <w:rsid w:val="003A3F6E"/>
    <w:rsid w:val="003A4487"/>
    <w:rsid w:val="003A4FEF"/>
    <w:rsid w:val="003A5B99"/>
    <w:rsid w:val="003A610E"/>
    <w:rsid w:val="003A64B8"/>
    <w:rsid w:val="003A72E2"/>
    <w:rsid w:val="003A7828"/>
    <w:rsid w:val="003A7C9D"/>
    <w:rsid w:val="003A7CDF"/>
    <w:rsid w:val="003A7FF5"/>
    <w:rsid w:val="003B1049"/>
    <w:rsid w:val="003B3034"/>
    <w:rsid w:val="003B35BB"/>
    <w:rsid w:val="003B3924"/>
    <w:rsid w:val="003B3ABB"/>
    <w:rsid w:val="003B415E"/>
    <w:rsid w:val="003B4862"/>
    <w:rsid w:val="003B5594"/>
    <w:rsid w:val="003B562D"/>
    <w:rsid w:val="003B567E"/>
    <w:rsid w:val="003B6DC2"/>
    <w:rsid w:val="003B6E2D"/>
    <w:rsid w:val="003B7214"/>
    <w:rsid w:val="003B74FD"/>
    <w:rsid w:val="003B7798"/>
    <w:rsid w:val="003B77D7"/>
    <w:rsid w:val="003C03DB"/>
    <w:rsid w:val="003C0CB4"/>
    <w:rsid w:val="003C16E2"/>
    <w:rsid w:val="003C2B9F"/>
    <w:rsid w:val="003C3684"/>
    <w:rsid w:val="003C4397"/>
    <w:rsid w:val="003C4553"/>
    <w:rsid w:val="003C4E11"/>
    <w:rsid w:val="003C570B"/>
    <w:rsid w:val="003C5EBB"/>
    <w:rsid w:val="003C60E0"/>
    <w:rsid w:val="003C627F"/>
    <w:rsid w:val="003C6756"/>
    <w:rsid w:val="003C697D"/>
    <w:rsid w:val="003C7123"/>
    <w:rsid w:val="003C7261"/>
    <w:rsid w:val="003C735F"/>
    <w:rsid w:val="003C7374"/>
    <w:rsid w:val="003C7888"/>
    <w:rsid w:val="003C7F9F"/>
    <w:rsid w:val="003D04B9"/>
    <w:rsid w:val="003D04E1"/>
    <w:rsid w:val="003D1225"/>
    <w:rsid w:val="003D169A"/>
    <w:rsid w:val="003D18F6"/>
    <w:rsid w:val="003D19CF"/>
    <w:rsid w:val="003D2021"/>
    <w:rsid w:val="003D25DE"/>
    <w:rsid w:val="003D32D0"/>
    <w:rsid w:val="003D3441"/>
    <w:rsid w:val="003D3EB0"/>
    <w:rsid w:val="003D478F"/>
    <w:rsid w:val="003D4C50"/>
    <w:rsid w:val="003D4C71"/>
    <w:rsid w:val="003D4CDA"/>
    <w:rsid w:val="003D4E1A"/>
    <w:rsid w:val="003D4E6D"/>
    <w:rsid w:val="003D5078"/>
    <w:rsid w:val="003D55FD"/>
    <w:rsid w:val="003D566B"/>
    <w:rsid w:val="003D5F74"/>
    <w:rsid w:val="003D60AD"/>
    <w:rsid w:val="003D6B3F"/>
    <w:rsid w:val="003D7346"/>
    <w:rsid w:val="003D7363"/>
    <w:rsid w:val="003D7708"/>
    <w:rsid w:val="003E03D4"/>
    <w:rsid w:val="003E057E"/>
    <w:rsid w:val="003E06EE"/>
    <w:rsid w:val="003E070E"/>
    <w:rsid w:val="003E1501"/>
    <w:rsid w:val="003E153C"/>
    <w:rsid w:val="003E18DD"/>
    <w:rsid w:val="003E1BAD"/>
    <w:rsid w:val="003E43E3"/>
    <w:rsid w:val="003E490A"/>
    <w:rsid w:val="003E5308"/>
    <w:rsid w:val="003E57B7"/>
    <w:rsid w:val="003E72F5"/>
    <w:rsid w:val="003F02DC"/>
    <w:rsid w:val="003F06C3"/>
    <w:rsid w:val="003F132B"/>
    <w:rsid w:val="003F15E6"/>
    <w:rsid w:val="003F1694"/>
    <w:rsid w:val="003F2C8A"/>
    <w:rsid w:val="003F2EEE"/>
    <w:rsid w:val="003F30E2"/>
    <w:rsid w:val="003F3444"/>
    <w:rsid w:val="003F40A1"/>
    <w:rsid w:val="003F446B"/>
    <w:rsid w:val="003F63F1"/>
    <w:rsid w:val="003F6805"/>
    <w:rsid w:val="003F681F"/>
    <w:rsid w:val="003F69F1"/>
    <w:rsid w:val="003F7037"/>
    <w:rsid w:val="003F738C"/>
    <w:rsid w:val="003F79FE"/>
    <w:rsid w:val="003F7E00"/>
    <w:rsid w:val="004005ED"/>
    <w:rsid w:val="00400CC9"/>
    <w:rsid w:val="00400F08"/>
    <w:rsid w:val="0040147E"/>
    <w:rsid w:val="004016A9"/>
    <w:rsid w:val="0040281C"/>
    <w:rsid w:val="004029E7"/>
    <w:rsid w:val="004034D4"/>
    <w:rsid w:val="004051A5"/>
    <w:rsid w:val="004051E0"/>
    <w:rsid w:val="004053FC"/>
    <w:rsid w:val="00407033"/>
    <w:rsid w:val="0040707A"/>
    <w:rsid w:val="00407D33"/>
    <w:rsid w:val="00410311"/>
    <w:rsid w:val="00410647"/>
    <w:rsid w:val="004106CB"/>
    <w:rsid w:val="0041098D"/>
    <w:rsid w:val="00410D04"/>
    <w:rsid w:val="00410E45"/>
    <w:rsid w:val="00411064"/>
    <w:rsid w:val="00411483"/>
    <w:rsid w:val="004115F0"/>
    <w:rsid w:val="00411C99"/>
    <w:rsid w:val="0041215F"/>
    <w:rsid w:val="004122AB"/>
    <w:rsid w:val="004122D8"/>
    <w:rsid w:val="00412C7F"/>
    <w:rsid w:val="00412F51"/>
    <w:rsid w:val="0041323B"/>
    <w:rsid w:val="00414047"/>
    <w:rsid w:val="004144C6"/>
    <w:rsid w:val="00414CA8"/>
    <w:rsid w:val="00414F1B"/>
    <w:rsid w:val="00415243"/>
    <w:rsid w:val="0041574F"/>
    <w:rsid w:val="00415900"/>
    <w:rsid w:val="0041619D"/>
    <w:rsid w:val="00416955"/>
    <w:rsid w:val="00416D3C"/>
    <w:rsid w:val="004174F7"/>
    <w:rsid w:val="004179B8"/>
    <w:rsid w:val="00417BCC"/>
    <w:rsid w:val="004203AB"/>
    <w:rsid w:val="00420579"/>
    <w:rsid w:val="004206AD"/>
    <w:rsid w:val="004206B1"/>
    <w:rsid w:val="00421A3F"/>
    <w:rsid w:val="00421C21"/>
    <w:rsid w:val="00421D61"/>
    <w:rsid w:val="00422845"/>
    <w:rsid w:val="00423939"/>
    <w:rsid w:val="00423C3E"/>
    <w:rsid w:val="00423D2B"/>
    <w:rsid w:val="00423EAE"/>
    <w:rsid w:val="00424352"/>
    <w:rsid w:val="0042447E"/>
    <w:rsid w:val="00424543"/>
    <w:rsid w:val="00424C3F"/>
    <w:rsid w:val="00425342"/>
    <w:rsid w:val="00426076"/>
    <w:rsid w:val="00426299"/>
    <w:rsid w:val="004270BF"/>
    <w:rsid w:val="00427690"/>
    <w:rsid w:val="00427A4F"/>
    <w:rsid w:val="00427E47"/>
    <w:rsid w:val="00427F62"/>
    <w:rsid w:val="00427FBF"/>
    <w:rsid w:val="0043010E"/>
    <w:rsid w:val="00430B7F"/>
    <w:rsid w:val="004310B5"/>
    <w:rsid w:val="004310C4"/>
    <w:rsid w:val="00431C73"/>
    <w:rsid w:val="00431ECF"/>
    <w:rsid w:val="00432290"/>
    <w:rsid w:val="004325A7"/>
    <w:rsid w:val="0043260B"/>
    <w:rsid w:val="00432CBF"/>
    <w:rsid w:val="00432D49"/>
    <w:rsid w:val="00433E4F"/>
    <w:rsid w:val="00434829"/>
    <w:rsid w:val="00434C87"/>
    <w:rsid w:val="00434E8D"/>
    <w:rsid w:val="00435379"/>
    <w:rsid w:val="00435EE8"/>
    <w:rsid w:val="00436139"/>
    <w:rsid w:val="00436260"/>
    <w:rsid w:val="004371FB"/>
    <w:rsid w:val="0043730D"/>
    <w:rsid w:val="00437996"/>
    <w:rsid w:val="00437FB6"/>
    <w:rsid w:val="00441348"/>
    <w:rsid w:val="00441B1D"/>
    <w:rsid w:val="00442AF6"/>
    <w:rsid w:val="00442BBC"/>
    <w:rsid w:val="00442F79"/>
    <w:rsid w:val="004430EB"/>
    <w:rsid w:val="00443208"/>
    <w:rsid w:val="00443773"/>
    <w:rsid w:val="00443A95"/>
    <w:rsid w:val="00444414"/>
    <w:rsid w:val="00444A2B"/>
    <w:rsid w:val="004456CE"/>
    <w:rsid w:val="004459E0"/>
    <w:rsid w:val="004459E6"/>
    <w:rsid w:val="00445C7C"/>
    <w:rsid w:val="00445CE7"/>
    <w:rsid w:val="004462EF"/>
    <w:rsid w:val="00446470"/>
    <w:rsid w:val="0044692D"/>
    <w:rsid w:val="00447269"/>
    <w:rsid w:val="00447986"/>
    <w:rsid w:val="004502D3"/>
    <w:rsid w:val="0045094B"/>
    <w:rsid w:val="00451076"/>
    <w:rsid w:val="004512B6"/>
    <w:rsid w:val="004517A1"/>
    <w:rsid w:val="00451CA1"/>
    <w:rsid w:val="00451DE1"/>
    <w:rsid w:val="00452088"/>
    <w:rsid w:val="004537B3"/>
    <w:rsid w:val="00454303"/>
    <w:rsid w:val="0045454D"/>
    <w:rsid w:val="004545A1"/>
    <w:rsid w:val="00454AD0"/>
    <w:rsid w:val="00454BE9"/>
    <w:rsid w:val="00454EAD"/>
    <w:rsid w:val="00455742"/>
    <w:rsid w:val="00455937"/>
    <w:rsid w:val="00455B57"/>
    <w:rsid w:val="00455C89"/>
    <w:rsid w:val="004563B9"/>
    <w:rsid w:val="0045775B"/>
    <w:rsid w:val="0045776C"/>
    <w:rsid w:val="00460006"/>
    <w:rsid w:val="004609FA"/>
    <w:rsid w:val="00460DB0"/>
    <w:rsid w:val="004612AE"/>
    <w:rsid w:val="00461A91"/>
    <w:rsid w:val="004621A0"/>
    <w:rsid w:val="0046223A"/>
    <w:rsid w:val="00462532"/>
    <w:rsid w:val="004625B8"/>
    <w:rsid w:val="00462D91"/>
    <w:rsid w:val="00463825"/>
    <w:rsid w:val="00463871"/>
    <w:rsid w:val="00464304"/>
    <w:rsid w:val="0046481A"/>
    <w:rsid w:val="00464D7D"/>
    <w:rsid w:val="00465BC2"/>
    <w:rsid w:val="00465D03"/>
    <w:rsid w:val="004660F7"/>
    <w:rsid w:val="00466611"/>
    <w:rsid w:val="0046662F"/>
    <w:rsid w:val="0046663E"/>
    <w:rsid w:val="00466FCB"/>
    <w:rsid w:val="00466FEE"/>
    <w:rsid w:val="004670C4"/>
    <w:rsid w:val="00467495"/>
    <w:rsid w:val="004678A3"/>
    <w:rsid w:val="00467F84"/>
    <w:rsid w:val="004702DC"/>
    <w:rsid w:val="00470958"/>
    <w:rsid w:val="00471046"/>
    <w:rsid w:val="004711A8"/>
    <w:rsid w:val="004711CC"/>
    <w:rsid w:val="00471510"/>
    <w:rsid w:val="00471AE3"/>
    <w:rsid w:val="00471E8C"/>
    <w:rsid w:val="00471F54"/>
    <w:rsid w:val="0047205B"/>
    <w:rsid w:val="00473433"/>
    <w:rsid w:val="00473E8E"/>
    <w:rsid w:val="00473EDB"/>
    <w:rsid w:val="00474679"/>
    <w:rsid w:val="004749B5"/>
    <w:rsid w:val="004754B7"/>
    <w:rsid w:val="0047565F"/>
    <w:rsid w:val="00475C0A"/>
    <w:rsid w:val="00475CC9"/>
    <w:rsid w:val="004761B9"/>
    <w:rsid w:val="0047646B"/>
    <w:rsid w:val="0047693B"/>
    <w:rsid w:val="00476986"/>
    <w:rsid w:val="00476E36"/>
    <w:rsid w:val="004773E9"/>
    <w:rsid w:val="0047774E"/>
    <w:rsid w:val="00477F5C"/>
    <w:rsid w:val="004802E9"/>
    <w:rsid w:val="0048066A"/>
    <w:rsid w:val="0048066B"/>
    <w:rsid w:val="004811A4"/>
    <w:rsid w:val="00481851"/>
    <w:rsid w:val="00481F72"/>
    <w:rsid w:val="004822B9"/>
    <w:rsid w:val="004828F3"/>
    <w:rsid w:val="00482DA6"/>
    <w:rsid w:val="00483C0F"/>
    <w:rsid w:val="00483DBA"/>
    <w:rsid w:val="00483FBD"/>
    <w:rsid w:val="00484517"/>
    <w:rsid w:val="00484531"/>
    <w:rsid w:val="00484AEE"/>
    <w:rsid w:val="00484D75"/>
    <w:rsid w:val="0048531E"/>
    <w:rsid w:val="00486BAE"/>
    <w:rsid w:val="004873F9"/>
    <w:rsid w:val="0048788C"/>
    <w:rsid w:val="004878F7"/>
    <w:rsid w:val="00491404"/>
    <w:rsid w:val="00491DF0"/>
    <w:rsid w:val="00491FB1"/>
    <w:rsid w:val="00491FB3"/>
    <w:rsid w:val="00492399"/>
    <w:rsid w:val="00492763"/>
    <w:rsid w:val="00494717"/>
    <w:rsid w:val="00494B74"/>
    <w:rsid w:val="00494C62"/>
    <w:rsid w:val="00494D6A"/>
    <w:rsid w:val="0049511C"/>
    <w:rsid w:val="00495350"/>
    <w:rsid w:val="004957EC"/>
    <w:rsid w:val="00495E79"/>
    <w:rsid w:val="00496785"/>
    <w:rsid w:val="0049687F"/>
    <w:rsid w:val="00496984"/>
    <w:rsid w:val="0049698F"/>
    <w:rsid w:val="00496992"/>
    <w:rsid w:val="00496DDC"/>
    <w:rsid w:val="00496FB7"/>
    <w:rsid w:val="00497D16"/>
    <w:rsid w:val="004A0078"/>
    <w:rsid w:val="004A0958"/>
    <w:rsid w:val="004A0BA9"/>
    <w:rsid w:val="004A16E7"/>
    <w:rsid w:val="004A18DF"/>
    <w:rsid w:val="004A2096"/>
    <w:rsid w:val="004A2292"/>
    <w:rsid w:val="004A23CF"/>
    <w:rsid w:val="004A29E4"/>
    <w:rsid w:val="004A2A29"/>
    <w:rsid w:val="004A2F5A"/>
    <w:rsid w:val="004A3ECD"/>
    <w:rsid w:val="004A4634"/>
    <w:rsid w:val="004A478A"/>
    <w:rsid w:val="004A5279"/>
    <w:rsid w:val="004A5403"/>
    <w:rsid w:val="004A57A2"/>
    <w:rsid w:val="004A62A9"/>
    <w:rsid w:val="004A6350"/>
    <w:rsid w:val="004A6B66"/>
    <w:rsid w:val="004A6D3B"/>
    <w:rsid w:val="004A6F4D"/>
    <w:rsid w:val="004A721E"/>
    <w:rsid w:val="004A729C"/>
    <w:rsid w:val="004A730C"/>
    <w:rsid w:val="004A733A"/>
    <w:rsid w:val="004A74FA"/>
    <w:rsid w:val="004A787F"/>
    <w:rsid w:val="004A7CEC"/>
    <w:rsid w:val="004A7DE5"/>
    <w:rsid w:val="004B0A8B"/>
    <w:rsid w:val="004B158C"/>
    <w:rsid w:val="004B1F50"/>
    <w:rsid w:val="004B20FE"/>
    <w:rsid w:val="004B2A1A"/>
    <w:rsid w:val="004B2D69"/>
    <w:rsid w:val="004B363E"/>
    <w:rsid w:val="004B3DB8"/>
    <w:rsid w:val="004B415F"/>
    <w:rsid w:val="004B41E0"/>
    <w:rsid w:val="004B42C2"/>
    <w:rsid w:val="004B47CB"/>
    <w:rsid w:val="004B4A0F"/>
    <w:rsid w:val="004B5055"/>
    <w:rsid w:val="004B5D8E"/>
    <w:rsid w:val="004B5EA0"/>
    <w:rsid w:val="004B5FE5"/>
    <w:rsid w:val="004B64B8"/>
    <w:rsid w:val="004B75A9"/>
    <w:rsid w:val="004B7928"/>
    <w:rsid w:val="004C0244"/>
    <w:rsid w:val="004C04D1"/>
    <w:rsid w:val="004C102E"/>
    <w:rsid w:val="004C1072"/>
    <w:rsid w:val="004C12CD"/>
    <w:rsid w:val="004C19CD"/>
    <w:rsid w:val="004C233C"/>
    <w:rsid w:val="004C29D6"/>
    <w:rsid w:val="004C2BED"/>
    <w:rsid w:val="004C313E"/>
    <w:rsid w:val="004C32BC"/>
    <w:rsid w:val="004C3493"/>
    <w:rsid w:val="004C35D4"/>
    <w:rsid w:val="004C3663"/>
    <w:rsid w:val="004C48FE"/>
    <w:rsid w:val="004C4A4D"/>
    <w:rsid w:val="004C4B11"/>
    <w:rsid w:val="004C4F29"/>
    <w:rsid w:val="004C50DC"/>
    <w:rsid w:val="004C5293"/>
    <w:rsid w:val="004C52D2"/>
    <w:rsid w:val="004C52F3"/>
    <w:rsid w:val="004C5D84"/>
    <w:rsid w:val="004C639B"/>
    <w:rsid w:val="004C6DD1"/>
    <w:rsid w:val="004C7894"/>
    <w:rsid w:val="004C7B9F"/>
    <w:rsid w:val="004C7EE2"/>
    <w:rsid w:val="004C7FFE"/>
    <w:rsid w:val="004D0548"/>
    <w:rsid w:val="004D08FD"/>
    <w:rsid w:val="004D0DFC"/>
    <w:rsid w:val="004D12B7"/>
    <w:rsid w:val="004D1D85"/>
    <w:rsid w:val="004D1EF5"/>
    <w:rsid w:val="004D3016"/>
    <w:rsid w:val="004D4F4C"/>
    <w:rsid w:val="004D5145"/>
    <w:rsid w:val="004D516A"/>
    <w:rsid w:val="004D52B4"/>
    <w:rsid w:val="004D6501"/>
    <w:rsid w:val="004D6B15"/>
    <w:rsid w:val="004D6FE1"/>
    <w:rsid w:val="004D71BC"/>
    <w:rsid w:val="004D779A"/>
    <w:rsid w:val="004D7A72"/>
    <w:rsid w:val="004D7BA5"/>
    <w:rsid w:val="004E0A0B"/>
    <w:rsid w:val="004E16D3"/>
    <w:rsid w:val="004E18AB"/>
    <w:rsid w:val="004E246D"/>
    <w:rsid w:val="004E2573"/>
    <w:rsid w:val="004E26CE"/>
    <w:rsid w:val="004E2757"/>
    <w:rsid w:val="004E278F"/>
    <w:rsid w:val="004E2A1A"/>
    <w:rsid w:val="004E2AE1"/>
    <w:rsid w:val="004E2ED3"/>
    <w:rsid w:val="004E2F54"/>
    <w:rsid w:val="004E30AF"/>
    <w:rsid w:val="004E30F5"/>
    <w:rsid w:val="004E31EB"/>
    <w:rsid w:val="004E36DE"/>
    <w:rsid w:val="004E401B"/>
    <w:rsid w:val="004E4A52"/>
    <w:rsid w:val="004E4F12"/>
    <w:rsid w:val="004E5683"/>
    <w:rsid w:val="004E5E65"/>
    <w:rsid w:val="004E619B"/>
    <w:rsid w:val="004E62A0"/>
    <w:rsid w:val="004E65F2"/>
    <w:rsid w:val="004E6DC4"/>
    <w:rsid w:val="004E6EF6"/>
    <w:rsid w:val="004E7317"/>
    <w:rsid w:val="004E75A1"/>
    <w:rsid w:val="004E79BD"/>
    <w:rsid w:val="004E7B95"/>
    <w:rsid w:val="004F0D43"/>
    <w:rsid w:val="004F0E96"/>
    <w:rsid w:val="004F21B0"/>
    <w:rsid w:val="004F2A37"/>
    <w:rsid w:val="004F2D60"/>
    <w:rsid w:val="004F2F74"/>
    <w:rsid w:val="004F33CD"/>
    <w:rsid w:val="004F3602"/>
    <w:rsid w:val="004F3883"/>
    <w:rsid w:val="004F3A94"/>
    <w:rsid w:val="004F3BC4"/>
    <w:rsid w:val="004F3C39"/>
    <w:rsid w:val="004F3CC5"/>
    <w:rsid w:val="004F3F2F"/>
    <w:rsid w:val="004F4D81"/>
    <w:rsid w:val="004F526E"/>
    <w:rsid w:val="004F541B"/>
    <w:rsid w:val="004F5FFB"/>
    <w:rsid w:val="004F61AA"/>
    <w:rsid w:val="004F6DF4"/>
    <w:rsid w:val="004F70ED"/>
    <w:rsid w:val="004F7597"/>
    <w:rsid w:val="004F7656"/>
    <w:rsid w:val="004F7DB4"/>
    <w:rsid w:val="0050065C"/>
    <w:rsid w:val="005008C8"/>
    <w:rsid w:val="00500FF3"/>
    <w:rsid w:val="00501074"/>
    <w:rsid w:val="0050113F"/>
    <w:rsid w:val="00501B79"/>
    <w:rsid w:val="00501F8C"/>
    <w:rsid w:val="0050251A"/>
    <w:rsid w:val="005027A1"/>
    <w:rsid w:val="00502E4F"/>
    <w:rsid w:val="0050426E"/>
    <w:rsid w:val="00505645"/>
    <w:rsid w:val="005059A5"/>
    <w:rsid w:val="00505F59"/>
    <w:rsid w:val="005060A2"/>
    <w:rsid w:val="005061A8"/>
    <w:rsid w:val="005063A6"/>
    <w:rsid w:val="00506519"/>
    <w:rsid w:val="00506A63"/>
    <w:rsid w:val="00506D29"/>
    <w:rsid w:val="00507217"/>
    <w:rsid w:val="00507A94"/>
    <w:rsid w:val="005100CB"/>
    <w:rsid w:val="005101F4"/>
    <w:rsid w:val="005108B1"/>
    <w:rsid w:val="00511E7F"/>
    <w:rsid w:val="00511EFB"/>
    <w:rsid w:val="00512324"/>
    <w:rsid w:val="0051280B"/>
    <w:rsid w:val="00512934"/>
    <w:rsid w:val="00512DA3"/>
    <w:rsid w:val="00513332"/>
    <w:rsid w:val="005134DF"/>
    <w:rsid w:val="0051383C"/>
    <w:rsid w:val="005138CD"/>
    <w:rsid w:val="00513F87"/>
    <w:rsid w:val="005154B4"/>
    <w:rsid w:val="00515CB2"/>
    <w:rsid w:val="00515F7C"/>
    <w:rsid w:val="00516320"/>
    <w:rsid w:val="00517926"/>
    <w:rsid w:val="00517C5F"/>
    <w:rsid w:val="005203A8"/>
    <w:rsid w:val="00520674"/>
    <w:rsid w:val="00520D52"/>
    <w:rsid w:val="00520F29"/>
    <w:rsid w:val="00521230"/>
    <w:rsid w:val="0052174C"/>
    <w:rsid w:val="0052241C"/>
    <w:rsid w:val="0052292A"/>
    <w:rsid w:val="00522A17"/>
    <w:rsid w:val="00522EE7"/>
    <w:rsid w:val="0052357E"/>
    <w:rsid w:val="00523AAC"/>
    <w:rsid w:val="00524591"/>
    <w:rsid w:val="005249BE"/>
    <w:rsid w:val="00524AA5"/>
    <w:rsid w:val="0052519B"/>
    <w:rsid w:val="00525436"/>
    <w:rsid w:val="0052551D"/>
    <w:rsid w:val="00525FE3"/>
    <w:rsid w:val="00526727"/>
    <w:rsid w:val="00526CB2"/>
    <w:rsid w:val="00526CD6"/>
    <w:rsid w:val="00527048"/>
    <w:rsid w:val="00527ACF"/>
    <w:rsid w:val="0053059A"/>
    <w:rsid w:val="00531CD1"/>
    <w:rsid w:val="005321D9"/>
    <w:rsid w:val="005323B8"/>
    <w:rsid w:val="005324AE"/>
    <w:rsid w:val="0053292E"/>
    <w:rsid w:val="00533438"/>
    <w:rsid w:val="00533644"/>
    <w:rsid w:val="005336D5"/>
    <w:rsid w:val="00533A32"/>
    <w:rsid w:val="005343A2"/>
    <w:rsid w:val="00535332"/>
    <w:rsid w:val="005353DE"/>
    <w:rsid w:val="00536241"/>
    <w:rsid w:val="00536560"/>
    <w:rsid w:val="00536B0F"/>
    <w:rsid w:val="00536CE4"/>
    <w:rsid w:val="0053713C"/>
    <w:rsid w:val="00537359"/>
    <w:rsid w:val="00537EF9"/>
    <w:rsid w:val="00540021"/>
    <w:rsid w:val="00540152"/>
    <w:rsid w:val="0054074B"/>
    <w:rsid w:val="00540757"/>
    <w:rsid w:val="00540BB5"/>
    <w:rsid w:val="00540D72"/>
    <w:rsid w:val="00540D7A"/>
    <w:rsid w:val="00541739"/>
    <w:rsid w:val="005425A6"/>
    <w:rsid w:val="005429ED"/>
    <w:rsid w:val="00542CA1"/>
    <w:rsid w:val="00543024"/>
    <w:rsid w:val="0054371F"/>
    <w:rsid w:val="00543770"/>
    <w:rsid w:val="0054396A"/>
    <w:rsid w:val="00543D34"/>
    <w:rsid w:val="00544615"/>
    <w:rsid w:val="00544ED6"/>
    <w:rsid w:val="005450E0"/>
    <w:rsid w:val="00545646"/>
    <w:rsid w:val="0054598F"/>
    <w:rsid w:val="00545FBA"/>
    <w:rsid w:val="005463F7"/>
    <w:rsid w:val="00547079"/>
    <w:rsid w:val="005470E9"/>
    <w:rsid w:val="00547623"/>
    <w:rsid w:val="00547774"/>
    <w:rsid w:val="00547DDF"/>
    <w:rsid w:val="0055036A"/>
    <w:rsid w:val="00550993"/>
    <w:rsid w:val="00550C9E"/>
    <w:rsid w:val="00551B70"/>
    <w:rsid w:val="00553CF0"/>
    <w:rsid w:val="00553E29"/>
    <w:rsid w:val="0055459C"/>
    <w:rsid w:val="00554A46"/>
    <w:rsid w:val="00554D82"/>
    <w:rsid w:val="00554E00"/>
    <w:rsid w:val="00555158"/>
    <w:rsid w:val="005557F8"/>
    <w:rsid w:val="00555E2E"/>
    <w:rsid w:val="00556009"/>
    <w:rsid w:val="00556092"/>
    <w:rsid w:val="00557766"/>
    <w:rsid w:val="00557905"/>
    <w:rsid w:val="005602A6"/>
    <w:rsid w:val="00560EF5"/>
    <w:rsid w:val="00561D1E"/>
    <w:rsid w:val="005623F4"/>
    <w:rsid w:val="00562A4C"/>
    <w:rsid w:val="00563069"/>
    <w:rsid w:val="005631A5"/>
    <w:rsid w:val="005647FC"/>
    <w:rsid w:val="00564944"/>
    <w:rsid w:val="005649A7"/>
    <w:rsid w:val="00564A13"/>
    <w:rsid w:val="00564AE8"/>
    <w:rsid w:val="00564C2F"/>
    <w:rsid w:val="00565116"/>
    <w:rsid w:val="005657AF"/>
    <w:rsid w:val="0056593C"/>
    <w:rsid w:val="005666F3"/>
    <w:rsid w:val="005666FA"/>
    <w:rsid w:val="00566DAC"/>
    <w:rsid w:val="00567C4B"/>
    <w:rsid w:val="00567D50"/>
    <w:rsid w:val="0057074E"/>
    <w:rsid w:val="0057097F"/>
    <w:rsid w:val="00571870"/>
    <w:rsid w:val="005720EC"/>
    <w:rsid w:val="00572544"/>
    <w:rsid w:val="00573368"/>
    <w:rsid w:val="0057486D"/>
    <w:rsid w:val="005748FE"/>
    <w:rsid w:val="00574CA1"/>
    <w:rsid w:val="005756AD"/>
    <w:rsid w:val="0057636C"/>
    <w:rsid w:val="0057644C"/>
    <w:rsid w:val="00576B6D"/>
    <w:rsid w:val="00576E26"/>
    <w:rsid w:val="005773DA"/>
    <w:rsid w:val="00577923"/>
    <w:rsid w:val="00577AAD"/>
    <w:rsid w:val="00577B57"/>
    <w:rsid w:val="005804E9"/>
    <w:rsid w:val="005809F7"/>
    <w:rsid w:val="00580F84"/>
    <w:rsid w:val="0058104D"/>
    <w:rsid w:val="00581EB0"/>
    <w:rsid w:val="00582216"/>
    <w:rsid w:val="0058253F"/>
    <w:rsid w:val="005828DE"/>
    <w:rsid w:val="00582EF7"/>
    <w:rsid w:val="00583482"/>
    <w:rsid w:val="005843C8"/>
    <w:rsid w:val="00584FA2"/>
    <w:rsid w:val="00585112"/>
    <w:rsid w:val="005851A9"/>
    <w:rsid w:val="005853DC"/>
    <w:rsid w:val="00585593"/>
    <w:rsid w:val="00586147"/>
    <w:rsid w:val="0058672E"/>
    <w:rsid w:val="005868DD"/>
    <w:rsid w:val="005873A7"/>
    <w:rsid w:val="005874BC"/>
    <w:rsid w:val="005876BA"/>
    <w:rsid w:val="005878C6"/>
    <w:rsid w:val="00587C5E"/>
    <w:rsid w:val="00587D80"/>
    <w:rsid w:val="00590183"/>
    <w:rsid w:val="00590476"/>
    <w:rsid w:val="00590B22"/>
    <w:rsid w:val="00590C43"/>
    <w:rsid w:val="00591202"/>
    <w:rsid w:val="00591427"/>
    <w:rsid w:val="005914BE"/>
    <w:rsid w:val="00591713"/>
    <w:rsid w:val="00592142"/>
    <w:rsid w:val="00592721"/>
    <w:rsid w:val="00592ECE"/>
    <w:rsid w:val="00592F2E"/>
    <w:rsid w:val="005936F9"/>
    <w:rsid w:val="00594026"/>
    <w:rsid w:val="00594540"/>
    <w:rsid w:val="00594D20"/>
    <w:rsid w:val="00594F63"/>
    <w:rsid w:val="005951A8"/>
    <w:rsid w:val="00595575"/>
    <w:rsid w:val="0059572D"/>
    <w:rsid w:val="005957DA"/>
    <w:rsid w:val="005957E3"/>
    <w:rsid w:val="00595886"/>
    <w:rsid w:val="00596C90"/>
    <w:rsid w:val="005973C0"/>
    <w:rsid w:val="005975A1"/>
    <w:rsid w:val="005A0161"/>
    <w:rsid w:val="005A01C7"/>
    <w:rsid w:val="005A0A13"/>
    <w:rsid w:val="005A0AAC"/>
    <w:rsid w:val="005A1254"/>
    <w:rsid w:val="005A12E2"/>
    <w:rsid w:val="005A19F1"/>
    <w:rsid w:val="005A1D57"/>
    <w:rsid w:val="005A2526"/>
    <w:rsid w:val="005A2F99"/>
    <w:rsid w:val="005A38FC"/>
    <w:rsid w:val="005A395F"/>
    <w:rsid w:val="005A3C04"/>
    <w:rsid w:val="005A3C17"/>
    <w:rsid w:val="005A3C29"/>
    <w:rsid w:val="005A3DDE"/>
    <w:rsid w:val="005A47CA"/>
    <w:rsid w:val="005A504D"/>
    <w:rsid w:val="005A6083"/>
    <w:rsid w:val="005A6276"/>
    <w:rsid w:val="005A62FD"/>
    <w:rsid w:val="005A6399"/>
    <w:rsid w:val="005A65C6"/>
    <w:rsid w:val="005A698F"/>
    <w:rsid w:val="005A7A96"/>
    <w:rsid w:val="005A7BE6"/>
    <w:rsid w:val="005B013C"/>
    <w:rsid w:val="005B0C76"/>
    <w:rsid w:val="005B0EBC"/>
    <w:rsid w:val="005B1499"/>
    <w:rsid w:val="005B14B0"/>
    <w:rsid w:val="005B1A35"/>
    <w:rsid w:val="005B2345"/>
    <w:rsid w:val="005B2721"/>
    <w:rsid w:val="005B296B"/>
    <w:rsid w:val="005B2B9F"/>
    <w:rsid w:val="005B2CB0"/>
    <w:rsid w:val="005B3808"/>
    <w:rsid w:val="005B404C"/>
    <w:rsid w:val="005B42FD"/>
    <w:rsid w:val="005B555A"/>
    <w:rsid w:val="005B59C7"/>
    <w:rsid w:val="005B5DD2"/>
    <w:rsid w:val="005B610A"/>
    <w:rsid w:val="005B6816"/>
    <w:rsid w:val="005B6E5E"/>
    <w:rsid w:val="005B75FE"/>
    <w:rsid w:val="005B763A"/>
    <w:rsid w:val="005B7957"/>
    <w:rsid w:val="005C01A1"/>
    <w:rsid w:val="005C045D"/>
    <w:rsid w:val="005C0997"/>
    <w:rsid w:val="005C0BDF"/>
    <w:rsid w:val="005C13F5"/>
    <w:rsid w:val="005C1A2C"/>
    <w:rsid w:val="005C1B5D"/>
    <w:rsid w:val="005C1F4B"/>
    <w:rsid w:val="005C258A"/>
    <w:rsid w:val="005C2611"/>
    <w:rsid w:val="005C271C"/>
    <w:rsid w:val="005C3220"/>
    <w:rsid w:val="005C34C0"/>
    <w:rsid w:val="005C359B"/>
    <w:rsid w:val="005C41B0"/>
    <w:rsid w:val="005C457C"/>
    <w:rsid w:val="005C51F2"/>
    <w:rsid w:val="005C5602"/>
    <w:rsid w:val="005C5759"/>
    <w:rsid w:val="005C5865"/>
    <w:rsid w:val="005C5C9F"/>
    <w:rsid w:val="005C5DBE"/>
    <w:rsid w:val="005C6454"/>
    <w:rsid w:val="005C6738"/>
    <w:rsid w:val="005C6978"/>
    <w:rsid w:val="005C7191"/>
    <w:rsid w:val="005C750A"/>
    <w:rsid w:val="005C776E"/>
    <w:rsid w:val="005C79D1"/>
    <w:rsid w:val="005C7F8F"/>
    <w:rsid w:val="005D00EF"/>
    <w:rsid w:val="005D04F8"/>
    <w:rsid w:val="005D0814"/>
    <w:rsid w:val="005D0842"/>
    <w:rsid w:val="005D2F39"/>
    <w:rsid w:val="005D3342"/>
    <w:rsid w:val="005D356C"/>
    <w:rsid w:val="005D3914"/>
    <w:rsid w:val="005D3F11"/>
    <w:rsid w:val="005D46F0"/>
    <w:rsid w:val="005D5109"/>
    <w:rsid w:val="005D573C"/>
    <w:rsid w:val="005D6128"/>
    <w:rsid w:val="005D64B8"/>
    <w:rsid w:val="005D655B"/>
    <w:rsid w:val="005D6C09"/>
    <w:rsid w:val="005D6D51"/>
    <w:rsid w:val="005D6F99"/>
    <w:rsid w:val="005D739B"/>
    <w:rsid w:val="005D7552"/>
    <w:rsid w:val="005D7571"/>
    <w:rsid w:val="005D76F1"/>
    <w:rsid w:val="005D78F0"/>
    <w:rsid w:val="005E0048"/>
    <w:rsid w:val="005E107F"/>
    <w:rsid w:val="005E1203"/>
    <w:rsid w:val="005E29E6"/>
    <w:rsid w:val="005E2AAA"/>
    <w:rsid w:val="005E340B"/>
    <w:rsid w:val="005E36EB"/>
    <w:rsid w:val="005E38FD"/>
    <w:rsid w:val="005E3A09"/>
    <w:rsid w:val="005E3D91"/>
    <w:rsid w:val="005E3F4F"/>
    <w:rsid w:val="005E4280"/>
    <w:rsid w:val="005E4499"/>
    <w:rsid w:val="005E47B9"/>
    <w:rsid w:val="005E48D1"/>
    <w:rsid w:val="005E4E46"/>
    <w:rsid w:val="005E50F4"/>
    <w:rsid w:val="005E540E"/>
    <w:rsid w:val="005E5631"/>
    <w:rsid w:val="005E5B78"/>
    <w:rsid w:val="005E5D4B"/>
    <w:rsid w:val="005E5F42"/>
    <w:rsid w:val="005E6131"/>
    <w:rsid w:val="005E630A"/>
    <w:rsid w:val="005E6510"/>
    <w:rsid w:val="005E6EA7"/>
    <w:rsid w:val="005E7278"/>
    <w:rsid w:val="005F0F3F"/>
    <w:rsid w:val="005F1048"/>
    <w:rsid w:val="005F150F"/>
    <w:rsid w:val="005F18E5"/>
    <w:rsid w:val="005F1AA6"/>
    <w:rsid w:val="005F1F7A"/>
    <w:rsid w:val="005F1FF6"/>
    <w:rsid w:val="005F2216"/>
    <w:rsid w:val="005F2EDA"/>
    <w:rsid w:val="005F348F"/>
    <w:rsid w:val="005F36E2"/>
    <w:rsid w:val="005F3B4A"/>
    <w:rsid w:val="005F3EA1"/>
    <w:rsid w:val="005F4267"/>
    <w:rsid w:val="005F4518"/>
    <w:rsid w:val="005F4EE5"/>
    <w:rsid w:val="005F5CEB"/>
    <w:rsid w:val="005F6184"/>
    <w:rsid w:val="005F6377"/>
    <w:rsid w:val="005F742D"/>
    <w:rsid w:val="005F7723"/>
    <w:rsid w:val="005F7FEA"/>
    <w:rsid w:val="006000EE"/>
    <w:rsid w:val="00600136"/>
    <w:rsid w:val="006009A6"/>
    <w:rsid w:val="006009C6"/>
    <w:rsid w:val="00600CE7"/>
    <w:rsid w:val="0060133E"/>
    <w:rsid w:val="0060149D"/>
    <w:rsid w:val="00601730"/>
    <w:rsid w:val="0060207C"/>
    <w:rsid w:val="006023F3"/>
    <w:rsid w:val="0060255C"/>
    <w:rsid w:val="00602737"/>
    <w:rsid w:val="006029F8"/>
    <w:rsid w:val="006030A0"/>
    <w:rsid w:val="00603A4D"/>
    <w:rsid w:val="00603B81"/>
    <w:rsid w:val="00603C7E"/>
    <w:rsid w:val="00604C3F"/>
    <w:rsid w:val="00604EE3"/>
    <w:rsid w:val="00605352"/>
    <w:rsid w:val="00605BA2"/>
    <w:rsid w:val="00607284"/>
    <w:rsid w:val="00610065"/>
    <w:rsid w:val="006110AF"/>
    <w:rsid w:val="0061114E"/>
    <w:rsid w:val="006112FA"/>
    <w:rsid w:val="0061175F"/>
    <w:rsid w:val="00611F4D"/>
    <w:rsid w:val="006122A5"/>
    <w:rsid w:val="00612FF5"/>
    <w:rsid w:val="00613733"/>
    <w:rsid w:val="0061374D"/>
    <w:rsid w:val="00613EFA"/>
    <w:rsid w:val="00614635"/>
    <w:rsid w:val="00614D06"/>
    <w:rsid w:val="00614DD6"/>
    <w:rsid w:val="006159DC"/>
    <w:rsid w:val="00615DD8"/>
    <w:rsid w:val="00616577"/>
    <w:rsid w:val="00616D42"/>
    <w:rsid w:val="006177DE"/>
    <w:rsid w:val="006204FA"/>
    <w:rsid w:val="006205B7"/>
    <w:rsid w:val="00620896"/>
    <w:rsid w:val="00620BAA"/>
    <w:rsid w:val="00620EB8"/>
    <w:rsid w:val="006210E9"/>
    <w:rsid w:val="0062119A"/>
    <w:rsid w:val="00621FD6"/>
    <w:rsid w:val="00622480"/>
    <w:rsid w:val="00622762"/>
    <w:rsid w:val="00622DA1"/>
    <w:rsid w:val="00623030"/>
    <w:rsid w:val="006239C6"/>
    <w:rsid w:val="00623C97"/>
    <w:rsid w:val="00623FF7"/>
    <w:rsid w:val="0062412C"/>
    <w:rsid w:val="0062415B"/>
    <w:rsid w:val="00624D24"/>
    <w:rsid w:val="00625325"/>
    <w:rsid w:val="00625BF9"/>
    <w:rsid w:val="00625F31"/>
    <w:rsid w:val="006260B9"/>
    <w:rsid w:val="00626450"/>
    <w:rsid w:val="00626A61"/>
    <w:rsid w:val="00626C18"/>
    <w:rsid w:val="00627321"/>
    <w:rsid w:val="00627C80"/>
    <w:rsid w:val="006302BC"/>
    <w:rsid w:val="006305F1"/>
    <w:rsid w:val="00630A03"/>
    <w:rsid w:val="00630B2B"/>
    <w:rsid w:val="00631545"/>
    <w:rsid w:val="006317A8"/>
    <w:rsid w:val="00631E48"/>
    <w:rsid w:val="00631EFA"/>
    <w:rsid w:val="0063210D"/>
    <w:rsid w:val="00632198"/>
    <w:rsid w:val="006325F4"/>
    <w:rsid w:val="006330CE"/>
    <w:rsid w:val="0063398B"/>
    <w:rsid w:val="00634351"/>
    <w:rsid w:val="006343AF"/>
    <w:rsid w:val="006350D4"/>
    <w:rsid w:val="006354AF"/>
    <w:rsid w:val="006356CE"/>
    <w:rsid w:val="0063588A"/>
    <w:rsid w:val="00636575"/>
    <w:rsid w:val="00637039"/>
    <w:rsid w:val="006377C1"/>
    <w:rsid w:val="00637862"/>
    <w:rsid w:val="00637CD7"/>
    <w:rsid w:val="0063A55F"/>
    <w:rsid w:val="006403E9"/>
    <w:rsid w:val="006409C1"/>
    <w:rsid w:val="00640C3D"/>
    <w:rsid w:val="0064103A"/>
    <w:rsid w:val="00641B16"/>
    <w:rsid w:val="00641D28"/>
    <w:rsid w:val="00642031"/>
    <w:rsid w:val="0064288E"/>
    <w:rsid w:val="00642A38"/>
    <w:rsid w:val="00643050"/>
    <w:rsid w:val="00643DB8"/>
    <w:rsid w:val="00644879"/>
    <w:rsid w:val="00644F3F"/>
    <w:rsid w:val="006450D3"/>
    <w:rsid w:val="00645C14"/>
    <w:rsid w:val="0064691D"/>
    <w:rsid w:val="00646CB0"/>
    <w:rsid w:val="00646F8A"/>
    <w:rsid w:val="006470E4"/>
    <w:rsid w:val="0064728E"/>
    <w:rsid w:val="00647640"/>
    <w:rsid w:val="00647963"/>
    <w:rsid w:val="006502B4"/>
    <w:rsid w:val="00650A3C"/>
    <w:rsid w:val="00650E50"/>
    <w:rsid w:val="006513F0"/>
    <w:rsid w:val="00651612"/>
    <w:rsid w:val="0065164F"/>
    <w:rsid w:val="0065198D"/>
    <w:rsid w:val="006521BD"/>
    <w:rsid w:val="006521EB"/>
    <w:rsid w:val="00652865"/>
    <w:rsid w:val="006529A0"/>
    <w:rsid w:val="00652C7B"/>
    <w:rsid w:val="00653465"/>
    <w:rsid w:val="00654F35"/>
    <w:rsid w:val="0065523C"/>
    <w:rsid w:val="00655451"/>
    <w:rsid w:val="006555B1"/>
    <w:rsid w:val="006561A2"/>
    <w:rsid w:val="006561A9"/>
    <w:rsid w:val="00656C72"/>
    <w:rsid w:val="00656E0A"/>
    <w:rsid w:val="00657379"/>
    <w:rsid w:val="00660A2F"/>
    <w:rsid w:val="00660DE6"/>
    <w:rsid w:val="00660EB0"/>
    <w:rsid w:val="00660ECC"/>
    <w:rsid w:val="006611CE"/>
    <w:rsid w:val="00661500"/>
    <w:rsid w:val="00661994"/>
    <w:rsid w:val="006619E6"/>
    <w:rsid w:val="006622FE"/>
    <w:rsid w:val="00663472"/>
    <w:rsid w:val="00664641"/>
    <w:rsid w:val="00664B3C"/>
    <w:rsid w:val="00664EDF"/>
    <w:rsid w:val="00665384"/>
    <w:rsid w:val="00665606"/>
    <w:rsid w:val="00666672"/>
    <w:rsid w:val="006667A2"/>
    <w:rsid w:val="00666845"/>
    <w:rsid w:val="00666B7A"/>
    <w:rsid w:val="006672E2"/>
    <w:rsid w:val="00667429"/>
    <w:rsid w:val="0066749C"/>
    <w:rsid w:val="00670030"/>
    <w:rsid w:val="006700F6"/>
    <w:rsid w:val="00670271"/>
    <w:rsid w:val="00670584"/>
    <w:rsid w:val="006707C8"/>
    <w:rsid w:val="0067089D"/>
    <w:rsid w:val="00671183"/>
    <w:rsid w:val="0067140C"/>
    <w:rsid w:val="00671D97"/>
    <w:rsid w:val="00671DC5"/>
    <w:rsid w:val="00672A03"/>
    <w:rsid w:val="00672AAE"/>
    <w:rsid w:val="00673427"/>
    <w:rsid w:val="0067347A"/>
    <w:rsid w:val="0067467F"/>
    <w:rsid w:val="006748A1"/>
    <w:rsid w:val="00674A9E"/>
    <w:rsid w:val="00674D12"/>
    <w:rsid w:val="00674FD1"/>
    <w:rsid w:val="00675B34"/>
    <w:rsid w:val="00676CC2"/>
    <w:rsid w:val="00676DF4"/>
    <w:rsid w:val="00676F1E"/>
    <w:rsid w:val="00677278"/>
    <w:rsid w:val="0068076E"/>
    <w:rsid w:val="00680C0B"/>
    <w:rsid w:val="00681260"/>
    <w:rsid w:val="00682ECC"/>
    <w:rsid w:val="006839A9"/>
    <w:rsid w:val="00683F97"/>
    <w:rsid w:val="00683FF9"/>
    <w:rsid w:val="00684768"/>
    <w:rsid w:val="00684B01"/>
    <w:rsid w:val="0068567B"/>
    <w:rsid w:val="0068573F"/>
    <w:rsid w:val="00685FDD"/>
    <w:rsid w:val="00687593"/>
    <w:rsid w:val="006876C4"/>
    <w:rsid w:val="00687962"/>
    <w:rsid w:val="0068796E"/>
    <w:rsid w:val="00687ADE"/>
    <w:rsid w:val="00687DA6"/>
    <w:rsid w:val="0069028B"/>
    <w:rsid w:val="006910C1"/>
    <w:rsid w:val="006913D7"/>
    <w:rsid w:val="00691C2C"/>
    <w:rsid w:val="00691C2D"/>
    <w:rsid w:val="00692153"/>
    <w:rsid w:val="006921BB"/>
    <w:rsid w:val="00692448"/>
    <w:rsid w:val="0069273B"/>
    <w:rsid w:val="00692EF4"/>
    <w:rsid w:val="006939B2"/>
    <w:rsid w:val="00693ED2"/>
    <w:rsid w:val="00694040"/>
    <w:rsid w:val="00694EB7"/>
    <w:rsid w:val="0069538C"/>
    <w:rsid w:val="00695782"/>
    <w:rsid w:val="00697512"/>
    <w:rsid w:val="006975DD"/>
    <w:rsid w:val="00697840"/>
    <w:rsid w:val="006978E3"/>
    <w:rsid w:val="00697F81"/>
    <w:rsid w:val="006A04C1"/>
    <w:rsid w:val="006A05EF"/>
    <w:rsid w:val="006A0B4A"/>
    <w:rsid w:val="006A1821"/>
    <w:rsid w:val="006A2306"/>
    <w:rsid w:val="006A37D8"/>
    <w:rsid w:val="006A3CF7"/>
    <w:rsid w:val="006A3F49"/>
    <w:rsid w:val="006A442C"/>
    <w:rsid w:val="006A448F"/>
    <w:rsid w:val="006A5393"/>
    <w:rsid w:val="006A55C3"/>
    <w:rsid w:val="006A5A8E"/>
    <w:rsid w:val="006A5E40"/>
    <w:rsid w:val="006A607F"/>
    <w:rsid w:val="006A6137"/>
    <w:rsid w:val="006A64F2"/>
    <w:rsid w:val="006A6768"/>
    <w:rsid w:val="006A71D0"/>
    <w:rsid w:val="006A725B"/>
    <w:rsid w:val="006A7B13"/>
    <w:rsid w:val="006A7D6B"/>
    <w:rsid w:val="006B0232"/>
    <w:rsid w:val="006B063B"/>
    <w:rsid w:val="006B07EE"/>
    <w:rsid w:val="006B14D0"/>
    <w:rsid w:val="006B1DE4"/>
    <w:rsid w:val="006B1FED"/>
    <w:rsid w:val="006B21F1"/>
    <w:rsid w:val="006B2777"/>
    <w:rsid w:val="006B2CE2"/>
    <w:rsid w:val="006B3B0E"/>
    <w:rsid w:val="006B412F"/>
    <w:rsid w:val="006B4630"/>
    <w:rsid w:val="006B4688"/>
    <w:rsid w:val="006B52FF"/>
    <w:rsid w:val="006B5EF4"/>
    <w:rsid w:val="006B6256"/>
    <w:rsid w:val="006B62F6"/>
    <w:rsid w:val="006B6885"/>
    <w:rsid w:val="006B6AE0"/>
    <w:rsid w:val="006B7D53"/>
    <w:rsid w:val="006B7F0B"/>
    <w:rsid w:val="006C067F"/>
    <w:rsid w:val="006C1736"/>
    <w:rsid w:val="006C34C6"/>
    <w:rsid w:val="006C3D0C"/>
    <w:rsid w:val="006C3ED6"/>
    <w:rsid w:val="006C4004"/>
    <w:rsid w:val="006C4753"/>
    <w:rsid w:val="006C4781"/>
    <w:rsid w:val="006C47B2"/>
    <w:rsid w:val="006C48CB"/>
    <w:rsid w:val="006C4B69"/>
    <w:rsid w:val="006C4E38"/>
    <w:rsid w:val="006C7C0E"/>
    <w:rsid w:val="006D03F6"/>
    <w:rsid w:val="006D0720"/>
    <w:rsid w:val="006D0BE5"/>
    <w:rsid w:val="006D0C46"/>
    <w:rsid w:val="006D1381"/>
    <w:rsid w:val="006D15E0"/>
    <w:rsid w:val="006D1B78"/>
    <w:rsid w:val="006D21CC"/>
    <w:rsid w:val="006D2276"/>
    <w:rsid w:val="006D2283"/>
    <w:rsid w:val="006D2495"/>
    <w:rsid w:val="006D2DF6"/>
    <w:rsid w:val="006D3015"/>
    <w:rsid w:val="006D3071"/>
    <w:rsid w:val="006D41E7"/>
    <w:rsid w:val="006D48F3"/>
    <w:rsid w:val="006D572C"/>
    <w:rsid w:val="006D5C21"/>
    <w:rsid w:val="006D5FB3"/>
    <w:rsid w:val="006D7719"/>
    <w:rsid w:val="006D7EB7"/>
    <w:rsid w:val="006E02BF"/>
    <w:rsid w:val="006E0814"/>
    <w:rsid w:val="006E0C97"/>
    <w:rsid w:val="006E0D50"/>
    <w:rsid w:val="006E1AD0"/>
    <w:rsid w:val="006E1D4A"/>
    <w:rsid w:val="006E2223"/>
    <w:rsid w:val="006E235B"/>
    <w:rsid w:val="006E2BFF"/>
    <w:rsid w:val="006E3492"/>
    <w:rsid w:val="006E354E"/>
    <w:rsid w:val="006E375F"/>
    <w:rsid w:val="006E3B06"/>
    <w:rsid w:val="006E3BCE"/>
    <w:rsid w:val="006E3CFD"/>
    <w:rsid w:val="006E3F5D"/>
    <w:rsid w:val="006E4629"/>
    <w:rsid w:val="006E4D0D"/>
    <w:rsid w:val="006E4E0C"/>
    <w:rsid w:val="006E509C"/>
    <w:rsid w:val="006E51B7"/>
    <w:rsid w:val="006E5EA9"/>
    <w:rsid w:val="006E5F4A"/>
    <w:rsid w:val="006E5FA9"/>
    <w:rsid w:val="006E675F"/>
    <w:rsid w:val="006E676F"/>
    <w:rsid w:val="006E67F3"/>
    <w:rsid w:val="006E6964"/>
    <w:rsid w:val="006E795F"/>
    <w:rsid w:val="006E7CD2"/>
    <w:rsid w:val="006F02CF"/>
    <w:rsid w:val="006F03F4"/>
    <w:rsid w:val="006F2A4E"/>
    <w:rsid w:val="006F33AC"/>
    <w:rsid w:val="006F397E"/>
    <w:rsid w:val="006F3AD5"/>
    <w:rsid w:val="006F420D"/>
    <w:rsid w:val="006F44DE"/>
    <w:rsid w:val="006F51A9"/>
    <w:rsid w:val="006F59C7"/>
    <w:rsid w:val="006F5B7A"/>
    <w:rsid w:val="006F64BC"/>
    <w:rsid w:val="006F6B4C"/>
    <w:rsid w:val="006F6FDB"/>
    <w:rsid w:val="006F7117"/>
    <w:rsid w:val="006F7367"/>
    <w:rsid w:val="006F74B5"/>
    <w:rsid w:val="006F7603"/>
    <w:rsid w:val="006F7755"/>
    <w:rsid w:val="006F782D"/>
    <w:rsid w:val="006F7A0E"/>
    <w:rsid w:val="00700028"/>
    <w:rsid w:val="00700055"/>
    <w:rsid w:val="00700A90"/>
    <w:rsid w:val="00701154"/>
    <w:rsid w:val="00701DB3"/>
    <w:rsid w:val="00702412"/>
    <w:rsid w:val="00702F3E"/>
    <w:rsid w:val="007030ED"/>
    <w:rsid w:val="0070319F"/>
    <w:rsid w:val="0070346E"/>
    <w:rsid w:val="007037E1"/>
    <w:rsid w:val="00703E26"/>
    <w:rsid w:val="00703E51"/>
    <w:rsid w:val="00704750"/>
    <w:rsid w:val="007049FA"/>
    <w:rsid w:val="007054AE"/>
    <w:rsid w:val="00705BDC"/>
    <w:rsid w:val="00705F2F"/>
    <w:rsid w:val="0070600C"/>
    <w:rsid w:val="00706229"/>
    <w:rsid w:val="007067E1"/>
    <w:rsid w:val="007067F9"/>
    <w:rsid w:val="0070682C"/>
    <w:rsid w:val="00706C55"/>
    <w:rsid w:val="00706D9C"/>
    <w:rsid w:val="00706DC3"/>
    <w:rsid w:val="0070750E"/>
    <w:rsid w:val="00710615"/>
    <w:rsid w:val="007106FE"/>
    <w:rsid w:val="00710FB5"/>
    <w:rsid w:val="00711C6E"/>
    <w:rsid w:val="00711D19"/>
    <w:rsid w:val="00712316"/>
    <w:rsid w:val="00712548"/>
    <w:rsid w:val="0071258A"/>
    <w:rsid w:val="00712BB1"/>
    <w:rsid w:val="007132E6"/>
    <w:rsid w:val="00713673"/>
    <w:rsid w:val="0071397E"/>
    <w:rsid w:val="00713CB3"/>
    <w:rsid w:val="007144FE"/>
    <w:rsid w:val="00714518"/>
    <w:rsid w:val="00714BE3"/>
    <w:rsid w:val="00714E81"/>
    <w:rsid w:val="00714EEF"/>
    <w:rsid w:val="007154D6"/>
    <w:rsid w:val="00716091"/>
    <w:rsid w:val="00716277"/>
    <w:rsid w:val="007171DD"/>
    <w:rsid w:val="007172F6"/>
    <w:rsid w:val="00717549"/>
    <w:rsid w:val="00717662"/>
    <w:rsid w:val="0071792D"/>
    <w:rsid w:val="00717FEA"/>
    <w:rsid w:val="00720542"/>
    <w:rsid w:val="0072069E"/>
    <w:rsid w:val="00720828"/>
    <w:rsid w:val="00720980"/>
    <w:rsid w:val="00720EB6"/>
    <w:rsid w:val="007210FC"/>
    <w:rsid w:val="00721BE2"/>
    <w:rsid w:val="00721F47"/>
    <w:rsid w:val="0072216D"/>
    <w:rsid w:val="00722189"/>
    <w:rsid w:val="00723739"/>
    <w:rsid w:val="0072393B"/>
    <w:rsid w:val="007239C3"/>
    <w:rsid w:val="00723C5C"/>
    <w:rsid w:val="007243C7"/>
    <w:rsid w:val="00724F87"/>
    <w:rsid w:val="0072545A"/>
    <w:rsid w:val="007259F6"/>
    <w:rsid w:val="007260EE"/>
    <w:rsid w:val="0072617F"/>
    <w:rsid w:val="007262F8"/>
    <w:rsid w:val="0072641A"/>
    <w:rsid w:val="00726F76"/>
    <w:rsid w:val="00727274"/>
    <w:rsid w:val="007278C3"/>
    <w:rsid w:val="007301BE"/>
    <w:rsid w:val="0073043D"/>
    <w:rsid w:val="00730C01"/>
    <w:rsid w:val="00730CC7"/>
    <w:rsid w:val="00730CFB"/>
    <w:rsid w:val="00730D9C"/>
    <w:rsid w:val="00731380"/>
    <w:rsid w:val="00731DBC"/>
    <w:rsid w:val="007320E5"/>
    <w:rsid w:val="00732745"/>
    <w:rsid w:val="00732E20"/>
    <w:rsid w:val="00732E46"/>
    <w:rsid w:val="00733284"/>
    <w:rsid w:val="007334D5"/>
    <w:rsid w:val="0073367D"/>
    <w:rsid w:val="0073444D"/>
    <w:rsid w:val="007348C7"/>
    <w:rsid w:val="00734B1E"/>
    <w:rsid w:val="00734B59"/>
    <w:rsid w:val="00734F11"/>
    <w:rsid w:val="00735919"/>
    <w:rsid w:val="00735986"/>
    <w:rsid w:val="00736BF4"/>
    <w:rsid w:val="007376F9"/>
    <w:rsid w:val="00740112"/>
    <w:rsid w:val="00740388"/>
    <w:rsid w:val="00740637"/>
    <w:rsid w:val="00740A70"/>
    <w:rsid w:val="00740CD8"/>
    <w:rsid w:val="00740CE1"/>
    <w:rsid w:val="00740F68"/>
    <w:rsid w:val="0074108E"/>
    <w:rsid w:val="007412B6"/>
    <w:rsid w:val="007419EC"/>
    <w:rsid w:val="00741EB8"/>
    <w:rsid w:val="00743004"/>
    <w:rsid w:val="00743576"/>
    <w:rsid w:val="00744214"/>
    <w:rsid w:val="007443AA"/>
    <w:rsid w:val="0074481D"/>
    <w:rsid w:val="00744E32"/>
    <w:rsid w:val="0074659C"/>
    <w:rsid w:val="007465BE"/>
    <w:rsid w:val="00746689"/>
    <w:rsid w:val="007467CF"/>
    <w:rsid w:val="00746B1B"/>
    <w:rsid w:val="00747129"/>
    <w:rsid w:val="00747564"/>
    <w:rsid w:val="00747D5C"/>
    <w:rsid w:val="00747E71"/>
    <w:rsid w:val="00750EB4"/>
    <w:rsid w:val="00751333"/>
    <w:rsid w:val="0075253F"/>
    <w:rsid w:val="0075258E"/>
    <w:rsid w:val="007529AC"/>
    <w:rsid w:val="00752EBD"/>
    <w:rsid w:val="0075333C"/>
    <w:rsid w:val="00753AFB"/>
    <w:rsid w:val="00753EAF"/>
    <w:rsid w:val="007541B4"/>
    <w:rsid w:val="007543E5"/>
    <w:rsid w:val="007552F7"/>
    <w:rsid w:val="00755475"/>
    <w:rsid w:val="007556FD"/>
    <w:rsid w:val="00755B30"/>
    <w:rsid w:val="00755D86"/>
    <w:rsid w:val="00755E9D"/>
    <w:rsid w:val="007561FB"/>
    <w:rsid w:val="00756408"/>
    <w:rsid w:val="0075651D"/>
    <w:rsid w:val="00757212"/>
    <w:rsid w:val="007575AB"/>
    <w:rsid w:val="007601D4"/>
    <w:rsid w:val="00760A9E"/>
    <w:rsid w:val="00760D12"/>
    <w:rsid w:val="0076110F"/>
    <w:rsid w:val="007615A2"/>
    <w:rsid w:val="00761D16"/>
    <w:rsid w:val="00762E20"/>
    <w:rsid w:val="00763874"/>
    <w:rsid w:val="007648D8"/>
    <w:rsid w:val="00764A23"/>
    <w:rsid w:val="0076583C"/>
    <w:rsid w:val="00765E79"/>
    <w:rsid w:val="007668D3"/>
    <w:rsid w:val="00767061"/>
    <w:rsid w:val="00767516"/>
    <w:rsid w:val="007675BA"/>
    <w:rsid w:val="00770477"/>
    <w:rsid w:val="007705AB"/>
    <w:rsid w:val="00771821"/>
    <w:rsid w:val="00771C3E"/>
    <w:rsid w:val="0077211F"/>
    <w:rsid w:val="007725D8"/>
    <w:rsid w:val="00772DB3"/>
    <w:rsid w:val="00772F65"/>
    <w:rsid w:val="00773010"/>
    <w:rsid w:val="007739CE"/>
    <w:rsid w:val="00773A56"/>
    <w:rsid w:val="00774274"/>
    <w:rsid w:val="00774534"/>
    <w:rsid w:val="007747F4"/>
    <w:rsid w:val="00774D52"/>
    <w:rsid w:val="0077527A"/>
    <w:rsid w:val="0077563F"/>
    <w:rsid w:val="007756E0"/>
    <w:rsid w:val="00775B35"/>
    <w:rsid w:val="007761FE"/>
    <w:rsid w:val="00777074"/>
    <w:rsid w:val="007770B8"/>
    <w:rsid w:val="00777120"/>
    <w:rsid w:val="007771F0"/>
    <w:rsid w:val="00777A11"/>
    <w:rsid w:val="00780299"/>
    <w:rsid w:val="00780C15"/>
    <w:rsid w:val="00780F8C"/>
    <w:rsid w:val="007824A5"/>
    <w:rsid w:val="0078289F"/>
    <w:rsid w:val="0078310F"/>
    <w:rsid w:val="007836FE"/>
    <w:rsid w:val="0078454A"/>
    <w:rsid w:val="007848E1"/>
    <w:rsid w:val="00784B7B"/>
    <w:rsid w:val="00784D5C"/>
    <w:rsid w:val="00784E3F"/>
    <w:rsid w:val="00785750"/>
    <w:rsid w:val="00785E31"/>
    <w:rsid w:val="007864AF"/>
    <w:rsid w:val="00786C5F"/>
    <w:rsid w:val="00787284"/>
    <w:rsid w:val="00787589"/>
    <w:rsid w:val="007875A8"/>
    <w:rsid w:val="0078A6D0"/>
    <w:rsid w:val="00790F75"/>
    <w:rsid w:val="00791C3E"/>
    <w:rsid w:val="00792105"/>
    <w:rsid w:val="007924CF"/>
    <w:rsid w:val="00793AB4"/>
    <w:rsid w:val="00793BFA"/>
    <w:rsid w:val="0079423F"/>
    <w:rsid w:val="00794C63"/>
    <w:rsid w:val="007957FC"/>
    <w:rsid w:val="00795906"/>
    <w:rsid w:val="00795B5C"/>
    <w:rsid w:val="00796035"/>
    <w:rsid w:val="0079656B"/>
    <w:rsid w:val="007970CC"/>
    <w:rsid w:val="00797131"/>
    <w:rsid w:val="007974CD"/>
    <w:rsid w:val="007A033E"/>
    <w:rsid w:val="007A133D"/>
    <w:rsid w:val="007A1773"/>
    <w:rsid w:val="007A1C51"/>
    <w:rsid w:val="007A1EAF"/>
    <w:rsid w:val="007A1FA2"/>
    <w:rsid w:val="007A21D5"/>
    <w:rsid w:val="007A2DA1"/>
    <w:rsid w:val="007A322F"/>
    <w:rsid w:val="007A34B4"/>
    <w:rsid w:val="007A451A"/>
    <w:rsid w:val="007A4A2A"/>
    <w:rsid w:val="007A507E"/>
    <w:rsid w:val="007A55C0"/>
    <w:rsid w:val="007A59F1"/>
    <w:rsid w:val="007A5BA2"/>
    <w:rsid w:val="007A5BEA"/>
    <w:rsid w:val="007A61E5"/>
    <w:rsid w:val="007A6357"/>
    <w:rsid w:val="007A6392"/>
    <w:rsid w:val="007A666E"/>
    <w:rsid w:val="007A6C9A"/>
    <w:rsid w:val="007A6FB9"/>
    <w:rsid w:val="007A73D6"/>
    <w:rsid w:val="007A7434"/>
    <w:rsid w:val="007A77DC"/>
    <w:rsid w:val="007A7EB1"/>
    <w:rsid w:val="007B0879"/>
    <w:rsid w:val="007B0BDD"/>
    <w:rsid w:val="007B0DEF"/>
    <w:rsid w:val="007B1A71"/>
    <w:rsid w:val="007B2D79"/>
    <w:rsid w:val="007B2DA9"/>
    <w:rsid w:val="007B3DB8"/>
    <w:rsid w:val="007B3DF2"/>
    <w:rsid w:val="007B4360"/>
    <w:rsid w:val="007B43A9"/>
    <w:rsid w:val="007B4D5E"/>
    <w:rsid w:val="007B5F27"/>
    <w:rsid w:val="007B63CB"/>
    <w:rsid w:val="007B6D79"/>
    <w:rsid w:val="007B70E0"/>
    <w:rsid w:val="007B71A0"/>
    <w:rsid w:val="007B73BF"/>
    <w:rsid w:val="007B77D2"/>
    <w:rsid w:val="007C0079"/>
    <w:rsid w:val="007C016D"/>
    <w:rsid w:val="007C04C2"/>
    <w:rsid w:val="007C1184"/>
    <w:rsid w:val="007C1D75"/>
    <w:rsid w:val="007C1E5D"/>
    <w:rsid w:val="007C203E"/>
    <w:rsid w:val="007C2384"/>
    <w:rsid w:val="007C2470"/>
    <w:rsid w:val="007C2552"/>
    <w:rsid w:val="007C2597"/>
    <w:rsid w:val="007C2788"/>
    <w:rsid w:val="007C2D4B"/>
    <w:rsid w:val="007C3258"/>
    <w:rsid w:val="007C3355"/>
    <w:rsid w:val="007C35E0"/>
    <w:rsid w:val="007C3CD1"/>
    <w:rsid w:val="007C3DC1"/>
    <w:rsid w:val="007C3F1A"/>
    <w:rsid w:val="007C4573"/>
    <w:rsid w:val="007C4B41"/>
    <w:rsid w:val="007C5101"/>
    <w:rsid w:val="007C5191"/>
    <w:rsid w:val="007C53E2"/>
    <w:rsid w:val="007C56D3"/>
    <w:rsid w:val="007C5879"/>
    <w:rsid w:val="007C59AB"/>
    <w:rsid w:val="007C5AE7"/>
    <w:rsid w:val="007C666C"/>
    <w:rsid w:val="007C67EF"/>
    <w:rsid w:val="007C6C32"/>
    <w:rsid w:val="007C6D8B"/>
    <w:rsid w:val="007C738E"/>
    <w:rsid w:val="007C766E"/>
    <w:rsid w:val="007D19AD"/>
    <w:rsid w:val="007D224E"/>
    <w:rsid w:val="007D2787"/>
    <w:rsid w:val="007D27A5"/>
    <w:rsid w:val="007D314D"/>
    <w:rsid w:val="007D3E49"/>
    <w:rsid w:val="007D4169"/>
    <w:rsid w:val="007D4217"/>
    <w:rsid w:val="007D45FB"/>
    <w:rsid w:val="007D49A7"/>
    <w:rsid w:val="007D49E8"/>
    <w:rsid w:val="007D4E4D"/>
    <w:rsid w:val="007D5643"/>
    <w:rsid w:val="007D643D"/>
    <w:rsid w:val="007D6FEF"/>
    <w:rsid w:val="007D7184"/>
    <w:rsid w:val="007D7934"/>
    <w:rsid w:val="007D7D3E"/>
    <w:rsid w:val="007E012C"/>
    <w:rsid w:val="007E0435"/>
    <w:rsid w:val="007E0E61"/>
    <w:rsid w:val="007E1A17"/>
    <w:rsid w:val="007E1A36"/>
    <w:rsid w:val="007E1A84"/>
    <w:rsid w:val="007E1B9F"/>
    <w:rsid w:val="007E20BE"/>
    <w:rsid w:val="007E2D05"/>
    <w:rsid w:val="007E38AD"/>
    <w:rsid w:val="007E38E7"/>
    <w:rsid w:val="007E39ED"/>
    <w:rsid w:val="007E3F04"/>
    <w:rsid w:val="007E42F2"/>
    <w:rsid w:val="007E474B"/>
    <w:rsid w:val="007E4851"/>
    <w:rsid w:val="007E4B6A"/>
    <w:rsid w:val="007E56B5"/>
    <w:rsid w:val="007E5941"/>
    <w:rsid w:val="007E5AB1"/>
    <w:rsid w:val="007E601E"/>
    <w:rsid w:val="007E629D"/>
    <w:rsid w:val="007E6CCC"/>
    <w:rsid w:val="007E6E5C"/>
    <w:rsid w:val="007E79DA"/>
    <w:rsid w:val="007E7AA5"/>
    <w:rsid w:val="007F0055"/>
    <w:rsid w:val="007F02E8"/>
    <w:rsid w:val="007F0A53"/>
    <w:rsid w:val="007F0BDE"/>
    <w:rsid w:val="007F0C96"/>
    <w:rsid w:val="007F1E45"/>
    <w:rsid w:val="007F25A6"/>
    <w:rsid w:val="007F25CA"/>
    <w:rsid w:val="007F3303"/>
    <w:rsid w:val="007F403F"/>
    <w:rsid w:val="007F465E"/>
    <w:rsid w:val="007F4FDF"/>
    <w:rsid w:val="007F5519"/>
    <w:rsid w:val="007F599C"/>
    <w:rsid w:val="007F5A4B"/>
    <w:rsid w:val="007F6455"/>
    <w:rsid w:val="007F6639"/>
    <w:rsid w:val="007F66AC"/>
    <w:rsid w:val="007F7127"/>
    <w:rsid w:val="007F731B"/>
    <w:rsid w:val="007F75A8"/>
    <w:rsid w:val="0080034D"/>
    <w:rsid w:val="008009AC"/>
    <w:rsid w:val="00800F7B"/>
    <w:rsid w:val="00801423"/>
    <w:rsid w:val="00802291"/>
    <w:rsid w:val="008027FD"/>
    <w:rsid w:val="00803067"/>
    <w:rsid w:val="008033A2"/>
    <w:rsid w:val="008037AA"/>
    <w:rsid w:val="00803E47"/>
    <w:rsid w:val="00803E87"/>
    <w:rsid w:val="00804541"/>
    <w:rsid w:val="008047F6"/>
    <w:rsid w:val="00804C84"/>
    <w:rsid w:val="00805007"/>
    <w:rsid w:val="00805586"/>
    <w:rsid w:val="00805DD9"/>
    <w:rsid w:val="008063E7"/>
    <w:rsid w:val="00806844"/>
    <w:rsid w:val="00806AA2"/>
    <w:rsid w:val="00806DD1"/>
    <w:rsid w:val="0080719E"/>
    <w:rsid w:val="0080755C"/>
    <w:rsid w:val="00807647"/>
    <w:rsid w:val="008079B8"/>
    <w:rsid w:val="00810555"/>
    <w:rsid w:val="00810CE2"/>
    <w:rsid w:val="00810E70"/>
    <w:rsid w:val="00811226"/>
    <w:rsid w:val="008114F3"/>
    <w:rsid w:val="00811ADF"/>
    <w:rsid w:val="0081221A"/>
    <w:rsid w:val="008127DF"/>
    <w:rsid w:val="008129C0"/>
    <w:rsid w:val="00812BB3"/>
    <w:rsid w:val="00812F57"/>
    <w:rsid w:val="008135E6"/>
    <w:rsid w:val="00813EBD"/>
    <w:rsid w:val="00814185"/>
    <w:rsid w:val="00814771"/>
    <w:rsid w:val="00814A99"/>
    <w:rsid w:val="00814EF0"/>
    <w:rsid w:val="00814F2C"/>
    <w:rsid w:val="0081542A"/>
    <w:rsid w:val="008154E0"/>
    <w:rsid w:val="0081567D"/>
    <w:rsid w:val="008156A3"/>
    <w:rsid w:val="00815B36"/>
    <w:rsid w:val="00815FC5"/>
    <w:rsid w:val="0081651B"/>
    <w:rsid w:val="0081707A"/>
    <w:rsid w:val="008174CD"/>
    <w:rsid w:val="008176E2"/>
    <w:rsid w:val="008177A0"/>
    <w:rsid w:val="008179CC"/>
    <w:rsid w:val="00817BD5"/>
    <w:rsid w:val="00817D3C"/>
    <w:rsid w:val="00817D8B"/>
    <w:rsid w:val="00817E41"/>
    <w:rsid w:val="0082017D"/>
    <w:rsid w:val="008219DB"/>
    <w:rsid w:val="00821B4F"/>
    <w:rsid w:val="00821E81"/>
    <w:rsid w:val="00822111"/>
    <w:rsid w:val="008224DE"/>
    <w:rsid w:val="00822672"/>
    <w:rsid w:val="00822924"/>
    <w:rsid w:val="00822A8A"/>
    <w:rsid w:val="00822D73"/>
    <w:rsid w:val="008230E4"/>
    <w:rsid w:val="00823AEB"/>
    <w:rsid w:val="008240FE"/>
    <w:rsid w:val="008242AC"/>
    <w:rsid w:val="0082471E"/>
    <w:rsid w:val="00824AAE"/>
    <w:rsid w:val="008254DB"/>
    <w:rsid w:val="00825E53"/>
    <w:rsid w:val="00825F1B"/>
    <w:rsid w:val="008261C5"/>
    <w:rsid w:val="00826558"/>
    <w:rsid w:val="008268C7"/>
    <w:rsid w:val="00826A71"/>
    <w:rsid w:val="00826A97"/>
    <w:rsid w:val="00826D67"/>
    <w:rsid w:val="00826E87"/>
    <w:rsid w:val="00827391"/>
    <w:rsid w:val="0082783F"/>
    <w:rsid w:val="00827994"/>
    <w:rsid w:val="00831118"/>
    <w:rsid w:val="00831A69"/>
    <w:rsid w:val="00831E4B"/>
    <w:rsid w:val="008320F4"/>
    <w:rsid w:val="008329CF"/>
    <w:rsid w:val="00832CC7"/>
    <w:rsid w:val="00832F23"/>
    <w:rsid w:val="008330CE"/>
    <w:rsid w:val="0083335B"/>
    <w:rsid w:val="00833B3D"/>
    <w:rsid w:val="00833C4B"/>
    <w:rsid w:val="00834667"/>
    <w:rsid w:val="00834A32"/>
    <w:rsid w:val="00834BBA"/>
    <w:rsid w:val="0083523A"/>
    <w:rsid w:val="00835BBA"/>
    <w:rsid w:val="00835C51"/>
    <w:rsid w:val="00835C87"/>
    <w:rsid w:val="00835CCE"/>
    <w:rsid w:val="00835E8E"/>
    <w:rsid w:val="008363A4"/>
    <w:rsid w:val="00836673"/>
    <w:rsid w:val="008366A8"/>
    <w:rsid w:val="00837384"/>
    <w:rsid w:val="00837452"/>
    <w:rsid w:val="008378E9"/>
    <w:rsid w:val="00841379"/>
    <w:rsid w:val="008414AC"/>
    <w:rsid w:val="0084196F"/>
    <w:rsid w:val="00841B43"/>
    <w:rsid w:val="00841D11"/>
    <w:rsid w:val="00841D84"/>
    <w:rsid w:val="00842061"/>
    <w:rsid w:val="008422F6"/>
    <w:rsid w:val="00842DC7"/>
    <w:rsid w:val="008430A7"/>
    <w:rsid w:val="00843CF3"/>
    <w:rsid w:val="00843FAD"/>
    <w:rsid w:val="00844343"/>
    <w:rsid w:val="00844402"/>
    <w:rsid w:val="00844564"/>
    <w:rsid w:val="00844E53"/>
    <w:rsid w:val="008450BB"/>
    <w:rsid w:val="008452C0"/>
    <w:rsid w:val="00845B38"/>
    <w:rsid w:val="00845FEB"/>
    <w:rsid w:val="008464F0"/>
    <w:rsid w:val="0084664E"/>
    <w:rsid w:val="00846A63"/>
    <w:rsid w:val="00846E1A"/>
    <w:rsid w:val="008470F9"/>
    <w:rsid w:val="008478B5"/>
    <w:rsid w:val="00847C97"/>
    <w:rsid w:val="008502B9"/>
    <w:rsid w:val="008503FE"/>
    <w:rsid w:val="008508DC"/>
    <w:rsid w:val="00850D90"/>
    <w:rsid w:val="008515F8"/>
    <w:rsid w:val="008527CC"/>
    <w:rsid w:val="00852CB0"/>
    <w:rsid w:val="00853F4E"/>
    <w:rsid w:val="00854029"/>
    <w:rsid w:val="0085458F"/>
    <w:rsid w:val="00854B04"/>
    <w:rsid w:val="00854EDF"/>
    <w:rsid w:val="00854FB9"/>
    <w:rsid w:val="008553BC"/>
    <w:rsid w:val="00855730"/>
    <w:rsid w:val="008557D3"/>
    <w:rsid w:val="00855856"/>
    <w:rsid w:val="00855F0F"/>
    <w:rsid w:val="008565D8"/>
    <w:rsid w:val="0085686E"/>
    <w:rsid w:val="00857703"/>
    <w:rsid w:val="00857831"/>
    <w:rsid w:val="00857EBF"/>
    <w:rsid w:val="008600B9"/>
    <w:rsid w:val="008605F8"/>
    <w:rsid w:val="00860CE9"/>
    <w:rsid w:val="00861610"/>
    <w:rsid w:val="00861B32"/>
    <w:rsid w:val="008625DB"/>
    <w:rsid w:val="008628C3"/>
    <w:rsid w:val="0086329B"/>
    <w:rsid w:val="0086352B"/>
    <w:rsid w:val="00863CF7"/>
    <w:rsid w:val="00863F76"/>
    <w:rsid w:val="008642A3"/>
    <w:rsid w:val="008647DA"/>
    <w:rsid w:val="00864BBA"/>
    <w:rsid w:val="00864FFA"/>
    <w:rsid w:val="0086555F"/>
    <w:rsid w:val="00865E93"/>
    <w:rsid w:val="00866033"/>
    <w:rsid w:val="00866AB7"/>
    <w:rsid w:val="00866D6F"/>
    <w:rsid w:val="00866DD4"/>
    <w:rsid w:val="00866F39"/>
    <w:rsid w:val="008671A5"/>
    <w:rsid w:val="0086721E"/>
    <w:rsid w:val="008674DF"/>
    <w:rsid w:val="0086755E"/>
    <w:rsid w:val="00867CB9"/>
    <w:rsid w:val="00867DAB"/>
    <w:rsid w:val="008701C7"/>
    <w:rsid w:val="008701FE"/>
    <w:rsid w:val="008702D0"/>
    <w:rsid w:val="008705AC"/>
    <w:rsid w:val="008709B6"/>
    <w:rsid w:val="00870B2A"/>
    <w:rsid w:val="00871DA2"/>
    <w:rsid w:val="00871DFE"/>
    <w:rsid w:val="0087232D"/>
    <w:rsid w:val="008723FE"/>
    <w:rsid w:val="00872854"/>
    <w:rsid w:val="008730D9"/>
    <w:rsid w:val="0087347E"/>
    <w:rsid w:val="00873CA9"/>
    <w:rsid w:val="00874051"/>
    <w:rsid w:val="00874A60"/>
    <w:rsid w:val="00874D83"/>
    <w:rsid w:val="00874F71"/>
    <w:rsid w:val="00875A94"/>
    <w:rsid w:val="00875AF7"/>
    <w:rsid w:val="00875B2E"/>
    <w:rsid w:val="00876545"/>
    <w:rsid w:val="00877672"/>
    <w:rsid w:val="00877F43"/>
    <w:rsid w:val="00880508"/>
    <w:rsid w:val="00880B15"/>
    <w:rsid w:val="00880B54"/>
    <w:rsid w:val="00880C7D"/>
    <w:rsid w:val="00880D55"/>
    <w:rsid w:val="00881276"/>
    <w:rsid w:val="00881298"/>
    <w:rsid w:val="00881AB5"/>
    <w:rsid w:val="0088257B"/>
    <w:rsid w:val="00882709"/>
    <w:rsid w:val="00882E2B"/>
    <w:rsid w:val="00882E94"/>
    <w:rsid w:val="008847CD"/>
    <w:rsid w:val="00885044"/>
    <w:rsid w:val="008857BE"/>
    <w:rsid w:val="00885C47"/>
    <w:rsid w:val="00885D14"/>
    <w:rsid w:val="00886171"/>
    <w:rsid w:val="00886A12"/>
    <w:rsid w:val="00887172"/>
    <w:rsid w:val="00887705"/>
    <w:rsid w:val="0088773A"/>
    <w:rsid w:val="0089000D"/>
    <w:rsid w:val="008906B9"/>
    <w:rsid w:val="0089089A"/>
    <w:rsid w:val="008915C3"/>
    <w:rsid w:val="00892DD1"/>
    <w:rsid w:val="008931B2"/>
    <w:rsid w:val="00893280"/>
    <w:rsid w:val="008934A2"/>
    <w:rsid w:val="008948FC"/>
    <w:rsid w:val="00894CC0"/>
    <w:rsid w:val="00894D24"/>
    <w:rsid w:val="00895198"/>
    <w:rsid w:val="0089579A"/>
    <w:rsid w:val="00895E43"/>
    <w:rsid w:val="00896ECD"/>
    <w:rsid w:val="00897353"/>
    <w:rsid w:val="00897B17"/>
    <w:rsid w:val="00897C4D"/>
    <w:rsid w:val="008A0958"/>
    <w:rsid w:val="008A0CE9"/>
    <w:rsid w:val="008A10DD"/>
    <w:rsid w:val="008A162C"/>
    <w:rsid w:val="008A18CC"/>
    <w:rsid w:val="008A2156"/>
    <w:rsid w:val="008A2CA5"/>
    <w:rsid w:val="008A301E"/>
    <w:rsid w:val="008A34FF"/>
    <w:rsid w:val="008A368B"/>
    <w:rsid w:val="008A3F89"/>
    <w:rsid w:val="008A41EA"/>
    <w:rsid w:val="008A48EC"/>
    <w:rsid w:val="008A6174"/>
    <w:rsid w:val="008A61A1"/>
    <w:rsid w:val="008A65D0"/>
    <w:rsid w:val="008A6C91"/>
    <w:rsid w:val="008A71DF"/>
    <w:rsid w:val="008A7444"/>
    <w:rsid w:val="008A76BA"/>
    <w:rsid w:val="008A7802"/>
    <w:rsid w:val="008A78FC"/>
    <w:rsid w:val="008A7ECB"/>
    <w:rsid w:val="008B027B"/>
    <w:rsid w:val="008B06B6"/>
    <w:rsid w:val="008B07B6"/>
    <w:rsid w:val="008B08E8"/>
    <w:rsid w:val="008B12C9"/>
    <w:rsid w:val="008B16E9"/>
    <w:rsid w:val="008B1ECE"/>
    <w:rsid w:val="008B2788"/>
    <w:rsid w:val="008B2915"/>
    <w:rsid w:val="008B2EFE"/>
    <w:rsid w:val="008B2F07"/>
    <w:rsid w:val="008B3033"/>
    <w:rsid w:val="008B3425"/>
    <w:rsid w:val="008B3B9A"/>
    <w:rsid w:val="008B435D"/>
    <w:rsid w:val="008B436A"/>
    <w:rsid w:val="008B43B7"/>
    <w:rsid w:val="008B43E1"/>
    <w:rsid w:val="008B4668"/>
    <w:rsid w:val="008B4C28"/>
    <w:rsid w:val="008B4E36"/>
    <w:rsid w:val="008B5C29"/>
    <w:rsid w:val="008B6D5F"/>
    <w:rsid w:val="008B6FD2"/>
    <w:rsid w:val="008B70F7"/>
    <w:rsid w:val="008B7BA9"/>
    <w:rsid w:val="008C02E1"/>
    <w:rsid w:val="008C0333"/>
    <w:rsid w:val="008C0979"/>
    <w:rsid w:val="008C0A03"/>
    <w:rsid w:val="008C1374"/>
    <w:rsid w:val="008C28E0"/>
    <w:rsid w:val="008C2BFB"/>
    <w:rsid w:val="008C33A1"/>
    <w:rsid w:val="008C3530"/>
    <w:rsid w:val="008C35AD"/>
    <w:rsid w:val="008C46FD"/>
    <w:rsid w:val="008C4A7D"/>
    <w:rsid w:val="008C51C0"/>
    <w:rsid w:val="008C5DBB"/>
    <w:rsid w:val="008C6990"/>
    <w:rsid w:val="008C77B7"/>
    <w:rsid w:val="008C7A30"/>
    <w:rsid w:val="008C7D56"/>
    <w:rsid w:val="008C7D93"/>
    <w:rsid w:val="008C7DAB"/>
    <w:rsid w:val="008D09CA"/>
    <w:rsid w:val="008D11D6"/>
    <w:rsid w:val="008D156A"/>
    <w:rsid w:val="008D1E44"/>
    <w:rsid w:val="008D20B5"/>
    <w:rsid w:val="008D2707"/>
    <w:rsid w:val="008D33BA"/>
    <w:rsid w:val="008D3545"/>
    <w:rsid w:val="008D3642"/>
    <w:rsid w:val="008D3C47"/>
    <w:rsid w:val="008D4602"/>
    <w:rsid w:val="008D47BD"/>
    <w:rsid w:val="008D4FC2"/>
    <w:rsid w:val="008D5153"/>
    <w:rsid w:val="008D6344"/>
    <w:rsid w:val="008D6A84"/>
    <w:rsid w:val="008D7017"/>
    <w:rsid w:val="008D757F"/>
    <w:rsid w:val="008D7926"/>
    <w:rsid w:val="008D7983"/>
    <w:rsid w:val="008D7DA7"/>
    <w:rsid w:val="008E029B"/>
    <w:rsid w:val="008E036E"/>
    <w:rsid w:val="008E1250"/>
    <w:rsid w:val="008E12BB"/>
    <w:rsid w:val="008E148E"/>
    <w:rsid w:val="008E201A"/>
    <w:rsid w:val="008E203A"/>
    <w:rsid w:val="008E23D6"/>
    <w:rsid w:val="008E311A"/>
    <w:rsid w:val="008E32C4"/>
    <w:rsid w:val="008E46D9"/>
    <w:rsid w:val="008E52F0"/>
    <w:rsid w:val="008E5465"/>
    <w:rsid w:val="008E623D"/>
    <w:rsid w:val="008E6377"/>
    <w:rsid w:val="008E71DA"/>
    <w:rsid w:val="008E75B9"/>
    <w:rsid w:val="008E766E"/>
    <w:rsid w:val="008E77F0"/>
    <w:rsid w:val="008E78C6"/>
    <w:rsid w:val="008E79A1"/>
    <w:rsid w:val="008F0181"/>
    <w:rsid w:val="008F0A0E"/>
    <w:rsid w:val="008F0A29"/>
    <w:rsid w:val="008F1241"/>
    <w:rsid w:val="008F1846"/>
    <w:rsid w:val="008F30BD"/>
    <w:rsid w:val="008F388B"/>
    <w:rsid w:val="008F39D2"/>
    <w:rsid w:val="008F3B15"/>
    <w:rsid w:val="008F3D48"/>
    <w:rsid w:val="008F42E0"/>
    <w:rsid w:val="008F4892"/>
    <w:rsid w:val="008F49ED"/>
    <w:rsid w:val="008F5919"/>
    <w:rsid w:val="008F59AF"/>
    <w:rsid w:val="008F5A3D"/>
    <w:rsid w:val="008F5CF9"/>
    <w:rsid w:val="008F6BDB"/>
    <w:rsid w:val="008F703E"/>
    <w:rsid w:val="008F7646"/>
    <w:rsid w:val="008F7FB6"/>
    <w:rsid w:val="00900099"/>
    <w:rsid w:val="009005A5"/>
    <w:rsid w:val="009006E9"/>
    <w:rsid w:val="0090098E"/>
    <w:rsid w:val="00900FEE"/>
    <w:rsid w:val="00901333"/>
    <w:rsid w:val="00901F6F"/>
    <w:rsid w:val="0090276D"/>
    <w:rsid w:val="00903530"/>
    <w:rsid w:val="009035C1"/>
    <w:rsid w:val="00904100"/>
    <w:rsid w:val="00904EC5"/>
    <w:rsid w:val="00905AD3"/>
    <w:rsid w:val="00905DF5"/>
    <w:rsid w:val="0090608E"/>
    <w:rsid w:val="00906AC8"/>
    <w:rsid w:val="00906EB9"/>
    <w:rsid w:val="00910971"/>
    <w:rsid w:val="00910A6A"/>
    <w:rsid w:val="00911979"/>
    <w:rsid w:val="00912842"/>
    <w:rsid w:val="00912DDF"/>
    <w:rsid w:val="00913039"/>
    <w:rsid w:val="00913240"/>
    <w:rsid w:val="00913A89"/>
    <w:rsid w:val="00913D2C"/>
    <w:rsid w:val="00914617"/>
    <w:rsid w:val="009146DD"/>
    <w:rsid w:val="00914EB0"/>
    <w:rsid w:val="0091512F"/>
    <w:rsid w:val="009157B0"/>
    <w:rsid w:val="00915AF8"/>
    <w:rsid w:val="0091602B"/>
    <w:rsid w:val="009161AA"/>
    <w:rsid w:val="009167F2"/>
    <w:rsid w:val="0091709C"/>
    <w:rsid w:val="00917160"/>
    <w:rsid w:val="009203D2"/>
    <w:rsid w:val="00920454"/>
    <w:rsid w:val="00920EF3"/>
    <w:rsid w:val="009212BC"/>
    <w:rsid w:val="0092157A"/>
    <w:rsid w:val="00921AA8"/>
    <w:rsid w:val="00921AF6"/>
    <w:rsid w:val="00921B82"/>
    <w:rsid w:val="0092236A"/>
    <w:rsid w:val="00922AE4"/>
    <w:rsid w:val="00922B37"/>
    <w:rsid w:val="00922D0D"/>
    <w:rsid w:val="00922D44"/>
    <w:rsid w:val="00923192"/>
    <w:rsid w:val="00923E70"/>
    <w:rsid w:val="00923EC5"/>
    <w:rsid w:val="00923F6D"/>
    <w:rsid w:val="00923FB0"/>
    <w:rsid w:val="00924D8D"/>
    <w:rsid w:val="00924E05"/>
    <w:rsid w:val="00925283"/>
    <w:rsid w:val="00925313"/>
    <w:rsid w:val="00925B1F"/>
    <w:rsid w:val="00925C98"/>
    <w:rsid w:val="009264EA"/>
    <w:rsid w:val="00926604"/>
    <w:rsid w:val="0092712D"/>
    <w:rsid w:val="00927427"/>
    <w:rsid w:val="009304D0"/>
    <w:rsid w:val="00930CAE"/>
    <w:rsid w:val="00931099"/>
    <w:rsid w:val="00931703"/>
    <w:rsid w:val="0093182E"/>
    <w:rsid w:val="00931EFF"/>
    <w:rsid w:val="0093290B"/>
    <w:rsid w:val="00932A53"/>
    <w:rsid w:val="00932C40"/>
    <w:rsid w:val="00932CE1"/>
    <w:rsid w:val="009331E2"/>
    <w:rsid w:val="009332EC"/>
    <w:rsid w:val="009337A7"/>
    <w:rsid w:val="00933F76"/>
    <w:rsid w:val="00934340"/>
    <w:rsid w:val="00934625"/>
    <w:rsid w:val="00934F13"/>
    <w:rsid w:val="00935696"/>
    <w:rsid w:val="00935959"/>
    <w:rsid w:val="00936FCB"/>
    <w:rsid w:val="0093738E"/>
    <w:rsid w:val="00937850"/>
    <w:rsid w:val="00940008"/>
    <w:rsid w:val="0094082A"/>
    <w:rsid w:val="00941DEC"/>
    <w:rsid w:val="00941E15"/>
    <w:rsid w:val="00942240"/>
    <w:rsid w:val="0094256F"/>
    <w:rsid w:val="0094278E"/>
    <w:rsid w:val="00942882"/>
    <w:rsid w:val="00942B3F"/>
    <w:rsid w:val="00942B96"/>
    <w:rsid w:val="00942DBF"/>
    <w:rsid w:val="009432A2"/>
    <w:rsid w:val="009433E6"/>
    <w:rsid w:val="009436D0"/>
    <w:rsid w:val="00943F37"/>
    <w:rsid w:val="009440E7"/>
    <w:rsid w:val="00944D8E"/>
    <w:rsid w:val="00945054"/>
    <w:rsid w:val="009460B9"/>
    <w:rsid w:val="00946B2B"/>
    <w:rsid w:val="00946EB1"/>
    <w:rsid w:val="00947584"/>
    <w:rsid w:val="0094769A"/>
    <w:rsid w:val="009479CF"/>
    <w:rsid w:val="00950BD3"/>
    <w:rsid w:val="00950E65"/>
    <w:rsid w:val="0095151A"/>
    <w:rsid w:val="00951871"/>
    <w:rsid w:val="009518D9"/>
    <w:rsid w:val="00952855"/>
    <w:rsid w:val="00953F66"/>
    <w:rsid w:val="00953FCE"/>
    <w:rsid w:val="009549B7"/>
    <w:rsid w:val="00954DAA"/>
    <w:rsid w:val="0095505F"/>
    <w:rsid w:val="009552A0"/>
    <w:rsid w:val="00955825"/>
    <w:rsid w:val="009558A6"/>
    <w:rsid w:val="009559B0"/>
    <w:rsid w:val="00955A5E"/>
    <w:rsid w:val="00955CA5"/>
    <w:rsid w:val="00956512"/>
    <w:rsid w:val="0095658B"/>
    <w:rsid w:val="009568FC"/>
    <w:rsid w:val="00956BDE"/>
    <w:rsid w:val="0095700F"/>
    <w:rsid w:val="00957224"/>
    <w:rsid w:val="00957A14"/>
    <w:rsid w:val="00957B1B"/>
    <w:rsid w:val="00957E24"/>
    <w:rsid w:val="0096025E"/>
    <w:rsid w:val="009605A8"/>
    <w:rsid w:val="009605E4"/>
    <w:rsid w:val="00960724"/>
    <w:rsid w:val="00960CA4"/>
    <w:rsid w:val="00961469"/>
    <w:rsid w:val="00961A13"/>
    <w:rsid w:val="0096225A"/>
    <w:rsid w:val="0096291E"/>
    <w:rsid w:val="0096313E"/>
    <w:rsid w:val="00964349"/>
    <w:rsid w:val="00965323"/>
    <w:rsid w:val="00965344"/>
    <w:rsid w:val="00965853"/>
    <w:rsid w:val="0096589A"/>
    <w:rsid w:val="00966EC4"/>
    <w:rsid w:val="00966F75"/>
    <w:rsid w:val="00967CEE"/>
    <w:rsid w:val="00967D73"/>
    <w:rsid w:val="00967EEA"/>
    <w:rsid w:val="00967FAB"/>
    <w:rsid w:val="0096E4F8"/>
    <w:rsid w:val="009716C8"/>
    <w:rsid w:val="00972AB1"/>
    <w:rsid w:val="00972D84"/>
    <w:rsid w:val="00972ECE"/>
    <w:rsid w:val="00972F70"/>
    <w:rsid w:val="00973D8E"/>
    <w:rsid w:val="00974E1E"/>
    <w:rsid w:val="009754DE"/>
    <w:rsid w:val="00975A5E"/>
    <w:rsid w:val="00975BFD"/>
    <w:rsid w:val="00975CAD"/>
    <w:rsid w:val="0097614D"/>
    <w:rsid w:val="0097680A"/>
    <w:rsid w:val="00976FB3"/>
    <w:rsid w:val="009778BE"/>
    <w:rsid w:val="00977D75"/>
    <w:rsid w:val="00980066"/>
    <w:rsid w:val="00980CDC"/>
    <w:rsid w:val="009811A9"/>
    <w:rsid w:val="00981D9E"/>
    <w:rsid w:val="00982734"/>
    <w:rsid w:val="00982789"/>
    <w:rsid w:val="0098283D"/>
    <w:rsid w:val="00982CE4"/>
    <w:rsid w:val="00982D26"/>
    <w:rsid w:val="00983123"/>
    <w:rsid w:val="00984015"/>
    <w:rsid w:val="00984AE4"/>
    <w:rsid w:val="00984E15"/>
    <w:rsid w:val="00984FFF"/>
    <w:rsid w:val="0098525A"/>
    <w:rsid w:val="009856FB"/>
    <w:rsid w:val="009859D5"/>
    <w:rsid w:val="009859FD"/>
    <w:rsid w:val="00986412"/>
    <w:rsid w:val="009874F3"/>
    <w:rsid w:val="00987F38"/>
    <w:rsid w:val="00990939"/>
    <w:rsid w:val="00990B51"/>
    <w:rsid w:val="00990DE7"/>
    <w:rsid w:val="00990E04"/>
    <w:rsid w:val="00991797"/>
    <w:rsid w:val="00991811"/>
    <w:rsid w:val="0099184C"/>
    <w:rsid w:val="009919F1"/>
    <w:rsid w:val="00991F75"/>
    <w:rsid w:val="00992051"/>
    <w:rsid w:val="009929B9"/>
    <w:rsid w:val="009937C1"/>
    <w:rsid w:val="00993CCF"/>
    <w:rsid w:val="009942D4"/>
    <w:rsid w:val="00994375"/>
    <w:rsid w:val="009943DA"/>
    <w:rsid w:val="00994D17"/>
    <w:rsid w:val="00995351"/>
    <w:rsid w:val="009959D9"/>
    <w:rsid w:val="009960FD"/>
    <w:rsid w:val="0099617F"/>
    <w:rsid w:val="00996928"/>
    <w:rsid w:val="00996A33"/>
    <w:rsid w:val="009975E5"/>
    <w:rsid w:val="00997A56"/>
    <w:rsid w:val="009A0182"/>
    <w:rsid w:val="009A10E8"/>
    <w:rsid w:val="009A114C"/>
    <w:rsid w:val="009A1380"/>
    <w:rsid w:val="009A1ACE"/>
    <w:rsid w:val="009A1D29"/>
    <w:rsid w:val="009A21DE"/>
    <w:rsid w:val="009A2274"/>
    <w:rsid w:val="009A233F"/>
    <w:rsid w:val="009A31C2"/>
    <w:rsid w:val="009A3D88"/>
    <w:rsid w:val="009A3FCF"/>
    <w:rsid w:val="009A4CBF"/>
    <w:rsid w:val="009A4F7A"/>
    <w:rsid w:val="009A5267"/>
    <w:rsid w:val="009A528A"/>
    <w:rsid w:val="009A57E7"/>
    <w:rsid w:val="009A5A81"/>
    <w:rsid w:val="009A5FC2"/>
    <w:rsid w:val="009A6068"/>
    <w:rsid w:val="009A61C0"/>
    <w:rsid w:val="009A63DB"/>
    <w:rsid w:val="009A66E6"/>
    <w:rsid w:val="009A6D3D"/>
    <w:rsid w:val="009A77C3"/>
    <w:rsid w:val="009A7A13"/>
    <w:rsid w:val="009A7CFC"/>
    <w:rsid w:val="009A7DAE"/>
    <w:rsid w:val="009A7DEF"/>
    <w:rsid w:val="009B2666"/>
    <w:rsid w:val="009B3517"/>
    <w:rsid w:val="009B37E9"/>
    <w:rsid w:val="009B45FB"/>
    <w:rsid w:val="009B4FCD"/>
    <w:rsid w:val="009B5346"/>
    <w:rsid w:val="009B56A7"/>
    <w:rsid w:val="009B628B"/>
    <w:rsid w:val="009B6641"/>
    <w:rsid w:val="009B6B15"/>
    <w:rsid w:val="009B6CAF"/>
    <w:rsid w:val="009B6CC8"/>
    <w:rsid w:val="009B73A4"/>
    <w:rsid w:val="009B7ABB"/>
    <w:rsid w:val="009B7C21"/>
    <w:rsid w:val="009B7D40"/>
    <w:rsid w:val="009B7FAB"/>
    <w:rsid w:val="009B7FB2"/>
    <w:rsid w:val="009C018C"/>
    <w:rsid w:val="009C03BD"/>
    <w:rsid w:val="009C05AB"/>
    <w:rsid w:val="009C0766"/>
    <w:rsid w:val="009C129A"/>
    <w:rsid w:val="009C165F"/>
    <w:rsid w:val="009C19E9"/>
    <w:rsid w:val="009C1C2C"/>
    <w:rsid w:val="009C1EA3"/>
    <w:rsid w:val="009C22EB"/>
    <w:rsid w:val="009C2417"/>
    <w:rsid w:val="009C3051"/>
    <w:rsid w:val="009C3187"/>
    <w:rsid w:val="009C34A4"/>
    <w:rsid w:val="009C3992"/>
    <w:rsid w:val="009C3BEA"/>
    <w:rsid w:val="009C4481"/>
    <w:rsid w:val="009C491D"/>
    <w:rsid w:val="009C4BE8"/>
    <w:rsid w:val="009C5952"/>
    <w:rsid w:val="009C71F7"/>
    <w:rsid w:val="009C7556"/>
    <w:rsid w:val="009C759B"/>
    <w:rsid w:val="009C7AC2"/>
    <w:rsid w:val="009C7D71"/>
    <w:rsid w:val="009C7D9A"/>
    <w:rsid w:val="009C7EF8"/>
    <w:rsid w:val="009C7FEA"/>
    <w:rsid w:val="009D0A2E"/>
    <w:rsid w:val="009D0A68"/>
    <w:rsid w:val="009D0C57"/>
    <w:rsid w:val="009D192D"/>
    <w:rsid w:val="009D2595"/>
    <w:rsid w:val="009D2D3E"/>
    <w:rsid w:val="009D3C4E"/>
    <w:rsid w:val="009D3E94"/>
    <w:rsid w:val="009D4043"/>
    <w:rsid w:val="009D40DB"/>
    <w:rsid w:val="009D4477"/>
    <w:rsid w:val="009D4565"/>
    <w:rsid w:val="009D4A82"/>
    <w:rsid w:val="009D4DF8"/>
    <w:rsid w:val="009D56B2"/>
    <w:rsid w:val="009D578F"/>
    <w:rsid w:val="009D57F7"/>
    <w:rsid w:val="009D57FC"/>
    <w:rsid w:val="009D5BA3"/>
    <w:rsid w:val="009D6704"/>
    <w:rsid w:val="009D6BA1"/>
    <w:rsid w:val="009D7125"/>
    <w:rsid w:val="009D714A"/>
    <w:rsid w:val="009E00FC"/>
    <w:rsid w:val="009E109E"/>
    <w:rsid w:val="009E16E3"/>
    <w:rsid w:val="009E21D7"/>
    <w:rsid w:val="009E24E7"/>
    <w:rsid w:val="009E2D51"/>
    <w:rsid w:val="009E2DC6"/>
    <w:rsid w:val="009E4848"/>
    <w:rsid w:val="009E5089"/>
    <w:rsid w:val="009E54E2"/>
    <w:rsid w:val="009E5AF1"/>
    <w:rsid w:val="009E64C4"/>
    <w:rsid w:val="009E6A2B"/>
    <w:rsid w:val="009E7236"/>
    <w:rsid w:val="009F08CB"/>
    <w:rsid w:val="009F08EC"/>
    <w:rsid w:val="009F0A9B"/>
    <w:rsid w:val="009F1D78"/>
    <w:rsid w:val="009F1DDC"/>
    <w:rsid w:val="009F2030"/>
    <w:rsid w:val="009F20FA"/>
    <w:rsid w:val="009F230E"/>
    <w:rsid w:val="009F26F3"/>
    <w:rsid w:val="009F3373"/>
    <w:rsid w:val="009F371A"/>
    <w:rsid w:val="009F45C0"/>
    <w:rsid w:val="009F4829"/>
    <w:rsid w:val="009F4A80"/>
    <w:rsid w:val="009F58C0"/>
    <w:rsid w:val="009F5D59"/>
    <w:rsid w:val="009F6742"/>
    <w:rsid w:val="009F67EF"/>
    <w:rsid w:val="009F6AE6"/>
    <w:rsid w:val="009F6EFB"/>
    <w:rsid w:val="00A002FC"/>
    <w:rsid w:val="00A00301"/>
    <w:rsid w:val="00A0052D"/>
    <w:rsid w:val="00A00B19"/>
    <w:rsid w:val="00A00CB6"/>
    <w:rsid w:val="00A00E5A"/>
    <w:rsid w:val="00A01712"/>
    <w:rsid w:val="00A01908"/>
    <w:rsid w:val="00A02367"/>
    <w:rsid w:val="00A026AA"/>
    <w:rsid w:val="00A0284C"/>
    <w:rsid w:val="00A028DF"/>
    <w:rsid w:val="00A02E9A"/>
    <w:rsid w:val="00A02FED"/>
    <w:rsid w:val="00A03518"/>
    <w:rsid w:val="00A04578"/>
    <w:rsid w:val="00A05D13"/>
    <w:rsid w:val="00A060CA"/>
    <w:rsid w:val="00A06C0C"/>
    <w:rsid w:val="00A074E5"/>
    <w:rsid w:val="00A07C16"/>
    <w:rsid w:val="00A10ECB"/>
    <w:rsid w:val="00A11432"/>
    <w:rsid w:val="00A114A7"/>
    <w:rsid w:val="00A119C9"/>
    <w:rsid w:val="00A11BF0"/>
    <w:rsid w:val="00A1266A"/>
    <w:rsid w:val="00A12BDA"/>
    <w:rsid w:val="00A12F89"/>
    <w:rsid w:val="00A13580"/>
    <w:rsid w:val="00A13F1E"/>
    <w:rsid w:val="00A13F5F"/>
    <w:rsid w:val="00A141CB"/>
    <w:rsid w:val="00A145E0"/>
    <w:rsid w:val="00A1483A"/>
    <w:rsid w:val="00A14A9C"/>
    <w:rsid w:val="00A1505F"/>
    <w:rsid w:val="00A151B8"/>
    <w:rsid w:val="00A15BC9"/>
    <w:rsid w:val="00A15C4E"/>
    <w:rsid w:val="00A163AE"/>
    <w:rsid w:val="00A16427"/>
    <w:rsid w:val="00A168E5"/>
    <w:rsid w:val="00A20E96"/>
    <w:rsid w:val="00A21C8A"/>
    <w:rsid w:val="00A21E4A"/>
    <w:rsid w:val="00A22803"/>
    <w:rsid w:val="00A233A7"/>
    <w:rsid w:val="00A234CB"/>
    <w:rsid w:val="00A24081"/>
    <w:rsid w:val="00A24139"/>
    <w:rsid w:val="00A24826"/>
    <w:rsid w:val="00A25973"/>
    <w:rsid w:val="00A26A04"/>
    <w:rsid w:val="00A26B7C"/>
    <w:rsid w:val="00A26DC8"/>
    <w:rsid w:val="00A27437"/>
    <w:rsid w:val="00A279BB"/>
    <w:rsid w:val="00A27F4E"/>
    <w:rsid w:val="00A308F2"/>
    <w:rsid w:val="00A309AC"/>
    <w:rsid w:val="00A31585"/>
    <w:rsid w:val="00A31B5B"/>
    <w:rsid w:val="00A31DA4"/>
    <w:rsid w:val="00A32449"/>
    <w:rsid w:val="00A32AE0"/>
    <w:rsid w:val="00A32BEC"/>
    <w:rsid w:val="00A331E0"/>
    <w:rsid w:val="00A34119"/>
    <w:rsid w:val="00A34425"/>
    <w:rsid w:val="00A34765"/>
    <w:rsid w:val="00A35210"/>
    <w:rsid w:val="00A36B84"/>
    <w:rsid w:val="00A36E6E"/>
    <w:rsid w:val="00A36F87"/>
    <w:rsid w:val="00A3754A"/>
    <w:rsid w:val="00A37C43"/>
    <w:rsid w:val="00A40201"/>
    <w:rsid w:val="00A404B4"/>
    <w:rsid w:val="00A4105B"/>
    <w:rsid w:val="00A421DA"/>
    <w:rsid w:val="00A422A0"/>
    <w:rsid w:val="00A42509"/>
    <w:rsid w:val="00A42677"/>
    <w:rsid w:val="00A4274C"/>
    <w:rsid w:val="00A42899"/>
    <w:rsid w:val="00A42EA3"/>
    <w:rsid w:val="00A439B5"/>
    <w:rsid w:val="00A4405B"/>
    <w:rsid w:val="00A445E7"/>
    <w:rsid w:val="00A44BD6"/>
    <w:rsid w:val="00A4547A"/>
    <w:rsid w:val="00A4607D"/>
    <w:rsid w:val="00A471A0"/>
    <w:rsid w:val="00A47352"/>
    <w:rsid w:val="00A47574"/>
    <w:rsid w:val="00A47FE1"/>
    <w:rsid w:val="00A50714"/>
    <w:rsid w:val="00A51547"/>
    <w:rsid w:val="00A51882"/>
    <w:rsid w:val="00A5208E"/>
    <w:rsid w:val="00A52BC4"/>
    <w:rsid w:val="00A531C2"/>
    <w:rsid w:val="00A5346A"/>
    <w:rsid w:val="00A53C4F"/>
    <w:rsid w:val="00A53FAC"/>
    <w:rsid w:val="00A53FB5"/>
    <w:rsid w:val="00A54169"/>
    <w:rsid w:val="00A5425D"/>
    <w:rsid w:val="00A544CF"/>
    <w:rsid w:val="00A554E3"/>
    <w:rsid w:val="00A558B8"/>
    <w:rsid w:val="00A56C3C"/>
    <w:rsid w:val="00A56CB7"/>
    <w:rsid w:val="00A5755C"/>
    <w:rsid w:val="00A57A99"/>
    <w:rsid w:val="00A57E03"/>
    <w:rsid w:val="00A600BC"/>
    <w:rsid w:val="00A60846"/>
    <w:rsid w:val="00A609FD"/>
    <w:rsid w:val="00A60CF6"/>
    <w:rsid w:val="00A60F8A"/>
    <w:rsid w:val="00A62538"/>
    <w:rsid w:val="00A6281A"/>
    <w:rsid w:val="00A6329A"/>
    <w:rsid w:val="00A649EC"/>
    <w:rsid w:val="00A65046"/>
    <w:rsid w:val="00A657BC"/>
    <w:rsid w:val="00A65B3C"/>
    <w:rsid w:val="00A65B71"/>
    <w:rsid w:val="00A660AC"/>
    <w:rsid w:val="00A664B7"/>
    <w:rsid w:val="00A66838"/>
    <w:rsid w:val="00A66B41"/>
    <w:rsid w:val="00A67E20"/>
    <w:rsid w:val="00A7143E"/>
    <w:rsid w:val="00A7160F"/>
    <w:rsid w:val="00A71B16"/>
    <w:rsid w:val="00A71E9B"/>
    <w:rsid w:val="00A72692"/>
    <w:rsid w:val="00A7295C"/>
    <w:rsid w:val="00A72F05"/>
    <w:rsid w:val="00A73267"/>
    <w:rsid w:val="00A7330E"/>
    <w:rsid w:val="00A735B7"/>
    <w:rsid w:val="00A736EB"/>
    <w:rsid w:val="00A73707"/>
    <w:rsid w:val="00A73AE2"/>
    <w:rsid w:val="00A73CAA"/>
    <w:rsid w:val="00A74E04"/>
    <w:rsid w:val="00A74F68"/>
    <w:rsid w:val="00A74FA8"/>
    <w:rsid w:val="00A750B9"/>
    <w:rsid w:val="00A751AF"/>
    <w:rsid w:val="00A75888"/>
    <w:rsid w:val="00A764A8"/>
    <w:rsid w:val="00A76660"/>
    <w:rsid w:val="00A7684F"/>
    <w:rsid w:val="00A77106"/>
    <w:rsid w:val="00A77756"/>
    <w:rsid w:val="00A77851"/>
    <w:rsid w:val="00A8000C"/>
    <w:rsid w:val="00A80177"/>
    <w:rsid w:val="00A80CF0"/>
    <w:rsid w:val="00A80F22"/>
    <w:rsid w:val="00A80FF3"/>
    <w:rsid w:val="00A81243"/>
    <w:rsid w:val="00A8155F"/>
    <w:rsid w:val="00A821F4"/>
    <w:rsid w:val="00A824CA"/>
    <w:rsid w:val="00A82B41"/>
    <w:rsid w:val="00A8409C"/>
    <w:rsid w:val="00A84312"/>
    <w:rsid w:val="00A849AB"/>
    <w:rsid w:val="00A85D2C"/>
    <w:rsid w:val="00A85D9E"/>
    <w:rsid w:val="00A85FAB"/>
    <w:rsid w:val="00A90CB5"/>
    <w:rsid w:val="00A90E93"/>
    <w:rsid w:val="00A91258"/>
    <w:rsid w:val="00A9134B"/>
    <w:rsid w:val="00A9135E"/>
    <w:rsid w:val="00A91375"/>
    <w:rsid w:val="00A916AF"/>
    <w:rsid w:val="00A927C2"/>
    <w:rsid w:val="00A92DB7"/>
    <w:rsid w:val="00A92F1F"/>
    <w:rsid w:val="00A93368"/>
    <w:rsid w:val="00A95319"/>
    <w:rsid w:val="00A95B63"/>
    <w:rsid w:val="00A95CF1"/>
    <w:rsid w:val="00A95E73"/>
    <w:rsid w:val="00A95FBC"/>
    <w:rsid w:val="00A96499"/>
    <w:rsid w:val="00A96603"/>
    <w:rsid w:val="00A97176"/>
    <w:rsid w:val="00A972C5"/>
    <w:rsid w:val="00A97719"/>
    <w:rsid w:val="00A97A84"/>
    <w:rsid w:val="00A97D4E"/>
    <w:rsid w:val="00A97F36"/>
    <w:rsid w:val="00AA0627"/>
    <w:rsid w:val="00AA0F7C"/>
    <w:rsid w:val="00AA1AB9"/>
    <w:rsid w:val="00AA2C48"/>
    <w:rsid w:val="00AA3312"/>
    <w:rsid w:val="00AA3B8D"/>
    <w:rsid w:val="00AA477B"/>
    <w:rsid w:val="00AA4A55"/>
    <w:rsid w:val="00AA5869"/>
    <w:rsid w:val="00AA59E4"/>
    <w:rsid w:val="00AA6764"/>
    <w:rsid w:val="00AA67C7"/>
    <w:rsid w:val="00AA6C78"/>
    <w:rsid w:val="00AA7104"/>
    <w:rsid w:val="00AA731E"/>
    <w:rsid w:val="00AA7820"/>
    <w:rsid w:val="00AA7AC0"/>
    <w:rsid w:val="00AA7AF3"/>
    <w:rsid w:val="00AA7B44"/>
    <w:rsid w:val="00AA7C0A"/>
    <w:rsid w:val="00AA7F99"/>
    <w:rsid w:val="00AB06DD"/>
    <w:rsid w:val="00AB0C64"/>
    <w:rsid w:val="00AB0EC6"/>
    <w:rsid w:val="00AB11A4"/>
    <w:rsid w:val="00AB151D"/>
    <w:rsid w:val="00AB1A56"/>
    <w:rsid w:val="00AB1D58"/>
    <w:rsid w:val="00AB1E1D"/>
    <w:rsid w:val="00AB32AC"/>
    <w:rsid w:val="00AB3875"/>
    <w:rsid w:val="00AB3F94"/>
    <w:rsid w:val="00AB461D"/>
    <w:rsid w:val="00AB464E"/>
    <w:rsid w:val="00AB4756"/>
    <w:rsid w:val="00AB48AD"/>
    <w:rsid w:val="00AB532A"/>
    <w:rsid w:val="00AB547D"/>
    <w:rsid w:val="00AB55F2"/>
    <w:rsid w:val="00AB7224"/>
    <w:rsid w:val="00AB795F"/>
    <w:rsid w:val="00AC0A82"/>
    <w:rsid w:val="00AC0E68"/>
    <w:rsid w:val="00AC15E4"/>
    <w:rsid w:val="00AC1A23"/>
    <w:rsid w:val="00AC223F"/>
    <w:rsid w:val="00AC22C4"/>
    <w:rsid w:val="00AC29EC"/>
    <w:rsid w:val="00AC2C88"/>
    <w:rsid w:val="00AC3388"/>
    <w:rsid w:val="00AC47BE"/>
    <w:rsid w:val="00AC4D79"/>
    <w:rsid w:val="00AC4EA8"/>
    <w:rsid w:val="00AC5160"/>
    <w:rsid w:val="00AC54A9"/>
    <w:rsid w:val="00AC5A85"/>
    <w:rsid w:val="00AC6948"/>
    <w:rsid w:val="00AC6A98"/>
    <w:rsid w:val="00AC6D87"/>
    <w:rsid w:val="00AC7294"/>
    <w:rsid w:val="00AC7503"/>
    <w:rsid w:val="00AC7B4A"/>
    <w:rsid w:val="00AC7CFD"/>
    <w:rsid w:val="00AD05D4"/>
    <w:rsid w:val="00AD0C35"/>
    <w:rsid w:val="00AD19BB"/>
    <w:rsid w:val="00AD1A7A"/>
    <w:rsid w:val="00AD2364"/>
    <w:rsid w:val="00AD265B"/>
    <w:rsid w:val="00AD26A9"/>
    <w:rsid w:val="00AD29FF"/>
    <w:rsid w:val="00AD2B8B"/>
    <w:rsid w:val="00AD2C50"/>
    <w:rsid w:val="00AD2CC9"/>
    <w:rsid w:val="00AD2E1E"/>
    <w:rsid w:val="00AD3505"/>
    <w:rsid w:val="00AD3686"/>
    <w:rsid w:val="00AD3DDA"/>
    <w:rsid w:val="00AD40BA"/>
    <w:rsid w:val="00AD42AA"/>
    <w:rsid w:val="00AD4382"/>
    <w:rsid w:val="00AD47FC"/>
    <w:rsid w:val="00AD5A95"/>
    <w:rsid w:val="00AD5E6F"/>
    <w:rsid w:val="00AD60F2"/>
    <w:rsid w:val="00AD61F3"/>
    <w:rsid w:val="00AD7BD5"/>
    <w:rsid w:val="00AD7EE8"/>
    <w:rsid w:val="00AE055C"/>
    <w:rsid w:val="00AE0659"/>
    <w:rsid w:val="00AE088B"/>
    <w:rsid w:val="00AE0EF6"/>
    <w:rsid w:val="00AE1144"/>
    <w:rsid w:val="00AE1369"/>
    <w:rsid w:val="00AE143E"/>
    <w:rsid w:val="00AE1C16"/>
    <w:rsid w:val="00AE1DFC"/>
    <w:rsid w:val="00AE2314"/>
    <w:rsid w:val="00AE344E"/>
    <w:rsid w:val="00AE3EC1"/>
    <w:rsid w:val="00AE44B7"/>
    <w:rsid w:val="00AE464A"/>
    <w:rsid w:val="00AE4989"/>
    <w:rsid w:val="00AE49CC"/>
    <w:rsid w:val="00AE51B5"/>
    <w:rsid w:val="00AE58DA"/>
    <w:rsid w:val="00AE5D6B"/>
    <w:rsid w:val="00AE6494"/>
    <w:rsid w:val="00AE6F6F"/>
    <w:rsid w:val="00AE6F7E"/>
    <w:rsid w:val="00AE711A"/>
    <w:rsid w:val="00AE732D"/>
    <w:rsid w:val="00AE7377"/>
    <w:rsid w:val="00AE7404"/>
    <w:rsid w:val="00AE77AF"/>
    <w:rsid w:val="00AE7953"/>
    <w:rsid w:val="00AF0217"/>
    <w:rsid w:val="00AF08CC"/>
    <w:rsid w:val="00AF1374"/>
    <w:rsid w:val="00AF175A"/>
    <w:rsid w:val="00AF19A2"/>
    <w:rsid w:val="00AF1A8B"/>
    <w:rsid w:val="00AF1E79"/>
    <w:rsid w:val="00AF2020"/>
    <w:rsid w:val="00AF2C4C"/>
    <w:rsid w:val="00AF2CEF"/>
    <w:rsid w:val="00AF34B7"/>
    <w:rsid w:val="00AF3856"/>
    <w:rsid w:val="00AF3B65"/>
    <w:rsid w:val="00AF3C4C"/>
    <w:rsid w:val="00AF404A"/>
    <w:rsid w:val="00AF4294"/>
    <w:rsid w:val="00AF4827"/>
    <w:rsid w:val="00AF49AC"/>
    <w:rsid w:val="00AF4A48"/>
    <w:rsid w:val="00AF4A8D"/>
    <w:rsid w:val="00AF4F9E"/>
    <w:rsid w:val="00AF56D6"/>
    <w:rsid w:val="00AF5A0F"/>
    <w:rsid w:val="00AF7195"/>
    <w:rsid w:val="00AF75E9"/>
    <w:rsid w:val="00AF7653"/>
    <w:rsid w:val="00AF7AFB"/>
    <w:rsid w:val="00B001C8"/>
    <w:rsid w:val="00B00327"/>
    <w:rsid w:val="00B0035A"/>
    <w:rsid w:val="00B00A54"/>
    <w:rsid w:val="00B011A0"/>
    <w:rsid w:val="00B0136A"/>
    <w:rsid w:val="00B014CC"/>
    <w:rsid w:val="00B021F7"/>
    <w:rsid w:val="00B027B0"/>
    <w:rsid w:val="00B02AAE"/>
    <w:rsid w:val="00B02D18"/>
    <w:rsid w:val="00B02FEE"/>
    <w:rsid w:val="00B03075"/>
    <w:rsid w:val="00B0322B"/>
    <w:rsid w:val="00B03314"/>
    <w:rsid w:val="00B03EE5"/>
    <w:rsid w:val="00B05527"/>
    <w:rsid w:val="00B059A9"/>
    <w:rsid w:val="00B05BC3"/>
    <w:rsid w:val="00B0600C"/>
    <w:rsid w:val="00B06C46"/>
    <w:rsid w:val="00B06D41"/>
    <w:rsid w:val="00B06E4F"/>
    <w:rsid w:val="00B076DF"/>
    <w:rsid w:val="00B077D4"/>
    <w:rsid w:val="00B078AE"/>
    <w:rsid w:val="00B07FB3"/>
    <w:rsid w:val="00B1009D"/>
    <w:rsid w:val="00B10AD9"/>
    <w:rsid w:val="00B10C0C"/>
    <w:rsid w:val="00B10E23"/>
    <w:rsid w:val="00B112C2"/>
    <w:rsid w:val="00B11372"/>
    <w:rsid w:val="00B116B1"/>
    <w:rsid w:val="00B11812"/>
    <w:rsid w:val="00B11EC4"/>
    <w:rsid w:val="00B1288E"/>
    <w:rsid w:val="00B13245"/>
    <w:rsid w:val="00B13322"/>
    <w:rsid w:val="00B134E6"/>
    <w:rsid w:val="00B13843"/>
    <w:rsid w:val="00B1417E"/>
    <w:rsid w:val="00B145BA"/>
    <w:rsid w:val="00B14C18"/>
    <w:rsid w:val="00B1511C"/>
    <w:rsid w:val="00B15813"/>
    <w:rsid w:val="00B163AB"/>
    <w:rsid w:val="00B164E8"/>
    <w:rsid w:val="00B16874"/>
    <w:rsid w:val="00B16B70"/>
    <w:rsid w:val="00B172F4"/>
    <w:rsid w:val="00B176C1"/>
    <w:rsid w:val="00B177B3"/>
    <w:rsid w:val="00B17C2A"/>
    <w:rsid w:val="00B17E98"/>
    <w:rsid w:val="00B2068F"/>
    <w:rsid w:val="00B208B2"/>
    <w:rsid w:val="00B20E30"/>
    <w:rsid w:val="00B2130B"/>
    <w:rsid w:val="00B215E2"/>
    <w:rsid w:val="00B2173B"/>
    <w:rsid w:val="00B2180C"/>
    <w:rsid w:val="00B220AD"/>
    <w:rsid w:val="00B23EDE"/>
    <w:rsid w:val="00B23F32"/>
    <w:rsid w:val="00B246C8"/>
    <w:rsid w:val="00B25305"/>
    <w:rsid w:val="00B25515"/>
    <w:rsid w:val="00B25664"/>
    <w:rsid w:val="00B25DA5"/>
    <w:rsid w:val="00B25E90"/>
    <w:rsid w:val="00B25EA9"/>
    <w:rsid w:val="00B260B8"/>
    <w:rsid w:val="00B26DDF"/>
    <w:rsid w:val="00B26F61"/>
    <w:rsid w:val="00B27431"/>
    <w:rsid w:val="00B27AD7"/>
    <w:rsid w:val="00B27EED"/>
    <w:rsid w:val="00B301B8"/>
    <w:rsid w:val="00B309F3"/>
    <w:rsid w:val="00B313DB"/>
    <w:rsid w:val="00B31D23"/>
    <w:rsid w:val="00B31DAC"/>
    <w:rsid w:val="00B3281C"/>
    <w:rsid w:val="00B32DE2"/>
    <w:rsid w:val="00B3343D"/>
    <w:rsid w:val="00B35128"/>
    <w:rsid w:val="00B35278"/>
    <w:rsid w:val="00B3552F"/>
    <w:rsid w:val="00B35756"/>
    <w:rsid w:val="00B359A0"/>
    <w:rsid w:val="00B35A1C"/>
    <w:rsid w:val="00B3666F"/>
    <w:rsid w:val="00B36D7C"/>
    <w:rsid w:val="00B374C9"/>
    <w:rsid w:val="00B3763B"/>
    <w:rsid w:val="00B378C6"/>
    <w:rsid w:val="00B378F8"/>
    <w:rsid w:val="00B37B6D"/>
    <w:rsid w:val="00B37C44"/>
    <w:rsid w:val="00B40677"/>
    <w:rsid w:val="00B406FD"/>
    <w:rsid w:val="00B40CB3"/>
    <w:rsid w:val="00B4168A"/>
    <w:rsid w:val="00B41C69"/>
    <w:rsid w:val="00B43242"/>
    <w:rsid w:val="00B44AA4"/>
    <w:rsid w:val="00B4547C"/>
    <w:rsid w:val="00B45516"/>
    <w:rsid w:val="00B459FA"/>
    <w:rsid w:val="00B45C6C"/>
    <w:rsid w:val="00B465A4"/>
    <w:rsid w:val="00B4747C"/>
    <w:rsid w:val="00B47783"/>
    <w:rsid w:val="00B477A8"/>
    <w:rsid w:val="00B47C53"/>
    <w:rsid w:val="00B50335"/>
    <w:rsid w:val="00B50DC1"/>
    <w:rsid w:val="00B51341"/>
    <w:rsid w:val="00B51536"/>
    <w:rsid w:val="00B51579"/>
    <w:rsid w:val="00B521F9"/>
    <w:rsid w:val="00B52CC6"/>
    <w:rsid w:val="00B531AE"/>
    <w:rsid w:val="00B537BD"/>
    <w:rsid w:val="00B53812"/>
    <w:rsid w:val="00B543A0"/>
    <w:rsid w:val="00B54B11"/>
    <w:rsid w:val="00B54C72"/>
    <w:rsid w:val="00B557E5"/>
    <w:rsid w:val="00B5638F"/>
    <w:rsid w:val="00B56673"/>
    <w:rsid w:val="00B566A0"/>
    <w:rsid w:val="00B569B3"/>
    <w:rsid w:val="00B569B5"/>
    <w:rsid w:val="00B56D64"/>
    <w:rsid w:val="00B56E88"/>
    <w:rsid w:val="00B572CC"/>
    <w:rsid w:val="00B57728"/>
    <w:rsid w:val="00B57852"/>
    <w:rsid w:val="00B60855"/>
    <w:rsid w:val="00B6144E"/>
    <w:rsid w:val="00B61C20"/>
    <w:rsid w:val="00B61EDE"/>
    <w:rsid w:val="00B61F1F"/>
    <w:rsid w:val="00B625B5"/>
    <w:rsid w:val="00B62633"/>
    <w:rsid w:val="00B62DAC"/>
    <w:rsid w:val="00B63310"/>
    <w:rsid w:val="00B63AAF"/>
    <w:rsid w:val="00B643DC"/>
    <w:rsid w:val="00B64E6F"/>
    <w:rsid w:val="00B65646"/>
    <w:rsid w:val="00B65B2D"/>
    <w:rsid w:val="00B660BE"/>
    <w:rsid w:val="00B661C9"/>
    <w:rsid w:val="00B665E6"/>
    <w:rsid w:val="00B66D1E"/>
    <w:rsid w:val="00B66D7D"/>
    <w:rsid w:val="00B66E71"/>
    <w:rsid w:val="00B674DC"/>
    <w:rsid w:val="00B67E5F"/>
    <w:rsid w:val="00B708EB"/>
    <w:rsid w:val="00B70D72"/>
    <w:rsid w:val="00B70F76"/>
    <w:rsid w:val="00B7132B"/>
    <w:rsid w:val="00B71771"/>
    <w:rsid w:val="00B72344"/>
    <w:rsid w:val="00B7240E"/>
    <w:rsid w:val="00B724CD"/>
    <w:rsid w:val="00B72A29"/>
    <w:rsid w:val="00B73470"/>
    <w:rsid w:val="00B73521"/>
    <w:rsid w:val="00B73873"/>
    <w:rsid w:val="00B7393B"/>
    <w:rsid w:val="00B73C19"/>
    <w:rsid w:val="00B73CA3"/>
    <w:rsid w:val="00B7441A"/>
    <w:rsid w:val="00B748D4"/>
    <w:rsid w:val="00B74BE9"/>
    <w:rsid w:val="00B74CBB"/>
    <w:rsid w:val="00B74E0E"/>
    <w:rsid w:val="00B75259"/>
    <w:rsid w:val="00B757BD"/>
    <w:rsid w:val="00B75F5E"/>
    <w:rsid w:val="00B76240"/>
    <w:rsid w:val="00B76383"/>
    <w:rsid w:val="00B76682"/>
    <w:rsid w:val="00B77436"/>
    <w:rsid w:val="00B77721"/>
    <w:rsid w:val="00B80082"/>
    <w:rsid w:val="00B800AB"/>
    <w:rsid w:val="00B80C4C"/>
    <w:rsid w:val="00B80E30"/>
    <w:rsid w:val="00B812E5"/>
    <w:rsid w:val="00B81C2C"/>
    <w:rsid w:val="00B820A3"/>
    <w:rsid w:val="00B824CB"/>
    <w:rsid w:val="00B82538"/>
    <w:rsid w:val="00B82969"/>
    <w:rsid w:val="00B833B2"/>
    <w:rsid w:val="00B837FF"/>
    <w:rsid w:val="00B83910"/>
    <w:rsid w:val="00B83BEE"/>
    <w:rsid w:val="00B83C3B"/>
    <w:rsid w:val="00B84002"/>
    <w:rsid w:val="00B84517"/>
    <w:rsid w:val="00B84A71"/>
    <w:rsid w:val="00B84D75"/>
    <w:rsid w:val="00B85BB5"/>
    <w:rsid w:val="00B85EC0"/>
    <w:rsid w:val="00B86266"/>
    <w:rsid w:val="00B87382"/>
    <w:rsid w:val="00B8782F"/>
    <w:rsid w:val="00B90172"/>
    <w:rsid w:val="00B9071C"/>
    <w:rsid w:val="00B914D1"/>
    <w:rsid w:val="00B915A8"/>
    <w:rsid w:val="00B923D7"/>
    <w:rsid w:val="00B927AD"/>
    <w:rsid w:val="00B939A9"/>
    <w:rsid w:val="00B93E0D"/>
    <w:rsid w:val="00B94241"/>
    <w:rsid w:val="00B949CE"/>
    <w:rsid w:val="00B94BFC"/>
    <w:rsid w:val="00B95B87"/>
    <w:rsid w:val="00B960C3"/>
    <w:rsid w:val="00B9663F"/>
    <w:rsid w:val="00B967C2"/>
    <w:rsid w:val="00B96CB8"/>
    <w:rsid w:val="00B96F11"/>
    <w:rsid w:val="00B9710A"/>
    <w:rsid w:val="00B976A0"/>
    <w:rsid w:val="00B9776E"/>
    <w:rsid w:val="00B97E0F"/>
    <w:rsid w:val="00BA05BD"/>
    <w:rsid w:val="00BA07EB"/>
    <w:rsid w:val="00BA0859"/>
    <w:rsid w:val="00BA0FAD"/>
    <w:rsid w:val="00BA15DA"/>
    <w:rsid w:val="00BA1984"/>
    <w:rsid w:val="00BA1988"/>
    <w:rsid w:val="00BA1A77"/>
    <w:rsid w:val="00BA26E0"/>
    <w:rsid w:val="00BA31F7"/>
    <w:rsid w:val="00BA3431"/>
    <w:rsid w:val="00BA3580"/>
    <w:rsid w:val="00BA377E"/>
    <w:rsid w:val="00BA417E"/>
    <w:rsid w:val="00BA43C0"/>
    <w:rsid w:val="00BA4709"/>
    <w:rsid w:val="00BA4F2D"/>
    <w:rsid w:val="00BA5129"/>
    <w:rsid w:val="00BA5614"/>
    <w:rsid w:val="00BA5A8D"/>
    <w:rsid w:val="00BA5ABA"/>
    <w:rsid w:val="00BA6304"/>
    <w:rsid w:val="00BA6342"/>
    <w:rsid w:val="00BA706A"/>
    <w:rsid w:val="00BA7E9C"/>
    <w:rsid w:val="00BB03B1"/>
    <w:rsid w:val="00BB0D1E"/>
    <w:rsid w:val="00BB0E53"/>
    <w:rsid w:val="00BB11FD"/>
    <w:rsid w:val="00BB1618"/>
    <w:rsid w:val="00BB216D"/>
    <w:rsid w:val="00BB2397"/>
    <w:rsid w:val="00BB2674"/>
    <w:rsid w:val="00BB2736"/>
    <w:rsid w:val="00BB3003"/>
    <w:rsid w:val="00BB3F11"/>
    <w:rsid w:val="00BB3F8D"/>
    <w:rsid w:val="00BB401D"/>
    <w:rsid w:val="00BB4179"/>
    <w:rsid w:val="00BB4BD4"/>
    <w:rsid w:val="00BB572D"/>
    <w:rsid w:val="00BB573A"/>
    <w:rsid w:val="00BB6321"/>
    <w:rsid w:val="00BB67D4"/>
    <w:rsid w:val="00BB6E0A"/>
    <w:rsid w:val="00BB7149"/>
    <w:rsid w:val="00BB7400"/>
    <w:rsid w:val="00BB7637"/>
    <w:rsid w:val="00BB7F09"/>
    <w:rsid w:val="00BC01B3"/>
    <w:rsid w:val="00BC026A"/>
    <w:rsid w:val="00BC072C"/>
    <w:rsid w:val="00BC0E19"/>
    <w:rsid w:val="00BC0EE5"/>
    <w:rsid w:val="00BC1055"/>
    <w:rsid w:val="00BC1774"/>
    <w:rsid w:val="00BC1823"/>
    <w:rsid w:val="00BC1949"/>
    <w:rsid w:val="00BC1D8A"/>
    <w:rsid w:val="00BC208F"/>
    <w:rsid w:val="00BC2357"/>
    <w:rsid w:val="00BC293D"/>
    <w:rsid w:val="00BC311A"/>
    <w:rsid w:val="00BC31B9"/>
    <w:rsid w:val="00BC5308"/>
    <w:rsid w:val="00BC53BF"/>
    <w:rsid w:val="00BC5907"/>
    <w:rsid w:val="00BC624E"/>
    <w:rsid w:val="00BC6422"/>
    <w:rsid w:val="00BC7489"/>
    <w:rsid w:val="00BC7566"/>
    <w:rsid w:val="00BC75AD"/>
    <w:rsid w:val="00BC7A3E"/>
    <w:rsid w:val="00BC7DEB"/>
    <w:rsid w:val="00BD00DA"/>
    <w:rsid w:val="00BD01F6"/>
    <w:rsid w:val="00BD0E4D"/>
    <w:rsid w:val="00BD120E"/>
    <w:rsid w:val="00BD1264"/>
    <w:rsid w:val="00BD147B"/>
    <w:rsid w:val="00BD18CA"/>
    <w:rsid w:val="00BD20D1"/>
    <w:rsid w:val="00BD2F98"/>
    <w:rsid w:val="00BD358F"/>
    <w:rsid w:val="00BD37A9"/>
    <w:rsid w:val="00BD381F"/>
    <w:rsid w:val="00BD3AE9"/>
    <w:rsid w:val="00BD4489"/>
    <w:rsid w:val="00BD4F84"/>
    <w:rsid w:val="00BD5160"/>
    <w:rsid w:val="00BD553B"/>
    <w:rsid w:val="00BD57C2"/>
    <w:rsid w:val="00BD5A7B"/>
    <w:rsid w:val="00BD5C44"/>
    <w:rsid w:val="00BD5E99"/>
    <w:rsid w:val="00BD62B6"/>
    <w:rsid w:val="00BD6C42"/>
    <w:rsid w:val="00BD72E5"/>
    <w:rsid w:val="00BE0A85"/>
    <w:rsid w:val="00BE125E"/>
    <w:rsid w:val="00BE1296"/>
    <w:rsid w:val="00BE1BCC"/>
    <w:rsid w:val="00BE1E38"/>
    <w:rsid w:val="00BE277D"/>
    <w:rsid w:val="00BE288B"/>
    <w:rsid w:val="00BE28B3"/>
    <w:rsid w:val="00BE2D51"/>
    <w:rsid w:val="00BE38E1"/>
    <w:rsid w:val="00BE3B2F"/>
    <w:rsid w:val="00BE3D71"/>
    <w:rsid w:val="00BE412F"/>
    <w:rsid w:val="00BE4461"/>
    <w:rsid w:val="00BE46E8"/>
    <w:rsid w:val="00BE4745"/>
    <w:rsid w:val="00BE4F7A"/>
    <w:rsid w:val="00BE52FB"/>
    <w:rsid w:val="00BE57C1"/>
    <w:rsid w:val="00BE5B76"/>
    <w:rsid w:val="00BE617D"/>
    <w:rsid w:val="00BE65FC"/>
    <w:rsid w:val="00BE689E"/>
    <w:rsid w:val="00BE6C4F"/>
    <w:rsid w:val="00BE6CE7"/>
    <w:rsid w:val="00BE7042"/>
    <w:rsid w:val="00BE7235"/>
    <w:rsid w:val="00BF00B2"/>
    <w:rsid w:val="00BF0D88"/>
    <w:rsid w:val="00BF16C8"/>
    <w:rsid w:val="00BF1938"/>
    <w:rsid w:val="00BF1C43"/>
    <w:rsid w:val="00BF1D8B"/>
    <w:rsid w:val="00BF1E4B"/>
    <w:rsid w:val="00BF1F07"/>
    <w:rsid w:val="00BF2230"/>
    <w:rsid w:val="00BF273F"/>
    <w:rsid w:val="00BF2912"/>
    <w:rsid w:val="00BF2DAB"/>
    <w:rsid w:val="00BF3108"/>
    <w:rsid w:val="00BF3802"/>
    <w:rsid w:val="00BF49F6"/>
    <w:rsid w:val="00BF4A85"/>
    <w:rsid w:val="00BF5299"/>
    <w:rsid w:val="00BF597A"/>
    <w:rsid w:val="00BF5CC7"/>
    <w:rsid w:val="00BF5F03"/>
    <w:rsid w:val="00BF63A6"/>
    <w:rsid w:val="00BF65A6"/>
    <w:rsid w:val="00BF6912"/>
    <w:rsid w:val="00BF7334"/>
    <w:rsid w:val="00BF77B5"/>
    <w:rsid w:val="00C001C7"/>
    <w:rsid w:val="00C00557"/>
    <w:rsid w:val="00C00C45"/>
    <w:rsid w:val="00C0145D"/>
    <w:rsid w:val="00C01674"/>
    <w:rsid w:val="00C01D00"/>
    <w:rsid w:val="00C01DFE"/>
    <w:rsid w:val="00C02450"/>
    <w:rsid w:val="00C02A70"/>
    <w:rsid w:val="00C03767"/>
    <w:rsid w:val="00C03790"/>
    <w:rsid w:val="00C03BDB"/>
    <w:rsid w:val="00C055A8"/>
    <w:rsid w:val="00C05D7C"/>
    <w:rsid w:val="00C06038"/>
    <w:rsid w:val="00C0712B"/>
    <w:rsid w:val="00C072D0"/>
    <w:rsid w:val="00C077A0"/>
    <w:rsid w:val="00C1033E"/>
    <w:rsid w:val="00C106EB"/>
    <w:rsid w:val="00C10943"/>
    <w:rsid w:val="00C10FCD"/>
    <w:rsid w:val="00C111E6"/>
    <w:rsid w:val="00C112CA"/>
    <w:rsid w:val="00C11625"/>
    <w:rsid w:val="00C11A82"/>
    <w:rsid w:val="00C11B07"/>
    <w:rsid w:val="00C12457"/>
    <w:rsid w:val="00C124E7"/>
    <w:rsid w:val="00C12A4A"/>
    <w:rsid w:val="00C12D36"/>
    <w:rsid w:val="00C1333B"/>
    <w:rsid w:val="00C1346C"/>
    <w:rsid w:val="00C13C2F"/>
    <w:rsid w:val="00C13E93"/>
    <w:rsid w:val="00C14172"/>
    <w:rsid w:val="00C141AD"/>
    <w:rsid w:val="00C145FD"/>
    <w:rsid w:val="00C14A1F"/>
    <w:rsid w:val="00C14AC6"/>
    <w:rsid w:val="00C1574D"/>
    <w:rsid w:val="00C15829"/>
    <w:rsid w:val="00C1618C"/>
    <w:rsid w:val="00C1618F"/>
    <w:rsid w:val="00C16278"/>
    <w:rsid w:val="00C16C13"/>
    <w:rsid w:val="00C17B8F"/>
    <w:rsid w:val="00C17C62"/>
    <w:rsid w:val="00C2016B"/>
    <w:rsid w:val="00C211E4"/>
    <w:rsid w:val="00C21995"/>
    <w:rsid w:val="00C220BC"/>
    <w:rsid w:val="00C22123"/>
    <w:rsid w:val="00C22195"/>
    <w:rsid w:val="00C2266E"/>
    <w:rsid w:val="00C22A38"/>
    <w:rsid w:val="00C23718"/>
    <w:rsid w:val="00C239C1"/>
    <w:rsid w:val="00C24186"/>
    <w:rsid w:val="00C248E5"/>
    <w:rsid w:val="00C253B9"/>
    <w:rsid w:val="00C26262"/>
    <w:rsid w:val="00C264EF"/>
    <w:rsid w:val="00C26BF1"/>
    <w:rsid w:val="00C27048"/>
    <w:rsid w:val="00C27486"/>
    <w:rsid w:val="00C276C5"/>
    <w:rsid w:val="00C27F02"/>
    <w:rsid w:val="00C30701"/>
    <w:rsid w:val="00C31528"/>
    <w:rsid w:val="00C318BE"/>
    <w:rsid w:val="00C322EE"/>
    <w:rsid w:val="00C326AC"/>
    <w:rsid w:val="00C32952"/>
    <w:rsid w:val="00C32FDA"/>
    <w:rsid w:val="00C33827"/>
    <w:rsid w:val="00C344ED"/>
    <w:rsid w:val="00C348FC"/>
    <w:rsid w:val="00C355D5"/>
    <w:rsid w:val="00C35EA4"/>
    <w:rsid w:val="00C362B6"/>
    <w:rsid w:val="00C363BF"/>
    <w:rsid w:val="00C36462"/>
    <w:rsid w:val="00C364B6"/>
    <w:rsid w:val="00C37294"/>
    <w:rsid w:val="00C3729C"/>
    <w:rsid w:val="00C374F3"/>
    <w:rsid w:val="00C37765"/>
    <w:rsid w:val="00C37AF4"/>
    <w:rsid w:val="00C402DD"/>
    <w:rsid w:val="00C409A0"/>
    <w:rsid w:val="00C40DF3"/>
    <w:rsid w:val="00C414C1"/>
    <w:rsid w:val="00C414D3"/>
    <w:rsid w:val="00C4236E"/>
    <w:rsid w:val="00C42B83"/>
    <w:rsid w:val="00C434CA"/>
    <w:rsid w:val="00C43A0D"/>
    <w:rsid w:val="00C44200"/>
    <w:rsid w:val="00C44370"/>
    <w:rsid w:val="00C444F6"/>
    <w:rsid w:val="00C44BF2"/>
    <w:rsid w:val="00C4520F"/>
    <w:rsid w:val="00C452D3"/>
    <w:rsid w:val="00C4567F"/>
    <w:rsid w:val="00C46368"/>
    <w:rsid w:val="00C4681C"/>
    <w:rsid w:val="00C4694B"/>
    <w:rsid w:val="00C4716B"/>
    <w:rsid w:val="00C47BE2"/>
    <w:rsid w:val="00C47DA7"/>
    <w:rsid w:val="00C47E0E"/>
    <w:rsid w:val="00C50C34"/>
    <w:rsid w:val="00C50E48"/>
    <w:rsid w:val="00C50E76"/>
    <w:rsid w:val="00C51245"/>
    <w:rsid w:val="00C51346"/>
    <w:rsid w:val="00C515C9"/>
    <w:rsid w:val="00C5201D"/>
    <w:rsid w:val="00C52F03"/>
    <w:rsid w:val="00C53399"/>
    <w:rsid w:val="00C53CA9"/>
    <w:rsid w:val="00C53CE7"/>
    <w:rsid w:val="00C54704"/>
    <w:rsid w:val="00C54D0C"/>
    <w:rsid w:val="00C55439"/>
    <w:rsid w:val="00C56408"/>
    <w:rsid w:val="00C567A5"/>
    <w:rsid w:val="00C56C0A"/>
    <w:rsid w:val="00C57AE4"/>
    <w:rsid w:val="00C57F55"/>
    <w:rsid w:val="00C60159"/>
    <w:rsid w:val="00C6028D"/>
    <w:rsid w:val="00C60B7A"/>
    <w:rsid w:val="00C617BB"/>
    <w:rsid w:val="00C61ABA"/>
    <w:rsid w:val="00C61BF3"/>
    <w:rsid w:val="00C61C30"/>
    <w:rsid w:val="00C61E89"/>
    <w:rsid w:val="00C629F3"/>
    <w:rsid w:val="00C634AB"/>
    <w:rsid w:val="00C6356A"/>
    <w:rsid w:val="00C6386B"/>
    <w:rsid w:val="00C639BB"/>
    <w:rsid w:val="00C639F8"/>
    <w:rsid w:val="00C63DE9"/>
    <w:rsid w:val="00C63E77"/>
    <w:rsid w:val="00C64395"/>
    <w:rsid w:val="00C651E9"/>
    <w:rsid w:val="00C6587B"/>
    <w:rsid w:val="00C65BC8"/>
    <w:rsid w:val="00C66281"/>
    <w:rsid w:val="00C665D4"/>
    <w:rsid w:val="00C66740"/>
    <w:rsid w:val="00C66B8B"/>
    <w:rsid w:val="00C671F5"/>
    <w:rsid w:val="00C67906"/>
    <w:rsid w:val="00C700A7"/>
    <w:rsid w:val="00C700F6"/>
    <w:rsid w:val="00C70200"/>
    <w:rsid w:val="00C702B2"/>
    <w:rsid w:val="00C7055A"/>
    <w:rsid w:val="00C708E4"/>
    <w:rsid w:val="00C712AB"/>
    <w:rsid w:val="00C71767"/>
    <w:rsid w:val="00C71B4B"/>
    <w:rsid w:val="00C71BCA"/>
    <w:rsid w:val="00C7205C"/>
    <w:rsid w:val="00C732C2"/>
    <w:rsid w:val="00C7379C"/>
    <w:rsid w:val="00C74295"/>
    <w:rsid w:val="00C74611"/>
    <w:rsid w:val="00C74C28"/>
    <w:rsid w:val="00C7564F"/>
    <w:rsid w:val="00C756AF"/>
    <w:rsid w:val="00C76C6F"/>
    <w:rsid w:val="00C7725E"/>
    <w:rsid w:val="00C775A1"/>
    <w:rsid w:val="00C7771D"/>
    <w:rsid w:val="00C777B5"/>
    <w:rsid w:val="00C80362"/>
    <w:rsid w:val="00C80691"/>
    <w:rsid w:val="00C80AF8"/>
    <w:rsid w:val="00C80C7F"/>
    <w:rsid w:val="00C811AF"/>
    <w:rsid w:val="00C8146F"/>
    <w:rsid w:val="00C81DC4"/>
    <w:rsid w:val="00C81F0A"/>
    <w:rsid w:val="00C82216"/>
    <w:rsid w:val="00C825FB"/>
    <w:rsid w:val="00C82A7C"/>
    <w:rsid w:val="00C835E7"/>
    <w:rsid w:val="00C83A78"/>
    <w:rsid w:val="00C83ACF"/>
    <w:rsid w:val="00C845BC"/>
    <w:rsid w:val="00C84961"/>
    <w:rsid w:val="00C865AB"/>
    <w:rsid w:val="00C86828"/>
    <w:rsid w:val="00C868C1"/>
    <w:rsid w:val="00C868D1"/>
    <w:rsid w:val="00C8694C"/>
    <w:rsid w:val="00C8698D"/>
    <w:rsid w:val="00C86A8E"/>
    <w:rsid w:val="00C86ED4"/>
    <w:rsid w:val="00C90D98"/>
    <w:rsid w:val="00C90DE9"/>
    <w:rsid w:val="00C91026"/>
    <w:rsid w:val="00C91143"/>
    <w:rsid w:val="00C91C08"/>
    <w:rsid w:val="00C91C39"/>
    <w:rsid w:val="00C92271"/>
    <w:rsid w:val="00C92284"/>
    <w:rsid w:val="00C9273B"/>
    <w:rsid w:val="00C9328C"/>
    <w:rsid w:val="00C9341B"/>
    <w:rsid w:val="00C93784"/>
    <w:rsid w:val="00C947AE"/>
    <w:rsid w:val="00C94A25"/>
    <w:rsid w:val="00C94A7D"/>
    <w:rsid w:val="00C951DD"/>
    <w:rsid w:val="00C95468"/>
    <w:rsid w:val="00C955C3"/>
    <w:rsid w:val="00C958BD"/>
    <w:rsid w:val="00C958D4"/>
    <w:rsid w:val="00C9662C"/>
    <w:rsid w:val="00C96954"/>
    <w:rsid w:val="00C969B3"/>
    <w:rsid w:val="00C96B5E"/>
    <w:rsid w:val="00C96D2D"/>
    <w:rsid w:val="00C974FE"/>
    <w:rsid w:val="00C979E9"/>
    <w:rsid w:val="00C97A93"/>
    <w:rsid w:val="00C97D94"/>
    <w:rsid w:val="00C97DB6"/>
    <w:rsid w:val="00CA038C"/>
    <w:rsid w:val="00CA0703"/>
    <w:rsid w:val="00CA094F"/>
    <w:rsid w:val="00CA101D"/>
    <w:rsid w:val="00CA1DA2"/>
    <w:rsid w:val="00CA1DBB"/>
    <w:rsid w:val="00CA235D"/>
    <w:rsid w:val="00CA2AC3"/>
    <w:rsid w:val="00CA2C88"/>
    <w:rsid w:val="00CA34F7"/>
    <w:rsid w:val="00CA3ABA"/>
    <w:rsid w:val="00CA3ACE"/>
    <w:rsid w:val="00CA3D6C"/>
    <w:rsid w:val="00CA55BF"/>
    <w:rsid w:val="00CA62FD"/>
    <w:rsid w:val="00CA638B"/>
    <w:rsid w:val="00CA777F"/>
    <w:rsid w:val="00CB02A7"/>
    <w:rsid w:val="00CB139C"/>
    <w:rsid w:val="00CB1F00"/>
    <w:rsid w:val="00CB2497"/>
    <w:rsid w:val="00CB251D"/>
    <w:rsid w:val="00CB2DB4"/>
    <w:rsid w:val="00CB3626"/>
    <w:rsid w:val="00CB37D6"/>
    <w:rsid w:val="00CB38B2"/>
    <w:rsid w:val="00CB3E90"/>
    <w:rsid w:val="00CB3FCB"/>
    <w:rsid w:val="00CB474C"/>
    <w:rsid w:val="00CB4ABD"/>
    <w:rsid w:val="00CB4FC4"/>
    <w:rsid w:val="00CB58B8"/>
    <w:rsid w:val="00CB5C36"/>
    <w:rsid w:val="00CB5F02"/>
    <w:rsid w:val="00CB612D"/>
    <w:rsid w:val="00CB64C5"/>
    <w:rsid w:val="00CB64E3"/>
    <w:rsid w:val="00CB6AAE"/>
    <w:rsid w:val="00CB6CE8"/>
    <w:rsid w:val="00CB6D04"/>
    <w:rsid w:val="00CB6D2D"/>
    <w:rsid w:val="00CB6F52"/>
    <w:rsid w:val="00CB706B"/>
    <w:rsid w:val="00CB72CC"/>
    <w:rsid w:val="00CB7DE3"/>
    <w:rsid w:val="00CB7ED2"/>
    <w:rsid w:val="00CC07DC"/>
    <w:rsid w:val="00CC0D09"/>
    <w:rsid w:val="00CC0FFE"/>
    <w:rsid w:val="00CC1068"/>
    <w:rsid w:val="00CC1340"/>
    <w:rsid w:val="00CC14FE"/>
    <w:rsid w:val="00CC192C"/>
    <w:rsid w:val="00CC1B57"/>
    <w:rsid w:val="00CC2C08"/>
    <w:rsid w:val="00CC2EC5"/>
    <w:rsid w:val="00CC3A41"/>
    <w:rsid w:val="00CC3B2F"/>
    <w:rsid w:val="00CC3BB7"/>
    <w:rsid w:val="00CC3EAE"/>
    <w:rsid w:val="00CC48D9"/>
    <w:rsid w:val="00CC498B"/>
    <w:rsid w:val="00CC5926"/>
    <w:rsid w:val="00CC5B6E"/>
    <w:rsid w:val="00CC5F3A"/>
    <w:rsid w:val="00CC669E"/>
    <w:rsid w:val="00CC6EC2"/>
    <w:rsid w:val="00CC70E7"/>
    <w:rsid w:val="00CC7591"/>
    <w:rsid w:val="00CD020A"/>
    <w:rsid w:val="00CD041D"/>
    <w:rsid w:val="00CD113F"/>
    <w:rsid w:val="00CD18AF"/>
    <w:rsid w:val="00CD29C0"/>
    <w:rsid w:val="00CD2F79"/>
    <w:rsid w:val="00CD3279"/>
    <w:rsid w:val="00CD3695"/>
    <w:rsid w:val="00CD37B7"/>
    <w:rsid w:val="00CD385E"/>
    <w:rsid w:val="00CD4C34"/>
    <w:rsid w:val="00CD4D21"/>
    <w:rsid w:val="00CD502C"/>
    <w:rsid w:val="00CD594A"/>
    <w:rsid w:val="00CD5B94"/>
    <w:rsid w:val="00CD5FD3"/>
    <w:rsid w:val="00CD6002"/>
    <w:rsid w:val="00CD65EF"/>
    <w:rsid w:val="00CD6C03"/>
    <w:rsid w:val="00CD6CC7"/>
    <w:rsid w:val="00CD6CDE"/>
    <w:rsid w:val="00CD6D81"/>
    <w:rsid w:val="00CD72F2"/>
    <w:rsid w:val="00CD736D"/>
    <w:rsid w:val="00CD7FC5"/>
    <w:rsid w:val="00CE0819"/>
    <w:rsid w:val="00CE091C"/>
    <w:rsid w:val="00CE0952"/>
    <w:rsid w:val="00CE0D1A"/>
    <w:rsid w:val="00CE112C"/>
    <w:rsid w:val="00CE1321"/>
    <w:rsid w:val="00CE26EC"/>
    <w:rsid w:val="00CE2743"/>
    <w:rsid w:val="00CE318A"/>
    <w:rsid w:val="00CE31AA"/>
    <w:rsid w:val="00CE45E4"/>
    <w:rsid w:val="00CE4730"/>
    <w:rsid w:val="00CE47F6"/>
    <w:rsid w:val="00CE4A8F"/>
    <w:rsid w:val="00CE4C3F"/>
    <w:rsid w:val="00CE4E73"/>
    <w:rsid w:val="00CE5136"/>
    <w:rsid w:val="00CE56BA"/>
    <w:rsid w:val="00CE5D54"/>
    <w:rsid w:val="00CE6372"/>
    <w:rsid w:val="00CE6E82"/>
    <w:rsid w:val="00CE7885"/>
    <w:rsid w:val="00CE7A90"/>
    <w:rsid w:val="00CE7D19"/>
    <w:rsid w:val="00CF105B"/>
    <w:rsid w:val="00CF111F"/>
    <w:rsid w:val="00CF257F"/>
    <w:rsid w:val="00CF2990"/>
    <w:rsid w:val="00CF30AE"/>
    <w:rsid w:val="00CF36EC"/>
    <w:rsid w:val="00CF3CE4"/>
    <w:rsid w:val="00CF49FA"/>
    <w:rsid w:val="00CF4C5C"/>
    <w:rsid w:val="00CF5C2F"/>
    <w:rsid w:val="00CF687D"/>
    <w:rsid w:val="00CF6985"/>
    <w:rsid w:val="00CF71A0"/>
    <w:rsid w:val="00CF7685"/>
    <w:rsid w:val="00CF779E"/>
    <w:rsid w:val="00D0027A"/>
    <w:rsid w:val="00D00678"/>
    <w:rsid w:val="00D00DE6"/>
    <w:rsid w:val="00D0163E"/>
    <w:rsid w:val="00D01CC9"/>
    <w:rsid w:val="00D02817"/>
    <w:rsid w:val="00D02B3E"/>
    <w:rsid w:val="00D030AD"/>
    <w:rsid w:val="00D030F8"/>
    <w:rsid w:val="00D035C8"/>
    <w:rsid w:val="00D044A9"/>
    <w:rsid w:val="00D04D9B"/>
    <w:rsid w:val="00D05353"/>
    <w:rsid w:val="00D0579C"/>
    <w:rsid w:val="00D05B59"/>
    <w:rsid w:val="00D0622A"/>
    <w:rsid w:val="00D0715A"/>
    <w:rsid w:val="00D07F24"/>
    <w:rsid w:val="00D10403"/>
    <w:rsid w:val="00D106DF"/>
    <w:rsid w:val="00D10CF0"/>
    <w:rsid w:val="00D115E0"/>
    <w:rsid w:val="00D1160A"/>
    <w:rsid w:val="00D11964"/>
    <w:rsid w:val="00D11B40"/>
    <w:rsid w:val="00D12219"/>
    <w:rsid w:val="00D12B68"/>
    <w:rsid w:val="00D132D1"/>
    <w:rsid w:val="00D135E5"/>
    <w:rsid w:val="00D144D3"/>
    <w:rsid w:val="00D15642"/>
    <w:rsid w:val="00D167BD"/>
    <w:rsid w:val="00D16A61"/>
    <w:rsid w:val="00D16B09"/>
    <w:rsid w:val="00D16CE1"/>
    <w:rsid w:val="00D1732B"/>
    <w:rsid w:val="00D177C2"/>
    <w:rsid w:val="00D1782D"/>
    <w:rsid w:val="00D209F7"/>
    <w:rsid w:val="00D20C4E"/>
    <w:rsid w:val="00D20C92"/>
    <w:rsid w:val="00D21731"/>
    <w:rsid w:val="00D2176E"/>
    <w:rsid w:val="00D21C49"/>
    <w:rsid w:val="00D21D3F"/>
    <w:rsid w:val="00D22327"/>
    <w:rsid w:val="00D22AA4"/>
    <w:rsid w:val="00D22D2D"/>
    <w:rsid w:val="00D22EE9"/>
    <w:rsid w:val="00D230E7"/>
    <w:rsid w:val="00D2334D"/>
    <w:rsid w:val="00D234C4"/>
    <w:rsid w:val="00D23EBB"/>
    <w:rsid w:val="00D240F6"/>
    <w:rsid w:val="00D25133"/>
    <w:rsid w:val="00D25857"/>
    <w:rsid w:val="00D25CF6"/>
    <w:rsid w:val="00D25E9B"/>
    <w:rsid w:val="00D25FD7"/>
    <w:rsid w:val="00D268CA"/>
    <w:rsid w:val="00D26A91"/>
    <w:rsid w:val="00D26BB2"/>
    <w:rsid w:val="00D26E88"/>
    <w:rsid w:val="00D2710E"/>
    <w:rsid w:val="00D271DC"/>
    <w:rsid w:val="00D272D7"/>
    <w:rsid w:val="00D273DE"/>
    <w:rsid w:val="00D27609"/>
    <w:rsid w:val="00D27B77"/>
    <w:rsid w:val="00D27E4D"/>
    <w:rsid w:val="00D301D2"/>
    <w:rsid w:val="00D3112B"/>
    <w:rsid w:val="00D32317"/>
    <w:rsid w:val="00D32531"/>
    <w:rsid w:val="00D32582"/>
    <w:rsid w:val="00D33933"/>
    <w:rsid w:val="00D33A14"/>
    <w:rsid w:val="00D33BBA"/>
    <w:rsid w:val="00D33C7A"/>
    <w:rsid w:val="00D3418F"/>
    <w:rsid w:val="00D34E12"/>
    <w:rsid w:val="00D354D3"/>
    <w:rsid w:val="00D3577D"/>
    <w:rsid w:val="00D35CD7"/>
    <w:rsid w:val="00D364ED"/>
    <w:rsid w:val="00D369C8"/>
    <w:rsid w:val="00D36C34"/>
    <w:rsid w:val="00D37501"/>
    <w:rsid w:val="00D40176"/>
    <w:rsid w:val="00D40203"/>
    <w:rsid w:val="00D412A6"/>
    <w:rsid w:val="00D4195E"/>
    <w:rsid w:val="00D41EFC"/>
    <w:rsid w:val="00D42115"/>
    <w:rsid w:val="00D42538"/>
    <w:rsid w:val="00D4287C"/>
    <w:rsid w:val="00D42B2E"/>
    <w:rsid w:val="00D42D52"/>
    <w:rsid w:val="00D43E5B"/>
    <w:rsid w:val="00D443CE"/>
    <w:rsid w:val="00D44487"/>
    <w:rsid w:val="00D44EA9"/>
    <w:rsid w:val="00D4536D"/>
    <w:rsid w:val="00D46ECC"/>
    <w:rsid w:val="00D4703B"/>
    <w:rsid w:val="00D471AA"/>
    <w:rsid w:val="00D475CA"/>
    <w:rsid w:val="00D4769D"/>
    <w:rsid w:val="00D478C3"/>
    <w:rsid w:val="00D50453"/>
    <w:rsid w:val="00D51182"/>
    <w:rsid w:val="00D5135C"/>
    <w:rsid w:val="00D51B85"/>
    <w:rsid w:val="00D525D7"/>
    <w:rsid w:val="00D52977"/>
    <w:rsid w:val="00D529BD"/>
    <w:rsid w:val="00D52CBE"/>
    <w:rsid w:val="00D5311B"/>
    <w:rsid w:val="00D5323C"/>
    <w:rsid w:val="00D53676"/>
    <w:rsid w:val="00D53B26"/>
    <w:rsid w:val="00D549C0"/>
    <w:rsid w:val="00D54A0E"/>
    <w:rsid w:val="00D550EA"/>
    <w:rsid w:val="00D5516D"/>
    <w:rsid w:val="00D551E2"/>
    <w:rsid w:val="00D555B7"/>
    <w:rsid w:val="00D562F2"/>
    <w:rsid w:val="00D56385"/>
    <w:rsid w:val="00D5650D"/>
    <w:rsid w:val="00D56719"/>
    <w:rsid w:val="00D5678E"/>
    <w:rsid w:val="00D56B11"/>
    <w:rsid w:val="00D56D0A"/>
    <w:rsid w:val="00D57230"/>
    <w:rsid w:val="00D57278"/>
    <w:rsid w:val="00D573E3"/>
    <w:rsid w:val="00D57871"/>
    <w:rsid w:val="00D60348"/>
    <w:rsid w:val="00D60435"/>
    <w:rsid w:val="00D61165"/>
    <w:rsid w:val="00D61785"/>
    <w:rsid w:val="00D62DB2"/>
    <w:rsid w:val="00D63DC7"/>
    <w:rsid w:val="00D63F34"/>
    <w:rsid w:val="00D64E3A"/>
    <w:rsid w:val="00D65058"/>
    <w:rsid w:val="00D65238"/>
    <w:rsid w:val="00D652C8"/>
    <w:rsid w:val="00D65BA2"/>
    <w:rsid w:val="00D65E8A"/>
    <w:rsid w:val="00D66007"/>
    <w:rsid w:val="00D66471"/>
    <w:rsid w:val="00D66A99"/>
    <w:rsid w:val="00D670BD"/>
    <w:rsid w:val="00D7011F"/>
    <w:rsid w:val="00D704F4"/>
    <w:rsid w:val="00D70A0B"/>
    <w:rsid w:val="00D70A18"/>
    <w:rsid w:val="00D70A39"/>
    <w:rsid w:val="00D7156E"/>
    <w:rsid w:val="00D71CF0"/>
    <w:rsid w:val="00D7218C"/>
    <w:rsid w:val="00D72519"/>
    <w:rsid w:val="00D73727"/>
    <w:rsid w:val="00D7377E"/>
    <w:rsid w:val="00D73E80"/>
    <w:rsid w:val="00D73FB9"/>
    <w:rsid w:val="00D74390"/>
    <w:rsid w:val="00D7450F"/>
    <w:rsid w:val="00D747B9"/>
    <w:rsid w:val="00D756CB"/>
    <w:rsid w:val="00D759BA"/>
    <w:rsid w:val="00D760F9"/>
    <w:rsid w:val="00D76AD8"/>
    <w:rsid w:val="00D76AE4"/>
    <w:rsid w:val="00D774DF"/>
    <w:rsid w:val="00D77A7F"/>
    <w:rsid w:val="00D80696"/>
    <w:rsid w:val="00D80772"/>
    <w:rsid w:val="00D80FFA"/>
    <w:rsid w:val="00D8138D"/>
    <w:rsid w:val="00D815BC"/>
    <w:rsid w:val="00D82666"/>
    <w:rsid w:val="00D827FA"/>
    <w:rsid w:val="00D832DC"/>
    <w:rsid w:val="00D834B8"/>
    <w:rsid w:val="00D8396A"/>
    <w:rsid w:val="00D83BC1"/>
    <w:rsid w:val="00D83EC5"/>
    <w:rsid w:val="00D86A38"/>
    <w:rsid w:val="00D87D3B"/>
    <w:rsid w:val="00D87D99"/>
    <w:rsid w:val="00D87DC6"/>
    <w:rsid w:val="00D900EE"/>
    <w:rsid w:val="00D91711"/>
    <w:rsid w:val="00D920B9"/>
    <w:rsid w:val="00D92423"/>
    <w:rsid w:val="00D937D0"/>
    <w:rsid w:val="00D94174"/>
    <w:rsid w:val="00D941B1"/>
    <w:rsid w:val="00D9421A"/>
    <w:rsid w:val="00D943BE"/>
    <w:rsid w:val="00D9469F"/>
    <w:rsid w:val="00D951DD"/>
    <w:rsid w:val="00D95409"/>
    <w:rsid w:val="00D954F0"/>
    <w:rsid w:val="00D95DAA"/>
    <w:rsid w:val="00D96B3E"/>
    <w:rsid w:val="00D9718F"/>
    <w:rsid w:val="00D97988"/>
    <w:rsid w:val="00D97A19"/>
    <w:rsid w:val="00D97C68"/>
    <w:rsid w:val="00D97FC1"/>
    <w:rsid w:val="00DA0274"/>
    <w:rsid w:val="00DA034C"/>
    <w:rsid w:val="00DA0430"/>
    <w:rsid w:val="00DA043A"/>
    <w:rsid w:val="00DA054F"/>
    <w:rsid w:val="00DA0887"/>
    <w:rsid w:val="00DA0DBA"/>
    <w:rsid w:val="00DA131A"/>
    <w:rsid w:val="00DA1391"/>
    <w:rsid w:val="00DA2411"/>
    <w:rsid w:val="00DA35A0"/>
    <w:rsid w:val="00DA3C22"/>
    <w:rsid w:val="00DA3FBE"/>
    <w:rsid w:val="00DA483F"/>
    <w:rsid w:val="00DA50E7"/>
    <w:rsid w:val="00DA5A51"/>
    <w:rsid w:val="00DA5F77"/>
    <w:rsid w:val="00DA65FD"/>
    <w:rsid w:val="00DA6602"/>
    <w:rsid w:val="00DA7046"/>
    <w:rsid w:val="00DA773C"/>
    <w:rsid w:val="00DA7C50"/>
    <w:rsid w:val="00DB0530"/>
    <w:rsid w:val="00DB12AA"/>
    <w:rsid w:val="00DB194D"/>
    <w:rsid w:val="00DB2098"/>
    <w:rsid w:val="00DB215B"/>
    <w:rsid w:val="00DB2546"/>
    <w:rsid w:val="00DB4CC5"/>
    <w:rsid w:val="00DB5320"/>
    <w:rsid w:val="00DB5468"/>
    <w:rsid w:val="00DB578F"/>
    <w:rsid w:val="00DB6C5F"/>
    <w:rsid w:val="00DB6CE8"/>
    <w:rsid w:val="00DB6D3F"/>
    <w:rsid w:val="00DB729C"/>
    <w:rsid w:val="00DB750C"/>
    <w:rsid w:val="00DB768D"/>
    <w:rsid w:val="00DB793B"/>
    <w:rsid w:val="00DB799D"/>
    <w:rsid w:val="00DB7BF4"/>
    <w:rsid w:val="00DB7E94"/>
    <w:rsid w:val="00DB7ECE"/>
    <w:rsid w:val="00DC0114"/>
    <w:rsid w:val="00DC091C"/>
    <w:rsid w:val="00DC1A85"/>
    <w:rsid w:val="00DC1E18"/>
    <w:rsid w:val="00DC2630"/>
    <w:rsid w:val="00DC2B29"/>
    <w:rsid w:val="00DC2CE8"/>
    <w:rsid w:val="00DC3206"/>
    <w:rsid w:val="00DC3286"/>
    <w:rsid w:val="00DC335B"/>
    <w:rsid w:val="00DC3AE2"/>
    <w:rsid w:val="00DC4D46"/>
    <w:rsid w:val="00DC4FC9"/>
    <w:rsid w:val="00DC53C2"/>
    <w:rsid w:val="00DC54F2"/>
    <w:rsid w:val="00DC5F4D"/>
    <w:rsid w:val="00DC76FA"/>
    <w:rsid w:val="00DC770E"/>
    <w:rsid w:val="00DC7940"/>
    <w:rsid w:val="00DD0153"/>
    <w:rsid w:val="00DD0BB9"/>
    <w:rsid w:val="00DD14D8"/>
    <w:rsid w:val="00DD280E"/>
    <w:rsid w:val="00DD28AA"/>
    <w:rsid w:val="00DD2C74"/>
    <w:rsid w:val="00DD30CE"/>
    <w:rsid w:val="00DD365B"/>
    <w:rsid w:val="00DD37C2"/>
    <w:rsid w:val="00DD3835"/>
    <w:rsid w:val="00DD3AED"/>
    <w:rsid w:val="00DD450E"/>
    <w:rsid w:val="00DD48FF"/>
    <w:rsid w:val="00DD52E6"/>
    <w:rsid w:val="00DD5591"/>
    <w:rsid w:val="00DD563D"/>
    <w:rsid w:val="00DD5CAC"/>
    <w:rsid w:val="00DD6F5F"/>
    <w:rsid w:val="00DD7204"/>
    <w:rsid w:val="00DD7A5E"/>
    <w:rsid w:val="00DD7B3D"/>
    <w:rsid w:val="00DD7C51"/>
    <w:rsid w:val="00DD7E13"/>
    <w:rsid w:val="00DE0DE6"/>
    <w:rsid w:val="00DE10D8"/>
    <w:rsid w:val="00DE1324"/>
    <w:rsid w:val="00DE15D9"/>
    <w:rsid w:val="00DE1E11"/>
    <w:rsid w:val="00DE2431"/>
    <w:rsid w:val="00DE24DA"/>
    <w:rsid w:val="00DE26E4"/>
    <w:rsid w:val="00DE3232"/>
    <w:rsid w:val="00DE4083"/>
    <w:rsid w:val="00DE4387"/>
    <w:rsid w:val="00DE4CDB"/>
    <w:rsid w:val="00DE4FEA"/>
    <w:rsid w:val="00DE5A38"/>
    <w:rsid w:val="00DE6581"/>
    <w:rsid w:val="00DE692B"/>
    <w:rsid w:val="00DE6990"/>
    <w:rsid w:val="00DE6B14"/>
    <w:rsid w:val="00DE6E8C"/>
    <w:rsid w:val="00DE737F"/>
    <w:rsid w:val="00DF0221"/>
    <w:rsid w:val="00DF1047"/>
    <w:rsid w:val="00DF1445"/>
    <w:rsid w:val="00DF15ED"/>
    <w:rsid w:val="00DF1932"/>
    <w:rsid w:val="00DF1A5F"/>
    <w:rsid w:val="00DF1A8C"/>
    <w:rsid w:val="00DF1ECF"/>
    <w:rsid w:val="00DF27C3"/>
    <w:rsid w:val="00DF2AC6"/>
    <w:rsid w:val="00DF31C4"/>
    <w:rsid w:val="00DF39EF"/>
    <w:rsid w:val="00DF3E5D"/>
    <w:rsid w:val="00DF4A6E"/>
    <w:rsid w:val="00DF65B3"/>
    <w:rsid w:val="00DF6788"/>
    <w:rsid w:val="00DF6BFF"/>
    <w:rsid w:val="00DF7099"/>
    <w:rsid w:val="00DF798E"/>
    <w:rsid w:val="00DF7DE4"/>
    <w:rsid w:val="00DF7FC8"/>
    <w:rsid w:val="00E00273"/>
    <w:rsid w:val="00E00434"/>
    <w:rsid w:val="00E00687"/>
    <w:rsid w:val="00E00DFD"/>
    <w:rsid w:val="00E01814"/>
    <w:rsid w:val="00E023F2"/>
    <w:rsid w:val="00E0253B"/>
    <w:rsid w:val="00E02674"/>
    <w:rsid w:val="00E0267B"/>
    <w:rsid w:val="00E02D97"/>
    <w:rsid w:val="00E0357D"/>
    <w:rsid w:val="00E035FD"/>
    <w:rsid w:val="00E03D92"/>
    <w:rsid w:val="00E0401B"/>
    <w:rsid w:val="00E043B0"/>
    <w:rsid w:val="00E051F3"/>
    <w:rsid w:val="00E0534F"/>
    <w:rsid w:val="00E05983"/>
    <w:rsid w:val="00E05B05"/>
    <w:rsid w:val="00E0636E"/>
    <w:rsid w:val="00E0701E"/>
    <w:rsid w:val="00E074F3"/>
    <w:rsid w:val="00E07A1A"/>
    <w:rsid w:val="00E07CEC"/>
    <w:rsid w:val="00E07EF7"/>
    <w:rsid w:val="00E1003D"/>
    <w:rsid w:val="00E105D3"/>
    <w:rsid w:val="00E10807"/>
    <w:rsid w:val="00E10C71"/>
    <w:rsid w:val="00E10FA9"/>
    <w:rsid w:val="00E11CEA"/>
    <w:rsid w:val="00E11E17"/>
    <w:rsid w:val="00E120F1"/>
    <w:rsid w:val="00E12538"/>
    <w:rsid w:val="00E127AA"/>
    <w:rsid w:val="00E12947"/>
    <w:rsid w:val="00E12F9B"/>
    <w:rsid w:val="00E13090"/>
    <w:rsid w:val="00E137B9"/>
    <w:rsid w:val="00E1439D"/>
    <w:rsid w:val="00E14410"/>
    <w:rsid w:val="00E1483A"/>
    <w:rsid w:val="00E14C60"/>
    <w:rsid w:val="00E1522B"/>
    <w:rsid w:val="00E15A62"/>
    <w:rsid w:val="00E16BE6"/>
    <w:rsid w:val="00E17603"/>
    <w:rsid w:val="00E17803"/>
    <w:rsid w:val="00E17AAE"/>
    <w:rsid w:val="00E20266"/>
    <w:rsid w:val="00E20BAE"/>
    <w:rsid w:val="00E20F63"/>
    <w:rsid w:val="00E22CEE"/>
    <w:rsid w:val="00E2304D"/>
    <w:rsid w:val="00E231BF"/>
    <w:rsid w:val="00E2356E"/>
    <w:rsid w:val="00E2390B"/>
    <w:rsid w:val="00E23ABA"/>
    <w:rsid w:val="00E241BA"/>
    <w:rsid w:val="00E25378"/>
    <w:rsid w:val="00E253A4"/>
    <w:rsid w:val="00E25572"/>
    <w:rsid w:val="00E25B70"/>
    <w:rsid w:val="00E2615C"/>
    <w:rsid w:val="00E262BC"/>
    <w:rsid w:val="00E2650A"/>
    <w:rsid w:val="00E26633"/>
    <w:rsid w:val="00E266E5"/>
    <w:rsid w:val="00E2687E"/>
    <w:rsid w:val="00E26899"/>
    <w:rsid w:val="00E2693D"/>
    <w:rsid w:val="00E2745D"/>
    <w:rsid w:val="00E2759C"/>
    <w:rsid w:val="00E278C0"/>
    <w:rsid w:val="00E27C48"/>
    <w:rsid w:val="00E30034"/>
    <w:rsid w:val="00E30A50"/>
    <w:rsid w:val="00E315CF"/>
    <w:rsid w:val="00E3169C"/>
    <w:rsid w:val="00E31A46"/>
    <w:rsid w:val="00E32105"/>
    <w:rsid w:val="00E32233"/>
    <w:rsid w:val="00E3250B"/>
    <w:rsid w:val="00E3268F"/>
    <w:rsid w:val="00E32B45"/>
    <w:rsid w:val="00E32C06"/>
    <w:rsid w:val="00E33ED1"/>
    <w:rsid w:val="00E33F53"/>
    <w:rsid w:val="00E35813"/>
    <w:rsid w:val="00E3590E"/>
    <w:rsid w:val="00E35A2E"/>
    <w:rsid w:val="00E35F1F"/>
    <w:rsid w:val="00E36173"/>
    <w:rsid w:val="00E36308"/>
    <w:rsid w:val="00E36716"/>
    <w:rsid w:val="00E36E92"/>
    <w:rsid w:val="00E3717A"/>
    <w:rsid w:val="00E37A44"/>
    <w:rsid w:val="00E37D3B"/>
    <w:rsid w:val="00E37F9C"/>
    <w:rsid w:val="00E4043F"/>
    <w:rsid w:val="00E41154"/>
    <w:rsid w:val="00E417F2"/>
    <w:rsid w:val="00E418BE"/>
    <w:rsid w:val="00E42768"/>
    <w:rsid w:val="00E42FB3"/>
    <w:rsid w:val="00E430D6"/>
    <w:rsid w:val="00E430E6"/>
    <w:rsid w:val="00E43197"/>
    <w:rsid w:val="00E437E1"/>
    <w:rsid w:val="00E43A15"/>
    <w:rsid w:val="00E43A48"/>
    <w:rsid w:val="00E44019"/>
    <w:rsid w:val="00E444D9"/>
    <w:rsid w:val="00E447AE"/>
    <w:rsid w:val="00E447F7"/>
    <w:rsid w:val="00E44997"/>
    <w:rsid w:val="00E459E6"/>
    <w:rsid w:val="00E460CA"/>
    <w:rsid w:val="00E4651D"/>
    <w:rsid w:val="00E46783"/>
    <w:rsid w:val="00E46B4A"/>
    <w:rsid w:val="00E46EFD"/>
    <w:rsid w:val="00E500F4"/>
    <w:rsid w:val="00E50B03"/>
    <w:rsid w:val="00E50C68"/>
    <w:rsid w:val="00E50C8C"/>
    <w:rsid w:val="00E5135B"/>
    <w:rsid w:val="00E51470"/>
    <w:rsid w:val="00E51926"/>
    <w:rsid w:val="00E519AA"/>
    <w:rsid w:val="00E51E43"/>
    <w:rsid w:val="00E52544"/>
    <w:rsid w:val="00E52A00"/>
    <w:rsid w:val="00E5337D"/>
    <w:rsid w:val="00E535DE"/>
    <w:rsid w:val="00E5367F"/>
    <w:rsid w:val="00E5390D"/>
    <w:rsid w:val="00E53A2F"/>
    <w:rsid w:val="00E54136"/>
    <w:rsid w:val="00E54923"/>
    <w:rsid w:val="00E5493A"/>
    <w:rsid w:val="00E54A50"/>
    <w:rsid w:val="00E54DC4"/>
    <w:rsid w:val="00E55507"/>
    <w:rsid w:val="00E55774"/>
    <w:rsid w:val="00E55864"/>
    <w:rsid w:val="00E55BB5"/>
    <w:rsid w:val="00E55CCE"/>
    <w:rsid w:val="00E5626E"/>
    <w:rsid w:val="00E57198"/>
    <w:rsid w:val="00E57639"/>
    <w:rsid w:val="00E579F2"/>
    <w:rsid w:val="00E6059B"/>
    <w:rsid w:val="00E60AA1"/>
    <w:rsid w:val="00E61413"/>
    <w:rsid w:val="00E6178E"/>
    <w:rsid w:val="00E61ADF"/>
    <w:rsid w:val="00E61BC4"/>
    <w:rsid w:val="00E61E53"/>
    <w:rsid w:val="00E620E4"/>
    <w:rsid w:val="00E62186"/>
    <w:rsid w:val="00E6323C"/>
    <w:rsid w:val="00E63E48"/>
    <w:rsid w:val="00E63F3E"/>
    <w:rsid w:val="00E646BB"/>
    <w:rsid w:val="00E65212"/>
    <w:rsid w:val="00E655F2"/>
    <w:rsid w:val="00E658D5"/>
    <w:rsid w:val="00E65C3A"/>
    <w:rsid w:val="00E65CFF"/>
    <w:rsid w:val="00E665CC"/>
    <w:rsid w:val="00E66B42"/>
    <w:rsid w:val="00E66B43"/>
    <w:rsid w:val="00E672B0"/>
    <w:rsid w:val="00E67592"/>
    <w:rsid w:val="00E67823"/>
    <w:rsid w:val="00E678A6"/>
    <w:rsid w:val="00E708DF"/>
    <w:rsid w:val="00E70E9E"/>
    <w:rsid w:val="00E71BF9"/>
    <w:rsid w:val="00E71C07"/>
    <w:rsid w:val="00E72E62"/>
    <w:rsid w:val="00E7339D"/>
    <w:rsid w:val="00E738CA"/>
    <w:rsid w:val="00E73A8B"/>
    <w:rsid w:val="00E73B44"/>
    <w:rsid w:val="00E73CF9"/>
    <w:rsid w:val="00E748A2"/>
    <w:rsid w:val="00E748F5"/>
    <w:rsid w:val="00E7529A"/>
    <w:rsid w:val="00E75CF8"/>
    <w:rsid w:val="00E7621E"/>
    <w:rsid w:val="00E7628E"/>
    <w:rsid w:val="00E767C7"/>
    <w:rsid w:val="00E769E6"/>
    <w:rsid w:val="00E76BE3"/>
    <w:rsid w:val="00E76E69"/>
    <w:rsid w:val="00E76EA7"/>
    <w:rsid w:val="00E77476"/>
    <w:rsid w:val="00E77BCD"/>
    <w:rsid w:val="00E77E28"/>
    <w:rsid w:val="00E77EFC"/>
    <w:rsid w:val="00E80528"/>
    <w:rsid w:val="00E807CB"/>
    <w:rsid w:val="00E80A98"/>
    <w:rsid w:val="00E80DA5"/>
    <w:rsid w:val="00E80E14"/>
    <w:rsid w:val="00E81016"/>
    <w:rsid w:val="00E817B1"/>
    <w:rsid w:val="00E82AB0"/>
    <w:rsid w:val="00E82C28"/>
    <w:rsid w:val="00E839EF"/>
    <w:rsid w:val="00E84160"/>
    <w:rsid w:val="00E844A5"/>
    <w:rsid w:val="00E846DC"/>
    <w:rsid w:val="00E84CBA"/>
    <w:rsid w:val="00E85867"/>
    <w:rsid w:val="00E858CC"/>
    <w:rsid w:val="00E85B0B"/>
    <w:rsid w:val="00E86070"/>
    <w:rsid w:val="00E86571"/>
    <w:rsid w:val="00E865BE"/>
    <w:rsid w:val="00E86CD4"/>
    <w:rsid w:val="00E873DC"/>
    <w:rsid w:val="00E87E28"/>
    <w:rsid w:val="00E90840"/>
    <w:rsid w:val="00E90C07"/>
    <w:rsid w:val="00E90C61"/>
    <w:rsid w:val="00E922D6"/>
    <w:rsid w:val="00E9245B"/>
    <w:rsid w:val="00E930C3"/>
    <w:rsid w:val="00E933A0"/>
    <w:rsid w:val="00E93530"/>
    <w:rsid w:val="00E935F3"/>
    <w:rsid w:val="00E93803"/>
    <w:rsid w:val="00E949DA"/>
    <w:rsid w:val="00E94A80"/>
    <w:rsid w:val="00E94E97"/>
    <w:rsid w:val="00E954F9"/>
    <w:rsid w:val="00E95B83"/>
    <w:rsid w:val="00E96003"/>
    <w:rsid w:val="00E963DF"/>
    <w:rsid w:val="00E968D6"/>
    <w:rsid w:val="00E96B02"/>
    <w:rsid w:val="00E96CA0"/>
    <w:rsid w:val="00E96E3C"/>
    <w:rsid w:val="00E9719B"/>
    <w:rsid w:val="00E979C0"/>
    <w:rsid w:val="00E97D68"/>
    <w:rsid w:val="00EA071B"/>
    <w:rsid w:val="00EA0AA9"/>
    <w:rsid w:val="00EA257A"/>
    <w:rsid w:val="00EA3066"/>
    <w:rsid w:val="00EA3541"/>
    <w:rsid w:val="00EA3B7E"/>
    <w:rsid w:val="00EA3F75"/>
    <w:rsid w:val="00EA41D4"/>
    <w:rsid w:val="00EA441E"/>
    <w:rsid w:val="00EA475D"/>
    <w:rsid w:val="00EA4BAD"/>
    <w:rsid w:val="00EA4EB2"/>
    <w:rsid w:val="00EA4F70"/>
    <w:rsid w:val="00EA53C0"/>
    <w:rsid w:val="00EA5959"/>
    <w:rsid w:val="00EA61B4"/>
    <w:rsid w:val="00EA66BA"/>
    <w:rsid w:val="00EA66D9"/>
    <w:rsid w:val="00EA6DC4"/>
    <w:rsid w:val="00EA71D9"/>
    <w:rsid w:val="00EA7396"/>
    <w:rsid w:val="00EA7B01"/>
    <w:rsid w:val="00EB0923"/>
    <w:rsid w:val="00EB17A7"/>
    <w:rsid w:val="00EB2EDA"/>
    <w:rsid w:val="00EB3031"/>
    <w:rsid w:val="00EB3E23"/>
    <w:rsid w:val="00EB4381"/>
    <w:rsid w:val="00EB47F3"/>
    <w:rsid w:val="00EB50B8"/>
    <w:rsid w:val="00EB513A"/>
    <w:rsid w:val="00EB5536"/>
    <w:rsid w:val="00EB632F"/>
    <w:rsid w:val="00EB6682"/>
    <w:rsid w:val="00EB67B3"/>
    <w:rsid w:val="00EB69DB"/>
    <w:rsid w:val="00EB6DE4"/>
    <w:rsid w:val="00EB7028"/>
    <w:rsid w:val="00EC0274"/>
    <w:rsid w:val="00EC06A0"/>
    <w:rsid w:val="00EC09EF"/>
    <w:rsid w:val="00EC0B7E"/>
    <w:rsid w:val="00EC0E03"/>
    <w:rsid w:val="00EC0F7F"/>
    <w:rsid w:val="00EC1151"/>
    <w:rsid w:val="00EC11AB"/>
    <w:rsid w:val="00EC1C0D"/>
    <w:rsid w:val="00EC1C9F"/>
    <w:rsid w:val="00EC1E73"/>
    <w:rsid w:val="00EC2520"/>
    <w:rsid w:val="00EC29CE"/>
    <w:rsid w:val="00EC33E1"/>
    <w:rsid w:val="00EC36E8"/>
    <w:rsid w:val="00EC3852"/>
    <w:rsid w:val="00EC3AC5"/>
    <w:rsid w:val="00EC3E4A"/>
    <w:rsid w:val="00EC4973"/>
    <w:rsid w:val="00EC4A39"/>
    <w:rsid w:val="00EC4E2B"/>
    <w:rsid w:val="00EC5221"/>
    <w:rsid w:val="00EC599E"/>
    <w:rsid w:val="00EC5D6B"/>
    <w:rsid w:val="00EC6188"/>
    <w:rsid w:val="00EC770A"/>
    <w:rsid w:val="00EC7819"/>
    <w:rsid w:val="00EC7919"/>
    <w:rsid w:val="00EC7A98"/>
    <w:rsid w:val="00EC7CC9"/>
    <w:rsid w:val="00EC7F7C"/>
    <w:rsid w:val="00ED084B"/>
    <w:rsid w:val="00ED0C82"/>
    <w:rsid w:val="00ED0C8E"/>
    <w:rsid w:val="00ED0CCE"/>
    <w:rsid w:val="00ED0FDB"/>
    <w:rsid w:val="00ED107D"/>
    <w:rsid w:val="00ED17B1"/>
    <w:rsid w:val="00ED19DD"/>
    <w:rsid w:val="00ED1A86"/>
    <w:rsid w:val="00ED1B34"/>
    <w:rsid w:val="00ED1B7F"/>
    <w:rsid w:val="00ED2312"/>
    <w:rsid w:val="00ED2D40"/>
    <w:rsid w:val="00ED3567"/>
    <w:rsid w:val="00ED373B"/>
    <w:rsid w:val="00ED3EDD"/>
    <w:rsid w:val="00ED4076"/>
    <w:rsid w:val="00ED425A"/>
    <w:rsid w:val="00ED45DD"/>
    <w:rsid w:val="00ED4D36"/>
    <w:rsid w:val="00ED5470"/>
    <w:rsid w:val="00ED5CA5"/>
    <w:rsid w:val="00ED5CB1"/>
    <w:rsid w:val="00ED6273"/>
    <w:rsid w:val="00ED7A9B"/>
    <w:rsid w:val="00ED7AA3"/>
    <w:rsid w:val="00EE071B"/>
    <w:rsid w:val="00EE0E4F"/>
    <w:rsid w:val="00EE11BF"/>
    <w:rsid w:val="00EE14F8"/>
    <w:rsid w:val="00EE17CB"/>
    <w:rsid w:val="00EE1940"/>
    <w:rsid w:val="00EE19B3"/>
    <w:rsid w:val="00EE1E35"/>
    <w:rsid w:val="00EE2412"/>
    <w:rsid w:val="00EE25AF"/>
    <w:rsid w:val="00EE2B8F"/>
    <w:rsid w:val="00EE2CD1"/>
    <w:rsid w:val="00EE3917"/>
    <w:rsid w:val="00EE3F3E"/>
    <w:rsid w:val="00EE472F"/>
    <w:rsid w:val="00EE4E19"/>
    <w:rsid w:val="00EE5914"/>
    <w:rsid w:val="00EE5CE9"/>
    <w:rsid w:val="00EE5EFF"/>
    <w:rsid w:val="00EE61D4"/>
    <w:rsid w:val="00EE62AC"/>
    <w:rsid w:val="00EE6A20"/>
    <w:rsid w:val="00EE6AB9"/>
    <w:rsid w:val="00EE6B58"/>
    <w:rsid w:val="00EE7059"/>
    <w:rsid w:val="00EE70BE"/>
    <w:rsid w:val="00EE72FE"/>
    <w:rsid w:val="00EE7365"/>
    <w:rsid w:val="00EE768A"/>
    <w:rsid w:val="00EE7BFA"/>
    <w:rsid w:val="00EE7C45"/>
    <w:rsid w:val="00EE7FCA"/>
    <w:rsid w:val="00EF0004"/>
    <w:rsid w:val="00EF0005"/>
    <w:rsid w:val="00EF05E6"/>
    <w:rsid w:val="00EF08C8"/>
    <w:rsid w:val="00EF097E"/>
    <w:rsid w:val="00EF12AC"/>
    <w:rsid w:val="00EF137D"/>
    <w:rsid w:val="00EF1EC2"/>
    <w:rsid w:val="00EF2080"/>
    <w:rsid w:val="00EF2212"/>
    <w:rsid w:val="00EF23E3"/>
    <w:rsid w:val="00EF2A5F"/>
    <w:rsid w:val="00EF2AAF"/>
    <w:rsid w:val="00EF30FF"/>
    <w:rsid w:val="00EF3C3D"/>
    <w:rsid w:val="00EF3F86"/>
    <w:rsid w:val="00EF3F9F"/>
    <w:rsid w:val="00EF4AE0"/>
    <w:rsid w:val="00EF56D6"/>
    <w:rsid w:val="00EF6038"/>
    <w:rsid w:val="00EF610E"/>
    <w:rsid w:val="00EF63F1"/>
    <w:rsid w:val="00EF7552"/>
    <w:rsid w:val="00EF7864"/>
    <w:rsid w:val="00EF7B8F"/>
    <w:rsid w:val="00EF7FA7"/>
    <w:rsid w:val="00F00B7F"/>
    <w:rsid w:val="00F0108D"/>
    <w:rsid w:val="00F0115B"/>
    <w:rsid w:val="00F011BB"/>
    <w:rsid w:val="00F0160F"/>
    <w:rsid w:val="00F0178C"/>
    <w:rsid w:val="00F01B0A"/>
    <w:rsid w:val="00F01E55"/>
    <w:rsid w:val="00F01EF2"/>
    <w:rsid w:val="00F02731"/>
    <w:rsid w:val="00F02C9C"/>
    <w:rsid w:val="00F034C1"/>
    <w:rsid w:val="00F0382D"/>
    <w:rsid w:val="00F04087"/>
    <w:rsid w:val="00F04B6D"/>
    <w:rsid w:val="00F051C1"/>
    <w:rsid w:val="00F05B5E"/>
    <w:rsid w:val="00F05DAB"/>
    <w:rsid w:val="00F065A8"/>
    <w:rsid w:val="00F0697E"/>
    <w:rsid w:val="00F06B51"/>
    <w:rsid w:val="00F06EB2"/>
    <w:rsid w:val="00F101FE"/>
    <w:rsid w:val="00F10D50"/>
    <w:rsid w:val="00F1104A"/>
    <w:rsid w:val="00F113D3"/>
    <w:rsid w:val="00F1172A"/>
    <w:rsid w:val="00F11CE0"/>
    <w:rsid w:val="00F12279"/>
    <w:rsid w:val="00F128E0"/>
    <w:rsid w:val="00F12C2F"/>
    <w:rsid w:val="00F13A3A"/>
    <w:rsid w:val="00F13CB0"/>
    <w:rsid w:val="00F13D25"/>
    <w:rsid w:val="00F14364"/>
    <w:rsid w:val="00F149B0"/>
    <w:rsid w:val="00F14B0E"/>
    <w:rsid w:val="00F14C3C"/>
    <w:rsid w:val="00F151DD"/>
    <w:rsid w:val="00F15598"/>
    <w:rsid w:val="00F15631"/>
    <w:rsid w:val="00F15C6E"/>
    <w:rsid w:val="00F1685F"/>
    <w:rsid w:val="00F16AB8"/>
    <w:rsid w:val="00F16BCE"/>
    <w:rsid w:val="00F175E9"/>
    <w:rsid w:val="00F17DC4"/>
    <w:rsid w:val="00F202B8"/>
    <w:rsid w:val="00F2030A"/>
    <w:rsid w:val="00F20C74"/>
    <w:rsid w:val="00F2165B"/>
    <w:rsid w:val="00F21734"/>
    <w:rsid w:val="00F225B7"/>
    <w:rsid w:val="00F2357A"/>
    <w:rsid w:val="00F2392D"/>
    <w:rsid w:val="00F23A5F"/>
    <w:rsid w:val="00F23F8C"/>
    <w:rsid w:val="00F24162"/>
    <w:rsid w:val="00F247E0"/>
    <w:rsid w:val="00F24D1C"/>
    <w:rsid w:val="00F24D53"/>
    <w:rsid w:val="00F24ED4"/>
    <w:rsid w:val="00F252F9"/>
    <w:rsid w:val="00F258C5"/>
    <w:rsid w:val="00F25D7F"/>
    <w:rsid w:val="00F2614D"/>
    <w:rsid w:val="00F26654"/>
    <w:rsid w:val="00F27D38"/>
    <w:rsid w:val="00F308D8"/>
    <w:rsid w:val="00F30FDB"/>
    <w:rsid w:val="00F315F2"/>
    <w:rsid w:val="00F32A3F"/>
    <w:rsid w:val="00F3407D"/>
    <w:rsid w:val="00F3425E"/>
    <w:rsid w:val="00F34807"/>
    <w:rsid w:val="00F35F1E"/>
    <w:rsid w:val="00F360C9"/>
    <w:rsid w:val="00F36392"/>
    <w:rsid w:val="00F36677"/>
    <w:rsid w:val="00F3678C"/>
    <w:rsid w:val="00F36891"/>
    <w:rsid w:val="00F368C4"/>
    <w:rsid w:val="00F374C4"/>
    <w:rsid w:val="00F400C0"/>
    <w:rsid w:val="00F40362"/>
    <w:rsid w:val="00F4109F"/>
    <w:rsid w:val="00F41502"/>
    <w:rsid w:val="00F431CD"/>
    <w:rsid w:val="00F43DD7"/>
    <w:rsid w:val="00F44DBC"/>
    <w:rsid w:val="00F451F0"/>
    <w:rsid w:val="00F45409"/>
    <w:rsid w:val="00F456A1"/>
    <w:rsid w:val="00F45EDD"/>
    <w:rsid w:val="00F466A6"/>
    <w:rsid w:val="00F469FA"/>
    <w:rsid w:val="00F46B74"/>
    <w:rsid w:val="00F47296"/>
    <w:rsid w:val="00F472DD"/>
    <w:rsid w:val="00F47790"/>
    <w:rsid w:val="00F5057D"/>
    <w:rsid w:val="00F5065A"/>
    <w:rsid w:val="00F51349"/>
    <w:rsid w:val="00F5147A"/>
    <w:rsid w:val="00F517DA"/>
    <w:rsid w:val="00F526E6"/>
    <w:rsid w:val="00F530FA"/>
    <w:rsid w:val="00F53665"/>
    <w:rsid w:val="00F53773"/>
    <w:rsid w:val="00F539FC"/>
    <w:rsid w:val="00F53A8B"/>
    <w:rsid w:val="00F53F32"/>
    <w:rsid w:val="00F542BA"/>
    <w:rsid w:val="00F5465F"/>
    <w:rsid w:val="00F54EF8"/>
    <w:rsid w:val="00F55CBF"/>
    <w:rsid w:val="00F55CD9"/>
    <w:rsid w:val="00F55E5A"/>
    <w:rsid w:val="00F562A8"/>
    <w:rsid w:val="00F564B5"/>
    <w:rsid w:val="00F56D9E"/>
    <w:rsid w:val="00F57BCC"/>
    <w:rsid w:val="00F6115E"/>
    <w:rsid w:val="00F61B5E"/>
    <w:rsid w:val="00F6207E"/>
    <w:rsid w:val="00F62604"/>
    <w:rsid w:val="00F62BFC"/>
    <w:rsid w:val="00F63855"/>
    <w:rsid w:val="00F63857"/>
    <w:rsid w:val="00F63A2C"/>
    <w:rsid w:val="00F64095"/>
    <w:rsid w:val="00F6430B"/>
    <w:rsid w:val="00F64444"/>
    <w:rsid w:val="00F64471"/>
    <w:rsid w:val="00F6457B"/>
    <w:rsid w:val="00F6570A"/>
    <w:rsid w:val="00F6572D"/>
    <w:rsid w:val="00F65C0E"/>
    <w:rsid w:val="00F65E41"/>
    <w:rsid w:val="00F660B6"/>
    <w:rsid w:val="00F6674B"/>
    <w:rsid w:val="00F670DC"/>
    <w:rsid w:val="00F672A3"/>
    <w:rsid w:val="00F675A4"/>
    <w:rsid w:val="00F676EC"/>
    <w:rsid w:val="00F6773E"/>
    <w:rsid w:val="00F679CA"/>
    <w:rsid w:val="00F67C21"/>
    <w:rsid w:val="00F67EE3"/>
    <w:rsid w:val="00F70050"/>
    <w:rsid w:val="00F70314"/>
    <w:rsid w:val="00F71204"/>
    <w:rsid w:val="00F71DC8"/>
    <w:rsid w:val="00F71E8F"/>
    <w:rsid w:val="00F7223B"/>
    <w:rsid w:val="00F72623"/>
    <w:rsid w:val="00F73040"/>
    <w:rsid w:val="00F7380B"/>
    <w:rsid w:val="00F7409C"/>
    <w:rsid w:val="00F75011"/>
    <w:rsid w:val="00F750E8"/>
    <w:rsid w:val="00F75250"/>
    <w:rsid w:val="00F758DC"/>
    <w:rsid w:val="00F76327"/>
    <w:rsid w:val="00F763D2"/>
    <w:rsid w:val="00F76B1C"/>
    <w:rsid w:val="00F7705D"/>
    <w:rsid w:val="00F77084"/>
    <w:rsid w:val="00F77DB6"/>
    <w:rsid w:val="00F77E99"/>
    <w:rsid w:val="00F807EF"/>
    <w:rsid w:val="00F810FD"/>
    <w:rsid w:val="00F8138C"/>
    <w:rsid w:val="00F81735"/>
    <w:rsid w:val="00F82EF2"/>
    <w:rsid w:val="00F83194"/>
    <w:rsid w:val="00F84353"/>
    <w:rsid w:val="00F843AC"/>
    <w:rsid w:val="00F8441E"/>
    <w:rsid w:val="00F8454A"/>
    <w:rsid w:val="00F847D1"/>
    <w:rsid w:val="00F857FE"/>
    <w:rsid w:val="00F85F90"/>
    <w:rsid w:val="00F86125"/>
    <w:rsid w:val="00F866DA"/>
    <w:rsid w:val="00F866E3"/>
    <w:rsid w:val="00F86727"/>
    <w:rsid w:val="00F87656"/>
    <w:rsid w:val="00F876D7"/>
    <w:rsid w:val="00F87B13"/>
    <w:rsid w:val="00F87F14"/>
    <w:rsid w:val="00F87FA6"/>
    <w:rsid w:val="00F90338"/>
    <w:rsid w:val="00F9073F"/>
    <w:rsid w:val="00F9089B"/>
    <w:rsid w:val="00F9129F"/>
    <w:rsid w:val="00F91902"/>
    <w:rsid w:val="00F92CDE"/>
    <w:rsid w:val="00F93126"/>
    <w:rsid w:val="00F93504"/>
    <w:rsid w:val="00F93512"/>
    <w:rsid w:val="00F93852"/>
    <w:rsid w:val="00F939D0"/>
    <w:rsid w:val="00F939DE"/>
    <w:rsid w:val="00F94558"/>
    <w:rsid w:val="00F945AF"/>
    <w:rsid w:val="00F9506B"/>
    <w:rsid w:val="00F9507D"/>
    <w:rsid w:val="00F951C4"/>
    <w:rsid w:val="00F95429"/>
    <w:rsid w:val="00F957A0"/>
    <w:rsid w:val="00F9596C"/>
    <w:rsid w:val="00F96750"/>
    <w:rsid w:val="00F97446"/>
    <w:rsid w:val="00F97749"/>
    <w:rsid w:val="00F977C3"/>
    <w:rsid w:val="00F97908"/>
    <w:rsid w:val="00F97953"/>
    <w:rsid w:val="00F97E72"/>
    <w:rsid w:val="00F97E7C"/>
    <w:rsid w:val="00F97FFD"/>
    <w:rsid w:val="00FA128C"/>
    <w:rsid w:val="00FA1AFE"/>
    <w:rsid w:val="00FA1E4B"/>
    <w:rsid w:val="00FA2044"/>
    <w:rsid w:val="00FA22CF"/>
    <w:rsid w:val="00FA28D7"/>
    <w:rsid w:val="00FA291F"/>
    <w:rsid w:val="00FA2B67"/>
    <w:rsid w:val="00FA2D93"/>
    <w:rsid w:val="00FA2D99"/>
    <w:rsid w:val="00FA30C3"/>
    <w:rsid w:val="00FA32B0"/>
    <w:rsid w:val="00FA386C"/>
    <w:rsid w:val="00FA3FFD"/>
    <w:rsid w:val="00FA427C"/>
    <w:rsid w:val="00FA4C2A"/>
    <w:rsid w:val="00FA4CC3"/>
    <w:rsid w:val="00FA54E9"/>
    <w:rsid w:val="00FA55F7"/>
    <w:rsid w:val="00FA7D37"/>
    <w:rsid w:val="00FB044B"/>
    <w:rsid w:val="00FB0767"/>
    <w:rsid w:val="00FB0A44"/>
    <w:rsid w:val="00FB0A6F"/>
    <w:rsid w:val="00FB107E"/>
    <w:rsid w:val="00FB126C"/>
    <w:rsid w:val="00FB1729"/>
    <w:rsid w:val="00FB2336"/>
    <w:rsid w:val="00FB2469"/>
    <w:rsid w:val="00FB32C0"/>
    <w:rsid w:val="00FB458F"/>
    <w:rsid w:val="00FB46B9"/>
    <w:rsid w:val="00FB4C40"/>
    <w:rsid w:val="00FB5D28"/>
    <w:rsid w:val="00FB6219"/>
    <w:rsid w:val="00FB63DF"/>
    <w:rsid w:val="00FB7253"/>
    <w:rsid w:val="00FB79F1"/>
    <w:rsid w:val="00FB7BDB"/>
    <w:rsid w:val="00FB7CB6"/>
    <w:rsid w:val="00FC02E5"/>
    <w:rsid w:val="00FC0915"/>
    <w:rsid w:val="00FC0FF9"/>
    <w:rsid w:val="00FC107D"/>
    <w:rsid w:val="00FC1373"/>
    <w:rsid w:val="00FC1DF8"/>
    <w:rsid w:val="00FC1EFF"/>
    <w:rsid w:val="00FC30B3"/>
    <w:rsid w:val="00FC336E"/>
    <w:rsid w:val="00FC33A1"/>
    <w:rsid w:val="00FC3EE2"/>
    <w:rsid w:val="00FC49B9"/>
    <w:rsid w:val="00FC4AEC"/>
    <w:rsid w:val="00FC50F4"/>
    <w:rsid w:val="00FC515E"/>
    <w:rsid w:val="00FC5429"/>
    <w:rsid w:val="00FC5500"/>
    <w:rsid w:val="00FC5602"/>
    <w:rsid w:val="00FC5610"/>
    <w:rsid w:val="00FC6B88"/>
    <w:rsid w:val="00FC75DD"/>
    <w:rsid w:val="00FCF3EE"/>
    <w:rsid w:val="00FD0A8D"/>
    <w:rsid w:val="00FD0C66"/>
    <w:rsid w:val="00FD0DDF"/>
    <w:rsid w:val="00FD1D2D"/>
    <w:rsid w:val="00FD1EDF"/>
    <w:rsid w:val="00FD2719"/>
    <w:rsid w:val="00FD2B53"/>
    <w:rsid w:val="00FD2B78"/>
    <w:rsid w:val="00FD3158"/>
    <w:rsid w:val="00FD3175"/>
    <w:rsid w:val="00FD39A8"/>
    <w:rsid w:val="00FD4971"/>
    <w:rsid w:val="00FD5325"/>
    <w:rsid w:val="00FD59DB"/>
    <w:rsid w:val="00FD5D58"/>
    <w:rsid w:val="00FD5F6A"/>
    <w:rsid w:val="00FD6044"/>
    <w:rsid w:val="00FD7117"/>
    <w:rsid w:val="00FD7C97"/>
    <w:rsid w:val="00FD7F45"/>
    <w:rsid w:val="00FD7F81"/>
    <w:rsid w:val="00FE07C9"/>
    <w:rsid w:val="00FE0FC5"/>
    <w:rsid w:val="00FE14A4"/>
    <w:rsid w:val="00FE2459"/>
    <w:rsid w:val="00FE254A"/>
    <w:rsid w:val="00FE30ED"/>
    <w:rsid w:val="00FE35AB"/>
    <w:rsid w:val="00FE3ECC"/>
    <w:rsid w:val="00FE456C"/>
    <w:rsid w:val="00FE548B"/>
    <w:rsid w:val="00FE55B7"/>
    <w:rsid w:val="00FE584F"/>
    <w:rsid w:val="00FE5B25"/>
    <w:rsid w:val="00FE6CB0"/>
    <w:rsid w:val="00FE71F9"/>
    <w:rsid w:val="00FE7954"/>
    <w:rsid w:val="00FE7993"/>
    <w:rsid w:val="00FE7B9D"/>
    <w:rsid w:val="00FE7E89"/>
    <w:rsid w:val="00FF05DA"/>
    <w:rsid w:val="00FF06AF"/>
    <w:rsid w:val="00FF07A8"/>
    <w:rsid w:val="00FF0A97"/>
    <w:rsid w:val="00FF108C"/>
    <w:rsid w:val="00FF1AF7"/>
    <w:rsid w:val="00FF2823"/>
    <w:rsid w:val="00FF387B"/>
    <w:rsid w:val="00FF4043"/>
    <w:rsid w:val="00FF426E"/>
    <w:rsid w:val="00FF4674"/>
    <w:rsid w:val="00FF4995"/>
    <w:rsid w:val="00FF4B9B"/>
    <w:rsid w:val="00FF4C42"/>
    <w:rsid w:val="00FF5B00"/>
    <w:rsid w:val="00FF61A0"/>
    <w:rsid w:val="00FF62AE"/>
    <w:rsid w:val="00FF62FF"/>
    <w:rsid w:val="00FF64C1"/>
    <w:rsid w:val="00FF6B47"/>
    <w:rsid w:val="00FF707C"/>
    <w:rsid w:val="00FF7267"/>
    <w:rsid w:val="00FF7925"/>
    <w:rsid w:val="010066F9"/>
    <w:rsid w:val="0148A905"/>
    <w:rsid w:val="01614ECF"/>
    <w:rsid w:val="017C3FE9"/>
    <w:rsid w:val="019AD8C5"/>
    <w:rsid w:val="019ADCC5"/>
    <w:rsid w:val="01DB1FB4"/>
    <w:rsid w:val="01EE0542"/>
    <w:rsid w:val="02242C3D"/>
    <w:rsid w:val="0229D4DC"/>
    <w:rsid w:val="022D904D"/>
    <w:rsid w:val="024E7104"/>
    <w:rsid w:val="0266903D"/>
    <w:rsid w:val="0267E23B"/>
    <w:rsid w:val="029E212A"/>
    <w:rsid w:val="02C8E3E1"/>
    <w:rsid w:val="02FC7D2E"/>
    <w:rsid w:val="0301CB41"/>
    <w:rsid w:val="033FA159"/>
    <w:rsid w:val="03462EF8"/>
    <w:rsid w:val="035FFF7F"/>
    <w:rsid w:val="03A02CA2"/>
    <w:rsid w:val="03A14A33"/>
    <w:rsid w:val="03B4F498"/>
    <w:rsid w:val="03B94384"/>
    <w:rsid w:val="040583CF"/>
    <w:rsid w:val="0424DC6E"/>
    <w:rsid w:val="042A236F"/>
    <w:rsid w:val="04532A03"/>
    <w:rsid w:val="04534FB2"/>
    <w:rsid w:val="047D16AB"/>
    <w:rsid w:val="047E7402"/>
    <w:rsid w:val="047EBA2F"/>
    <w:rsid w:val="048EF16A"/>
    <w:rsid w:val="049A3B72"/>
    <w:rsid w:val="04D4C951"/>
    <w:rsid w:val="04F8EFA6"/>
    <w:rsid w:val="04FD0A8A"/>
    <w:rsid w:val="0503AC40"/>
    <w:rsid w:val="05079C35"/>
    <w:rsid w:val="051A48F0"/>
    <w:rsid w:val="051BFBFD"/>
    <w:rsid w:val="057BDDDA"/>
    <w:rsid w:val="0582CE06"/>
    <w:rsid w:val="058C5FED"/>
    <w:rsid w:val="058DD724"/>
    <w:rsid w:val="05CA6AC0"/>
    <w:rsid w:val="05DB5B1F"/>
    <w:rsid w:val="0605B745"/>
    <w:rsid w:val="0608F7EB"/>
    <w:rsid w:val="063E2DD0"/>
    <w:rsid w:val="06887B6E"/>
    <w:rsid w:val="06A47544"/>
    <w:rsid w:val="06E57229"/>
    <w:rsid w:val="077DD836"/>
    <w:rsid w:val="07ADB1A6"/>
    <w:rsid w:val="07E8C54B"/>
    <w:rsid w:val="07F86DDA"/>
    <w:rsid w:val="0806926C"/>
    <w:rsid w:val="0812AA8F"/>
    <w:rsid w:val="0819637C"/>
    <w:rsid w:val="0839F2CD"/>
    <w:rsid w:val="085AB888"/>
    <w:rsid w:val="0888D9EA"/>
    <w:rsid w:val="08C20F3B"/>
    <w:rsid w:val="08D5426F"/>
    <w:rsid w:val="08D7BCEE"/>
    <w:rsid w:val="08EF7335"/>
    <w:rsid w:val="0911F59A"/>
    <w:rsid w:val="0920805B"/>
    <w:rsid w:val="093393FF"/>
    <w:rsid w:val="094C1707"/>
    <w:rsid w:val="0952D9DB"/>
    <w:rsid w:val="099917E0"/>
    <w:rsid w:val="09BD7A82"/>
    <w:rsid w:val="09C4276F"/>
    <w:rsid w:val="09CEADAF"/>
    <w:rsid w:val="0A108CDB"/>
    <w:rsid w:val="0A3201EE"/>
    <w:rsid w:val="0A906954"/>
    <w:rsid w:val="0ABFEF3B"/>
    <w:rsid w:val="0AD59979"/>
    <w:rsid w:val="0AD96866"/>
    <w:rsid w:val="0ADF6080"/>
    <w:rsid w:val="0AE47BFC"/>
    <w:rsid w:val="0AFD2836"/>
    <w:rsid w:val="0B201BBC"/>
    <w:rsid w:val="0B4DD6D7"/>
    <w:rsid w:val="0B521109"/>
    <w:rsid w:val="0B54270E"/>
    <w:rsid w:val="0B6B0991"/>
    <w:rsid w:val="0B77A6FC"/>
    <w:rsid w:val="0B8BF937"/>
    <w:rsid w:val="0B98666F"/>
    <w:rsid w:val="0BA480AF"/>
    <w:rsid w:val="0BAA3733"/>
    <w:rsid w:val="0BB4E264"/>
    <w:rsid w:val="0BB5DFE6"/>
    <w:rsid w:val="0BD3CA48"/>
    <w:rsid w:val="0C289001"/>
    <w:rsid w:val="0C383E54"/>
    <w:rsid w:val="0C38FB18"/>
    <w:rsid w:val="0C50B82B"/>
    <w:rsid w:val="0C56DBF1"/>
    <w:rsid w:val="0C5F908B"/>
    <w:rsid w:val="0C620327"/>
    <w:rsid w:val="0C6984ED"/>
    <w:rsid w:val="0C6B0805"/>
    <w:rsid w:val="0C6C1564"/>
    <w:rsid w:val="0C77D562"/>
    <w:rsid w:val="0C7F976D"/>
    <w:rsid w:val="0C9F0B9D"/>
    <w:rsid w:val="0CA0B7D1"/>
    <w:rsid w:val="0CA4C10B"/>
    <w:rsid w:val="0CD10C6D"/>
    <w:rsid w:val="0CEDB782"/>
    <w:rsid w:val="0CF1C08E"/>
    <w:rsid w:val="0CFE967B"/>
    <w:rsid w:val="0D0F7833"/>
    <w:rsid w:val="0D12AE1A"/>
    <w:rsid w:val="0D57B093"/>
    <w:rsid w:val="0D6D271C"/>
    <w:rsid w:val="0D70CE21"/>
    <w:rsid w:val="0D8E7663"/>
    <w:rsid w:val="0D934CA7"/>
    <w:rsid w:val="0DAA957E"/>
    <w:rsid w:val="0DC40C30"/>
    <w:rsid w:val="0DE908A9"/>
    <w:rsid w:val="0E15BD4B"/>
    <w:rsid w:val="0E341433"/>
    <w:rsid w:val="0E480523"/>
    <w:rsid w:val="0E4F2EFA"/>
    <w:rsid w:val="0E541593"/>
    <w:rsid w:val="0E69A588"/>
    <w:rsid w:val="0E899456"/>
    <w:rsid w:val="0EA1A294"/>
    <w:rsid w:val="0EB35944"/>
    <w:rsid w:val="0ED01CF1"/>
    <w:rsid w:val="0EDA54C0"/>
    <w:rsid w:val="0EEDA593"/>
    <w:rsid w:val="0F04AB41"/>
    <w:rsid w:val="0F24029A"/>
    <w:rsid w:val="0F28CFB1"/>
    <w:rsid w:val="0F42AB0C"/>
    <w:rsid w:val="0F63E207"/>
    <w:rsid w:val="0F64F526"/>
    <w:rsid w:val="0F69655C"/>
    <w:rsid w:val="0F721AE6"/>
    <w:rsid w:val="0F7DCF93"/>
    <w:rsid w:val="0F88E7E9"/>
    <w:rsid w:val="0F975644"/>
    <w:rsid w:val="0FABA82B"/>
    <w:rsid w:val="0FD6CEEA"/>
    <w:rsid w:val="0FEBBFB5"/>
    <w:rsid w:val="0FFB1B45"/>
    <w:rsid w:val="10033ADC"/>
    <w:rsid w:val="10226DBB"/>
    <w:rsid w:val="108837F8"/>
    <w:rsid w:val="10968643"/>
    <w:rsid w:val="10C25C80"/>
    <w:rsid w:val="10C6EA49"/>
    <w:rsid w:val="110C83F3"/>
    <w:rsid w:val="11161760"/>
    <w:rsid w:val="1120D07C"/>
    <w:rsid w:val="11282FF7"/>
    <w:rsid w:val="1136F2C5"/>
    <w:rsid w:val="11546DC8"/>
    <w:rsid w:val="1198D621"/>
    <w:rsid w:val="11FC456B"/>
    <w:rsid w:val="121B7937"/>
    <w:rsid w:val="12261766"/>
    <w:rsid w:val="1237837D"/>
    <w:rsid w:val="123DCDF3"/>
    <w:rsid w:val="124A5AF1"/>
    <w:rsid w:val="126A9227"/>
    <w:rsid w:val="128DFCFD"/>
    <w:rsid w:val="12C3D273"/>
    <w:rsid w:val="12CC85F8"/>
    <w:rsid w:val="12DD1685"/>
    <w:rsid w:val="12F1A37D"/>
    <w:rsid w:val="130D33C3"/>
    <w:rsid w:val="131C02F8"/>
    <w:rsid w:val="13333E2D"/>
    <w:rsid w:val="133EB6EE"/>
    <w:rsid w:val="13421B78"/>
    <w:rsid w:val="13589C0B"/>
    <w:rsid w:val="137F68E2"/>
    <w:rsid w:val="13881E74"/>
    <w:rsid w:val="138FC593"/>
    <w:rsid w:val="13D857C0"/>
    <w:rsid w:val="13F5FF90"/>
    <w:rsid w:val="140256F0"/>
    <w:rsid w:val="14128588"/>
    <w:rsid w:val="1415259E"/>
    <w:rsid w:val="14411594"/>
    <w:rsid w:val="144F6232"/>
    <w:rsid w:val="14772CE4"/>
    <w:rsid w:val="1489849B"/>
    <w:rsid w:val="14901B26"/>
    <w:rsid w:val="14984C26"/>
    <w:rsid w:val="14AC5204"/>
    <w:rsid w:val="14BCD916"/>
    <w:rsid w:val="14D665C1"/>
    <w:rsid w:val="151D0170"/>
    <w:rsid w:val="15B16E33"/>
    <w:rsid w:val="15B17AD7"/>
    <w:rsid w:val="15BEA94C"/>
    <w:rsid w:val="15EA096A"/>
    <w:rsid w:val="1602E5FF"/>
    <w:rsid w:val="16133A17"/>
    <w:rsid w:val="1617FB68"/>
    <w:rsid w:val="162C6ABF"/>
    <w:rsid w:val="1632D9AB"/>
    <w:rsid w:val="164AE00B"/>
    <w:rsid w:val="1658FEA5"/>
    <w:rsid w:val="165ED551"/>
    <w:rsid w:val="16819DC2"/>
    <w:rsid w:val="169D2EFC"/>
    <w:rsid w:val="16ADC53B"/>
    <w:rsid w:val="16B6075D"/>
    <w:rsid w:val="16D16D0E"/>
    <w:rsid w:val="16D20779"/>
    <w:rsid w:val="170B5B1C"/>
    <w:rsid w:val="170C1CC6"/>
    <w:rsid w:val="1710F101"/>
    <w:rsid w:val="1725CB68"/>
    <w:rsid w:val="1733460F"/>
    <w:rsid w:val="176C9E7C"/>
    <w:rsid w:val="1792D896"/>
    <w:rsid w:val="17E5502E"/>
    <w:rsid w:val="181A56C7"/>
    <w:rsid w:val="182024BE"/>
    <w:rsid w:val="182CE5D0"/>
    <w:rsid w:val="1831D64A"/>
    <w:rsid w:val="18324F9E"/>
    <w:rsid w:val="1833D99D"/>
    <w:rsid w:val="184F724E"/>
    <w:rsid w:val="1867F9BC"/>
    <w:rsid w:val="18692FC5"/>
    <w:rsid w:val="186AB0DC"/>
    <w:rsid w:val="186B49ED"/>
    <w:rsid w:val="1891A99C"/>
    <w:rsid w:val="18A84A2E"/>
    <w:rsid w:val="18B10BE3"/>
    <w:rsid w:val="18CF10EB"/>
    <w:rsid w:val="1905843F"/>
    <w:rsid w:val="1911BF42"/>
    <w:rsid w:val="192F85BA"/>
    <w:rsid w:val="1930F30C"/>
    <w:rsid w:val="1980E940"/>
    <w:rsid w:val="1983906F"/>
    <w:rsid w:val="1995BB9C"/>
    <w:rsid w:val="199DD607"/>
    <w:rsid w:val="19A0091A"/>
    <w:rsid w:val="19AD8066"/>
    <w:rsid w:val="19AE7777"/>
    <w:rsid w:val="19B5AE2F"/>
    <w:rsid w:val="19C44AE7"/>
    <w:rsid w:val="19C79D31"/>
    <w:rsid w:val="1A28A4AA"/>
    <w:rsid w:val="1A372F58"/>
    <w:rsid w:val="1A4ADDDC"/>
    <w:rsid w:val="1A597DA5"/>
    <w:rsid w:val="1AC6763B"/>
    <w:rsid w:val="1ACCCF74"/>
    <w:rsid w:val="1AF09064"/>
    <w:rsid w:val="1AF887B4"/>
    <w:rsid w:val="1AFF25F4"/>
    <w:rsid w:val="1B13123A"/>
    <w:rsid w:val="1B21DFA8"/>
    <w:rsid w:val="1B5F4F02"/>
    <w:rsid w:val="1B722950"/>
    <w:rsid w:val="1BB05045"/>
    <w:rsid w:val="1BB8B0E4"/>
    <w:rsid w:val="1BC2AEFB"/>
    <w:rsid w:val="1BDD27B6"/>
    <w:rsid w:val="1BE919A7"/>
    <w:rsid w:val="1C2C9D9F"/>
    <w:rsid w:val="1C327A7E"/>
    <w:rsid w:val="1C69886A"/>
    <w:rsid w:val="1C746A71"/>
    <w:rsid w:val="1C89FC54"/>
    <w:rsid w:val="1C9F8003"/>
    <w:rsid w:val="1CC88360"/>
    <w:rsid w:val="1CCFB618"/>
    <w:rsid w:val="1CE1742C"/>
    <w:rsid w:val="1CF83C87"/>
    <w:rsid w:val="1D03335C"/>
    <w:rsid w:val="1D47171D"/>
    <w:rsid w:val="1D7D1109"/>
    <w:rsid w:val="1D93A04B"/>
    <w:rsid w:val="1DB466F8"/>
    <w:rsid w:val="1DC20B1B"/>
    <w:rsid w:val="1DDB12CA"/>
    <w:rsid w:val="1DFA2B4C"/>
    <w:rsid w:val="1E1C94D7"/>
    <w:rsid w:val="1E2D0959"/>
    <w:rsid w:val="1E3A952F"/>
    <w:rsid w:val="1E875A1E"/>
    <w:rsid w:val="1E9C2B62"/>
    <w:rsid w:val="1EA37279"/>
    <w:rsid w:val="1EA62CD3"/>
    <w:rsid w:val="1EAC4864"/>
    <w:rsid w:val="1EBED5CB"/>
    <w:rsid w:val="1EDA86AC"/>
    <w:rsid w:val="1F192A49"/>
    <w:rsid w:val="1F1C32AA"/>
    <w:rsid w:val="1F3B4299"/>
    <w:rsid w:val="1F421407"/>
    <w:rsid w:val="1F4FC48C"/>
    <w:rsid w:val="1F60A4AD"/>
    <w:rsid w:val="1F6799BD"/>
    <w:rsid w:val="1F8A2262"/>
    <w:rsid w:val="1F95451B"/>
    <w:rsid w:val="1FA5E484"/>
    <w:rsid w:val="1FBC02BC"/>
    <w:rsid w:val="1FC88D83"/>
    <w:rsid w:val="1FCE7C79"/>
    <w:rsid w:val="200B5F01"/>
    <w:rsid w:val="20336C56"/>
    <w:rsid w:val="205059D7"/>
    <w:rsid w:val="2057934A"/>
    <w:rsid w:val="206630B3"/>
    <w:rsid w:val="2089AD61"/>
    <w:rsid w:val="2096EE13"/>
    <w:rsid w:val="20A5856D"/>
    <w:rsid w:val="20AC39F1"/>
    <w:rsid w:val="20B77C78"/>
    <w:rsid w:val="20C03BAB"/>
    <w:rsid w:val="20DB60F2"/>
    <w:rsid w:val="2107AC97"/>
    <w:rsid w:val="210E6EDD"/>
    <w:rsid w:val="2113524A"/>
    <w:rsid w:val="21140035"/>
    <w:rsid w:val="211C882D"/>
    <w:rsid w:val="212C64CB"/>
    <w:rsid w:val="21305CA9"/>
    <w:rsid w:val="213AA246"/>
    <w:rsid w:val="2145E4B6"/>
    <w:rsid w:val="214D1DAB"/>
    <w:rsid w:val="21567313"/>
    <w:rsid w:val="216E0E34"/>
    <w:rsid w:val="21797C6F"/>
    <w:rsid w:val="21899690"/>
    <w:rsid w:val="218CB735"/>
    <w:rsid w:val="2195366F"/>
    <w:rsid w:val="219FA9DC"/>
    <w:rsid w:val="21A446B2"/>
    <w:rsid w:val="21AFC738"/>
    <w:rsid w:val="21B678F1"/>
    <w:rsid w:val="21BA3372"/>
    <w:rsid w:val="21C18086"/>
    <w:rsid w:val="222FC21D"/>
    <w:rsid w:val="2234CBF7"/>
    <w:rsid w:val="2236E52F"/>
    <w:rsid w:val="2239EBA6"/>
    <w:rsid w:val="2241ABCE"/>
    <w:rsid w:val="225022A7"/>
    <w:rsid w:val="22562408"/>
    <w:rsid w:val="2263C7EE"/>
    <w:rsid w:val="2283C718"/>
    <w:rsid w:val="2296A1CE"/>
    <w:rsid w:val="22C0911E"/>
    <w:rsid w:val="22D8906F"/>
    <w:rsid w:val="22E2972C"/>
    <w:rsid w:val="22E6361B"/>
    <w:rsid w:val="22F62AEA"/>
    <w:rsid w:val="22FF3CFB"/>
    <w:rsid w:val="2304AA2D"/>
    <w:rsid w:val="23442CE8"/>
    <w:rsid w:val="234A65D0"/>
    <w:rsid w:val="23571888"/>
    <w:rsid w:val="23711913"/>
    <w:rsid w:val="23AC21F5"/>
    <w:rsid w:val="23CCB12A"/>
    <w:rsid w:val="24060950"/>
    <w:rsid w:val="24067F35"/>
    <w:rsid w:val="24215780"/>
    <w:rsid w:val="2421E9C9"/>
    <w:rsid w:val="24232180"/>
    <w:rsid w:val="242FE371"/>
    <w:rsid w:val="24305577"/>
    <w:rsid w:val="246FB7B0"/>
    <w:rsid w:val="247F1450"/>
    <w:rsid w:val="248790E6"/>
    <w:rsid w:val="24A8E47F"/>
    <w:rsid w:val="24F85CA1"/>
    <w:rsid w:val="24F9E182"/>
    <w:rsid w:val="2531B5CD"/>
    <w:rsid w:val="25442B4E"/>
    <w:rsid w:val="2562BDC7"/>
    <w:rsid w:val="256BBD43"/>
    <w:rsid w:val="25832B5E"/>
    <w:rsid w:val="258EE3A1"/>
    <w:rsid w:val="259DF502"/>
    <w:rsid w:val="25BF5146"/>
    <w:rsid w:val="2610F771"/>
    <w:rsid w:val="261583AF"/>
    <w:rsid w:val="261B9D86"/>
    <w:rsid w:val="2689C23E"/>
    <w:rsid w:val="268AEA9D"/>
    <w:rsid w:val="2693B11F"/>
    <w:rsid w:val="2697C773"/>
    <w:rsid w:val="26C065A4"/>
    <w:rsid w:val="26C278C7"/>
    <w:rsid w:val="26D553A2"/>
    <w:rsid w:val="26DB854A"/>
    <w:rsid w:val="27390546"/>
    <w:rsid w:val="2752914C"/>
    <w:rsid w:val="275EB292"/>
    <w:rsid w:val="2763890F"/>
    <w:rsid w:val="27BBF728"/>
    <w:rsid w:val="27F7FB56"/>
    <w:rsid w:val="282301BB"/>
    <w:rsid w:val="2825697F"/>
    <w:rsid w:val="2832E101"/>
    <w:rsid w:val="2853DD54"/>
    <w:rsid w:val="285E99CD"/>
    <w:rsid w:val="286F0932"/>
    <w:rsid w:val="2871CA94"/>
    <w:rsid w:val="287B35EB"/>
    <w:rsid w:val="2888351E"/>
    <w:rsid w:val="289904FA"/>
    <w:rsid w:val="28C24C45"/>
    <w:rsid w:val="28E237A4"/>
    <w:rsid w:val="28E97E57"/>
    <w:rsid w:val="28F9DC6C"/>
    <w:rsid w:val="29049A89"/>
    <w:rsid w:val="290BDFB6"/>
    <w:rsid w:val="293C4795"/>
    <w:rsid w:val="296D9913"/>
    <w:rsid w:val="296EC8EB"/>
    <w:rsid w:val="299BA545"/>
    <w:rsid w:val="29AC316C"/>
    <w:rsid w:val="29C5A67E"/>
    <w:rsid w:val="29D0170C"/>
    <w:rsid w:val="2A0B3975"/>
    <w:rsid w:val="2A0FDA25"/>
    <w:rsid w:val="2A17B90A"/>
    <w:rsid w:val="2A48661E"/>
    <w:rsid w:val="2A4A2F09"/>
    <w:rsid w:val="2A4B10FE"/>
    <w:rsid w:val="2A5D0BF4"/>
    <w:rsid w:val="2A5F84EB"/>
    <w:rsid w:val="2A5F91F5"/>
    <w:rsid w:val="2A60357A"/>
    <w:rsid w:val="2A66B677"/>
    <w:rsid w:val="2A7CFFDA"/>
    <w:rsid w:val="2A7E9B3D"/>
    <w:rsid w:val="2AAF8BAB"/>
    <w:rsid w:val="2ABBADCA"/>
    <w:rsid w:val="2ABBBB8D"/>
    <w:rsid w:val="2AD839D4"/>
    <w:rsid w:val="2AEECE17"/>
    <w:rsid w:val="2B52FC93"/>
    <w:rsid w:val="2B5E6DAE"/>
    <w:rsid w:val="2B7AAE6A"/>
    <w:rsid w:val="2B952C40"/>
    <w:rsid w:val="2B9F921A"/>
    <w:rsid w:val="2BE00088"/>
    <w:rsid w:val="2BEAE0DB"/>
    <w:rsid w:val="2BEDE40C"/>
    <w:rsid w:val="2BF0A37F"/>
    <w:rsid w:val="2BF42017"/>
    <w:rsid w:val="2C031C3B"/>
    <w:rsid w:val="2C0B3E57"/>
    <w:rsid w:val="2C25E5AD"/>
    <w:rsid w:val="2C395FF8"/>
    <w:rsid w:val="2C3AB141"/>
    <w:rsid w:val="2C3E150B"/>
    <w:rsid w:val="2C53AD84"/>
    <w:rsid w:val="2CCF69B5"/>
    <w:rsid w:val="2D079AF9"/>
    <w:rsid w:val="2D1BD797"/>
    <w:rsid w:val="2D443131"/>
    <w:rsid w:val="2D618161"/>
    <w:rsid w:val="2DBD9CA9"/>
    <w:rsid w:val="2DC51118"/>
    <w:rsid w:val="2DC976D2"/>
    <w:rsid w:val="2DD2ADDB"/>
    <w:rsid w:val="2E46A622"/>
    <w:rsid w:val="2E7D7FC5"/>
    <w:rsid w:val="2E8BAE31"/>
    <w:rsid w:val="2E93E964"/>
    <w:rsid w:val="2EDAB15E"/>
    <w:rsid w:val="2EDF3B4D"/>
    <w:rsid w:val="2EEA3051"/>
    <w:rsid w:val="2EF64CF1"/>
    <w:rsid w:val="2EFC0FD1"/>
    <w:rsid w:val="2F1E0766"/>
    <w:rsid w:val="2F37CC95"/>
    <w:rsid w:val="2F4568C9"/>
    <w:rsid w:val="2F55BD94"/>
    <w:rsid w:val="2F593EC5"/>
    <w:rsid w:val="2F61F32F"/>
    <w:rsid w:val="2F7DA6A7"/>
    <w:rsid w:val="2F9A6843"/>
    <w:rsid w:val="2FCF3FB9"/>
    <w:rsid w:val="2FDE7EC2"/>
    <w:rsid w:val="2FE61115"/>
    <w:rsid w:val="2FE995F8"/>
    <w:rsid w:val="2FF87F66"/>
    <w:rsid w:val="30086672"/>
    <w:rsid w:val="3017D7B4"/>
    <w:rsid w:val="302D1E20"/>
    <w:rsid w:val="3060AAB1"/>
    <w:rsid w:val="3073962B"/>
    <w:rsid w:val="30854AA6"/>
    <w:rsid w:val="308A1A12"/>
    <w:rsid w:val="309188E3"/>
    <w:rsid w:val="3095D5E5"/>
    <w:rsid w:val="30961D9B"/>
    <w:rsid w:val="30D97D34"/>
    <w:rsid w:val="30D999B3"/>
    <w:rsid w:val="30E80826"/>
    <w:rsid w:val="3103184F"/>
    <w:rsid w:val="3104FBEC"/>
    <w:rsid w:val="31221294"/>
    <w:rsid w:val="318FAA38"/>
    <w:rsid w:val="319811EB"/>
    <w:rsid w:val="31BB2C74"/>
    <w:rsid w:val="31E09ABB"/>
    <w:rsid w:val="31FD4B25"/>
    <w:rsid w:val="32008DDE"/>
    <w:rsid w:val="320C0384"/>
    <w:rsid w:val="321896FB"/>
    <w:rsid w:val="32232E17"/>
    <w:rsid w:val="3226F4FF"/>
    <w:rsid w:val="3234643D"/>
    <w:rsid w:val="324A62C1"/>
    <w:rsid w:val="324BD859"/>
    <w:rsid w:val="32532D95"/>
    <w:rsid w:val="32535389"/>
    <w:rsid w:val="326169C7"/>
    <w:rsid w:val="3275A18B"/>
    <w:rsid w:val="327ECE16"/>
    <w:rsid w:val="32812C51"/>
    <w:rsid w:val="32AAB385"/>
    <w:rsid w:val="32AFAB32"/>
    <w:rsid w:val="32B5B520"/>
    <w:rsid w:val="32F8B47A"/>
    <w:rsid w:val="330BC15E"/>
    <w:rsid w:val="3320566A"/>
    <w:rsid w:val="332A495B"/>
    <w:rsid w:val="3332337A"/>
    <w:rsid w:val="333BE6DA"/>
    <w:rsid w:val="333C530F"/>
    <w:rsid w:val="334224DA"/>
    <w:rsid w:val="334AE2C7"/>
    <w:rsid w:val="33951248"/>
    <w:rsid w:val="33C1E0C0"/>
    <w:rsid w:val="33D2A25C"/>
    <w:rsid w:val="33D6386D"/>
    <w:rsid w:val="34617891"/>
    <w:rsid w:val="347077E7"/>
    <w:rsid w:val="34751138"/>
    <w:rsid w:val="34798342"/>
    <w:rsid w:val="347ADAC4"/>
    <w:rsid w:val="34A366A5"/>
    <w:rsid w:val="34AE94D6"/>
    <w:rsid w:val="34FBB39E"/>
    <w:rsid w:val="350FA66D"/>
    <w:rsid w:val="3512368E"/>
    <w:rsid w:val="351EB0B1"/>
    <w:rsid w:val="352CF657"/>
    <w:rsid w:val="3533290F"/>
    <w:rsid w:val="3570A052"/>
    <w:rsid w:val="3577BB58"/>
    <w:rsid w:val="357D119B"/>
    <w:rsid w:val="35809C12"/>
    <w:rsid w:val="359D2152"/>
    <w:rsid w:val="35B05376"/>
    <w:rsid w:val="35D72AF6"/>
    <w:rsid w:val="35FB0D71"/>
    <w:rsid w:val="36097EB7"/>
    <w:rsid w:val="36237EF2"/>
    <w:rsid w:val="36294ECF"/>
    <w:rsid w:val="363C7BF3"/>
    <w:rsid w:val="363F4CD4"/>
    <w:rsid w:val="367EB78A"/>
    <w:rsid w:val="36AA8509"/>
    <w:rsid w:val="36CE117F"/>
    <w:rsid w:val="36E7E19B"/>
    <w:rsid w:val="36E8F271"/>
    <w:rsid w:val="36EF7C88"/>
    <w:rsid w:val="36F81DB5"/>
    <w:rsid w:val="373795D2"/>
    <w:rsid w:val="374A8382"/>
    <w:rsid w:val="376080B8"/>
    <w:rsid w:val="37635FDF"/>
    <w:rsid w:val="376EA026"/>
    <w:rsid w:val="378C52E5"/>
    <w:rsid w:val="37DD03B1"/>
    <w:rsid w:val="37DD73D6"/>
    <w:rsid w:val="380A4188"/>
    <w:rsid w:val="381C0AD6"/>
    <w:rsid w:val="3846077A"/>
    <w:rsid w:val="385AAE90"/>
    <w:rsid w:val="385E89D9"/>
    <w:rsid w:val="385F06EB"/>
    <w:rsid w:val="3864C7A2"/>
    <w:rsid w:val="386890C9"/>
    <w:rsid w:val="3884F414"/>
    <w:rsid w:val="38970922"/>
    <w:rsid w:val="38974F9C"/>
    <w:rsid w:val="389A031C"/>
    <w:rsid w:val="389BE764"/>
    <w:rsid w:val="38B05682"/>
    <w:rsid w:val="391D41D7"/>
    <w:rsid w:val="393E6D8D"/>
    <w:rsid w:val="3994C41F"/>
    <w:rsid w:val="399EE3E4"/>
    <w:rsid w:val="39DD85AF"/>
    <w:rsid w:val="3A035AE9"/>
    <w:rsid w:val="3A064F4D"/>
    <w:rsid w:val="3A269183"/>
    <w:rsid w:val="3A3D8D9B"/>
    <w:rsid w:val="3A47F550"/>
    <w:rsid w:val="3A77C190"/>
    <w:rsid w:val="3A7F7BB0"/>
    <w:rsid w:val="3A8CE1DE"/>
    <w:rsid w:val="3A9E0BF1"/>
    <w:rsid w:val="3AA8651A"/>
    <w:rsid w:val="3AB542D8"/>
    <w:rsid w:val="3ABFBD21"/>
    <w:rsid w:val="3AC7093A"/>
    <w:rsid w:val="3ACA1DDE"/>
    <w:rsid w:val="3AD6C381"/>
    <w:rsid w:val="3AF590E3"/>
    <w:rsid w:val="3AFBEA41"/>
    <w:rsid w:val="3B0732AE"/>
    <w:rsid w:val="3B1D1242"/>
    <w:rsid w:val="3B24DD20"/>
    <w:rsid w:val="3B3258EE"/>
    <w:rsid w:val="3B706E73"/>
    <w:rsid w:val="3B74DDB2"/>
    <w:rsid w:val="3B85217E"/>
    <w:rsid w:val="3BB1CABB"/>
    <w:rsid w:val="3BCA29DF"/>
    <w:rsid w:val="3BD19ABB"/>
    <w:rsid w:val="3BD2ADE2"/>
    <w:rsid w:val="3BF2E3ED"/>
    <w:rsid w:val="3BF2EFEC"/>
    <w:rsid w:val="3BF482CA"/>
    <w:rsid w:val="3BFBA623"/>
    <w:rsid w:val="3C25592D"/>
    <w:rsid w:val="3C28E2AB"/>
    <w:rsid w:val="3C3C3F5A"/>
    <w:rsid w:val="3C5E74F8"/>
    <w:rsid w:val="3C68138E"/>
    <w:rsid w:val="3C6902F2"/>
    <w:rsid w:val="3C7C4AF0"/>
    <w:rsid w:val="3C87CE42"/>
    <w:rsid w:val="3C9989A8"/>
    <w:rsid w:val="3CA6C846"/>
    <w:rsid w:val="3CBBB988"/>
    <w:rsid w:val="3CF1CE66"/>
    <w:rsid w:val="3D065CAB"/>
    <w:rsid w:val="3D104E1B"/>
    <w:rsid w:val="3D6A181E"/>
    <w:rsid w:val="3D700EE0"/>
    <w:rsid w:val="3DB66BBF"/>
    <w:rsid w:val="3DB98263"/>
    <w:rsid w:val="3DDDFA9D"/>
    <w:rsid w:val="3E0692C9"/>
    <w:rsid w:val="3E14D126"/>
    <w:rsid w:val="3E1A3A2C"/>
    <w:rsid w:val="3E225FDB"/>
    <w:rsid w:val="3E94641C"/>
    <w:rsid w:val="3E973BB8"/>
    <w:rsid w:val="3EBB4BA5"/>
    <w:rsid w:val="3ED99FC3"/>
    <w:rsid w:val="3EE79484"/>
    <w:rsid w:val="3EE9A368"/>
    <w:rsid w:val="3F099057"/>
    <w:rsid w:val="3F3D4517"/>
    <w:rsid w:val="3F48534F"/>
    <w:rsid w:val="3F54252F"/>
    <w:rsid w:val="3F5E0DAF"/>
    <w:rsid w:val="3F849FDA"/>
    <w:rsid w:val="3FC84A2E"/>
    <w:rsid w:val="3FD26133"/>
    <w:rsid w:val="3FD3F2CE"/>
    <w:rsid w:val="3FD5D895"/>
    <w:rsid w:val="3FE3E1DF"/>
    <w:rsid w:val="3FF84E43"/>
    <w:rsid w:val="40082317"/>
    <w:rsid w:val="402B2B1F"/>
    <w:rsid w:val="403C3705"/>
    <w:rsid w:val="403C8BED"/>
    <w:rsid w:val="4045B57E"/>
    <w:rsid w:val="404D715D"/>
    <w:rsid w:val="407C6687"/>
    <w:rsid w:val="4083BE21"/>
    <w:rsid w:val="40A61F05"/>
    <w:rsid w:val="40E99AC7"/>
    <w:rsid w:val="411E763D"/>
    <w:rsid w:val="412C898C"/>
    <w:rsid w:val="416411E8"/>
    <w:rsid w:val="416DC912"/>
    <w:rsid w:val="418EE55A"/>
    <w:rsid w:val="419E7381"/>
    <w:rsid w:val="41A23EBD"/>
    <w:rsid w:val="41BB77A7"/>
    <w:rsid w:val="41DB9022"/>
    <w:rsid w:val="41F37FF2"/>
    <w:rsid w:val="41F80CFE"/>
    <w:rsid w:val="423BAD03"/>
    <w:rsid w:val="42409A5A"/>
    <w:rsid w:val="42443EE8"/>
    <w:rsid w:val="425995C2"/>
    <w:rsid w:val="427196E8"/>
    <w:rsid w:val="42719D7F"/>
    <w:rsid w:val="427FF411"/>
    <w:rsid w:val="42C1E5B4"/>
    <w:rsid w:val="42EAA5C0"/>
    <w:rsid w:val="4322634B"/>
    <w:rsid w:val="432D6739"/>
    <w:rsid w:val="432FDA1D"/>
    <w:rsid w:val="43537175"/>
    <w:rsid w:val="43995FE6"/>
    <w:rsid w:val="43B153CE"/>
    <w:rsid w:val="43BE723A"/>
    <w:rsid w:val="43D57E69"/>
    <w:rsid w:val="43DDBFC7"/>
    <w:rsid w:val="43E7246C"/>
    <w:rsid w:val="43EC678B"/>
    <w:rsid w:val="43ED7F8D"/>
    <w:rsid w:val="43EFE55D"/>
    <w:rsid w:val="44005C25"/>
    <w:rsid w:val="44137069"/>
    <w:rsid w:val="441BC472"/>
    <w:rsid w:val="442C2007"/>
    <w:rsid w:val="445447BF"/>
    <w:rsid w:val="44753B25"/>
    <w:rsid w:val="447B97D4"/>
    <w:rsid w:val="44A3A3E7"/>
    <w:rsid w:val="44A7FC4B"/>
    <w:rsid w:val="44CA31DA"/>
    <w:rsid w:val="44D05591"/>
    <w:rsid w:val="44FB4CD9"/>
    <w:rsid w:val="45344F2C"/>
    <w:rsid w:val="45358758"/>
    <w:rsid w:val="4566DA16"/>
    <w:rsid w:val="45767745"/>
    <w:rsid w:val="45EDD68F"/>
    <w:rsid w:val="45FAF0EB"/>
    <w:rsid w:val="45FD97D4"/>
    <w:rsid w:val="461A39A1"/>
    <w:rsid w:val="461C4E06"/>
    <w:rsid w:val="46424F05"/>
    <w:rsid w:val="464BAAEE"/>
    <w:rsid w:val="465654F0"/>
    <w:rsid w:val="4673EA9A"/>
    <w:rsid w:val="46922276"/>
    <w:rsid w:val="4692F222"/>
    <w:rsid w:val="46DED7FE"/>
    <w:rsid w:val="46EE586D"/>
    <w:rsid w:val="46FE6FF0"/>
    <w:rsid w:val="4708BCCD"/>
    <w:rsid w:val="470C50A1"/>
    <w:rsid w:val="4711685A"/>
    <w:rsid w:val="47181789"/>
    <w:rsid w:val="47398E06"/>
    <w:rsid w:val="473FEE65"/>
    <w:rsid w:val="47536534"/>
    <w:rsid w:val="475FF560"/>
    <w:rsid w:val="4783FA1E"/>
    <w:rsid w:val="47D17699"/>
    <w:rsid w:val="47D648A9"/>
    <w:rsid w:val="47EBE65D"/>
    <w:rsid w:val="47FC5656"/>
    <w:rsid w:val="480493AC"/>
    <w:rsid w:val="481CC0F6"/>
    <w:rsid w:val="4828C4FF"/>
    <w:rsid w:val="484F0D3E"/>
    <w:rsid w:val="48721740"/>
    <w:rsid w:val="4877BD11"/>
    <w:rsid w:val="487D780D"/>
    <w:rsid w:val="4888236C"/>
    <w:rsid w:val="4888F9C0"/>
    <w:rsid w:val="48D719C2"/>
    <w:rsid w:val="48D792B6"/>
    <w:rsid w:val="492C2305"/>
    <w:rsid w:val="4935EC9B"/>
    <w:rsid w:val="493C5CD5"/>
    <w:rsid w:val="4943AA1F"/>
    <w:rsid w:val="497E77A7"/>
    <w:rsid w:val="498FEE41"/>
    <w:rsid w:val="49D4D128"/>
    <w:rsid w:val="49E04F91"/>
    <w:rsid w:val="49E2011E"/>
    <w:rsid w:val="49F1B9A2"/>
    <w:rsid w:val="4A6126E9"/>
    <w:rsid w:val="4A77AC80"/>
    <w:rsid w:val="4A8A22D7"/>
    <w:rsid w:val="4A97A080"/>
    <w:rsid w:val="4AC8311D"/>
    <w:rsid w:val="4ACD0F94"/>
    <w:rsid w:val="4AD1AD93"/>
    <w:rsid w:val="4AEC90FA"/>
    <w:rsid w:val="4AEE8822"/>
    <w:rsid w:val="4B109DB6"/>
    <w:rsid w:val="4B10F983"/>
    <w:rsid w:val="4B13BEE8"/>
    <w:rsid w:val="4B17B4AC"/>
    <w:rsid w:val="4B3087DC"/>
    <w:rsid w:val="4B337D91"/>
    <w:rsid w:val="4B616D65"/>
    <w:rsid w:val="4B823A65"/>
    <w:rsid w:val="4B972893"/>
    <w:rsid w:val="4BA0BD71"/>
    <w:rsid w:val="4BAC1CF3"/>
    <w:rsid w:val="4BEDC70C"/>
    <w:rsid w:val="4BF75382"/>
    <w:rsid w:val="4C07B708"/>
    <w:rsid w:val="4C1B9607"/>
    <w:rsid w:val="4C25C681"/>
    <w:rsid w:val="4C36E4EE"/>
    <w:rsid w:val="4C531B73"/>
    <w:rsid w:val="4C557E90"/>
    <w:rsid w:val="4C83233C"/>
    <w:rsid w:val="4CB243C7"/>
    <w:rsid w:val="4CB2D08B"/>
    <w:rsid w:val="4CCFA228"/>
    <w:rsid w:val="4D0044F7"/>
    <w:rsid w:val="4D16995B"/>
    <w:rsid w:val="4D1BC4D4"/>
    <w:rsid w:val="4D2A6B9C"/>
    <w:rsid w:val="4D2CE5D9"/>
    <w:rsid w:val="4D3D7A70"/>
    <w:rsid w:val="4D45EE13"/>
    <w:rsid w:val="4D6AC6B1"/>
    <w:rsid w:val="4D941817"/>
    <w:rsid w:val="4DA58053"/>
    <w:rsid w:val="4DE5AD81"/>
    <w:rsid w:val="4E095AD2"/>
    <w:rsid w:val="4E0BC1D7"/>
    <w:rsid w:val="4E1F92E2"/>
    <w:rsid w:val="4E2D182A"/>
    <w:rsid w:val="4E380C2F"/>
    <w:rsid w:val="4E4571D7"/>
    <w:rsid w:val="4E5AF4C0"/>
    <w:rsid w:val="4E5B44D5"/>
    <w:rsid w:val="4E61BFCE"/>
    <w:rsid w:val="4E68EFB8"/>
    <w:rsid w:val="4E7C5741"/>
    <w:rsid w:val="4E7CE82F"/>
    <w:rsid w:val="4EB01E55"/>
    <w:rsid w:val="4EBA4984"/>
    <w:rsid w:val="4EBACD8A"/>
    <w:rsid w:val="4ED20855"/>
    <w:rsid w:val="4EDC613E"/>
    <w:rsid w:val="4EDEBC96"/>
    <w:rsid w:val="4F23BEEE"/>
    <w:rsid w:val="4F3B3707"/>
    <w:rsid w:val="4F3F0EA5"/>
    <w:rsid w:val="4F42E95B"/>
    <w:rsid w:val="4F784A3F"/>
    <w:rsid w:val="4F83685B"/>
    <w:rsid w:val="4F9682FE"/>
    <w:rsid w:val="4FB5EC4C"/>
    <w:rsid w:val="4FD1CC16"/>
    <w:rsid w:val="4FE40ED9"/>
    <w:rsid w:val="50023EF2"/>
    <w:rsid w:val="501CBCCE"/>
    <w:rsid w:val="503911AF"/>
    <w:rsid w:val="50403A8A"/>
    <w:rsid w:val="505D0B58"/>
    <w:rsid w:val="506EFD55"/>
    <w:rsid w:val="507ADD86"/>
    <w:rsid w:val="50BEA96F"/>
    <w:rsid w:val="50CEC22E"/>
    <w:rsid w:val="50F3FBD3"/>
    <w:rsid w:val="50FE1E8A"/>
    <w:rsid w:val="51105519"/>
    <w:rsid w:val="515C991C"/>
    <w:rsid w:val="515D58F8"/>
    <w:rsid w:val="51941FF3"/>
    <w:rsid w:val="51A1950F"/>
    <w:rsid w:val="51A51A20"/>
    <w:rsid w:val="51AB3D50"/>
    <w:rsid w:val="51AE1E05"/>
    <w:rsid w:val="51B6C47F"/>
    <w:rsid w:val="51B7D920"/>
    <w:rsid w:val="51B87DE4"/>
    <w:rsid w:val="51C924CC"/>
    <w:rsid w:val="522D9790"/>
    <w:rsid w:val="526000B6"/>
    <w:rsid w:val="526F3329"/>
    <w:rsid w:val="52749BB1"/>
    <w:rsid w:val="527E2BD9"/>
    <w:rsid w:val="52AD5453"/>
    <w:rsid w:val="52EA2291"/>
    <w:rsid w:val="52FB46AA"/>
    <w:rsid w:val="52FE780F"/>
    <w:rsid w:val="5303AC69"/>
    <w:rsid w:val="53141047"/>
    <w:rsid w:val="53284F34"/>
    <w:rsid w:val="532EB838"/>
    <w:rsid w:val="5356DFF3"/>
    <w:rsid w:val="535A8003"/>
    <w:rsid w:val="53630E7B"/>
    <w:rsid w:val="53694619"/>
    <w:rsid w:val="537590BC"/>
    <w:rsid w:val="53778C36"/>
    <w:rsid w:val="537ABD01"/>
    <w:rsid w:val="538760EA"/>
    <w:rsid w:val="5392D0E3"/>
    <w:rsid w:val="5392D6A3"/>
    <w:rsid w:val="53B9B50B"/>
    <w:rsid w:val="541C766A"/>
    <w:rsid w:val="5435E8D8"/>
    <w:rsid w:val="5447F00C"/>
    <w:rsid w:val="545475AA"/>
    <w:rsid w:val="5483A969"/>
    <w:rsid w:val="549E8FB7"/>
    <w:rsid w:val="54BF6D82"/>
    <w:rsid w:val="54C9EC5F"/>
    <w:rsid w:val="54CCABF1"/>
    <w:rsid w:val="54CE0035"/>
    <w:rsid w:val="54E4604F"/>
    <w:rsid w:val="55099103"/>
    <w:rsid w:val="550ECBF9"/>
    <w:rsid w:val="551A0C12"/>
    <w:rsid w:val="551F2C71"/>
    <w:rsid w:val="5549DF76"/>
    <w:rsid w:val="555B7A53"/>
    <w:rsid w:val="555B9333"/>
    <w:rsid w:val="558B7DF8"/>
    <w:rsid w:val="558CCB4F"/>
    <w:rsid w:val="55970E2F"/>
    <w:rsid w:val="55B0A2BE"/>
    <w:rsid w:val="55E7C272"/>
    <w:rsid w:val="56095730"/>
    <w:rsid w:val="56146590"/>
    <w:rsid w:val="5615AC48"/>
    <w:rsid w:val="5617A33E"/>
    <w:rsid w:val="561891B5"/>
    <w:rsid w:val="56279BFF"/>
    <w:rsid w:val="56501599"/>
    <w:rsid w:val="56561CA9"/>
    <w:rsid w:val="566145B3"/>
    <w:rsid w:val="567F2E64"/>
    <w:rsid w:val="569A871B"/>
    <w:rsid w:val="56C384AA"/>
    <w:rsid w:val="56E0099C"/>
    <w:rsid w:val="56EF1733"/>
    <w:rsid w:val="57000A45"/>
    <w:rsid w:val="5707AE06"/>
    <w:rsid w:val="5718F8FD"/>
    <w:rsid w:val="573032A8"/>
    <w:rsid w:val="5740B57B"/>
    <w:rsid w:val="575177D1"/>
    <w:rsid w:val="575F8814"/>
    <w:rsid w:val="5787B5F9"/>
    <w:rsid w:val="57AEF77E"/>
    <w:rsid w:val="57C3EF5C"/>
    <w:rsid w:val="57ED82E3"/>
    <w:rsid w:val="57F79ADB"/>
    <w:rsid w:val="58058C9F"/>
    <w:rsid w:val="580D7C48"/>
    <w:rsid w:val="580E8875"/>
    <w:rsid w:val="5821DC1B"/>
    <w:rsid w:val="583F792E"/>
    <w:rsid w:val="584522EE"/>
    <w:rsid w:val="5851FC5F"/>
    <w:rsid w:val="588D5E9C"/>
    <w:rsid w:val="58931B90"/>
    <w:rsid w:val="589A7B21"/>
    <w:rsid w:val="589CA254"/>
    <w:rsid w:val="58A27EF7"/>
    <w:rsid w:val="58AE51E4"/>
    <w:rsid w:val="58BAB172"/>
    <w:rsid w:val="58BB6873"/>
    <w:rsid w:val="58C5E6F1"/>
    <w:rsid w:val="58F35827"/>
    <w:rsid w:val="590B7F49"/>
    <w:rsid w:val="5922F3AA"/>
    <w:rsid w:val="593215ED"/>
    <w:rsid w:val="5953BB58"/>
    <w:rsid w:val="59564857"/>
    <w:rsid w:val="595EF5C7"/>
    <w:rsid w:val="596774C3"/>
    <w:rsid w:val="5976776A"/>
    <w:rsid w:val="597E47BE"/>
    <w:rsid w:val="59900809"/>
    <w:rsid w:val="5995F00F"/>
    <w:rsid w:val="5996D207"/>
    <w:rsid w:val="59ACBA82"/>
    <w:rsid w:val="59B7A7A4"/>
    <w:rsid w:val="59B8D59C"/>
    <w:rsid w:val="59F5CFBE"/>
    <w:rsid w:val="59FA9BC2"/>
    <w:rsid w:val="5A29A2F1"/>
    <w:rsid w:val="5A4D4D10"/>
    <w:rsid w:val="5A57FFC4"/>
    <w:rsid w:val="5A5F003D"/>
    <w:rsid w:val="5A7EB412"/>
    <w:rsid w:val="5A95ED7F"/>
    <w:rsid w:val="5ABC9343"/>
    <w:rsid w:val="5AC434C5"/>
    <w:rsid w:val="5AC98116"/>
    <w:rsid w:val="5B17CE5E"/>
    <w:rsid w:val="5B545BD0"/>
    <w:rsid w:val="5B55CBC7"/>
    <w:rsid w:val="5B6140EF"/>
    <w:rsid w:val="5B705099"/>
    <w:rsid w:val="5B8DFD97"/>
    <w:rsid w:val="5B91E2D6"/>
    <w:rsid w:val="5BAE59F0"/>
    <w:rsid w:val="5BB77F82"/>
    <w:rsid w:val="5BDB51E3"/>
    <w:rsid w:val="5C0A6BF1"/>
    <w:rsid w:val="5C188C03"/>
    <w:rsid w:val="5C292919"/>
    <w:rsid w:val="5C3B85A4"/>
    <w:rsid w:val="5C98921F"/>
    <w:rsid w:val="5CC4CC33"/>
    <w:rsid w:val="5CD57418"/>
    <w:rsid w:val="5CF7D0A7"/>
    <w:rsid w:val="5D00A05F"/>
    <w:rsid w:val="5D3DD3BE"/>
    <w:rsid w:val="5D411F67"/>
    <w:rsid w:val="5D6ED285"/>
    <w:rsid w:val="5D8BB871"/>
    <w:rsid w:val="5DB4E39B"/>
    <w:rsid w:val="5DC15B62"/>
    <w:rsid w:val="5DCC1256"/>
    <w:rsid w:val="5E08AAAA"/>
    <w:rsid w:val="5E1D7EE2"/>
    <w:rsid w:val="5E232E96"/>
    <w:rsid w:val="5E251F7A"/>
    <w:rsid w:val="5E34E383"/>
    <w:rsid w:val="5E3EFD97"/>
    <w:rsid w:val="5E71C4BE"/>
    <w:rsid w:val="5F0664BD"/>
    <w:rsid w:val="5F08DB22"/>
    <w:rsid w:val="5F15AFA2"/>
    <w:rsid w:val="5F30E8EC"/>
    <w:rsid w:val="5F392173"/>
    <w:rsid w:val="5F6520DC"/>
    <w:rsid w:val="5F7DAC8D"/>
    <w:rsid w:val="5FA1DF43"/>
    <w:rsid w:val="5FA9CBCE"/>
    <w:rsid w:val="5FE65F49"/>
    <w:rsid w:val="5FFCB996"/>
    <w:rsid w:val="60111008"/>
    <w:rsid w:val="6025D9B1"/>
    <w:rsid w:val="604DA7A0"/>
    <w:rsid w:val="605D5291"/>
    <w:rsid w:val="60609E0F"/>
    <w:rsid w:val="607399C8"/>
    <w:rsid w:val="6081E0B1"/>
    <w:rsid w:val="609A6D3A"/>
    <w:rsid w:val="60AB9F1B"/>
    <w:rsid w:val="60AF960E"/>
    <w:rsid w:val="60B2B170"/>
    <w:rsid w:val="60C34142"/>
    <w:rsid w:val="60D984B6"/>
    <w:rsid w:val="60FD9260"/>
    <w:rsid w:val="610A3ED0"/>
    <w:rsid w:val="612166BA"/>
    <w:rsid w:val="61347108"/>
    <w:rsid w:val="613A7DDE"/>
    <w:rsid w:val="614A24B2"/>
    <w:rsid w:val="618DFF26"/>
    <w:rsid w:val="61968971"/>
    <w:rsid w:val="61A2DAE4"/>
    <w:rsid w:val="61A37858"/>
    <w:rsid w:val="61A42DD5"/>
    <w:rsid w:val="61CE1CF1"/>
    <w:rsid w:val="61D061F2"/>
    <w:rsid w:val="622CF616"/>
    <w:rsid w:val="62616D47"/>
    <w:rsid w:val="62985C23"/>
    <w:rsid w:val="62BE46A6"/>
    <w:rsid w:val="62C73A8E"/>
    <w:rsid w:val="62CD8DF6"/>
    <w:rsid w:val="62DB74D9"/>
    <w:rsid w:val="62E3F7EF"/>
    <w:rsid w:val="630B41F5"/>
    <w:rsid w:val="631026B8"/>
    <w:rsid w:val="6324C1E6"/>
    <w:rsid w:val="63344142"/>
    <w:rsid w:val="6359F156"/>
    <w:rsid w:val="63714EFC"/>
    <w:rsid w:val="637C8A75"/>
    <w:rsid w:val="63B33304"/>
    <w:rsid w:val="63B85F6A"/>
    <w:rsid w:val="63BFF282"/>
    <w:rsid w:val="63E4DFCC"/>
    <w:rsid w:val="63FA5265"/>
    <w:rsid w:val="640474A6"/>
    <w:rsid w:val="643B18A4"/>
    <w:rsid w:val="6449905B"/>
    <w:rsid w:val="6449B3AA"/>
    <w:rsid w:val="644D10A4"/>
    <w:rsid w:val="64756763"/>
    <w:rsid w:val="64D880C8"/>
    <w:rsid w:val="650DA443"/>
    <w:rsid w:val="651CD3CE"/>
    <w:rsid w:val="65270873"/>
    <w:rsid w:val="6538B3B9"/>
    <w:rsid w:val="6547851E"/>
    <w:rsid w:val="656E06DB"/>
    <w:rsid w:val="659D59D7"/>
    <w:rsid w:val="65A8D4D7"/>
    <w:rsid w:val="66108F76"/>
    <w:rsid w:val="661E2AC4"/>
    <w:rsid w:val="6627D590"/>
    <w:rsid w:val="665FBF8E"/>
    <w:rsid w:val="66665C63"/>
    <w:rsid w:val="6673ADBA"/>
    <w:rsid w:val="667E6B11"/>
    <w:rsid w:val="6688E781"/>
    <w:rsid w:val="66BACE35"/>
    <w:rsid w:val="66BD9605"/>
    <w:rsid w:val="66E8DD7B"/>
    <w:rsid w:val="66FD9CC0"/>
    <w:rsid w:val="67046674"/>
    <w:rsid w:val="67097F97"/>
    <w:rsid w:val="67143E2E"/>
    <w:rsid w:val="67375CE4"/>
    <w:rsid w:val="675B579C"/>
    <w:rsid w:val="675E7C60"/>
    <w:rsid w:val="676D7EFA"/>
    <w:rsid w:val="67936677"/>
    <w:rsid w:val="679AAB9C"/>
    <w:rsid w:val="67A03A6E"/>
    <w:rsid w:val="67B5878E"/>
    <w:rsid w:val="67E5DFDD"/>
    <w:rsid w:val="68243039"/>
    <w:rsid w:val="68415ABF"/>
    <w:rsid w:val="68490C87"/>
    <w:rsid w:val="6855AE81"/>
    <w:rsid w:val="688FA0D5"/>
    <w:rsid w:val="68A9DE9E"/>
    <w:rsid w:val="68DE2CB7"/>
    <w:rsid w:val="68E15730"/>
    <w:rsid w:val="68EDB834"/>
    <w:rsid w:val="68F25804"/>
    <w:rsid w:val="6927C055"/>
    <w:rsid w:val="693FDBB9"/>
    <w:rsid w:val="695E92F7"/>
    <w:rsid w:val="695EEF12"/>
    <w:rsid w:val="69795CA9"/>
    <w:rsid w:val="69799FDB"/>
    <w:rsid w:val="69C0F58C"/>
    <w:rsid w:val="69D2233F"/>
    <w:rsid w:val="69D60BBE"/>
    <w:rsid w:val="6A02967D"/>
    <w:rsid w:val="6A2DA579"/>
    <w:rsid w:val="6A4E66C9"/>
    <w:rsid w:val="6A788D38"/>
    <w:rsid w:val="6A94D7DC"/>
    <w:rsid w:val="6ABC9F84"/>
    <w:rsid w:val="6AE524FE"/>
    <w:rsid w:val="6AE7D7BA"/>
    <w:rsid w:val="6B1899F4"/>
    <w:rsid w:val="6B1F7611"/>
    <w:rsid w:val="6B21FF4F"/>
    <w:rsid w:val="6B47B8EA"/>
    <w:rsid w:val="6B6675A9"/>
    <w:rsid w:val="6B67C9C2"/>
    <w:rsid w:val="6B77E58C"/>
    <w:rsid w:val="6B7DC028"/>
    <w:rsid w:val="6B9E1222"/>
    <w:rsid w:val="6BBB23C2"/>
    <w:rsid w:val="6BBE7CFB"/>
    <w:rsid w:val="6BC65C73"/>
    <w:rsid w:val="6C65F95A"/>
    <w:rsid w:val="6C751424"/>
    <w:rsid w:val="6C87BDA4"/>
    <w:rsid w:val="6C95B024"/>
    <w:rsid w:val="6C9C2F08"/>
    <w:rsid w:val="6CAAF755"/>
    <w:rsid w:val="6CB4FB0B"/>
    <w:rsid w:val="6CE8A414"/>
    <w:rsid w:val="6CF1506E"/>
    <w:rsid w:val="6CF19123"/>
    <w:rsid w:val="6D2B60B5"/>
    <w:rsid w:val="6D38941F"/>
    <w:rsid w:val="6D5051BB"/>
    <w:rsid w:val="6D7414B4"/>
    <w:rsid w:val="6D87CCC6"/>
    <w:rsid w:val="6DA2156A"/>
    <w:rsid w:val="6DDB82B0"/>
    <w:rsid w:val="6DFCEA1F"/>
    <w:rsid w:val="6E11D521"/>
    <w:rsid w:val="6E2D05EC"/>
    <w:rsid w:val="6EA28814"/>
    <w:rsid w:val="6EB2103E"/>
    <w:rsid w:val="6ED17668"/>
    <w:rsid w:val="6ED6146F"/>
    <w:rsid w:val="6ED9EA4B"/>
    <w:rsid w:val="6EDE714C"/>
    <w:rsid w:val="6EE23465"/>
    <w:rsid w:val="6EE8E398"/>
    <w:rsid w:val="6F2CA64B"/>
    <w:rsid w:val="6F2ED26C"/>
    <w:rsid w:val="6F5B3780"/>
    <w:rsid w:val="6F77CF90"/>
    <w:rsid w:val="6F930F08"/>
    <w:rsid w:val="6FE9FFD7"/>
    <w:rsid w:val="6FEAB529"/>
    <w:rsid w:val="6FF8DB53"/>
    <w:rsid w:val="6FFB89E5"/>
    <w:rsid w:val="70008C29"/>
    <w:rsid w:val="7001DE87"/>
    <w:rsid w:val="7009C208"/>
    <w:rsid w:val="701A1FBB"/>
    <w:rsid w:val="70293842"/>
    <w:rsid w:val="70391473"/>
    <w:rsid w:val="70444AD2"/>
    <w:rsid w:val="7052782B"/>
    <w:rsid w:val="709CCAA1"/>
    <w:rsid w:val="70A82399"/>
    <w:rsid w:val="70AD42EB"/>
    <w:rsid w:val="70BBC0EB"/>
    <w:rsid w:val="70E68921"/>
    <w:rsid w:val="70EE9637"/>
    <w:rsid w:val="70EF576C"/>
    <w:rsid w:val="70FF9855"/>
    <w:rsid w:val="71190D98"/>
    <w:rsid w:val="714712A1"/>
    <w:rsid w:val="714CCBA2"/>
    <w:rsid w:val="719180A2"/>
    <w:rsid w:val="719A5261"/>
    <w:rsid w:val="719DC939"/>
    <w:rsid w:val="719EF3DD"/>
    <w:rsid w:val="71A9EDD5"/>
    <w:rsid w:val="71B326DD"/>
    <w:rsid w:val="71F7D922"/>
    <w:rsid w:val="72111F0E"/>
    <w:rsid w:val="721CAC13"/>
    <w:rsid w:val="721DF1E6"/>
    <w:rsid w:val="724240EC"/>
    <w:rsid w:val="728232C8"/>
    <w:rsid w:val="728677BA"/>
    <w:rsid w:val="729F21AD"/>
    <w:rsid w:val="72BC945C"/>
    <w:rsid w:val="72BDEB6B"/>
    <w:rsid w:val="72CB4EAD"/>
    <w:rsid w:val="72DCB77D"/>
    <w:rsid w:val="73062876"/>
    <w:rsid w:val="73076EEF"/>
    <w:rsid w:val="73409C05"/>
    <w:rsid w:val="73413CC8"/>
    <w:rsid w:val="7342F0B6"/>
    <w:rsid w:val="7368D1D9"/>
    <w:rsid w:val="73850570"/>
    <w:rsid w:val="73988163"/>
    <w:rsid w:val="73C56268"/>
    <w:rsid w:val="73E3F148"/>
    <w:rsid w:val="74032E47"/>
    <w:rsid w:val="7420B827"/>
    <w:rsid w:val="74712EA5"/>
    <w:rsid w:val="747F01A7"/>
    <w:rsid w:val="7490924A"/>
    <w:rsid w:val="74912119"/>
    <w:rsid w:val="74A6CA97"/>
    <w:rsid w:val="74B41593"/>
    <w:rsid w:val="74C34A20"/>
    <w:rsid w:val="74CC9A92"/>
    <w:rsid w:val="74D21CAE"/>
    <w:rsid w:val="74EB8D5A"/>
    <w:rsid w:val="74F1E62D"/>
    <w:rsid w:val="74FEE55A"/>
    <w:rsid w:val="7510DB0D"/>
    <w:rsid w:val="751620AC"/>
    <w:rsid w:val="75285ECA"/>
    <w:rsid w:val="752FE9E6"/>
    <w:rsid w:val="754A553E"/>
    <w:rsid w:val="75BB4726"/>
    <w:rsid w:val="75C108C5"/>
    <w:rsid w:val="75CC1F33"/>
    <w:rsid w:val="75CD6F2C"/>
    <w:rsid w:val="75E2A920"/>
    <w:rsid w:val="75E2D8B8"/>
    <w:rsid w:val="760B02E1"/>
    <w:rsid w:val="760E93E4"/>
    <w:rsid w:val="7657D1D4"/>
    <w:rsid w:val="76801B72"/>
    <w:rsid w:val="76AECC76"/>
    <w:rsid w:val="76BCA36B"/>
    <w:rsid w:val="76F467CD"/>
    <w:rsid w:val="770D1D37"/>
    <w:rsid w:val="771E25E9"/>
    <w:rsid w:val="7759A60B"/>
    <w:rsid w:val="7769781A"/>
    <w:rsid w:val="778CD50F"/>
    <w:rsid w:val="778FD1AD"/>
    <w:rsid w:val="7797BE38"/>
    <w:rsid w:val="77BDECD4"/>
    <w:rsid w:val="77DCF6AD"/>
    <w:rsid w:val="77E93872"/>
    <w:rsid w:val="77FF1ACE"/>
    <w:rsid w:val="7814CAD5"/>
    <w:rsid w:val="78171CC0"/>
    <w:rsid w:val="7818CF62"/>
    <w:rsid w:val="7821A01A"/>
    <w:rsid w:val="782E7ABC"/>
    <w:rsid w:val="783B5B6A"/>
    <w:rsid w:val="78420933"/>
    <w:rsid w:val="786743F1"/>
    <w:rsid w:val="789A6375"/>
    <w:rsid w:val="789E4A87"/>
    <w:rsid w:val="78AB89BE"/>
    <w:rsid w:val="78BB0DB2"/>
    <w:rsid w:val="78E2EB09"/>
    <w:rsid w:val="78EF4575"/>
    <w:rsid w:val="7900061B"/>
    <w:rsid w:val="7913DE61"/>
    <w:rsid w:val="793172DA"/>
    <w:rsid w:val="79375814"/>
    <w:rsid w:val="795EBE74"/>
    <w:rsid w:val="7976111B"/>
    <w:rsid w:val="799595C8"/>
    <w:rsid w:val="79986E60"/>
    <w:rsid w:val="79A85282"/>
    <w:rsid w:val="79AA3660"/>
    <w:rsid w:val="79B99D00"/>
    <w:rsid w:val="79C8A754"/>
    <w:rsid w:val="79EEAFA8"/>
    <w:rsid w:val="79F97326"/>
    <w:rsid w:val="79FC6A2A"/>
    <w:rsid w:val="7A147054"/>
    <w:rsid w:val="7A1504CC"/>
    <w:rsid w:val="7A2A36AE"/>
    <w:rsid w:val="7A30BBDE"/>
    <w:rsid w:val="7A63EAEE"/>
    <w:rsid w:val="7A69EA0E"/>
    <w:rsid w:val="7A7D5D03"/>
    <w:rsid w:val="7A864570"/>
    <w:rsid w:val="7A8EE1DB"/>
    <w:rsid w:val="7A9C0884"/>
    <w:rsid w:val="7AA95A27"/>
    <w:rsid w:val="7AC2D1C1"/>
    <w:rsid w:val="7AC9F614"/>
    <w:rsid w:val="7ADA8676"/>
    <w:rsid w:val="7B019B80"/>
    <w:rsid w:val="7B582FD7"/>
    <w:rsid w:val="7B925661"/>
    <w:rsid w:val="7B98533F"/>
    <w:rsid w:val="7BA0B6F0"/>
    <w:rsid w:val="7BA44832"/>
    <w:rsid w:val="7BAC2524"/>
    <w:rsid w:val="7BAF7102"/>
    <w:rsid w:val="7BB82907"/>
    <w:rsid w:val="7BB9E226"/>
    <w:rsid w:val="7BCA86E4"/>
    <w:rsid w:val="7BCDBC6D"/>
    <w:rsid w:val="7BFE002B"/>
    <w:rsid w:val="7C0F39A7"/>
    <w:rsid w:val="7C2FD4C4"/>
    <w:rsid w:val="7C3E99E6"/>
    <w:rsid w:val="7C4762BA"/>
    <w:rsid w:val="7C64CE56"/>
    <w:rsid w:val="7C7352D4"/>
    <w:rsid w:val="7C81095E"/>
    <w:rsid w:val="7C869E69"/>
    <w:rsid w:val="7C951FF5"/>
    <w:rsid w:val="7C9E95F3"/>
    <w:rsid w:val="7D1501B2"/>
    <w:rsid w:val="7D3113E8"/>
    <w:rsid w:val="7D51DBAC"/>
    <w:rsid w:val="7D765B91"/>
    <w:rsid w:val="7D7B0628"/>
    <w:rsid w:val="7D991AE8"/>
    <w:rsid w:val="7D9934D3"/>
    <w:rsid w:val="7D9C1E29"/>
    <w:rsid w:val="7D9C678F"/>
    <w:rsid w:val="7DA19B9C"/>
    <w:rsid w:val="7DAB66F6"/>
    <w:rsid w:val="7DC6B78F"/>
    <w:rsid w:val="7DCC94D3"/>
    <w:rsid w:val="7DCF5643"/>
    <w:rsid w:val="7DD6DF41"/>
    <w:rsid w:val="7DEE501B"/>
    <w:rsid w:val="7DFEDCAA"/>
    <w:rsid w:val="7E121D27"/>
    <w:rsid w:val="7E23D9A9"/>
    <w:rsid w:val="7E260840"/>
    <w:rsid w:val="7E2F13CA"/>
    <w:rsid w:val="7E4F46CB"/>
    <w:rsid w:val="7E50E49C"/>
    <w:rsid w:val="7E53E105"/>
    <w:rsid w:val="7E646658"/>
    <w:rsid w:val="7E7AD666"/>
    <w:rsid w:val="7E7E3634"/>
    <w:rsid w:val="7E8DA924"/>
    <w:rsid w:val="7E99A1EE"/>
    <w:rsid w:val="7E9A6B4A"/>
    <w:rsid w:val="7E9F45CF"/>
    <w:rsid w:val="7EFE684E"/>
    <w:rsid w:val="7F19BD85"/>
    <w:rsid w:val="7F3B1580"/>
    <w:rsid w:val="7F424CFF"/>
    <w:rsid w:val="7F5338FD"/>
    <w:rsid w:val="7F568F08"/>
    <w:rsid w:val="7F59A113"/>
    <w:rsid w:val="7F7CDF3D"/>
    <w:rsid w:val="7F821CEC"/>
    <w:rsid w:val="7F84301D"/>
    <w:rsid w:val="7FB7F25F"/>
    <w:rsid w:val="7FD7E8D8"/>
    <w:rsid w:val="7FEDEB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E5D2B"/>
  <w15:chartTrackingRefBased/>
  <w15:docId w15:val="{BDDFFB94-5D41-4A47-AC86-6957494B3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CC1"/>
    <w:pPr>
      <w:spacing w:line="480" w:lineRule="auto"/>
      <w:jc w:val="both"/>
    </w:pPr>
    <w:rPr>
      <w:rFonts w:ascii="Times New Roman" w:hAnsi="Times New Roman"/>
    </w:rPr>
  </w:style>
  <w:style w:type="paragraph" w:styleId="Heading1">
    <w:name w:val="heading 1"/>
    <w:basedOn w:val="Normal"/>
    <w:next w:val="Normal"/>
    <w:link w:val="Heading1Char"/>
    <w:uiPriority w:val="9"/>
    <w:qFormat/>
    <w:rsid w:val="0072545A"/>
    <w:pPr>
      <w:keepNext/>
      <w:keepLines/>
      <w:numPr>
        <w:numId w:val="11"/>
      </w:numPr>
      <w:spacing w:before="24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545A"/>
    <w:pPr>
      <w:keepNext/>
      <w:keepLines/>
      <w:numPr>
        <w:ilvl w:val="1"/>
        <w:numId w:val="11"/>
      </w:numPr>
      <w:spacing w:before="40"/>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2545A"/>
    <w:pPr>
      <w:keepNext/>
      <w:keepLines/>
      <w:numPr>
        <w:ilvl w:val="2"/>
        <w:numId w:val="11"/>
      </w:numPr>
      <w:spacing w:before="40"/>
      <w:outlineLvl w:val="2"/>
    </w:pPr>
    <w:rPr>
      <w:rFonts w:eastAsiaTheme="majorEastAsia" w:cstheme="majorBidi"/>
      <w:color w:val="1F3763" w:themeColor="accent1" w:themeShade="7F"/>
    </w:rPr>
  </w:style>
  <w:style w:type="paragraph" w:styleId="Heading4">
    <w:name w:val="heading 4"/>
    <w:basedOn w:val="Normal"/>
    <w:next w:val="Normal"/>
    <w:link w:val="Heading4Char"/>
    <w:uiPriority w:val="9"/>
    <w:unhideWhenUsed/>
    <w:qFormat/>
    <w:rsid w:val="00B661C9"/>
    <w:pPr>
      <w:keepNext/>
      <w:keepLines/>
      <w:numPr>
        <w:ilvl w:val="3"/>
        <w:numId w:val="1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7646B"/>
    <w:pPr>
      <w:keepNext/>
      <w:keepLines/>
      <w:numPr>
        <w:ilvl w:val="4"/>
        <w:numId w:val="1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7646B"/>
    <w:pPr>
      <w:keepNext/>
      <w:keepLines/>
      <w:numPr>
        <w:ilvl w:val="5"/>
        <w:numId w:val="1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7646B"/>
    <w:pPr>
      <w:keepNext/>
      <w:keepLines/>
      <w:numPr>
        <w:ilvl w:val="6"/>
        <w:numId w:val="1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652C7B"/>
    <w:pPr>
      <w:keepNext/>
      <w:keepLines/>
      <w:pageBreakBefore/>
      <w:numPr>
        <w:ilvl w:val="7"/>
        <w:numId w:val="29"/>
      </w:numPr>
      <w:spacing w:before="40"/>
      <w:outlineLvl w:val="7"/>
    </w:pPr>
    <w:rPr>
      <w:rFonts w:eastAsiaTheme="majorEastAsia" w:cstheme="majorBidi"/>
      <w:color w:val="4472C4" w:themeColor="accent1"/>
      <w:sz w:val="32"/>
      <w:szCs w:val="21"/>
    </w:rPr>
  </w:style>
  <w:style w:type="paragraph" w:styleId="Heading9">
    <w:name w:val="heading 9"/>
    <w:basedOn w:val="Normal"/>
    <w:next w:val="Normal"/>
    <w:link w:val="Heading9Char"/>
    <w:uiPriority w:val="9"/>
    <w:unhideWhenUsed/>
    <w:qFormat/>
    <w:rsid w:val="0047646B"/>
    <w:pPr>
      <w:keepNext/>
      <w:keepLines/>
      <w:numPr>
        <w:ilvl w:val="8"/>
        <w:numId w:val="1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45A"/>
    <w:rPr>
      <w:rFonts w:ascii="Times New Roman" w:eastAsiaTheme="majorEastAsia" w:hAnsi="Times New Roman" w:cstheme="majorBidi"/>
      <w:color w:val="2F5496" w:themeColor="accent1" w:themeShade="BF"/>
      <w:sz w:val="32"/>
      <w:szCs w:val="32"/>
    </w:rPr>
  </w:style>
  <w:style w:type="character" w:customStyle="1" w:styleId="Heading2Char">
    <w:name w:val="Heading 2 Char"/>
    <w:basedOn w:val="DefaultParagraphFont"/>
    <w:link w:val="Heading2"/>
    <w:uiPriority w:val="9"/>
    <w:rsid w:val="0072545A"/>
    <w:rPr>
      <w:rFonts w:ascii="Times New Roman" w:eastAsiaTheme="majorEastAsia" w:hAnsi="Times New Roman" w:cstheme="majorBidi"/>
      <w:color w:val="2F5496" w:themeColor="accent1" w:themeShade="BF"/>
      <w:sz w:val="26"/>
      <w:szCs w:val="26"/>
    </w:rPr>
  </w:style>
  <w:style w:type="character" w:customStyle="1" w:styleId="Heading3Char">
    <w:name w:val="Heading 3 Char"/>
    <w:basedOn w:val="DefaultParagraphFont"/>
    <w:link w:val="Heading3"/>
    <w:uiPriority w:val="9"/>
    <w:rsid w:val="0072545A"/>
    <w:rPr>
      <w:rFonts w:ascii="Times New Roman" w:eastAsiaTheme="majorEastAsia" w:hAnsi="Times New Roman" w:cstheme="majorBidi"/>
      <w:color w:val="1F3763" w:themeColor="accent1" w:themeShade="7F"/>
    </w:rPr>
  </w:style>
  <w:style w:type="table" w:styleId="TableGrid">
    <w:name w:val="Table Grid"/>
    <w:basedOn w:val="TableNormal"/>
    <w:uiPriority w:val="39"/>
    <w:rsid w:val="00C700A7"/>
    <w:tblPr/>
  </w:style>
  <w:style w:type="paragraph" w:styleId="Caption">
    <w:name w:val="caption"/>
    <w:basedOn w:val="Normal"/>
    <w:next w:val="Normal"/>
    <w:uiPriority w:val="35"/>
    <w:unhideWhenUsed/>
    <w:qFormat/>
    <w:rsid w:val="00C700A7"/>
    <w:pPr>
      <w:spacing w:after="200"/>
    </w:pPr>
    <w:rPr>
      <w:i/>
      <w:iCs/>
      <w:color w:val="44546A" w:themeColor="text2"/>
      <w:sz w:val="18"/>
      <w:szCs w:val="18"/>
    </w:rPr>
  </w:style>
  <w:style w:type="character" w:styleId="CommentReference">
    <w:name w:val="annotation reference"/>
    <w:basedOn w:val="DefaultParagraphFont"/>
    <w:uiPriority w:val="99"/>
    <w:semiHidden/>
    <w:unhideWhenUsed/>
    <w:rsid w:val="00006051"/>
    <w:rPr>
      <w:sz w:val="16"/>
      <w:szCs w:val="16"/>
    </w:rPr>
  </w:style>
  <w:style w:type="paragraph" w:styleId="Bibliography">
    <w:name w:val="Bibliography"/>
    <w:basedOn w:val="Normal"/>
    <w:next w:val="Normal"/>
    <w:uiPriority w:val="37"/>
    <w:unhideWhenUsed/>
    <w:rsid w:val="005B1A35"/>
    <w:pPr>
      <w:ind w:left="720" w:hanging="720"/>
    </w:pPr>
  </w:style>
  <w:style w:type="table" w:styleId="PlainTable1">
    <w:name w:val="Plain Table 1"/>
    <w:basedOn w:val="TableNormal"/>
    <w:uiPriority w:val="41"/>
    <w:rsid w:val="00454AD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54AD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9590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val="0"/>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4D6FE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ommentText">
    <w:name w:val="annotation text"/>
    <w:basedOn w:val="Normal"/>
    <w:link w:val="CommentTextChar"/>
    <w:uiPriority w:val="99"/>
    <w:unhideWhenUsed/>
    <w:rsid w:val="00972D84"/>
    <w:rPr>
      <w:sz w:val="20"/>
      <w:szCs w:val="20"/>
    </w:rPr>
  </w:style>
  <w:style w:type="character" w:customStyle="1" w:styleId="CommentTextChar">
    <w:name w:val="Comment Text Char"/>
    <w:basedOn w:val="DefaultParagraphFont"/>
    <w:link w:val="CommentText"/>
    <w:uiPriority w:val="99"/>
    <w:rsid w:val="00972D84"/>
    <w:rPr>
      <w:sz w:val="20"/>
      <w:szCs w:val="20"/>
    </w:rPr>
  </w:style>
  <w:style w:type="paragraph" w:styleId="CommentSubject">
    <w:name w:val="annotation subject"/>
    <w:basedOn w:val="CommentText"/>
    <w:next w:val="CommentText"/>
    <w:link w:val="CommentSubjectChar"/>
    <w:uiPriority w:val="99"/>
    <w:semiHidden/>
    <w:unhideWhenUsed/>
    <w:rsid w:val="00972D84"/>
    <w:rPr>
      <w:b/>
      <w:bCs/>
    </w:rPr>
  </w:style>
  <w:style w:type="character" w:customStyle="1" w:styleId="CommentSubjectChar">
    <w:name w:val="Comment Subject Char"/>
    <w:basedOn w:val="CommentTextChar"/>
    <w:link w:val="CommentSubject"/>
    <w:uiPriority w:val="99"/>
    <w:semiHidden/>
    <w:rsid w:val="00972D84"/>
    <w:rPr>
      <w:b/>
      <w:bCs/>
      <w:sz w:val="20"/>
      <w:szCs w:val="20"/>
    </w:rPr>
  </w:style>
  <w:style w:type="table" w:styleId="TableGridLight">
    <w:name w:val="Grid Table Light"/>
    <w:basedOn w:val="TableNormal"/>
    <w:uiPriority w:val="40"/>
    <w:rsid w:val="00B4324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B05BC3"/>
    <w:rPr>
      <w:color w:val="808080"/>
    </w:rPr>
  </w:style>
  <w:style w:type="character" w:customStyle="1" w:styleId="Heading4Char">
    <w:name w:val="Heading 4 Char"/>
    <w:basedOn w:val="DefaultParagraphFont"/>
    <w:link w:val="Heading4"/>
    <w:uiPriority w:val="9"/>
    <w:rsid w:val="00B661C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A24826"/>
    <w:rPr>
      <w:color w:val="0563C1" w:themeColor="hyperlink"/>
      <w:u w:val="single"/>
    </w:rPr>
  </w:style>
  <w:style w:type="character" w:styleId="UnresolvedMention">
    <w:name w:val="Unresolved Mention"/>
    <w:basedOn w:val="DefaultParagraphFont"/>
    <w:uiPriority w:val="99"/>
    <w:semiHidden/>
    <w:unhideWhenUsed/>
    <w:rsid w:val="00A24826"/>
    <w:rPr>
      <w:color w:val="605E5C"/>
      <w:shd w:val="clear" w:color="auto" w:fill="E1DFDD"/>
    </w:rPr>
  </w:style>
  <w:style w:type="paragraph" w:styleId="NoSpacing">
    <w:name w:val="No Spacing"/>
    <w:link w:val="NoSpacingChar"/>
    <w:uiPriority w:val="1"/>
    <w:qFormat/>
    <w:rsid w:val="0072545A"/>
    <w:rPr>
      <w:rFonts w:ascii="Times New Roman" w:hAnsi="Times New Roman"/>
    </w:rPr>
  </w:style>
  <w:style w:type="character" w:customStyle="1" w:styleId="a-size-large">
    <w:name w:val="a-size-large"/>
    <w:basedOn w:val="DefaultParagraphFont"/>
    <w:rsid w:val="00866DD4"/>
  </w:style>
  <w:style w:type="paragraph" w:styleId="ListParagraph">
    <w:name w:val="List Paragraph"/>
    <w:basedOn w:val="Normal"/>
    <w:uiPriority w:val="34"/>
    <w:qFormat/>
    <w:rsid w:val="00212E80"/>
    <w:pPr>
      <w:ind w:left="720"/>
      <w:contextualSpacing/>
    </w:pPr>
  </w:style>
  <w:style w:type="character" w:customStyle="1" w:styleId="hgkelc">
    <w:name w:val="hgkelc"/>
    <w:basedOn w:val="DefaultParagraphFont"/>
    <w:rsid w:val="00304193"/>
  </w:style>
  <w:style w:type="table" w:styleId="GridTable1Light">
    <w:name w:val="Grid Table 1 Light"/>
    <w:basedOn w:val="TableNormal"/>
    <w:uiPriority w:val="46"/>
    <w:rsid w:val="00FB246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oSpacingChar">
    <w:name w:val="No Spacing Char"/>
    <w:basedOn w:val="DefaultParagraphFont"/>
    <w:link w:val="NoSpacing"/>
    <w:uiPriority w:val="1"/>
    <w:rsid w:val="0072545A"/>
    <w:rPr>
      <w:rFonts w:ascii="Times New Roman" w:hAnsi="Times New Roman"/>
    </w:rPr>
  </w:style>
  <w:style w:type="paragraph" w:styleId="Title">
    <w:name w:val="Title"/>
    <w:basedOn w:val="Normal"/>
    <w:next w:val="Normal"/>
    <w:link w:val="TitleChar"/>
    <w:uiPriority w:val="10"/>
    <w:qFormat/>
    <w:rsid w:val="009F2030"/>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2030"/>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semiHidden/>
    <w:rsid w:val="004764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4764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764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652C7B"/>
    <w:rPr>
      <w:rFonts w:ascii="Times New Roman" w:eastAsiaTheme="majorEastAsia" w:hAnsi="Times New Roman" w:cstheme="majorBidi"/>
      <w:color w:val="4472C4" w:themeColor="accent1"/>
      <w:sz w:val="32"/>
      <w:szCs w:val="21"/>
    </w:rPr>
  </w:style>
  <w:style w:type="character" w:customStyle="1" w:styleId="Heading9Char">
    <w:name w:val="Heading 9 Char"/>
    <w:basedOn w:val="DefaultParagraphFont"/>
    <w:link w:val="Heading9"/>
    <w:uiPriority w:val="9"/>
    <w:rsid w:val="0047646B"/>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F4109F"/>
    <w:pPr>
      <w:numPr>
        <w:numId w:val="0"/>
      </w:numPr>
      <w:spacing w:line="259" w:lineRule="auto"/>
      <w:outlineLvl w:val="9"/>
    </w:pPr>
    <w:rPr>
      <w:rFonts w:asciiTheme="majorHAnsi" w:hAnsiTheme="majorHAnsi"/>
    </w:rPr>
  </w:style>
  <w:style w:type="paragraph" w:styleId="TOC1">
    <w:name w:val="toc 1"/>
    <w:basedOn w:val="Normal"/>
    <w:next w:val="Normal"/>
    <w:autoRedefine/>
    <w:uiPriority w:val="39"/>
    <w:unhideWhenUsed/>
    <w:rsid w:val="00F4109F"/>
    <w:pPr>
      <w:spacing w:after="100"/>
    </w:pPr>
  </w:style>
  <w:style w:type="paragraph" w:styleId="TOC2">
    <w:name w:val="toc 2"/>
    <w:basedOn w:val="Normal"/>
    <w:next w:val="Normal"/>
    <w:autoRedefine/>
    <w:uiPriority w:val="39"/>
    <w:unhideWhenUsed/>
    <w:rsid w:val="00F4109F"/>
    <w:pPr>
      <w:spacing w:after="100"/>
      <w:ind w:left="240"/>
    </w:pPr>
  </w:style>
  <w:style w:type="paragraph" w:styleId="TOC3">
    <w:name w:val="toc 3"/>
    <w:basedOn w:val="Normal"/>
    <w:next w:val="Normal"/>
    <w:autoRedefine/>
    <w:uiPriority w:val="39"/>
    <w:unhideWhenUsed/>
    <w:rsid w:val="00F4109F"/>
    <w:pPr>
      <w:spacing w:after="100"/>
      <w:ind w:left="480"/>
    </w:pPr>
  </w:style>
  <w:style w:type="paragraph" w:styleId="TableofFigures">
    <w:name w:val="table of figures"/>
    <w:basedOn w:val="Normal"/>
    <w:next w:val="Normal"/>
    <w:uiPriority w:val="99"/>
    <w:unhideWhenUsed/>
    <w:rsid w:val="00F4109F"/>
  </w:style>
  <w:style w:type="paragraph" w:styleId="Header">
    <w:name w:val="header"/>
    <w:basedOn w:val="Normal"/>
    <w:link w:val="HeaderChar"/>
    <w:uiPriority w:val="99"/>
    <w:unhideWhenUsed/>
    <w:rsid w:val="00CB2497"/>
    <w:pPr>
      <w:tabs>
        <w:tab w:val="center" w:pos="4680"/>
        <w:tab w:val="right" w:pos="9360"/>
      </w:tabs>
      <w:spacing w:line="240" w:lineRule="auto"/>
    </w:pPr>
  </w:style>
  <w:style w:type="character" w:customStyle="1" w:styleId="HeaderChar">
    <w:name w:val="Header Char"/>
    <w:basedOn w:val="DefaultParagraphFont"/>
    <w:link w:val="Header"/>
    <w:uiPriority w:val="99"/>
    <w:rsid w:val="00CB2497"/>
    <w:rPr>
      <w:rFonts w:ascii="Times New Roman" w:hAnsi="Times New Roman"/>
    </w:rPr>
  </w:style>
  <w:style w:type="paragraph" w:styleId="Footer">
    <w:name w:val="footer"/>
    <w:basedOn w:val="Normal"/>
    <w:link w:val="FooterChar"/>
    <w:uiPriority w:val="99"/>
    <w:unhideWhenUsed/>
    <w:rsid w:val="00CB2497"/>
    <w:pPr>
      <w:tabs>
        <w:tab w:val="center" w:pos="4680"/>
        <w:tab w:val="right" w:pos="9360"/>
      </w:tabs>
      <w:spacing w:line="240" w:lineRule="auto"/>
    </w:pPr>
  </w:style>
  <w:style w:type="character" w:customStyle="1" w:styleId="FooterChar">
    <w:name w:val="Footer Char"/>
    <w:basedOn w:val="DefaultParagraphFont"/>
    <w:link w:val="Footer"/>
    <w:uiPriority w:val="99"/>
    <w:rsid w:val="00CB2497"/>
    <w:rPr>
      <w:rFonts w:ascii="Times New Roman" w:hAnsi="Times New Roman"/>
    </w:rPr>
  </w:style>
  <w:style w:type="paragraph" w:styleId="Revision">
    <w:name w:val="Revision"/>
    <w:hidden/>
    <w:uiPriority w:val="99"/>
    <w:semiHidden/>
    <w:rsid w:val="007348C7"/>
    <w:rPr>
      <w:rFonts w:ascii="Times New Roman" w:hAnsi="Times New Roman"/>
    </w:rPr>
  </w:style>
  <w:style w:type="paragraph" w:customStyle="1" w:styleId="Appendix">
    <w:name w:val="Appendix"/>
    <w:basedOn w:val="Heading1"/>
    <w:link w:val="AppendixChar"/>
    <w:rsid w:val="00B625B5"/>
  </w:style>
  <w:style w:type="character" w:customStyle="1" w:styleId="AppendixChar">
    <w:name w:val="Appendix Char"/>
    <w:basedOn w:val="Heading1Char"/>
    <w:link w:val="Appendix"/>
    <w:rsid w:val="00B625B5"/>
    <w:rPr>
      <w:rFonts w:ascii="Times New Roman" w:eastAsiaTheme="majorEastAsia" w:hAnsi="Times New Roman" w:cstheme="majorBidi"/>
      <w:color w:val="2F5496" w:themeColor="accent1" w:themeShade="BF"/>
      <w:sz w:val="32"/>
      <w:szCs w:val="32"/>
    </w:rPr>
  </w:style>
  <w:style w:type="character" w:styleId="FollowedHyperlink">
    <w:name w:val="FollowedHyperlink"/>
    <w:basedOn w:val="DefaultParagraphFont"/>
    <w:uiPriority w:val="99"/>
    <w:semiHidden/>
    <w:unhideWhenUsed/>
    <w:rsid w:val="00DF7FC8"/>
    <w:rPr>
      <w:color w:val="954F72"/>
      <w:u w:val="single"/>
    </w:rPr>
  </w:style>
  <w:style w:type="paragraph" w:customStyle="1" w:styleId="msonormal0">
    <w:name w:val="msonormal"/>
    <w:basedOn w:val="Normal"/>
    <w:rsid w:val="00DF7FC8"/>
    <w:pPr>
      <w:spacing w:before="100" w:beforeAutospacing="1" w:after="100" w:afterAutospacing="1" w:line="240" w:lineRule="auto"/>
      <w:jc w:val="left"/>
    </w:pPr>
    <w:rPr>
      <w:rFonts w:eastAsia="Times New Roman" w:cs="Times New Roman"/>
    </w:rPr>
  </w:style>
  <w:style w:type="paragraph" w:customStyle="1" w:styleId="xl66">
    <w:name w:val="xl66"/>
    <w:basedOn w:val="Normal"/>
    <w:rsid w:val="00DF7FC8"/>
    <w:pPr>
      <w:spacing w:before="100" w:beforeAutospacing="1" w:after="100" w:afterAutospacing="1" w:line="240" w:lineRule="auto"/>
      <w:jc w:val="left"/>
    </w:pPr>
    <w:rPr>
      <w:rFonts w:eastAsia="Times New Roman" w:cs="Times New Roman"/>
    </w:rPr>
  </w:style>
  <w:style w:type="paragraph" w:customStyle="1" w:styleId="xl67">
    <w:name w:val="xl67"/>
    <w:basedOn w:val="Normal"/>
    <w:rsid w:val="00DF7FC8"/>
    <w:pPr>
      <w:spacing w:before="100" w:beforeAutospacing="1" w:after="100" w:afterAutospacing="1" w:line="240" w:lineRule="auto"/>
      <w:jc w:val="left"/>
    </w:pPr>
    <w:rPr>
      <w:rFonts w:eastAsia="Times New Roman" w:cs="Times New Roman"/>
    </w:rPr>
  </w:style>
  <w:style w:type="paragraph" w:customStyle="1" w:styleId="xl68">
    <w:name w:val="xl68"/>
    <w:basedOn w:val="Normal"/>
    <w:rsid w:val="00DF7FC8"/>
    <w:pPr>
      <w:spacing w:before="100" w:beforeAutospacing="1" w:after="100" w:afterAutospacing="1" w:line="240" w:lineRule="auto"/>
      <w:jc w:val="left"/>
    </w:pPr>
    <w:rPr>
      <w:rFonts w:eastAsia="Times New Roman" w:cs="Times New Roman"/>
    </w:rPr>
  </w:style>
  <w:style w:type="paragraph" w:customStyle="1" w:styleId="xl69">
    <w:name w:val="xl69"/>
    <w:basedOn w:val="Normal"/>
    <w:rsid w:val="00DF7FC8"/>
    <w:pPr>
      <w:spacing w:before="100" w:beforeAutospacing="1" w:after="100" w:afterAutospacing="1" w:line="240" w:lineRule="auto"/>
      <w:jc w:val="left"/>
    </w:pPr>
    <w:rPr>
      <w:rFonts w:eastAsia="Times New Roman" w:cs="Times New Roman"/>
      <w:color w:val="000000"/>
    </w:rPr>
  </w:style>
  <w:style w:type="paragraph" w:customStyle="1" w:styleId="xl71">
    <w:name w:val="xl71"/>
    <w:basedOn w:val="Normal"/>
    <w:rsid w:val="00DF7FC8"/>
    <w:pPr>
      <w:spacing w:before="100" w:beforeAutospacing="1" w:after="100" w:afterAutospacing="1" w:line="240" w:lineRule="auto"/>
      <w:jc w:val="left"/>
    </w:pPr>
    <w:rPr>
      <w:rFonts w:eastAsia="Times New Roman" w:cs="Times New Roman"/>
      <w:sz w:val="22"/>
      <w:szCs w:val="22"/>
    </w:rPr>
  </w:style>
  <w:style w:type="paragraph" w:customStyle="1" w:styleId="xl70">
    <w:name w:val="xl70"/>
    <w:basedOn w:val="Normal"/>
    <w:rsid w:val="00E9719B"/>
    <w:pPr>
      <w:spacing w:before="100" w:beforeAutospacing="1" w:after="100" w:afterAutospacing="1" w:line="240" w:lineRule="auto"/>
      <w:jc w:val="left"/>
    </w:pPr>
    <w:rPr>
      <w:rFonts w:eastAsia="Times New Roman" w:cs="Times New Roman"/>
    </w:rPr>
  </w:style>
  <w:style w:type="paragraph" w:customStyle="1" w:styleId="xl73">
    <w:name w:val="xl73"/>
    <w:basedOn w:val="Normal"/>
    <w:rsid w:val="00D5135C"/>
    <w:pPr>
      <w:spacing w:before="100" w:beforeAutospacing="1" w:after="100" w:afterAutospacing="1" w:line="240" w:lineRule="auto"/>
      <w:jc w:val="left"/>
    </w:pPr>
    <w:rPr>
      <w:rFonts w:eastAsia="Times New Roman" w:cs="Times New Roman"/>
      <w:sz w:val="22"/>
      <w:szCs w:val="22"/>
    </w:rPr>
  </w:style>
  <w:style w:type="paragraph" w:customStyle="1" w:styleId="xl74">
    <w:name w:val="xl74"/>
    <w:basedOn w:val="Normal"/>
    <w:rsid w:val="00D5135C"/>
    <w:pPr>
      <w:spacing w:before="100" w:beforeAutospacing="1" w:after="100" w:afterAutospacing="1" w:line="240" w:lineRule="auto"/>
      <w:jc w:val="left"/>
    </w:pPr>
    <w:rPr>
      <w:rFonts w:eastAsia="Times New Roman" w:cs="Times New Roman"/>
    </w:rPr>
  </w:style>
  <w:style w:type="paragraph" w:customStyle="1" w:styleId="xl75">
    <w:name w:val="xl75"/>
    <w:basedOn w:val="Normal"/>
    <w:rsid w:val="00D5135C"/>
    <w:pPr>
      <w:shd w:val="clear" w:color="000000" w:fill="BFBFBF"/>
      <w:spacing w:before="100" w:beforeAutospacing="1" w:after="100" w:afterAutospacing="1" w:line="240" w:lineRule="auto"/>
      <w:jc w:val="left"/>
    </w:pPr>
    <w:rPr>
      <w:rFonts w:eastAsia="Times New Roman" w:cs="Times New Roman"/>
    </w:rPr>
  </w:style>
  <w:style w:type="table" w:styleId="PlainTable4">
    <w:name w:val="Plain Table 4"/>
    <w:basedOn w:val="TableNormal"/>
    <w:uiPriority w:val="44"/>
    <w:rsid w:val="007E38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ageNumber">
    <w:name w:val="page number"/>
    <w:basedOn w:val="DefaultParagraphFont"/>
    <w:uiPriority w:val="99"/>
    <w:semiHidden/>
    <w:unhideWhenUsed/>
    <w:rsid w:val="0048531E"/>
  </w:style>
  <w:style w:type="paragraph" w:styleId="TOC4">
    <w:name w:val="toc 4"/>
    <w:basedOn w:val="Normal"/>
    <w:next w:val="Normal"/>
    <w:autoRedefine/>
    <w:uiPriority w:val="39"/>
    <w:unhideWhenUsed/>
    <w:rsid w:val="007C67EF"/>
    <w:pPr>
      <w:spacing w:after="100"/>
      <w:ind w:left="720"/>
    </w:pPr>
  </w:style>
  <w:style w:type="paragraph" w:styleId="TOC8">
    <w:name w:val="toc 8"/>
    <w:basedOn w:val="Normal"/>
    <w:next w:val="Normal"/>
    <w:autoRedefine/>
    <w:uiPriority w:val="39"/>
    <w:unhideWhenUsed/>
    <w:rsid w:val="00674FD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42405">
      <w:bodyDiv w:val="1"/>
      <w:marLeft w:val="0"/>
      <w:marRight w:val="0"/>
      <w:marTop w:val="0"/>
      <w:marBottom w:val="0"/>
      <w:divBdr>
        <w:top w:val="none" w:sz="0" w:space="0" w:color="auto"/>
        <w:left w:val="none" w:sz="0" w:space="0" w:color="auto"/>
        <w:bottom w:val="none" w:sz="0" w:space="0" w:color="auto"/>
        <w:right w:val="none" w:sz="0" w:space="0" w:color="auto"/>
      </w:divBdr>
    </w:div>
    <w:div w:id="103576169">
      <w:bodyDiv w:val="1"/>
      <w:marLeft w:val="0"/>
      <w:marRight w:val="0"/>
      <w:marTop w:val="0"/>
      <w:marBottom w:val="0"/>
      <w:divBdr>
        <w:top w:val="none" w:sz="0" w:space="0" w:color="auto"/>
        <w:left w:val="none" w:sz="0" w:space="0" w:color="auto"/>
        <w:bottom w:val="none" w:sz="0" w:space="0" w:color="auto"/>
        <w:right w:val="none" w:sz="0" w:space="0" w:color="auto"/>
      </w:divBdr>
    </w:div>
    <w:div w:id="103816121">
      <w:bodyDiv w:val="1"/>
      <w:marLeft w:val="0"/>
      <w:marRight w:val="0"/>
      <w:marTop w:val="0"/>
      <w:marBottom w:val="0"/>
      <w:divBdr>
        <w:top w:val="none" w:sz="0" w:space="0" w:color="auto"/>
        <w:left w:val="none" w:sz="0" w:space="0" w:color="auto"/>
        <w:bottom w:val="none" w:sz="0" w:space="0" w:color="auto"/>
        <w:right w:val="none" w:sz="0" w:space="0" w:color="auto"/>
      </w:divBdr>
      <w:divsChild>
        <w:div w:id="2051805379">
          <w:marLeft w:val="547"/>
          <w:marRight w:val="0"/>
          <w:marTop w:val="0"/>
          <w:marBottom w:val="0"/>
          <w:divBdr>
            <w:top w:val="none" w:sz="0" w:space="0" w:color="auto"/>
            <w:left w:val="none" w:sz="0" w:space="0" w:color="auto"/>
            <w:bottom w:val="none" w:sz="0" w:space="0" w:color="auto"/>
            <w:right w:val="none" w:sz="0" w:space="0" w:color="auto"/>
          </w:divBdr>
        </w:div>
      </w:divsChild>
    </w:div>
    <w:div w:id="106320695">
      <w:bodyDiv w:val="1"/>
      <w:marLeft w:val="0"/>
      <w:marRight w:val="0"/>
      <w:marTop w:val="0"/>
      <w:marBottom w:val="0"/>
      <w:divBdr>
        <w:top w:val="none" w:sz="0" w:space="0" w:color="auto"/>
        <w:left w:val="none" w:sz="0" w:space="0" w:color="auto"/>
        <w:bottom w:val="none" w:sz="0" w:space="0" w:color="auto"/>
        <w:right w:val="none" w:sz="0" w:space="0" w:color="auto"/>
      </w:divBdr>
    </w:div>
    <w:div w:id="204953691">
      <w:bodyDiv w:val="1"/>
      <w:marLeft w:val="0"/>
      <w:marRight w:val="0"/>
      <w:marTop w:val="0"/>
      <w:marBottom w:val="0"/>
      <w:divBdr>
        <w:top w:val="none" w:sz="0" w:space="0" w:color="auto"/>
        <w:left w:val="none" w:sz="0" w:space="0" w:color="auto"/>
        <w:bottom w:val="none" w:sz="0" w:space="0" w:color="auto"/>
        <w:right w:val="none" w:sz="0" w:space="0" w:color="auto"/>
      </w:divBdr>
    </w:div>
    <w:div w:id="582104168">
      <w:bodyDiv w:val="1"/>
      <w:marLeft w:val="0"/>
      <w:marRight w:val="0"/>
      <w:marTop w:val="0"/>
      <w:marBottom w:val="0"/>
      <w:divBdr>
        <w:top w:val="none" w:sz="0" w:space="0" w:color="auto"/>
        <w:left w:val="none" w:sz="0" w:space="0" w:color="auto"/>
        <w:bottom w:val="none" w:sz="0" w:space="0" w:color="auto"/>
        <w:right w:val="none" w:sz="0" w:space="0" w:color="auto"/>
      </w:divBdr>
    </w:div>
    <w:div w:id="613512578">
      <w:bodyDiv w:val="1"/>
      <w:marLeft w:val="0"/>
      <w:marRight w:val="0"/>
      <w:marTop w:val="0"/>
      <w:marBottom w:val="0"/>
      <w:divBdr>
        <w:top w:val="none" w:sz="0" w:space="0" w:color="auto"/>
        <w:left w:val="none" w:sz="0" w:space="0" w:color="auto"/>
        <w:bottom w:val="none" w:sz="0" w:space="0" w:color="auto"/>
        <w:right w:val="none" w:sz="0" w:space="0" w:color="auto"/>
      </w:divBdr>
    </w:div>
    <w:div w:id="684673826">
      <w:bodyDiv w:val="1"/>
      <w:marLeft w:val="0"/>
      <w:marRight w:val="0"/>
      <w:marTop w:val="0"/>
      <w:marBottom w:val="0"/>
      <w:divBdr>
        <w:top w:val="none" w:sz="0" w:space="0" w:color="auto"/>
        <w:left w:val="none" w:sz="0" w:space="0" w:color="auto"/>
        <w:bottom w:val="none" w:sz="0" w:space="0" w:color="auto"/>
        <w:right w:val="none" w:sz="0" w:space="0" w:color="auto"/>
      </w:divBdr>
    </w:div>
    <w:div w:id="706640701">
      <w:bodyDiv w:val="1"/>
      <w:marLeft w:val="0"/>
      <w:marRight w:val="0"/>
      <w:marTop w:val="0"/>
      <w:marBottom w:val="0"/>
      <w:divBdr>
        <w:top w:val="none" w:sz="0" w:space="0" w:color="auto"/>
        <w:left w:val="none" w:sz="0" w:space="0" w:color="auto"/>
        <w:bottom w:val="none" w:sz="0" w:space="0" w:color="auto"/>
        <w:right w:val="none" w:sz="0" w:space="0" w:color="auto"/>
      </w:divBdr>
    </w:div>
    <w:div w:id="816189638">
      <w:bodyDiv w:val="1"/>
      <w:marLeft w:val="0"/>
      <w:marRight w:val="0"/>
      <w:marTop w:val="0"/>
      <w:marBottom w:val="0"/>
      <w:divBdr>
        <w:top w:val="none" w:sz="0" w:space="0" w:color="auto"/>
        <w:left w:val="none" w:sz="0" w:space="0" w:color="auto"/>
        <w:bottom w:val="none" w:sz="0" w:space="0" w:color="auto"/>
        <w:right w:val="none" w:sz="0" w:space="0" w:color="auto"/>
      </w:divBdr>
      <w:divsChild>
        <w:div w:id="313146120">
          <w:marLeft w:val="0"/>
          <w:marRight w:val="0"/>
          <w:marTop w:val="0"/>
          <w:marBottom w:val="0"/>
          <w:divBdr>
            <w:top w:val="none" w:sz="0" w:space="0" w:color="auto"/>
            <w:left w:val="none" w:sz="0" w:space="0" w:color="auto"/>
            <w:bottom w:val="none" w:sz="0" w:space="0" w:color="auto"/>
            <w:right w:val="none" w:sz="0" w:space="0" w:color="auto"/>
          </w:divBdr>
          <w:divsChild>
            <w:div w:id="8146856">
              <w:marLeft w:val="0"/>
              <w:marRight w:val="0"/>
              <w:marTop w:val="0"/>
              <w:marBottom w:val="0"/>
              <w:divBdr>
                <w:top w:val="none" w:sz="0" w:space="0" w:color="auto"/>
                <w:left w:val="none" w:sz="0" w:space="0" w:color="auto"/>
                <w:bottom w:val="none" w:sz="0" w:space="0" w:color="auto"/>
                <w:right w:val="none" w:sz="0" w:space="0" w:color="auto"/>
              </w:divBdr>
            </w:div>
          </w:divsChild>
        </w:div>
        <w:div w:id="1749767504">
          <w:marLeft w:val="0"/>
          <w:marRight w:val="0"/>
          <w:marTop w:val="0"/>
          <w:marBottom w:val="0"/>
          <w:divBdr>
            <w:top w:val="none" w:sz="0" w:space="0" w:color="auto"/>
            <w:left w:val="none" w:sz="0" w:space="0" w:color="auto"/>
            <w:bottom w:val="none" w:sz="0" w:space="0" w:color="auto"/>
            <w:right w:val="none" w:sz="0" w:space="0" w:color="auto"/>
          </w:divBdr>
        </w:div>
      </w:divsChild>
    </w:div>
    <w:div w:id="852454291">
      <w:bodyDiv w:val="1"/>
      <w:marLeft w:val="0"/>
      <w:marRight w:val="0"/>
      <w:marTop w:val="0"/>
      <w:marBottom w:val="0"/>
      <w:divBdr>
        <w:top w:val="none" w:sz="0" w:space="0" w:color="auto"/>
        <w:left w:val="none" w:sz="0" w:space="0" w:color="auto"/>
        <w:bottom w:val="none" w:sz="0" w:space="0" w:color="auto"/>
        <w:right w:val="none" w:sz="0" w:space="0" w:color="auto"/>
      </w:divBdr>
      <w:divsChild>
        <w:div w:id="303900693">
          <w:marLeft w:val="547"/>
          <w:marRight w:val="0"/>
          <w:marTop w:val="0"/>
          <w:marBottom w:val="0"/>
          <w:divBdr>
            <w:top w:val="none" w:sz="0" w:space="0" w:color="auto"/>
            <w:left w:val="none" w:sz="0" w:space="0" w:color="auto"/>
            <w:bottom w:val="none" w:sz="0" w:space="0" w:color="auto"/>
            <w:right w:val="none" w:sz="0" w:space="0" w:color="auto"/>
          </w:divBdr>
        </w:div>
      </w:divsChild>
    </w:div>
    <w:div w:id="914585813">
      <w:bodyDiv w:val="1"/>
      <w:marLeft w:val="0"/>
      <w:marRight w:val="0"/>
      <w:marTop w:val="0"/>
      <w:marBottom w:val="0"/>
      <w:divBdr>
        <w:top w:val="none" w:sz="0" w:space="0" w:color="auto"/>
        <w:left w:val="none" w:sz="0" w:space="0" w:color="auto"/>
        <w:bottom w:val="none" w:sz="0" w:space="0" w:color="auto"/>
        <w:right w:val="none" w:sz="0" w:space="0" w:color="auto"/>
      </w:divBdr>
    </w:div>
    <w:div w:id="941844443">
      <w:bodyDiv w:val="1"/>
      <w:marLeft w:val="0"/>
      <w:marRight w:val="0"/>
      <w:marTop w:val="0"/>
      <w:marBottom w:val="0"/>
      <w:divBdr>
        <w:top w:val="none" w:sz="0" w:space="0" w:color="auto"/>
        <w:left w:val="none" w:sz="0" w:space="0" w:color="auto"/>
        <w:bottom w:val="none" w:sz="0" w:space="0" w:color="auto"/>
        <w:right w:val="none" w:sz="0" w:space="0" w:color="auto"/>
      </w:divBdr>
    </w:div>
    <w:div w:id="1076513507">
      <w:bodyDiv w:val="1"/>
      <w:marLeft w:val="0"/>
      <w:marRight w:val="0"/>
      <w:marTop w:val="0"/>
      <w:marBottom w:val="0"/>
      <w:divBdr>
        <w:top w:val="none" w:sz="0" w:space="0" w:color="auto"/>
        <w:left w:val="none" w:sz="0" w:space="0" w:color="auto"/>
        <w:bottom w:val="none" w:sz="0" w:space="0" w:color="auto"/>
        <w:right w:val="none" w:sz="0" w:space="0" w:color="auto"/>
      </w:divBdr>
    </w:div>
    <w:div w:id="1307121315">
      <w:bodyDiv w:val="1"/>
      <w:marLeft w:val="0"/>
      <w:marRight w:val="0"/>
      <w:marTop w:val="0"/>
      <w:marBottom w:val="0"/>
      <w:divBdr>
        <w:top w:val="none" w:sz="0" w:space="0" w:color="auto"/>
        <w:left w:val="none" w:sz="0" w:space="0" w:color="auto"/>
        <w:bottom w:val="none" w:sz="0" w:space="0" w:color="auto"/>
        <w:right w:val="none" w:sz="0" w:space="0" w:color="auto"/>
      </w:divBdr>
    </w:div>
    <w:div w:id="1307392635">
      <w:bodyDiv w:val="1"/>
      <w:marLeft w:val="0"/>
      <w:marRight w:val="0"/>
      <w:marTop w:val="0"/>
      <w:marBottom w:val="0"/>
      <w:divBdr>
        <w:top w:val="none" w:sz="0" w:space="0" w:color="auto"/>
        <w:left w:val="none" w:sz="0" w:space="0" w:color="auto"/>
        <w:bottom w:val="none" w:sz="0" w:space="0" w:color="auto"/>
        <w:right w:val="none" w:sz="0" w:space="0" w:color="auto"/>
      </w:divBdr>
    </w:div>
    <w:div w:id="1511722512">
      <w:bodyDiv w:val="1"/>
      <w:marLeft w:val="0"/>
      <w:marRight w:val="0"/>
      <w:marTop w:val="0"/>
      <w:marBottom w:val="0"/>
      <w:divBdr>
        <w:top w:val="none" w:sz="0" w:space="0" w:color="auto"/>
        <w:left w:val="none" w:sz="0" w:space="0" w:color="auto"/>
        <w:bottom w:val="none" w:sz="0" w:space="0" w:color="auto"/>
        <w:right w:val="none" w:sz="0" w:space="0" w:color="auto"/>
      </w:divBdr>
    </w:div>
    <w:div w:id="1554929065">
      <w:bodyDiv w:val="1"/>
      <w:marLeft w:val="0"/>
      <w:marRight w:val="0"/>
      <w:marTop w:val="0"/>
      <w:marBottom w:val="0"/>
      <w:divBdr>
        <w:top w:val="none" w:sz="0" w:space="0" w:color="auto"/>
        <w:left w:val="none" w:sz="0" w:space="0" w:color="auto"/>
        <w:bottom w:val="none" w:sz="0" w:space="0" w:color="auto"/>
        <w:right w:val="none" w:sz="0" w:space="0" w:color="auto"/>
      </w:divBdr>
    </w:div>
    <w:div w:id="1577472334">
      <w:bodyDiv w:val="1"/>
      <w:marLeft w:val="0"/>
      <w:marRight w:val="0"/>
      <w:marTop w:val="0"/>
      <w:marBottom w:val="0"/>
      <w:divBdr>
        <w:top w:val="none" w:sz="0" w:space="0" w:color="auto"/>
        <w:left w:val="none" w:sz="0" w:space="0" w:color="auto"/>
        <w:bottom w:val="none" w:sz="0" w:space="0" w:color="auto"/>
        <w:right w:val="none" w:sz="0" w:space="0" w:color="auto"/>
      </w:divBdr>
    </w:div>
    <w:div w:id="1594436165">
      <w:bodyDiv w:val="1"/>
      <w:marLeft w:val="0"/>
      <w:marRight w:val="0"/>
      <w:marTop w:val="0"/>
      <w:marBottom w:val="0"/>
      <w:divBdr>
        <w:top w:val="none" w:sz="0" w:space="0" w:color="auto"/>
        <w:left w:val="none" w:sz="0" w:space="0" w:color="auto"/>
        <w:bottom w:val="none" w:sz="0" w:space="0" w:color="auto"/>
        <w:right w:val="none" w:sz="0" w:space="0" w:color="auto"/>
      </w:divBdr>
    </w:div>
    <w:div w:id="1612787298">
      <w:bodyDiv w:val="1"/>
      <w:marLeft w:val="0"/>
      <w:marRight w:val="0"/>
      <w:marTop w:val="0"/>
      <w:marBottom w:val="0"/>
      <w:divBdr>
        <w:top w:val="none" w:sz="0" w:space="0" w:color="auto"/>
        <w:left w:val="none" w:sz="0" w:space="0" w:color="auto"/>
        <w:bottom w:val="none" w:sz="0" w:space="0" w:color="auto"/>
        <w:right w:val="none" w:sz="0" w:space="0" w:color="auto"/>
      </w:divBdr>
    </w:div>
    <w:div w:id="1697804698">
      <w:bodyDiv w:val="1"/>
      <w:marLeft w:val="0"/>
      <w:marRight w:val="0"/>
      <w:marTop w:val="0"/>
      <w:marBottom w:val="0"/>
      <w:divBdr>
        <w:top w:val="none" w:sz="0" w:space="0" w:color="auto"/>
        <w:left w:val="none" w:sz="0" w:space="0" w:color="auto"/>
        <w:bottom w:val="none" w:sz="0" w:space="0" w:color="auto"/>
        <w:right w:val="none" w:sz="0" w:space="0" w:color="auto"/>
      </w:divBdr>
    </w:div>
    <w:div w:id="1740639037">
      <w:bodyDiv w:val="1"/>
      <w:marLeft w:val="0"/>
      <w:marRight w:val="0"/>
      <w:marTop w:val="0"/>
      <w:marBottom w:val="0"/>
      <w:divBdr>
        <w:top w:val="none" w:sz="0" w:space="0" w:color="auto"/>
        <w:left w:val="none" w:sz="0" w:space="0" w:color="auto"/>
        <w:bottom w:val="none" w:sz="0" w:space="0" w:color="auto"/>
        <w:right w:val="none" w:sz="0" w:space="0" w:color="auto"/>
      </w:divBdr>
    </w:div>
    <w:div w:id="1777284368">
      <w:bodyDiv w:val="1"/>
      <w:marLeft w:val="0"/>
      <w:marRight w:val="0"/>
      <w:marTop w:val="0"/>
      <w:marBottom w:val="0"/>
      <w:divBdr>
        <w:top w:val="none" w:sz="0" w:space="0" w:color="auto"/>
        <w:left w:val="none" w:sz="0" w:space="0" w:color="auto"/>
        <w:bottom w:val="none" w:sz="0" w:space="0" w:color="auto"/>
        <w:right w:val="none" w:sz="0" w:space="0" w:color="auto"/>
      </w:divBdr>
    </w:div>
    <w:div w:id="1832985066">
      <w:bodyDiv w:val="1"/>
      <w:marLeft w:val="0"/>
      <w:marRight w:val="0"/>
      <w:marTop w:val="0"/>
      <w:marBottom w:val="0"/>
      <w:divBdr>
        <w:top w:val="none" w:sz="0" w:space="0" w:color="auto"/>
        <w:left w:val="none" w:sz="0" w:space="0" w:color="auto"/>
        <w:bottom w:val="none" w:sz="0" w:space="0" w:color="auto"/>
        <w:right w:val="none" w:sz="0" w:space="0" w:color="auto"/>
      </w:divBdr>
    </w:div>
    <w:div w:id="1847358478">
      <w:bodyDiv w:val="1"/>
      <w:marLeft w:val="0"/>
      <w:marRight w:val="0"/>
      <w:marTop w:val="0"/>
      <w:marBottom w:val="0"/>
      <w:divBdr>
        <w:top w:val="none" w:sz="0" w:space="0" w:color="auto"/>
        <w:left w:val="none" w:sz="0" w:space="0" w:color="auto"/>
        <w:bottom w:val="none" w:sz="0" w:space="0" w:color="auto"/>
        <w:right w:val="none" w:sz="0" w:space="0" w:color="auto"/>
      </w:divBdr>
    </w:div>
    <w:div w:id="1868369411">
      <w:bodyDiv w:val="1"/>
      <w:marLeft w:val="0"/>
      <w:marRight w:val="0"/>
      <w:marTop w:val="0"/>
      <w:marBottom w:val="0"/>
      <w:divBdr>
        <w:top w:val="none" w:sz="0" w:space="0" w:color="auto"/>
        <w:left w:val="none" w:sz="0" w:space="0" w:color="auto"/>
        <w:bottom w:val="none" w:sz="0" w:space="0" w:color="auto"/>
        <w:right w:val="none" w:sz="0" w:space="0" w:color="auto"/>
      </w:divBdr>
    </w:div>
    <w:div w:id="1925337496">
      <w:bodyDiv w:val="1"/>
      <w:marLeft w:val="0"/>
      <w:marRight w:val="0"/>
      <w:marTop w:val="0"/>
      <w:marBottom w:val="0"/>
      <w:divBdr>
        <w:top w:val="none" w:sz="0" w:space="0" w:color="auto"/>
        <w:left w:val="none" w:sz="0" w:space="0" w:color="auto"/>
        <w:bottom w:val="none" w:sz="0" w:space="0" w:color="auto"/>
        <w:right w:val="none" w:sz="0" w:space="0" w:color="auto"/>
      </w:divBdr>
    </w:div>
    <w:div w:id="1937202635">
      <w:bodyDiv w:val="1"/>
      <w:marLeft w:val="0"/>
      <w:marRight w:val="0"/>
      <w:marTop w:val="0"/>
      <w:marBottom w:val="0"/>
      <w:divBdr>
        <w:top w:val="none" w:sz="0" w:space="0" w:color="auto"/>
        <w:left w:val="none" w:sz="0" w:space="0" w:color="auto"/>
        <w:bottom w:val="none" w:sz="0" w:space="0" w:color="auto"/>
        <w:right w:val="none" w:sz="0" w:space="0" w:color="auto"/>
      </w:divBdr>
    </w:div>
    <w:div w:id="2043742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oners-my.sharepoint.com/personal/kylemattingly_ou_edu/Documents/Local%20Research%20Files/Thesis%20Documents/Lit%20Review/Mattingly_Thesis_First_Draft_Committee_Edits.docx" TargetMode="External"/><Relationship Id="rId18" Type="http://schemas.openxmlformats.org/officeDocument/2006/relationships/image" Target="media/image1.jpeg"/><Relationship Id="rId26" Type="http://schemas.openxmlformats.org/officeDocument/2006/relationships/image" Target="media/image9.tiff"/><Relationship Id="rId39" Type="http://schemas.openxmlformats.org/officeDocument/2006/relationships/image" Target="media/image22.tiff"/><Relationship Id="rId21" Type="http://schemas.openxmlformats.org/officeDocument/2006/relationships/image" Target="media/image4.tiff"/><Relationship Id="rId34" Type="http://schemas.openxmlformats.org/officeDocument/2006/relationships/image" Target="media/image17.tiff"/><Relationship Id="rId42" Type="http://schemas.openxmlformats.org/officeDocument/2006/relationships/image" Target="media/image25.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2.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oners-my.sharepoint.com/personal/kylemattingly_ou_edu/Documents/Local%20Research%20Files/Thesis%20Documents/Lit%20Review/Mattingly_Thesis_First_Draft_Committee_Edits.docx" TargetMode="External"/><Relationship Id="rId24" Type="http://schemas.openxmlformats.org/officeDocument/2006/relationships/image" Target="media/image7.tiff"/><Relationship Id="rId32" Type="http://schemas.openxmlformats.org/officeDocument/2006/relationships/image" Target="media/image15.tiff"/><Relationship Id="rId37" Type="http://schemas.openxmlformats.org/officeDocument/2006/relationships/image" Target="media/image20.tiff"/><Relationship Id="rId40" Type="http://schemas.openxmlformats.org/officeDocument/2006/relationships/image" Target="media/image23.tiff"/><Relationship Id="rId45" Type="http://schemas.openxmlformats.org/officeDocument/2006/relationships/image" Target="media/image28.png"/><Relationship Id="rId5" Type="http://schemas.openxmlformats.org/officeDocument/2006/relationships/webSettings" Target="webSettings.xml"/><Relationship Id="rId15" Type="http://schemas.openxmlformats.org/officeDocument/2006/relationships/hyperlink" Target="https://sooners-my.sharepoint.com/personal/kylemattingly_ou_edu/Documents/Local%20Research%20Files/Thesis%20Documents/Lit%20Review/Mattingly_Thesis_First_Draft_Committee_Edits.docx" TargetMode="External"/><Relationship Id="rId23" Type="http://schemas.openxmlformats.org/officeDocument/2006/relationships/image" Target="media/image6.tiff"/><Relationship Id="rId28" Type="http://schemas.openxmlformats.org/officeDocument/2006/relationships/image" Target="media/image11.tiff"/><Relationship Id="rId36" Type="http://schemas.openxmlformats.org/officeDocument/2006/relationships/image" Target="media/image19.tiff"/><Relationship Id="rId10" Type="http://schemas.openxmlformats.org/officeDocument/2006/relationships/hyperlink" Target="https://sooners-my.sharepoint.com/personal/kylemattingly_ou_edu/Documents/Local%20Research%20Files/Thesis%20Documents/Lit%20Review/Mattingly_Thesis_First_Draft_Committee_Edits.docx" TargetMode="External"/><Relationship Id="rId19" Type="http://schemas.openxmlformats.org/officeDocument/2006/relationships/image" Target="media/image2.jpeg"/><Relationship Id="rId31" Type="http://schemas.openxmlformats.org/officeDocument/2006/relationships/image" Target="media/image14.tiff"/><Relationship Id="rId44" Type="http://schemas.openxmlformats.org/officeDocument/2006/relationships/image" Target="media/image27.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sooners-my.sharepoint.com/personal/kylemattingly_ou_edu/Documents/Local%20Research%20Files/Thesis%20Documents/Lit%20Review/Mattingly_Thesis_First_Draft_Committee_Edits.docx" TargetMode="External"/><Relationship Id="rId22" Type="http://schemas.openxmlformats.org/officeDocument/2006/relationships/image" Target="media/image5.tiff"/><Relationship Id="rId27" Type="http://schemas.openxmlformats.org/officeDocument/2006/relationships/image" Target="media/image10.tiff"/><Relationship Id="rId30" Type="http://schemas.openxmlformats.org/officeDocument/2006/relationships/image" Target="media/image13.tiff"/><Relationship Id="rId35" Type="http://schemas.openxmlformats.org/officeDocument/2006/relationships/image" Target="media/image18.tiff"/><Relationship Id="rId43" Type="http://schemas.openxmlformats.org/officeDocument/2006/relationships/image" Target="media/image26.png"/><Relationship Id="rId48"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sooners-my.sharepoint.com/personal/kylemattingly_ou_edu/Documents/Local%20Research%20Files/Thesis%20Documents/Lit%20Review/Mattingly_Thesis_First_Draft_Committee_Edits.docx" TargetMode="External"/><Relationship Id="rId17" Type="http://schemas.openxmlformats.org/officeDocument/2006/relationships/hyperlink" Target="http://www.biocharnow.com" TargetMode="External"/><Relationship Id="rId25" Type="http://schemas.openxmlformats.org/officeDocument/2006/relationships/image" Target="media/image8.tiff"/><Relationship Id="rId33" Type="http://schemas.openxmlformats.org/officeDocument/2006/relationships/image" Target="media/image16.tiff"/><Relationship Id="rId38" Type="http://schemas.openxmlformats.org/officeDocument/2006/relationships/image" Target="media/image21.tiff"/><Relationship Id="rId46" Type="http://schemas.openxmlformats.org/officeDocument/2006/relationships/image" Target="media/image29.png"/><Relationship Id="rId20" Type="http://schemas.openxmlformats.org/officeDocument/2006/relationships/image" Target="media/image3.tiff"/><Relationship Id="rId4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408FF-3DF7-484D-9BAC-DD32513C1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214</Pages>
  <Words>144562</Words>
  <Characters>824005</Characters>
  <Application>Microsoft Office Word</Application>
  <DocSecurity>0</DocSecurity>
  <Lines>6866</Lines>
  <Paragraphs>1933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Mattingly, Kyle M.</dc:creator>
  <cp:keywords/>
  <dc:description/>
  <cp:lastModifiedBy>Mattingly, Kyle M.</cp:lastModifiedBy>
  <cp:revision>4</cp:revision>
  <cp:lastPrinted>2022-12-09T22:51:00Z</cp:lastPrinted>
  <dcterms:created xsi:type="dcterms:W3CDTF">2022-12-09T22:51:00Z</dcterms:created>
  <dcterms:modified xsi:type="dcterms:W3CDTF">2022-12-13T21:36:00Z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zotero-version="6.0.18"&gt;&lt;session id="6PIx2nXX"/&gt;&lt;style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 name="delayCitationUpdates" value="true"/&gt;&lt;pref name="dontAskDelayCitationUpdates" value="true"/&gt;&lt;/prefs&gt;&lt;/data&gt;</vt:lpwstr>
  </property>
</Properties>
</file>