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8B35B" w14:textId="77777777" w:rsidR="00062523" w:rsidRPr="00C37866"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C37866">
        <w:rPr>
          <w:rFonts w:ascii="Times New Roman" w:eastAsia="Calibri" w:hAnsi="Times New Roman" w:cs="Times New Roman"/>
          <w:sz w:val="24"/>
          <w:szCs w:val="24"/>
        </w:rPr>
        <w:t>UNIVERSITY OF OKLAHOMA</w:t>
      </w:r>
    </w:p>
    <w:p w14:paraId="2938B35C"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C37866">
        <w:rPr>
          <w:rFonts w:ascii="Times New Roman" w:eastAsia="Calibri" w:hAnsi="Times New Roman" w:cs="Times New Roman"/>
          <w:sz w:val="24"/>
          <w:szCs w:val="24"/>
        </w:rPr>
        <w:t>GRADUATE COLLEGE</w:t>
      </w:r>
    </w:p>
    <w:p w14:paraId="2938B35D" w14:textId="2F6507CA"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color w:val="FF0000"/>
          <w:sz w:val="24"/>
          <w:szCs w:val="24"/>
        </w:rPr>
      </w:pPr>
    </w:p>
    <w:p w14:paraId="2938B35E"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5F"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61" w14:textId="1A3C0CD2" w:rsidR="00062523" w:rsidRPr="008F4283" w:rsidRDefault="00062523" w:rsidP="007965BB">
      <w:pPr>
        <w:spacing w:after="0" w:line="480" w:lineRule="auto"/>
        <w:rPr>
          <w:rFonts w:ascii="Times New Roman" w:eastAsia="Calibri" w:hAnsi="Times New Roman" w:cs="Times New Roman"/>
          <w:sz w:val="24"/>
          <w:szCs w:val="24"/>
        </w:rPr>
      </w:pPr>
    </w:p>
    <w:p w14:paraId="2938B363" w14:textId="318489C3" w:rsidR="00062523" w:rsidRPr="008F4283" w:rsidRDefault="007965BB" w:rsidP="00062523">
      <w:pPr>
        <w:spacing w:after="0" w:line="480" w:lineRule="auto"/>
        <w:jc w:val="center"/>
        <w:rPr>
          <w:rFonts w:ascii="Times New Roman" w:eastAsia="Calibri" w:hAnsi="Times New Roman" w:cs="Times New Roman"/>
          <w:b/>
          <w:color w:val="FF0000"/>
          <w:sz w:val="24"/>
          <w:szCs w:val="24"/>
        </w:rPr>
      </w:pPr>
      <w:r w:rsidRPr="007965BB">
        <w:rPr>
          <w:rFonts w:ascii="Times New Roman" w:eastAsia="Calibri" w:hAnsi="Times New Roman" w:cs="Times New Roman"/>
          <w:caps/>
          <w:sz w:val="24"/>
          <w:szCs w:val="24"/>
        </w:rPr>
        <w:t>Seismic-constrained lithology prediction and reservoir-quality modeling using pre-stack inversion and Bayesian classification, Mississippian Meramec strata, eastern Anadarko Basin, Oklahoma</w:t>
      </w:r>
    </w:p>
    <w:p w14:paraId="2938B364" w14:textId="702D5730" w:rsidR="00062523" w:rsidRDefault="00062523" w:rsidP="00062523">
      <w:pPr>
        <w:spacing w:after="0" w:line="480" w:lineRule="auto"/>
        <w:jc w:val="center"/>
        <w:rPr>
          <w:rFonts w:ascii="Times New Roman" w:eastAsia="Calibri" w:hAnsi="Times New Roman" w:cs="Times New Roman"/>
          <w:b/>
          <w:color w:val="FF0000"/>
          <w:sz w:val="24"/>
          <w:szCs w:val="24"/>
        </w:rPr>
      </w:pPr>
    </w:p>
    <w:p w14:paraId="1676CA65" w14:textId="77777777" w:rsidR="007965BB" w:rsidRPr="008F4283" w:rsidRDefault="007965BB" w:rsidP="00062523">
      <w:pPr>
        <w:spacing w:after="0" w:line="480" w:lineRule="auto"/>
        <w:jc w:val="center"/>
        <w:rPr>
          <w:rFonts w:ascii="Times New Roman" w:eastAsia="Calibri" w:hAnsi="Times New Roman" w:cs="Times New Roman"/>
          <w:b/>
          <w:color w:val="FF0000"/>
          <w:sz w:val="24"/>
          <w:szCs w:val="24"/>
        </w:rPr>
      </w:pPr>
    </w:p>
    <w:p w14:paraId="2938B365"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A THESIS</w:t>
      </w:r>
    </w:p>
    <w:p w14:paraId="2938B366"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SUBMITTED TO THE GRADUATE FACULTY</w:t>
      </w:r>
    </w:p>
    <w:p w14:paraId="2938B367"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in partial fulfillment of the requirements for the</w:t>
      </w:r>
    </w:p>
    <w:p w14:paraId="2938B368"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Degree of</w:t>
      </w:r>
    </w:p>
    <w:p w14:paraId="2938B369" w14:textId="77777777" w:rsidR="00062523" w:rsidRPr="008F4283" w:rsidRDefault="00062523" w:rsidP="00062523">
      <w:pPr>
        <w:autoSpaceDE w:val="0"/>
        <w:autoSpaceDN w:val="0"/>
        <w:adjustRightInd w:val="0"/>
        <w:spacing w:after="0" w:line="240" w:lineRule="auto"/>
        <w:rPr>
          <w:rFonts w:ascii="Times New Roman" w:eastAsia="Calibri" w:hAnsi="Times New Roman" w:cs="Times New Roman"/>
          <w:sz w:val="24"/>
          <w:szCs w:val="24"/>
        </w:rPr>
      </w:pPr>
    </w:p>
    <w:p w14:paraId="2938B36A"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 xml:space="preserve"> </w:t>
      </w:r>
      <w:r w:rsidRPr="008F4283">
        <w:rPr>
          <w:rFonts w:ascii="Times New Roman" w:eastAsia="Calibri" w:hAnsi="Times New Roman" w:cs="Times New Roman"/>
          <w:sz w:val="23"/>
          <w:szCs w:val="23"/>
        </w:rPr>
        <w:t>MASTER OF SCIENCE</w:t>
      </w:r>
    </w:p>
    <w:p w14:paraId="2938B36B"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6C"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6D"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By</w:t>
      </w:r>
    </w:p>
    <w:p w14:paraId="2938B36E"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MADISON HOPE WILLIAMS</w:t>
      </w:r>
    </w:p>
    <w:p w14:paraId="2938B36F"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lang w:val="es-CO"/>
        </w:rPr>
      </w:pPr>
      <w:r w:rsidRPr="008F4283">
        <w:rPr>
          <w:rFonts w:ascii="Times New Roman" w:eastAsia="Calibri" w:hAnsi="Times New Roman" w:cs="Times New Roman"/>
          <w:sz w:val="24"/>
          <w:szCs w:val="24"/>
          <w:lang w:val="es-CO"/>
        </w:rPr>
        <w:t>Norman, Oklahoma</w:t>
      </w:r>
    </w:p>
    <w:p w14:paraId="2938B370" w14:textId="77777777" w:rsidR="00062523" w:rsidRPr="008F4283" w:rsidRDefault="00062523" w:rsidP="00062523">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2020</w:t>
      </w:r>
    </w:p>
    <w:p w14:paraId="2938B371" w14:textId="77777777" w:rsidR="00062523" w:rsidRPr="008F4283" w:rsidRDefault="00062523" w:rsidP="00062523">
      <w:pPr>
        <w:spacing w:after="0" w:line="480" w:lineRule="auto"/>
        <w:jc w:val="center"/>
        <w:rPr>
          <w:rFonts w:ascii="Times New Roman" w:eastAsia="Calibri" w:hAnsi="Times New Roman" w:cs="Times New Roman"/>
          <w:sz w:val="24"/>
          <w:szCs w:val="24"/>
        </w:rPr>
      </w:pPr>
    </w:p>
    <w:p w14:paraId="2938B373" w14:textId="4E7B833A" w:rsidR="00062523" w:rsidRPr="008F4283" w:rsidRDefault="007965BB" w:rsidP="00062523">
      <w:pPr>
        <w:spacing w:after="0" w:line="480" w:lineRule="auto"/>
        <w:jc w:val="center"/>
        <w:rPr>
          <w:rFonts w:ascii="Times New Roman" w:eastAsia="Calibri" w:hAnsi="Times New Roman" w:cs="Times New Roman"/>
          <w:sz w:val="24"/>
          <w:szCs w:val="24"/>
        </w:rPr>
      </w:pPr>
      <w:r w:rsidRPr="007965BB">
        <w:rPr>
          <w:rFonts w:ascii="Times New Roman" w:eastAsia="Calibri" w:hAnsi="Times New Roman" w:cs="Times New Roman"/>
          <w:bCs/>
          <w:caps/>
          <w:sz w:val="24"/>
          <w:szCs w:val="24"/>
        </w:rPr>
        <w:lastRenderedPageBreak/>
        <w:t>Seismic-constrained lithology prediction and reservoir-quality modeling using pre-stack inversion and Bayesian classification, Mississippian Meramec strata, eastern Anadarko Basin, Oklahoma</w:t>
      </w:r>
    </w:p>
    <w:p w14:paraId="2938B374" w14:textId="77777777" w:rsidR="00062523" w:rsidRPr="008F4283" w:rsidRDefault="00062523" w:rsidP="00062523">
      <w:pPr>
        <w:spacing w:after="0" w:line="480" w:lineRule="auto"/>
        <w:jc w:val="center"/>
        <w:rPr>
          <w:rFonts w:ascii="Times New Roman" w:eastAsia="Calibri" w:hAnsi="Times New Roman" w:cs="Times New Roman"/>
          <w:sz w:val="24"/>
          <w:szCs w:val="24"/>
        </w:rPr>
      </w:pPr>
    </w:p>
    <w:p w14:paraId="2938B375"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A THESIS APPROVED FOR THE</w:t>
      </w:r>
    </w:p>
    <w:p w14:paraId="2938B376" w14:textId="712BB5DD"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 xml:space="preserve">SCHOOL OF </w:t>
      </w:r>
      <w:r w:rsidR="00731B5E">
        <w:rPr>
          <w:rFonts w:ascii="Times New Roman" w:eastAsia="Calibri" w:hAnsi="Times New Roman" w:cs="Times New Roman"/>
          <w:sz w:val="24"/>
          <w:szCs w:val="24"/>
        </w:rPr>
        <w:t>GEOSCIENCES</w:t>
      </w:r>
    </w:p>
    <w:p w14:paraId="2938B377"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78"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r w:rsidRPr="008F4283">
        <w:rPr>
          <w:rFonts w:ascii="Times New Roman" w:eastAsia="Calibri" w:hAnsi="Times New Roman" w:cs="Times New Roman"/>
          <w:sz w:val="24"/>
          <w:szCs w:val="24"/>
        </w:rPr>
        <w:t>BY</w:t>
      </w:r>
      <w:r>
        <w:rPr>
          <w:rFonts w:ascii="Times New Roman" w:eastAsia="Calibri" w:hAnsi="Times New Roman" w:cs="Times New Roman"/>
          <w:sz w:val="24"/>
          <w:szCs w:val="24"/>
        </w:rPr>
        <w:t xml:space="preserve"> THE COMMITTEE CONSISTING OF</w:t>
      </w:r>
    </w:p>
    <w:p w14:paraId="2938B379"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7A"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7B"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7C"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7D"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7E" w14:textId="77777777" w:rsidR="0006252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7F" w14:textId="77777777" w:rsidR="0006252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80" w14:textId="77777777" w:rsidR="0006252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81"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82"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83" w14:textId="77777777" w:rsidR="00062523" w:rsidRPr="008F4283" w:rsidRDefault="00062523" w:rsidP="00062523">
      <w:pPr>
        <w:autoSpaceDE w:val="0"/>
        <w:autoSpaceDN w:val="0"/>
        <w:adjustRightInd w:val="0"/>
        <w:spacing w:after="0" w:line="480" w:lineRule="auto"/>
        <w:jc w:val="right"/>
        <w:rPr>
          <w:rFonts w:ascii="Times New Roman" w:eastAsia="Calibri" w:hAnsi="Times New Roman" w:cs="Times New Roman"/>
          <w:sz w:val="24"/>
          <w:szCs w:val="24"/>
        </w:rPr>
      </w:pPr>
      <w:r w:rsidRPr="008F4283">
        <w:rPr>
          <w:rFonts w:ascii="Times New Roman" w:eastAsia="Calibri" w:hAnsi="Times New Roman" w:cs="Times New Roman"/>
          <w:sz w:val="24"/>
          <w:szCs w:val="24"/>
        </w:rPr>
        <w:t>Dr. Matthew Pranter, Chair</w:t>
      </w:r>
    </w:p>
    <w:p w14:paraId="2938B384" w14:textId="77777777" w:rsidR="00062523" w:rsidRPr="008F4283" w:rsidRDefault="00062523" w:rsidP="00062523">
      <w:pPr>
        <w:autoSpaceDE w:val="0"/>
        <w:autoSpaceDN w:val="0"/>
        <w:adjustRightInd w:val="0"/>
        <w:spacing w:after="0" w:line="480" w:lineRule="auto"/>
        <w:jc w:val="right"/>
        <w:rPr>
          <w:rFonts w:ascii="Times New Roman" w:eastAsia="Calibri" w:hAnsi="Times New Roman" w:cs="Times New Roman"/>
          <w:sz w:val="24"/>
          <w:szCs w:val="24"/>
        </w:rPr>
      </w:pPr>
    </w:p>
    <w:p w14:paraId="2938B385" w14:textId="77777777" w:rsidR="00062523" w:rsidRPr="008F4283" w:rsidRDefault="00062523" w:rsidP="00062523">
      <w:pPr>
        <w:autoSpaceDE w:val="0"/>
        <w:autoSpaceDN w:val="0"/>
        <w:adjustRightInd w:val="0"/>
        <w:spacing w:after="0" w:line="480" w:lineRule="auto"/>
        <w:jc w:val="right"/>
        <w:rPr>
          <w:rFonts w:ascii="Times New Roman" w:eastAsia="Calibri" w:hAnsi="Times New Roman" w:cs="Times New Roman"/>
          <w:sz w:val="24"/>
          <w:szCs w:val="24"/>
        </w:rPr>
      </w:pPr>
      <w:r w:rsidRPr="008F4283">
        <w:rPr>
          <w:rFonts w:ascii="Times New Roman" w:eastAsia="Calibri" w:hAnsi="Times New Roman" w:cs="Times New Roman"/>
          <w:sz w:val="24"/>
          <w:szCs w:val="24"/>
        </w:rPr>
        <w:t>Dr. Kurt Marfu</w:t>
      </w:r>
      <w:r>
        <w:rPr>
          <w:rFonts w:ascii="Times New Roman" w:eastAsia="Calibri" w:hAnsi="Times New Roman" w:cs="Times New Roman"/>
          <w:sz w:val="24"/>
          <w:szCs w:val="24"/>
        </w:rPr>
        <w:t>r</w:t>
      </w:r>
      <w:r w:rsidRPr="008F4283">
        <w:rPr>
          <w:rFonts w:ascii="Times New Roman" w:eastAsia="Calibri" w:hAnsi="Times New Roman" w:cs="Times New Roman"/>
          <w:sz w:val="24"/>
          <w:szCs w:val="24"/>
        </w:rPr>
        <w:t xml:space="preserve">t </w:t>
      </w:r>
    </w:p>
    <w:p w14:paraId="2938B386" w14:textId="77777777" w:rsidR="00062523" w:rsidRPr="008F4283" w:rsidRDefault="00062523" w:rsidP="00062523">
      <w:pPr>
        <w:autoSpaceDE w:val="0"/>
        <w:autoSpaceDN w:val="0"/>
        <w:adjustRightInd w:val="0"/>
        <w:spacing w:after="0" w:line="480" w:lineRule="auto"/>
        <w:jc w:val="right"/>
        <w:rPr>
          <w:rFonts w:ascii="Times New Roman" w:eastAsia="Calibri" w:hAnsi="Times New Roman" w:cs="Times New Roman"/>
          <w:sz w:val="24"/>
          <w:szCs w:val="24"/>
        </w:rPr>
      </w:pPr>
    </w:p>
    <w:p w14:paraId="2938B387" w14:textId="77777777" w:rsidR="00062523" w:rsidRPr="008F4283" w:rsidRDefault="00062523" w:rsidP="00062523">
      <w:pPr>
        <w:autoSpaceDE w:val="0"/>
        <w:autoSpaceDN w:val="0"/>
        <w:adjustRightInd w:val="0"/>
        <w:spacing w:after="0" w:line="480" w:lineRule="auto"/>
        <w:jc w:val="right"/>
        <w:rPr>
          <w:rFonts w:ascii="Times New Roman" w:eastAsia="Calibri" w:hAnsi="Times New Roman" w:cs="Times New Roman"/>
          <w:sz w:val="24"/>
          <w:szCs w:val="24"/>
        </w:rPr>
      </w:pPr>
      <w:r w:rsidRPr="008F4283">
        <w:rPr>
          <w:rFonts w:ascii="Times New Roman" w:eastAsia="Calibri" w:hAnsi="Times New Roman" w:cs="Times New Roman"/>
          <w:sz w:val="24"/>
          <w:szCs w:val="24"/>
        </w:rPr>
        <w:t xml:space="preserve"> Dr. Deepak Devegowda</w:t>
      </w:r>
    </w:p>
    <w:p w14:paraId="2938B388"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sz w:val="24"/>
          <w:szCs w:val="24"/>
        </w:rPr>
      </w:pPr>
    </w:p>
    <w:p w14:paraId="2938B389"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color w:val="FF0000"/>
          <w:sz w:val="24"/>
          <w:szCs w:val="24"/>
        </w:rPr>
      </w:pPr>
    </w:p>
    <w:p w14:paraId="2938B38A"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8B"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8C"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8D"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8E"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8F"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0"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1"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2"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3"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4"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5"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6"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7"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8"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9"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A" w14:textId="77777777" w:rsidR="00062523" w:rsidRPr="008F428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938B39B" w14:textId="77777777" w:rsidR="00062523" w:rsidRDefault="00062523"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188664F9" w14:textId="77777777" w:rsidR="00576369" w:rsidRPr="008F4283" w:rsidRDefault="00576369" w:rsidP="00062523">
      <w:pPr>
        <w:autoSpaceDE w:val="0"/>
        <w:autoSpaceDN w:val="0"/>
        <w:adjustRightInd w:val="0"/>
        <w:spacing w:after="0" w:line="480" w:lineRule="auto"/>
        <w:jc w:val="center"/>
        <w:rPr>
          <w:rFonts w:ascii="Times New Roman" w:eastAsia="Calibri" w:hAnsi="Times New Roman" w:cs="Times New Roman"/>
          <w:b/>
          <w:color w:val="FF0000"/>
          <w:sz w:val="24"/>
          <w:szCs w:val="24"/>
        </w:rPr>
      </w:pPr>
    </w:p>
    <w:p w14:paraId="25EA4C19" w14:textId="6979CDFE" w:rsidR="002054F8" w:rsidRDefault="002054F8" w:rsidP="002054F8">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62523" w:rsidRPr="002054F8">
        <w:rPr>
          <w:rFonts w:ascii="Times New Roman" w:eastAsia="Calibri" w:hAnsi="Times New Roman" w:cs="Times New Roman"/>
          <w:sz w:val="24"/>
          <w:szCs w:val="24"/>
        </w:rPr>
        <w:t xml:space="preserve">Copyright by </w:t>
      </w:r>
      <w:r w:rsidR="005E2F45" w:rsidRPr="002054F8">
        <w:rPr>
          <w:rFonts w:ascii="Times New Roman" w:eastAsia="Calibri" w:hAnsi="Times New Roman" w:cs="Times New Roman"/>
          <w:sz w:val="24"/>
          <w:szCs w:val="24"/>
        </w:rPr>
        <w:t>MADISON HOPE WILLIAMS 20</w:t>
      </w:r>
      <w:r>
        <w:rPr>
          <w:rFonts w:ascii="Times New Roman" w:eastAsia="Calibri" w:hAnsi="Times New Roman" w:cs="Times New Roman"/>
          <w:sz w:val="24"/>
          <w:szCs w:val="24"/>
        </w:rPr>
        <w:t>20</w:t>
      </w:r>
    </w:p>
    <w:p w14:paraId="00E08A01" w14:textId="0BC05E6D" w:rsidR="002054F8" w:rsidRDefault="002054F8" w:rsidP="002054F8">
      <w:pPr>
        <w:autoSpaceDE w:val="0"/>
        <w:autoSpaceDN w:val="0"/>
        <w:adjustRightInd w:val="0"/>
        <w:spacing w:after="0" w:line="240" w:lineRule="auto"/>
        <w:rPr>
          <w:rFonts w:ascii="Times New Roman" w:eastAsia="Calibri" w:hAnsi="Times New Roman" w:cs="Times New Roman"/>
          <w:sz w:val="24"/>
          <w:szCs w:val="24"/>
        </w:rPr>
      </w:pPr>
    </w:p>
    <w:p w14:paraId="6DF333B7" w14:textId="76594C28" w:rsidR="002054F8" w:rsidRPr="002054F8" w:rsidRDefault="002054F8" w:rsidP="002054F8">
      <w:pPr>
        <w:autoSpaceDE w:val="0"/>
        <w:autoSpaceDN w:val="0"/>
        <w:adjustRightInd w:val="0"/>
        <w:spacing w:after="0" w:line="240" w:lineRule="auto"/>
        <w:jc w:val="center"/>
        <w:rPr>
          <w:rFonts w:ascii="Times New Roman" w:eastAsia="Calibri" w:hAnsi="Times New Roman" w:cs="Times New Roman"/>
          <w:sz w:val="24"/>
          <w:szCs w:val="24"/>
        </w:rPr>
        <w:sectPr w:rsidR="002054F8" w:rsidRPr="002054F8" w:rsidSect="002848F2">
          <w:footerReference w:type="default" r:id="rId11"/>
          <w:footerReference w:type="first" r:id="rId12"/>
          <w:pgSz w:w="12240" w:h="15840"/>
          <w:pgMar w:top="1440" w:right="1440" w:bottom="1440" w:left="1440" w:header="720" w:footer="720" w:gutter="0"/>
          <w:pgNumType w:start="1"/>
          <w:cols w:space="720"/>
          <w:titlePg/>
          <w:docGrid w:linePitch="360"/>
        </w:sectPr>
      </w:pPr>
      <w:r>
        <w:rPr>
          <w:rFonts w:ascii="Times New Roman" w:eastAsia="Calibri" w:hAnsi="Times New Roman" w:cs="Times New Roman"/>
          <w:sz w:val="24"/>
          <w:szCs w:val="24"/>
        </w:rPr>
        <w:t>All Rights Reserved</w:t>
      </w:r>
    </w:p>
    <w:p w14:paraId="6D70A349" w14:textId="77777777" w:rsidR="00D948FE" w:rsidRPr="006D740A" w:rsidRDefault="00D948FE" w:rsidP="00D948FE">
      <w:pPr>
        <w:autoSpaceDE w:val="0"/>
        <w:autoSpaceDN w:val="0"/>
        <w:adjustRightInd w:val="0"/>
        <w:spacing w:after="0" w:line="480" w:lineRule="auto"/>
        <w:jc w:val="center"/>
        <w:rPr>
          <w:rFonts w:ascii="Times New Roman" w:eastAsia="Calibri" w:hAnsi="Times New Roman" w:cs="Times New Roman"/>
          <w:b/>
          <w:sz w:val="24"/>
          <w:szCs w:val="24"/>
        </w:rPr>
      </w:pPr>
      <w:r w:rsidRPr="006D740A">
        <w:rPr>
          <w:rFonts w:ascii="Times New Roman" w:eastAsia="Calibri" w:hAnsi="Times New Roman" w:cs="Times New Roman"/>
          <w:b/>
          <w:sz w:val="24"/>
          <w:szCs w:val="24"/>
        </w:rPr>
        <w:lastRenderedPageBreak/>
        <w:t>ACKNOWLEDGEMENTS</w:t>
      </w:r>
    </w:p>
    <w:p w14:paraId="15352088" w14:textId="77777777" w:rsidR="00D948FE" w:rsidRDefault="00D948FE" w:rsidP="00D948FE">
      <w:pPr>
        <w:spacing w:after="0" w:line="480" w:lineRule="auto"/>
        <w:rPr>
          <w:rFonts w:ascii="Times New Roman" w:hAnsi="Times New Roman" w:cs="Times New Roman"/>
          <w:bCs/>
          <w:sz w:val="24"/>
          <w:szCs w:val="24"/>
        </w:rPr>
      </w:pPr>
      <w:r>
        <w:rPr>
          <w:rFonts w:ascii="Times New Roman" w:eastAsia="Calibri" w:hAnsi="Times New Roman" w:cs="Times New Roman"/>
          <w:sz w:val="24"/>
          <w:szCs w:val="24"/>
        </w:rPr>
        <w:tab/>
      </w:r>
      <w:r w:rsidRPr="00E75C76">
        <w:rPr>
          <w:rFonts w:ascii="Times New Roman" w:hAnsi="Times New Roman" w:cs="Times New Roman"/>
          <w:bCs/>
          <w:sz w:val="24"/>
          <w:szCs w:val="24"/>
        </w:rPr>
        <w:t xml:space="preserve">This research was </w:t>
      </w:r>
      <w:r>
        <w:rPr>
          <w:rFonts w:ascii="Times New Roman" w:hAnsi="Times New Roman" w:cs="Times New Roman"/>
          <w:bCs/>
          <w:sz w:val="24"/>
          <w:szCs w:val="24"/>
        </w:rPr>
        <w:t>made possible through the funding provided</w:t>
      </w:r>
      <w:r w:rsidRPr="00E75C76">
        <w:rPr>
          <w:rFonts w:ascii="Times New Roman" w:hAnsi="Times New Roman" w:cs="Times New Roman"/>
          <w:bCs/>
          <w:sz w:val="24"/>
          <w:szCs w:val="24"/>
        </w:rPr>
        <w:t xml:space="preserve"> by Marathon Oil Corporation</w:t>
      </w:r>
      <w:r>
        <w:rPr>
          <w:rFonts w:ascii="Times New Roman" w:hAnsi="Times New Roman" w:cs="Times New Roman"/>
          <w:bCs/>
          <w:sz w:val="24"/>
          <w:szCs w:val="24"/>
        </w:rPr>
        <w:t xml:space="preserve"> and the Reservoir Characterization and Modeling Laboratory at the University of Oklahoma (OU)</w:t>
      </w:r>
      <w:r w:rsidRPr="00E75C76">
        <w:rPr>
          <w:rFonts w:ascii="Times New Roman" w:hAnsi="Times New Roman" w:cs="Times New Roman"/>
          <w:bCs/>
          <w:sz w:val="24"/>
          <w:szCs w:val="24"/>
        </w:rPr>
        <w:t xml:space="preserve">. </w:t>
      </w:r>
      <w:r>
        <w:rPr>
          <w:rFonts w:ascii="Times New Roman" w:hAnsi="Times New Roman" w:cs="Times New Roman"/>
          <w:bCs/>
          <w:sz w:val="24"/>
          <w:szCs w:val="24"/>
        </w:rPr>
        <w:t>I would like to recognize</w:t>
      </w:r>
      <w:r w:rsidRPr="00E75C76">
        <w:rPr>
          <w:rFonts w:ascii="Times New Roman" w:hAnsi="Times New Roman" w:cs="Times New Roman"/>
          <w:bCs/>
          <w:sz w:val="24"/>
          <w:szCs w:val="24"/>
        </w:rPr>
        <w:t xml:space="preserve"> Marathon Oil</w:t>
      </w:r>
      <w:r>
        <w:rPr>
          <w:rFonts w:ascii="Times New Roman" w:hAnsi="Times New Roman" w:cs="Times New Roman"/>
          <w:bCs/>
          <w:sz w:val="24"/>
          <w:szCs w:val="24"/>
        </w:rPr>
        <w:t xml:space="preserve">, </w:t>
      </w:r>
      <w:r w:rsidRPr="00E75C76">
        <w:rPr>
          <w:rFonts w:ascii="Times New Roman" w:hAnsi="Times New Roman" w:cs="Times New Roman"/>
          <w:bCs/>
          <w:sz w:val="24"/>
          <w:szCs w:val="24"/>
        </w:rPr>
        <w:t>Oklahoma Petroleum Information Center (OPIC)</w:t>
      </w:r>
      <w:r>
        <w:rPr>
          <w:rFonts w:ascii="Times New Roman" w:hAnsi="Times New Roman" w:cs="Times New Roman"/>
          <w:bCs/>
          <w:sz w:val="24"/>
          <w:szCs w:val="24"/>
        </w:rPr>
        <w:t>, and TGS for providing data. I thank</w:t>
      </w:r>
      <w:r w:rsidRPr="00E75C76">
        <w:rPr>
          <w:rFonts w:ascii="Times New Roman" w:hAnsi="Times New Roman" w:cs="Times New Roman"/>
          <w:bCs/>
          <w:sz w:val="24"/>
          <w:szCs w:val="24"/>
        </w:rPr>
        <w:t xml:space="preserve"> </w:t>
      </w:r>
      <w:r>
        <w:rPr>
          <w:rFonts w:ascii="Times New Roman" w:hAnsi="Times New Roman" w:cs="Times New Roman"/>
          <w:bCs/>
          <w:sz w:val="24"/>
          <w:szCs w:val="24"/>
        </w:rPr>
        <w:t>Dr. Kurt Marfurt, Dr. Deepak Devegowda, Dr. Carl Sondergeld, and Dr. Chandra Rai for their leadership, feedback, and support throughout this project. I would like to thank Dr. Ali Tinni, Dick Larese, Ishank Gupta, Heyleem Han, Son Dang, and Jing Fu for providing numerous data measurements incorporated in this project. I would also like to acknowledge Micaela Langevin for all of her support and communication between Marathon Oil Corporation, the Reservoir Characterization and Modeling Laboratory, and the Integrated Core Characterization Center. Finally, I would like to</w:t>
      </w:r>
      <w:r w:rsidRPr="00E75C76">
        <w:rPr>
          <w:rFonts w:ascii="Times New Roman" w:hAnsi="Times New Roman" w:cs="Times New Roman"/>
          <w:bCs/>
          <w:sz w:val="24"/>
          <w:szCs w:val="24"/>
        </w:rPr>
        <w:t xml:space="preserve"> acknowledge Schlumberger</w:t>
      </w:r>
      <w:r>
        <w:rPr>
          <w:rFonts w:ascii="Times New Roman" w:hAnsi="Times New Roman" w:cs="Times New Roman"/>
          <w:bCs/>
          <w:sz w:val="24"/>
          <w:szCs w:val="24"/>
        </w:rPr>
        <w:t xml:space="preserve"> (Petrel)</w:t>
      </w:r>
      <w:r w:rsidRPr="00E75C76">
        <w:rPr>
          <w:rFonts w:ascii="Times New Roman" w:hAnsi="Times New Roman" w:cs="Times New Roman"/>
          <w:bCs/>
          <w:sz w:val="24"/>
          <w:szCs w:val="24"/>
        </w:rPr>
        <w:t xml:space="preserve">, CGG </w:t>
      </w:r>
      <w:r>
        <w:rPr>
          <w:rFonts w:ascii="Times New Roman" w:hAnsi="Times New Roman" w:cs="Times New Roman"/>
          <w:bCs/>
          <w:sz w:val="24"/>
          <w:szCs w:val="24"/>
        </w:rPr>
        <w:t>(</w:t>
      </w:r>
      <w:r w:rsidRPr="00E75C76">
        <w:rPr>
          <w:rFonts w:ascii="Times New Roman" w:hAnsi="Times New Roman" w:cs="Times New Roman"/>
          <w:bCs/>
          <w:sz w:val="24"/>
          <w:szCs w:val="24"/>
        </w:rPr>
        <w:t>HampsonRussell</w:t>
      </w:r>
      <w:r>
        <w:rPr>
          <w:rFonts w:ascii="Times New Roman" w:hAnsi="Times New Roman" w:cs="Times New Roman"/>
          <w:bCs/>
          <w:sz w:val="24"/>
          <w:szCs w:val="24"/>
        </w:rPr>
        <w:t xml:space="preserve">), and </w:t>
      </w:r>
      <w:r w:rsidRPr="00E75C76">
        <w:rPr>
          <w:rFonts w:ascii="Times New Roman" w:hAnsi="Times New Roman" w:cs="Times New Roman"/>
          <w:bCs/>
          <w:sz w:val="24"/>
          <w:szCs w:val="24"/>
        </w:rPr>
        <w:t xml:space="preserve">the </w:t>
      </w:r>
      <w:r>
        <w:rPr>
          <w:rFonts w:ascii="Times New Roman" w:hAnsi="Times New Roman" w:cs="Times New Roman"/>
          <w:bCs/>
          <w:sz w:val="24"/>
          <w:szCs w:val="24"/>
        </w:rPr>
        <w:t>OU Attribute Assisted Seismic Processing and Interpretation (</w:t>
      </w:r>
      <w:r w:rsidRPr="00E75C76">
        <w:rPr>
          <w:rFonts w:ascii="Times New Roman" w:hAnsi="Times New Roman" w:cs="Times New Roman"/>
          <w:bCs/>
          <w:sz w:val="24"/>
          <w:szCs w:val="24"/>
        </w:rPr>
        <w:t>AASPI</w:t>
      </w:r>
      <w:r>
        <w:rPr>
          <w:rFonts w:ascii="Times New Roman" w:hAnsi="Times New Roman" w:cs="Times New Roman"/>
          <w:bCs/>
          <w:sz w:val="24"/>
          <w:szCs w:val="24"/>
        </w:rPr>
        <w:t>)</w:t>
      </w:r>
      <w:r w:rsidRPr="00E75C76">
        <w:rPr>
          <w:rFonts w:ascii="Times New Roman" w:hAnsi="Times New Roman" w:cs="Times New Roman"/>
          <w:bCs/>
          <w:sz w:val="24"/>
          <w:szCs w:val="24"/>
        </w:rPr>
        <w:t xml:space="preserve"> </w:t>
      </w:r>
      <w:r>
        <w:rPr>
          <w:rFonts w:ascii="Times New Roman" w:hAnsi="Times New Roman" w:cs="Times New Roman"/>
          <w:bCs/>
          <w:sz w:val="24"/>
          <w:szCs w:val="24"/>
        </w:rPr>
        <w:t>C</w:t>
      </w:r>
      <w:r w:rsidRPr="00E75C76">
        <w:rPr>
          <w:rFonts w:ascii="Times New Roman" w:hAnsi="Times New Roman" w:cs="Times New Roman"/>
          <w:bCs/>
          <w:sz w:val="24"/>
          <w:szCs w:val="24"/>
        </w:rPr>
        <w:t>onsortium</w:t>
      </w:r>
      <w:r>
        <w:rPr>
          <w:rFonts w:ascii="Times New Roman" w:hAnsi="Times New Roman" w:cs="Times New Roman"/>
          <w:bCs/>
          <w:sz w:val="24"/>
          <w:szCs w:val="24"/>
        </w:rPr>
        <w:t xml:space="preserve"> for software</w:t>
      </w:r>
      <w:r w:rsidRPr="00E75C76">
        <w:rPr>
          <w:rFonts w:ascii="Times New Roman" w:hAnsi="Times New Roman" w:cs="Times New Roman"/>
          <w:bCs/>
          <w:sz w:val="24"/>
          <w:szCs w:val="24"/>
        </w:rPr>
        <w:t>.</w:t>
      </w:r>
    </w:p>
    <w:p w14:paraId="322DC25F" w14:textId="77777777" w:rsidR="00D948FE" w:rsidRPr="00E75C76" w:rsidRDefault="00D948FE" w:rsidP="00D948FE">
      <w:pPr>
        <w:spacing w:after="0" w:line="480" w:lineRule="auto"/>
        <w:rPr>
          <w:rFonts w:ascii="Times New Roman" w:hAnsi="Times New Roman" w:cs="Times New Roman"/>
          <w:b/>
          <w:bCs/>
          <w:sz w:val="24"/>
          <w:szCs w:val="24"/>
        </w:rPr>
      </w:pPr>
      <w:r>
        <w:rPr>
          <w:rFonts w:ascii="Times New Roman" w:hAnsi="Times New Roman" w:cs="Times New Roman"/>
          <w:bCs/>
          <w:sz w:val="24"/>
          <w:szCs w:val="24"/>
        </w:rPr>
        <w:tab/>
        <w:t>I am extremely grateful to Dr. Pranter for providing me the opportunity to do this research, and for all of the guidance, advice, and encouragement throughout this journey. I would like to thank the RCML group, both past and present, as well as all of the friends I have made during my time here at OU for their continued support and companionship. I would like to thank my parents and my family including my three brothers Michael, Marshall, and Travis for their love and support. Above all, I would like to thank God for providing me with this amazing opportunity. I am very thankful for the knowledge, friendships, and memories that I have made during the duration of my Master’s program.</w:t>
      </w:r>
    </w:p>
    <w:p w14:paraId="20867C7F" w14:textId="77777777" w:rsidR="00D948FE" w:rsidRDefault="00D948FE" w:rsidP="00D948FE">
      <w:pPr>
        <w:autoSpaceDE w:val="0"/>
        <w:autoSpaceDN w:val="0"/>
        <w:adjustRightInd w:val="0"/>
        <w:spacing w:after="0" w:line="480" w:lineRule="auto"/>
        <w:rPr>
          <w:rFonts w:ascii="Times New Roman" w:eastAsia="Calibri" w:hAnsi="Times New Roman" w:cs="Times New Roman"/>
          <w:sz w:val="24"/>
          <w:szCs w:val="24"/>
        </w:rPr>
      </w:pPr>
    </w:p>
    <w:p w14:paraId="6262E0A3" w14:textId="77777777" w:rsidR="00D948FE" w:rsidRPr="008F4283" w:rsidRDefault="00D948FE" w:rsidP="00D948FE">
      <w:pPr>
        <w:autoSpaceDE w:val="0"/>
        <w:autoSpaceDN w:val="0"/>
        <w:adjustRightInd w:val="0"/>
        <w:spacing w:after="0" w:line="480" w:lineRule="auto"/>
        <w:rPr>
          <w:rFonts w:ascii="Times New Roman" w:eastAsia="Calibri" w:hAnsi="Times New Roman" w:cs="Times New Roman"/>
          <w:color w:val="FF0000"/>
          <w:sz w:val="24"/>
          <w:szCs w:val="24"/>
        </w:rPr>
      </w:pPr>
    </w:p>
    <w:sdt>
      <w:sdtPr>
        <w:rPr>
          <w:rFonts w:ascii="Times New Roman" w:eastAsiaTheme="minorEastAsia" w:hAnsi="Times New Roman" w:cs="Times New Roman"/>
          <w:sz w:val="24"/>
          <w:szCs w:val="24"/>
        </w:rPr>
        <w:id w:val="730745048"/>
        <w:docPartObj>
          <w:docPartGallery w:val="Table of Contents"/>
          <w:docPartUnique/>
        </w:docPartObj>
      </w:sdtPr>
      <w:sdtContent>
        <w:p w14:paraId="0650B884" w14:textId="77777777" w:rsidR="00D948FE" w:rsidRPr="003D77FD" w:rsidRDefault="00D948FE" w:rsidP="00D948FE">
          <w:pPr>
            <w:autoSpaceDE w:val="0"/>
            <w:autoSpaceDN w:val="0"/>
            <w:adjustRightInd w:val="0"/>
            <w:spacing w:after="0" w:line="480" w:lineRule="auto"/>
            <w:jc w:val="center"/>
            <w:rPr>
              <w:rFonts w:ascii="Times New Roman" w:eastAsia="Calibri" w:hAnsi="Times New Roman" w:cs="Times New Roman"/>
              <w:b/>
              <w:sz w:val="24"/>
              <w:szCs w:val="24"/>
            </w:rPr>
          </w:pPr>
          <w:r w:rsidRPr="008F4283">
            <w:rPr>
              <w:rFonts w:ascii="Times New Roman" w:eastAsia="Calibri" w:hAnsi="Times New Roman" w:cs="Times New Roman"/>
              <w:b/>
              <w:sz w:val="24"/>
              <w:szCs w:val="24"/>
            </w:rPr>
            <w:t>TABLE OF CONTEN</w:t>
          </w:r>
          <w:r>
            <w:rPr>
              <w:rFonts w:ascii="Times New Roman" w:eastAsia="Calibri" w:hAnsi="Times New Roman" w:cs="Times New Roman"/>
              <w:b/>
              <w:sz w:val="24"/>
              <w:szCs w:val="24"/>
            </w:rPr>
            <w:t>TS</w:t>
          </w:r>
        </w:p>
        <w:p w14:paraId="61C357A0" w14:textId="77777777" w:rsidR="00D948FE" w:rsidRPr="00AB6F5C" w:rsidRDefault="00D948FE" w:rsidP="00D948FE">
          <w:pPr>
            <w:pStyle w:val="TOC1"/>
            <w:spacing w:line="480" w:lineRule="auto"/>
            <w:rPr>
              <w:rFonts w:ascii="Times New Roman" w:hAnsi="Times New Roman"/>
              <w:bCs/>
              <w:sz w:val="24"/>
              <w:szCs w:val="24"/>
            </w:rPr>
          </w:pPr>
          <w:r w:rsidRPr="00AB6F5C">
            <w:rPr>
              <w:rFonts w:ascii="Times New Roman" w:eastAsia="Calibri" w:hAnsi="Times New Roman"/>
              <w:sz w:val="24"/>
              <w:szCs w:val="24"/>
            </w:rPr>
            <w:t>ACKNOWLEDGEMENTS</w:t>
          </w:r>
          <w:r w:rsidRPr="00AB6F5C">
            <w:rPr>
              <w:rFonts w:ascii="Times New Roman" w:hAnsi="Times New Roman"/>
              <w:sz w:val="24"/>
              <w:szCs w:val="24"/>
            </w:rPr>
            <w:ptab w:relativeTo="margin" w:alignment="right" w:leader="dot"/>
          </w:r>
          <w:r w:rsidRPr="00AB6F5C">
            <w:rPr>
              <w:rFonts w:ascii="Times New Roman" w:hAnsi="Times New Roman"/>
              <w:bCs/>
              <w:sz w:val="24"/>
              <w:szCs w:val="24"/>
            </w:rPr>
            <w:t>iv</w:t>
          </w:r>
        </w:p>
        <w:p w14:paraId="1E056D65" w14:textId="77777777" w:rsidR="00D948FE" w:rsidRPr="00AB6F5C" w:rsidRDefault="00D948FE" w:rsidP="00D948FE">
          <w:pPr>
            <w:pStyle w:val="TOC1"/>
            <w:spacing w:line="480" w:lineRule="auto"/>
            <w:rPr>
              <w:rFonts w:ascii="Times New Roman" w:hAnsi="Times New Roman"/>
              <w:sz w:val="24"/>
              <w:szCs w:val="24"/>
            </w:rPr>
          </w:pPr>
          <w:r w:rsidRPr="00AB6F5C">
            <w:rPr>
              <w:rFonts w:ascii="Times New Roman" w:eastAsia="Calibri" w:hAnsi="Times New Roman"/>
              <w:sz w:val="24"/>
              <w:szCs w:val="24"/>
            </w:rPr>
            <w:t>ABSTRACT</w:t>
          </w:r>
          <w:r w:rsidRPr="00AB6F5C">
            <w:rPr>
              <w:rFonts w:ascii="Times New Roman" w:hAnsi="Times New Roman"/>
              <w:sz w:val="24"/>
              <w:szCs w:val="24"/>
            </w:rPr>
            <w:t xml:space="preserve"> </w:t>
          </w:r>
          <w:r w:rsidRPr="00AB6F5C">
            <w:rPr>
              <w:rFonts w:ascii="Times New Roman" w:hAnsi="Times New Roman"/>
              <w:sz w:val="24"/>
              <w:szCs w:val="24"/>
            </w:rPr>
            <w:ptab w:relativeTo="margin" w:alignment="right" w:leader="dot"/>
          </w:r>
          <w:r w:rsidRPr="00AB6F5C">
            <w:rPr>
              <w:rFonts w:ascii="Times New Roman" w:hAnsi="Times New Roman"/>
              <w:bCs/>
              <w:sz w:val="24"/>
              <w:szCs w:val="24"/>
            </w:rPr>
            <w:t>vii</w:t>
          </w:r>
        </w:p>
        <w:p w14:paraId="51426E1E" w14:textId="77777777" w:rsidR="00D948FE" w:rsidRPr="00AB6F5C" w:rsidRDefault="00D948FE" w:rsidP="00D948FE">
          <w:pPr>
            <w:pStyle w:val="TOC1"/>
            <w:spacing w:line="480" w:lineRule="auto"/>
            <w:rPr>
              <w:rFonts w:ascii="Times New Roman" w:hAnsi="Times New Roman"/>
              <w:sz w:val="24"/>
              <w:szCs w:val="24"/>
            </w:rPr>
          </w:pPr>
          <w:r w:rsidRPr="00AB6F5C">
            <w:rPr>
              <w:rFonts w:ascii="Times New Roman" w:eastAsia="Calibri" w:hAnsi="Times New Roman"/>
              <w:sz w:val="24"/>
              <w:szCs w:val="24"/>
            </w:rPr>
            <w:t>INTRODUCTION</w:t>
          </w:r>
          <w:r w:rsidRPr="00AB6F5C">
            <w:rPr>
              <w:rFonts w:ascii="Times New Roman" w:hAnsi="Times New Roman"/>
              <w:sz w:val="24"/>
              <w:szCs w:val="24"/>
            </w:rPr>
            <w:t xml:space="preserve"> </w:t>
          </w:r>
          <w:r w:rsidRPr="00AB6F5C">
            <w:rPr>
              <w:rFonts w:ascii="Times New Roman" w:hAnsi="Times New Roman"/>
              <w:sz w:val="24"/>
              <w:szCs w:val="24"/>
            </w:rPr>
            <w:ptab w:relativeTo="margin" w:alignment="right" w:leader="dot"/>
          </w:r>
          <w:r w:rsidRPr="00AB6F5C">
            <w:rPr>
              <w:rFonts w:ascii="Times New Roman" w:hAnsi="Times New Roman"/>
              <w:bCs/>
              <w:sz w:val="24"/>
              <w:szCs w:val="24"/>
            </w:rPr>
            <w:t>1</w:t>
          </w:r>
        </w:p>
        <w:p w14:paraId="7C87581A" w14:textId="77777777" w:rsidR="00D948FE" w:rsidRPr="00AB6F5C" w:rsidRDefault="00D948FE" w:rsidP="00D948FE">
          <w:pPr>
            <w:pStyle w:val="TOC1"/>
            <w:spacing w:line="480" w:lineRule="auto"/>
            <w:rPr>
              <w:rFonts w:ascii="Times New Roman" w:hAnsi="Times New Roman"/>
              <w:sz w:val="24"/>
              <w:szCs w:val="24"/>
            </w:rPr>
          </w:pPr>
          <w:r w:rsidRPr="00AB6F5C">
            <w:rPr>
              <w:rFonts w:ascii="Times New Roman" w:eastAsia="Calibri" w:hAnsi="Times New Roman"/>
              <w:sz w:val="24"/>
              <w:szCs w:val="24"/>
            </w:rPr>
            <w:t>GEOLOGIC SETTING</w:t>
          </w:r>
          <w:r w:rsidRPr="00AB6F5C">
            <w:rPr>
              <w:rFonts w:ascii="Times New Roman" w:hAnsi="Times New Roman"/>
              <w:sz w:val="24"/>
              <w:szCs w:val="24"/>
            </w:rPr>
            <w:ptab w:relativeTo="margin" w:alignment="right" w:leader="dot"/>
          </w:r>
          <w:r>
            <w:rPr>
              <w:rFonts w:ascii="Times New Roman" w:hAnsi="Times New Roman"/>
              <w:bCs/>
              <w:sz w:val="24"/>
              <w:szCs w:val="24"/>
            </w:rPr>
            <w:t>4</w:t>
          </w:r>
        </w:p>
        <w:p w14:paraId="6F4BCA2A" w14:textId="77777777" w:rsidR="00D948FE" w:rsidRPr="00506717" w:rsidRDefault="00D948FE" w:rsidP="00D948FE">
          <w:pPr>
            <w:pStyle w:val="TOC1"/>
            <w:spacing w:line="480" w:lineRule="auto"/>
            <w:rPr>
              <w:rFonts w:ascii="Times New Roman" w:hAnsi="Times New Roman"/>
              <w:sz w:val="24"/>
              <w:szCs w:val="24"/>
            </w:rPr>
          </w:pPr>
          <w:r>
            <w:rPr>
              <w:rFonts w:ascii="Times New Roman" w:hAnsi="Times New Roman"/>
              <w:sz w:val="24"/>
              <w:szCs w:val="24"/>
            </w:rPr>
            <w:t>METHODS</w:t>
          </w:r>
          <w:r w:rsidRPr="003B2CCD">
            <w:rPr>
              <w:rFonts w:ascii="Times New Roman" w:hAnsi="Times New Roman"/>
              <w:sz w:val="24"/>
              <w:szCs w:val="24"/>
            </w:rPr>
            <w:ptab w:relativeTo="margin" w:alignment="right" w:leader="dot"/>
          </w:r>
          <w:r>
            <w:rPr>
              <w:rFonts w:ascii="Times New Roman" w:hAnsi="Times New Roman"/>
              <w:sz w:val="24"/>
              <w:szCs w:val="24"/>
            </w:rPr>
            <w:t>7</w:t>
          </w:r>
        </w:p>
        <w:p w14:paraId="49979CAD"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Lithology and Rock-Type Definition and Classification</w:t>
          </w:r>
          <w:r w:rsidRPr="003B2CCD">
            <w:rPr>
              <w:rFonts w:ascii="Times New Roman" w:hAnsi="Times New Roman"/>
              <w:sz w:val="24"/>
              <w:szCs w:val="24"/>
            </w:rPr>
            <w:ptab w:relativeTo="margin" w:alignment="right" w:leader="dot"/>
          </w:r>
          <w:r>
            <w:rPr>
              <w:rFonts w:ascii="Times New Roman" w:hAnsi="Times New Roman"/>
              <w:sz w:val="24"/>
              <w:szCs w:val="24"/>
            </w:rPr>
            <w:t>7</w:t>
          </w:r>
        </w:p>
        <w:p w14:paraId="58627695"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Stratigraphic and Structural Framework</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10</w:t>
          </w:r>
        </w:p>
        <w:p w14:paraId="546C14E2"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Pre-stack Seismic Inversion</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11</w:t>
          </w:r>
        </w:p>
        <w:p w14:paraId="516A0B60"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Velocity Modeling</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18</w:t>
          </w:r>
        </w:p>
        <w:p w14:paraId="6C434394"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Impedance-Based Lithology and Rock-Type Prediction</w:t>
          </w:r>
          <w:r w:rsidRPr="003B2CCD">
            <w:rPr>
              <w:rFonts w:ascii="Times New Roman" w:hAnsi="Times New Roman"/>
              <w:sz w:val="24"/>
              <w:szCs w:val="24"/>
            </w:rPr>
            <w:t xml:space="preserve"> </w:t>
          </w:r>
          <w:r>
            <w:rPr>
              <w:rFonts w:ascii="Times New Roman" w:hAnsi="Times New Roman"/>
              <w:sz w:val="24"/>
              <w:szCs w:val="24"/>
            </w:rPr>
            <w:t>and Classification</w:t>
          </w:r>
          <w:r w:rsidRPr="003B2CCD">
            <w:rPr>
              <w:rFonts w:ascii="Times New Roman" w:hAnsi="Times New Roman"/>
              <w:sz w:val="24"/>
              <w:szCs w:val="24"/>
            </w:rPr>
            <w:ptab w:relativeTo="margin" w:alignment="right" w:leader="dot"/>
          </w:r>
          <w:r>
            <w:rPr>
              <w:rFonts w:ascii="Times New Roman" w:hAnsi="Times New Roman"/>
              <w:sz w:val="24"/>
              <w:szCs w:val="24"/>
            </w:rPr>
            <w:t>18</w:t>
          </w:r>
        </w:p>
        <w:p w14:paraId="6B847F92"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3-D Reservoir Modeling</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20</w:t>
          </w:r>
        </w:p>
        <w:p w14:paraId="551EF927"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Volumetrics</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23</w:t>
          </w:r>
        </w:p>
        <w:p w14:paraId="2049236A"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Production Analysis</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24</w:t>
          </w:r>
        </w:p>
        <w:p w14:paraId="30E04F9B" w14:textId="77777777" w:rsidR="00D948FE" w:rsidRDefault="00D948FE" w:rsidP="00D948FE">
          <w:pPr>
            <w:pStyle w:val="TOC1"/>
            <w:spacing w:line="480" w:lineRule="auto"/>
            <w:rPr>
              <w:rFonts w:ascii="Times New Roman" w:hAnsi="Times New Roman"/>
              <w:b/>
              <w:bCs/>
              <w:sz w:val="24"/>
              <w:szCs w:val="24"/>
            </w:rPr>
          </w:pPr>
          <w:r>
            <w:rPr>
              <w:rFonts w:ascii="Times New Roman" w:hAnsi="Times New Roman"/>
              <w:sz w:val="24"/>
              <w:szCs w:val="24"/>
            </w:rPr>
            <w:t>RESULTS</w:t>
          </w:r>
          <w:r w:rsidRPr="003B2CCD">
            <w:rPr>
              <w:rFonts w:ascii="Times New Roman" w:hAnsi="Times New Roman"/>
              <w:sz w:val="24"/>
              <w:szCs w:val="24"/>
            </w:rPr>
            <w:ptab w:relativeTo="margin" w:alignment="right" w:leader="dot"/>
          </w:r>
          <w:r>
            <w:rPr>
              <w:rFonts w:ascii="Times New Roman" w:hAnsi="Times New Roman"/>
              <w:bCs/>
              <w:sz w:val="24"/>
              <w:szCs w:val="24"/>
            </w:rPr>
            <w:t>24</w:t>
          </w:r>
        </w:p>
        <w:p w14:paraId="285ACCB2"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Lithologies and Rock Types</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24</w:t>
          </w:r>
        </w:p>
        <w:p w14:paraId="3E6B84E8"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Stratigraphic and Structural Framework</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25</w:t>
          </w:r>
        </w:p>
        <w:p w14:paraId="3DD6939F"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P-Impedance, S-Impedance, and Density</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28</w:t>
          </w:r>
        </w:p>
        <w:p w14:paraId="6BE9FE58" w14:textId="77777777" w:rsidR="00D948FE" w:rsidRPr="00A63508"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Impedance-Based Lithology and Rock-Type Relationships and Probabilities</w:t>
          </w:r>
          <w:r w:rsidRPr="003B2CCD">
            <w:rPr>
              <w:rFonts w:ascii="Times New Roman" w:hAnsi="Times New Roman"/>
              <w:sz w:val="24"/>
              <w:szCs w:val="24"/>
            </w:rPr>
            <w:ptab w:relativeTo="margin" w:alignment="right" w:leader="dot"/>
          </w:r>
          <w:r>
            <w:rPr>
              <w:rFonts w:ascii="Times New Roman" w:hAnsi="Times New Roman"/>
              <w:sz w:val="24"/>
              <w:szCs w:val="24"/>
            </w:rPr>
            <w:t>30</w:t>
          </w:r>
        </w:p>
        <w:p w14:paraId="0ACF7008"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Spatial Distribution of Reservoir Properties</w:t>
          </w:r>
          <w:r w:rsidRPr="003B2CCD">
            <w:rPr>
              <w:rFonts w:ascii="Times New Roman" w:hAnsi="Times New Roman"/>
              <w:sz w:val="24"/>
              <w:szCs w:val="24"/>
            </w:rPr>
            <w:ptab w:relativeTo="margin" w:alignment="right" w:leader="dot"/>
          </w:r>
          <w:r>
            <w:rPr>
              <w:rFonts w:ascii="Times New Roman" w:hAnsi="Times New Roman"/>
              <w:sz w:val="24"/>
              <w:szCs w:val="24"/>
            </w:rPr>
            <w:t>37</w:t>
          </w:r>
        </w:p>
        <w:p w14:paraId="53099256"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lastRenderedPageBreak/>
            <w:t>Lithology, Rock-Type, and Geomechanical Controls on Reservoir Performance</w:t>
          </w:r>
          <w:r w:rsidRPr="003B2CCD">
            <w:rPr>
              <w:rFonts w:ascii="Times New Roman" w:hAnsi="Times New Roman"/>
              <w:sz w:val="24"/>
              <w:szCs w:val="24"/>
            </w:rPr>
            <w:ptab w:relativeTo="margin" w:alignment="right" w:leader="dot"/>
          </w:r>
          <w:r>
            <w:rPr>
              <w:rFonts w:ascii="Times New Roman" w:hAnsi="Times New Roman"/>
              <w:sz w:val="24"/>
              <w:szCs w:val="24"/>
            </w:rPr>
            <w:t>44</w:t>
          </w:r>
        </w:p>
        <w:p w14:paraId="313FC642" w14:textId="77777777" w:rsidR="00D948FE" w:rsidRDefault="00D948FE" w:rsidP="00D948FE">
          <w:pPr>
            <w:pStyle w:val="TOC1"/>
            <w:spacing w:line="480" w:lineRule="auto"/>
            <w:rPr>
              <w:rFonts w:ascii="Times New Roman" w:hAnsi="Times New Roman"/>
              <w:b/>
              <w:bCs/>
              <w:sz w:val="24"/>
              <w:szCs w:val="24"/>
            </w:rPr>
          </w:pPr>
          <w:r>
            <w:rPr>
              <w:rFonts w:ascii="Times New Roman" w:hAnsi="Times New Roman"/>
              <w:sz w:val="24"/>
              <w:szCs w:val="24"/>
            </w:rPr>
            <w:t>DISCUSSION</w:t>
          </w:r>
          <w:r w:rsidRPr="003B2CCD">
            <w:rPr>
              <w:rFonts w:ascii="Times New Roman" w:hAnsi="Times New Roman"/>
              <w:sz w:val="24"/>
              <w:szCs w:val="24"/>
            </w:rPr>
            <w:ptab w:relativeTo="margin" w:alignment="right" w:leader="dot"/>
          </w:r>
          <w:r>
            <w:rPr>
              <w:rFonts w:ascii="Times New Roman" w:hAnsi="Times New Roman"/>
              <w:bCs/>
              <w:sz w:val="24"/>
              <w:szCs w:val="24"/>
            </w:rPr>
            <w:t>46</w:t>
          </w:r>
        </w:p>
        <w:p w14:paraId="76A5A3B8"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Seismic Integrated Reservoir Modeling of the Meramec</w:t>
          </w:r>
          <w:r w:rsidRPr="003B2CCD">
            <w:rPr>
              <w:rFonts w:ascii="Times New Roman" w:hAnsi="Times New Roman"/>
              <w:sz w:val="24"/>
              <w:szCs w:val="24"/>
            </w:rPr>
            <w:t xml:space="preserve"> </w:t>
          </w:r>
          <w:r w:rsidRPr="003B2CCD">
            <w:rPr>
              <w:rFonts w:ascii="Times New Roman" w:hAnsi="Times New Roman"/>
              <w:sz w:val="24"/>
              <w:szCs w:val="24"/>
            </w:rPr>
            <w:ptab w:relativeTo="margin" w:alignment="right" w:leader="dot"/>
          </w:r>
          <w:r>
            <w:rPr>
              <w:rFonts w:ascii="Times New Roman" w:hAnsi="Times New Roman"/>
              <w:sz w:val="24"/>
              <w:szCs w:val="24"/>
            </w:rPr>
            <w:t>46</w:t>
          </w:r>
        </w:p>
        <w:p w14:paraId="4B86D090" w14:textId="77777777" w:rsidR="00D948FE"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Production Drivers</w:t>
          </w:r>
          <w:r w:rsidRPr="003B2CCD">
            <w:rPr>
              <w:rFonts w:ascii="Times New Roman" w:hAnsi="Times New Roman"/>
              <w:sz w:val="24"/>
              <w:szCs w:val="24"/>
            </w:rPr>
            <w:ptab w:relativeTo="margin" w:alignment="right" w:leader="dot"/>
          </w:r>
          <w:r>
            <w:rPr>
              <w:rFonts w:ascii="Times New Roman" w:hAnsi="Times New Roman"/>
              <w:sz w:val="24"/>
              <w:szCs w:val="24"/>
            </w:rPr>
            <w:t>48</w:t>
          </w:r>
        </w:p>
        <w:p w14:paraId="0DFC14EF" w14:textId="77777777" w:rsidR="00D948FE" w:rsidRPr="007965BB" w:rsidRDefault="00D948FE" w:rsidP="00D948FE">
          <w:pPr>
            <w:pStyle w:val="TOC3"/>
            <w:spacing w:line="480" w:lineRule="auto"/>
            <w:ind w:left="446"/>
            <w:rPr>
              <w:rFonts w:ascii="Times New Roman" w:hAnsi="Times New Roman"/>
              <w:sz w:val="24"/>
              <w:szCs w:val="24"/>
            </w:rPr>
          </w:pPr>
          <w:r>
            <w:rPr>
              <w:rFonts w:ascii="Times New Roman" w:eastAsia="Calibri" w:hAnsi="Times New Roman"/>
              <w:sz w:val="24"/>
              <w:szCs w:val="24"/>
            </w:rPr>
            <w:t>Stratigraphic Controls on Reservoir Quality</w:t>
          </w:r>
          <w:r w:rsidRPr="003B2CCD">
            <w:rPr>
              <w:rFonts w:ascii="Times New Roman" w:hAnsi="Times New Roman"/>
              <w:sz w:val="24"/>
              <w:szCs w:val="24"/>
            </w:rPr>
            <w:ptab w:relativeTo="margin" w:alignment="right" w:leader="dot"/>
          </w:r>
          <w:r>
            <w:rPr>
              <w:rFonts w:ascii="Times New Roman" w:hAnsi="Times New Roman"/>
              <w:sz w:val="24"/>
              <w:szCs w:val="24"/>
            </w:rPr>
            <w:t>49</w:t>
          </w:r>
        </w:p>
        <w:p w14:paraId="1ABBC887" w14:textId="77777777" w:rsidR="00D948FE" w:rsidRDefault="00D948FE" w:rsidP="00D948FE">
          <w:pPr>
            <w:pStyle w:val="TOC1"/>
            <w:spacing w:line="480" w:lineRule="auto"/>
            <w:rPr>
              <w:rFonts w:ascii="Times New Roman" w:hAnsi="Times New Roman"/>
              <w:bCs/>
              <w:sz w:val="24"/>
              <w:szCs w:val="24"/>
            </w:rPr>
          </w:pPr>
          <w:r>
            <w:rPr>
              <w:rFonts w:ascii="Times New Roman" w:hAnsi="Times New Roman"/>
              <w:sz w:val="24"/>
              <w:szCs w:val="24"/>
            </w:rPr>
            <w:t>CONCLUSIONS</w:t>
          </w:r>
          <w:r w:rsidRPr="003B2CCD">
            <w:rPr>
              <w:rFonts w:ascii="Times New Roman" w:hAnsi="Times New Roman"/>
              <w:sz w:val="24"/>
              <w:szCs w:val="24"/>
            </w:rPr>
            <w:ptab w:relativeTo="margin" w:alignment="right" w:leader="dot"/>
          </w:r>
          <w:r>
            <w:rPr>
              <w:rFonts w:ascii="Times New Roman" w:hAnsi="Times New Roman"/>
              <w:bCs/>
              <w:sz w:val="24"/>
              <w:szCs w:val="24"/>
            </w:rPr>
            <w:t>50</w:t>
          </w:r>
        </w:p>
        <w:p w14:paraId="3108A342" w14:textId="77777777" w:rsidR="00D948FE" w:rsidRPr="00AB6F5C" w:rsidRDefault="00D948FE" w:rsidP="00D948FE">
          <w:pPr>
            <w:pStyle w:val="TOC1"/>
            <w:spacing w:line="480" w:lineRule="auto"/>
            <w:rPr>
              <w:rFonts w:ascii="Times New Roman" w:hAnsi="Times New Roman"/>
              <w:b/>
              <w:bCs/>
              <w:sz w:val="24"/>
              <w:szCs w:val="24"/>
            </w:rPr>
          </w:pPr>
          <w:r>
            <w:rPr>
              <w:rFonts w:ascii="Times New Roman" w:hAnsi="Times New Roman"/>
              <w:sz w:val="24"/>
              <w:szCs w:val="24"/>
            </w:rPr>
            <w:t>REFERENCES</w:t>
          </w:r>
          <w:r w:rsidRPr="003B2CCD">
            <w:rPr>
              <w:rFonts w:ascii="Times New Roman" w:hAnsi="Times New Roman"/>
              <w:sz w:val="24"/>
              <w:szCs w:val="24"/>
            </w:rPr>
            <w:ptab w:relativeTo="margin" w:alignment="right" w:leader="dot"/>
          </w:r>
          <w:r>
            <w:rPr>
              <w:rFonts w:ascii="Times New Roman" w:hAnsi="Times New Roman"/>
              <w:bCs/>
              <w:sz w:val="24"/>
              <w:szCs w:val="24"/>
            </w:rPr>
            <w:t>52</w:t>
          </w:r>
        </w:p>
        <w:p w14:paraId="336BE801" w14:textId="77777777" w:rsidR="00D948FE" w:rsidRPr="00A40237" w:rsidRDefault="00D948FE" w:rsidP="00D948FE">
          <w:pPr>
            <w:pStyle w:val="TOC1"/>
            <w:spacing w:line="480" w:lineRule="auto"/>
            <w:rPr>
              <w:rFonts w:ascii="Times New Roman" w:hAnsi="Times New Roman"/>
              <w:bCs/>
              <w:sz w:val="24"/>
              <w:szCs w:val="24"/>
            </w:rPr>
          </w:pPr>
          <w:r>
            <w:rPr>
              <w:rFonts w:ascii="Times New Roman" w:hAnsi="Times New Roman"/>
              <w:sz w:val="24"/>
              <w:szCs w:val="24"/>
            </w:rPr>
            <w:t xml:space="preserve">APPENDIX A: Geologic </w:t>
          </w:r>
          <w:r w:rsidRPr="00A40237">
            <w:rPr>
              <w:rFonts w:ascii="Times New Roman" w:hAnsi="Times New Roman"/>
              <w:sz w:val="24"/>
              <w:szCs w:val="24"/>
            </w:rPr>
            <w:t>Setting</w:t>
          </w:r>
          <w:r w:rsidRPr="00A40237">
            <w:rPr>
              <w:rFonts w:ascii="Times New Roman" w:hAnsi="Times New Roman"/>
              <w:sz w:val="24"/>
              <w:szCs w:val="24"/>
            </w:rPr>
            <w:ptab w:relativeTo="margin" w:alignment="right" w:leader="dot"/>
          </w:r>
          <w:r>
            <w:rPr>
              <w:rFonts w:ascii="Times New Roman" w:hAnsi="Times New Roman"/>
              <w:bCs/>
              <w:sz w:val="24"/>
              <w:szCs w:val="24"/>
            </w:rPr>
            <w:t>58</w:t>
          </w:r>
        </w:p>
        <w:p w14:paraId="4DB03DB6" w14:textId="77777777" w:rsidR="00D948FE" w:rsidRPr="00A40237" w:rsidRDefault="00D948FE" w:rsidP="00D948FE">
          <w:pPr>
            <w:pStyle w:val="TOC1"/>
            <w:spacing w:line="480" w:lineRule="auto"/>
            <w:rPr>
              <w:rFonts w:ascii="Times New Roman" w:hAnsi="Times New Roman"/>
              <w:bCs/>
              <w:sz w:val="24"/>
              <w:szCs w:val="24"/>
            </w:rPr>
          </w:pPr>
          <w:r w:rsidRPr="00A40237">
            <w:rPr>
              <w:rFonts w:ascii="Times New Roman" w:hAnsi="Times New Roman"/>
              <w:sz w:val="24"/>
              <w:szCs w:val="24"/>
            </w:rPr>
            <w:t xml:space="preserve">APPENDIX B: </w:t>
          </w:r>
          <w:r>
            <w:rPr>
              <w:rFonts w:ascii="Times New Roman" w:eastAsia="Calibri" w:hAnsi="Times New Roman"/>
              <w:sz w:val="24"/>
              <w:szCs w:val="24"/>
            </w:rPr>
            <w:t>Lithology and Rock-Type Definition and Classification</w:t>
          </w:r>
          <w:r w:rsidRPr="00A40237">
            <w:rPr>
              <w:rFonts w:ascii="Times New Roman" w:hAnsi="Times New Roman"/>
              <w:sz w:val="24"/>
              <w:szCs w:val="24"/>
            </w:rPr>
            <w:t xml:space="preserve"> </w:t>
          </w:r>
          <w:r w:rsidRPr="00A40237">
            <w:rPr>
              <w:rFonts w:ascii="Times New Roman" w:hAnsi="Times New Roman"/>
              <w:sz w:val="24"/>
              <w:szCs w:val="24"/>
            </w:rPr>
            <w:ptab w:relativeTo="margin" w:alignment="right" w:leader="dot"/>
          </w:r>
          <w:r>
            <w:rPr>
              <w:rFonts w:ascii="Times New Roman" w:hAnsi="Times New Roman"/>
              <w:sz w:val="24"/>
              <w:szCs w:val="24"/>
            </w:rPr>
            <w:t>60</w:t>
          </w:r>
        </w:p>
        <w:p w14:paraId="7D3C56AA" w14:textId="77777777" w:rsidR="00D948FE" w:rsidRPr="00A40237" w:rsidRDefault="00D948FE" w:rsidP="00D948FE">
          <w:pPr>
            <w:pStyle w:val="TOC1"/>
            <w:spacing w:line="480" w:lineRule="auto"/>
            <w:rPr>
              <w:rFonts w:ascii="Times New Roman" w:hAnsi="Times New Roman"/>
              <w:bCs/>
              <w:sz w:val="24"/>
              <w:szCs w:val="24"/>
            </w:rPr>
          </w:pPr>
          <w:r w:rsidRPr="00A40237">
            <w:rPr>
              <w:rFonts w:ascii="Times New Roman" w:hAnsi="Times New Roman"/>
              <w:sz w:val="24"/>
              <w:szCs w:val="24"/>
            </w:rPr>
            <w:t>APPENDIX C: Pre-stack Seismic Inversion</w:t>
          </w:r>
          <w:r w:rsidRPr="00A40237">
            <w:rPr>
              <w:rFonts w:ascii="Times New Roman" w:hAnsi="Times New Roman"/>
              <w:sz w:val="24"/>
              <w:szCs w:val="24"/>
            </w:rPr>
            <w:ptab w:relativeTo="margin" w:alignment="right" w:leader="dot"/>
          </w:r>
          <w:r>
            <w:rPr>
              <w:rFonts w:ascii="Times New Roman" w:hAnsi="Times New Roman"/>
              <w:sz w:val="24"/>
              <w:szCs w:val="24"/>
            </w:rPr>
            <w:t>6</w:t>
          </w:r>
          <w:r w:rsidRPr="00A40237">
            <w:rPr>
              <w:rFonts w:ascii="Times New Roman" w:hAnsi="Times New Roman"/>
              <w:bCs/>
              <w:sz w:val="24"/>
              <w:szCs w:val="24"/>
            </w:rPr>
            <w:t>1</w:t>
          </w:r>
        </w:p>
        <w:p w14:paraId="0ED5B903" w14:textId="77777777" w:rsidR="00D948FE" w:rsidRPr="00A40237" w:rsidRDefault="00D948FE" w:rsidP="00D948FE">
          <w:pPr>
            <w:pStyle w:val="TOC1"/>
            <w:spacing w:line="480" w:lineRule="auto"/>
            <w:jc w:val="right"/>
            <w:rPr>
              <w:rFonts w:ascii="Times New Roman" w:hAnsi="Times New Roman"/>
              <w:bCs/>
              <w:sz w:val="24"/>
              <w:szCs w:val="24"/>
            </w:rPr>
          </w:pPr>
          <w:r w:rsidRPr="00A40237">
            <w:rPr>
              <w:rFonts w:ascii="Times New Roman" w:hAnsi="Times New Roman"/>
              <w:sz w:val="24"/>
              <w:szCs w:val="24"/>
            </w:rPr>
            <w:t xml:space="preserve">APPENDIX D: </w:t>
          </w:r>
          <w:r>
            <w:rPr>
              <w:rFonts w:ascii="Times New Roman" w:hAnsi="Times New Roman"/>
              <w:sz w:val="24"/>
              <w:szCs w:val="24"/>
            </w:rPr>
            <w:t>Velocity Modeling</w:t>
          </w:r>
          <w:r w:rsidRPr="00A40237">
            <w:rPr>
              <w:rFonts w:ascii="Times New Roman" w:hAnsi="Times New Roman"/>
              <w:sz w:val="24"/>
              <w:szCs w:val="24"/>
            </w:rPr>
            <w:ptab w:relativeTo="margin" w:alignment="right" w:leader="dot"/>
          </w:r>
          <w:r>
            <w:rPr>
              <w:rFonts w:ascii="Times New Roman" w:hAnsi="Times New Roman"/>
              <w:bCs/>
              <w:sz w:val="24"/>
              <w:szCs w:val="24"/>
            </w:rPr>
            <w:t>64</w:t>
          </w:r>
        </w:p>
        <w:p w14:paraId="3827684E" w14:textId="77777777" w:rsidR="00D948FE" w:rsidRPr="00A40237" w:rsidRDefault="00D948FE" w:rsidP="00D948FE">
          <w:pPr>
            <w:pStyle w:val="TOC1"/>
            <w:spacing w:line="480" w:lineRule="auto"/>
            <w:rPr>
              <w:rFonts w:ascii="Times New Roman" w:hAnsi="Times New Roman"/>
              <w:bCs/>
              <w:sz w:val="24"/>
              <w:szCs w:val="24"/>
            </w:rPr>
          </w:pPr>
          <w:r w:rsidRPr="00A40237">
            <w:rPr>
              <w:rFonts w:ascii="Times New Roman" w:hAnsi="Times New Roman"/>
              <w:sz w:val="24"/>
              <w:szCs w:val="24"/>
            </w:rPr>
            <w:t xml:space="preserve">APPENDIX E: </w:t>
          </w:r>
          <w:r>
            <w:rPr>
              <w:rFonts w:ascii="Times New Roman" w:eastAsia="Calibri" w:hAnsi="Times New Roman"/>
              <w:sz w:val="24"/>
              <w:szCs w:val="24"/>
            </w:rPr>
            <w:t>Impedance-Based Lithology and Rock-Type Relationships and Probabilities</w:t>
          </w:r>
          <w:r w:rsidRPr="00A40237">
            <w:rPr>
              <w:rFonts w:ascii="Times New Roman" w:hAnsi="Times New Roman"/>
              <w:sz w:val="24"/>
              <w:szCs w:val="24"/>
            </w:rPr>
            <w:t xml:space="preserve"> </w:t>
          </w:r>
          <w:r w:rsidRPr="00A40237">
            <w:rPr>
              <w:rFonts w:ascii="Times New Roman" w:hAnsi="Times New Roman"/>
              <w:sz w:val="24"/>
              <w:szCs w:val="24"/>
            </w:rPr>
            <w:ptab w:relativeTo="margin" w:alignment="right" w:leader="dot"/>
          </w:r>
          <w:r>
            <w:rPr>
              <w:rFonts w:ascii="Times New Roman" w:hAnsi="Times New Roman"/>
              <w:bCs/>
              <w:sz w:val="24"/>
              <w:szCs w:val="24"/>
            </w:rPr>
            <w:t>65</w:t>
          </w:r>
        </w:p>
        <w:p w14:paraId="5AD9455C" w14:textId="77777777" w:rsidR="00D948FE" w:rsidRPr="00A40237" w:rsidRDefault="00D948FE" w:rsidP="00D948FE">
          <w:pPr>
            <w:pStyle w:val="TOC1"/>
            <w:spacing w:line="480" w:lineRule="auto"/>
            <w:rPr>
              <w:rFonts w:ascii="Times New Roman" w:hAnsi="Times New Roman"/>
              <w:bCs/>
              <w:sz w:val="24"/>
              <w:szCs w:val="24"/>
            </w:rPr>
          </w:pPr>
          <w:r w:rsidRPr="00A40237">
            <w:rPr>
              <w:rFonts w:ascii="Times New Roman" w:hAnsi="Times New Roman"/>
              <w:sz w:val="24"/>
              <w:szCs w:val="24"/>
            </w:rPr>
            <w:t xml:space="preserve">APPENDIX F: </w:t>
          </w:r>
          <w:r>
            <w:rPr>
              <w:rFonts w:ascii="Times New Roman" w:eastAsia="Calibri" w:hAnsi="Times New Roman"/>
              <w:sz w:val="24"/>
              <w:szCs w:val="24"/>
            </w:rPr>
            <w:t>Spatial Distribution of Reservoir Properties</w:t>
          </w:r>
          <w:r w:rsidRPr="00A40237">
            <w:rPr>
              <w:rFonts w:ascii="Times New Roman" w:hAnsi="Times New Roman"/>
              <w:sz w:val="24"/>
              <w:szCs w:val="24"/>
            </w:rPr>
            <w:t xml:space="preserve"> </w:t>
          </w:r>
          <w:r w:rsidRPr="00A40237">
            <w:rPr>
              <w:rFonts w:ascii="Times New Roman" w:hAnsi="Times New Roman"/>
              <w:sz w:val="24"/>
              <w:szCs w:val="24"/>
            </w:rPr>
            <w:ptab w:relativeTo="margin" w:alignment="right" w:leader="dot"/>
          </w:r>
          <w:r>
            <w:rPr>
              <w:rFonts w:ascii="Times New Roman" w:hAnsi="Times New Roman"/>
              <w:bCs/>
              <w:sz w:val="24"/>
              <w:szCs w:val="24"/>
            </w:rPr>
            <w:t>67</w:t>
          </w:r>
        </w:p>
        <w:p w14:paraId="5C46D022" w14:textId="77777777" w:rsidR="00D948FE" w:rsidRDefault="00D948FE" w:rsidP="00D948FE">
          <w:pPr>
            <w:pStyle w:val="TOC1"/>
            <w:spacing w:line="480" w:lineRule="auto"/>
            <w:rPr>
              <w:rFonts w:ascii="Times New Roman" w:hAnsi="Times New Roman"/>
              <w:bCs/>
              <w:sz w:val="24"/>
              <w:szCs w:val="24"/>
            </w:rPr>
          </w:pPr>
          <w:r w:rsidRPr="00A40237">
            <w:rPr>
              <w:rFonts w:ascii="Times New Roman" w:hAnsi="Times New Roman"/>
              <w:sz w:val="24"/>
              <w:szCs w:val="24"/>
            </w:rPr>
            <w:t xml:space="preserve">APPENDIX G: </w:t>
          </w:r>
          <w:r>
            <w:rPr>
              <w:rFonts w:ascii="Times New Roman" w:hAnsi="Times New Roman"/>
              <w:sz w:val="24"/>
              <w:szCs w:val="24"/>
            </w:rPr>
            <w:t>Volumetrics</w:t>
          </w:r>
          <w:r w:rsidRPr="00A40237">
            <w:rPr>
              <w:rFonts w:ascii="Times New Roman" w:hAnsi="Times New Roman"/>
              <w:sz w:val="24"/>
              <w:szCs w:val="24"/>
            </w:rPr>
            <w:ptab w:relativeTo="margin" w:alignment="right" w:leader="dot"/>
          </w:r>
          <w:r>
            <w:rPr>
              <w:rFonts w:ascii="Times New Roman" w:hAnsi="Times New Roman"/>
              <w:bCs/>
              <w:sz w:val="24"/>
              <w:szCs w:val="24"/>
            </w:rPr>
            <w:t>77</w:t>
          </w:r>
        </w:p>
        <w:p w14:paraId="23AB8FE8" w14:textId="77777777" w:rsidR="00D948FE" w:rsidRDefault="00D948FE" w:rsidP="00D948FE">
          <w:pPr>
            <w:pStyle w:val="TOC1"/>
            <w:spacing w:line="480" w:lineRule="auto"/>
            <w:rPr>
              <w:rFonts w:ascii="Times New Roman" w:hAnsi="Times New Roman"/>
              <w:b/>
              <w:bCs/>
              <w:sz w:val="24"/>
              <w:szCs w:val="24"/>
            </w:rPr>
          </w:pPr>
          <w:r w:rsidRPr="00A40237">
            <w:rPr>
              <w:rFonts w:ascii="Times New Roman" w:hAnsi="Times New Roman"/>
              <w:sz w:val="24"/>
              <w:szCs w:val="24"/>
            </w:rPr>
            <w:t xml:space="preserve">APPENDIX </w:t>
          </w:r>
          <w:r>
            <w:rPr>
              <w:rFonts w:ascii="Times New Roman" w:hAnsi="Times New Roman"/>
              <w:sz w:val="24"/>
              <w:szCs w:val="24"/>
            </w:rPr>
            <w:t>H</w:t>
          </w:r>
          <w:r w:rsidRPr="00A40237">
            <w:rPr>
              <w:rFonts w:ascii="Times New Roman" w:hAnsi="Times New Roman"/>
              <w:sz w:val="24"/>
              <w:szCs w:val="24"/>
            </w:rPr>
            <w:t xml:space="preserve">: </w:t>
          </w:r>
          <w:r>
            <w:rPr>
              <w:rFonts w:ascii="Times New Roman" w:hAnsi="Times New Roman"/>
              <w:sz w:val="24"/>
              <w:szCs w:val="24"/>
            </w:rPr>
            <w:t>Production Analysis</w:t>
          </w:r>
          <w:r w:rsidRPr="00A40237">
            <w:rPr>
              <w:rFonts w:ascii="Times New Roman" w:hAnsi="Times New Roman"/>
              <w:sz w:val="24"/>
              <w:szCs w:val="24"/>
            </w:rPr>
            <w:ptab w:relativeTo="margin" w:alignment="right" w:leader="dot"/>
          </w:r>
          <w:r>
            <w:rPr>
              <w:rFonts w:ascii="Times New Roman" w:hAnsi="Times New Roman"/>
              <w:bCs/>
              <w:sz w:val="24"/>
              <w:szCs w:val="24"/>
            </w:rPr>
            <w:t>80</w:t>
          </w:r>
        </w:p>
        <w:p w14:paraId="07BC6BCF" w14:textId="77777777" w:rsidR="00D948FE" w:rsidRPr="00A40237" w:rsidRDefault="00D948FE" w:rsidP="00D948FE"/>
        <w:p w14:paraId="6280A456" w14:textId="77777777" w:rsidR="00D948FE" w:rsidRPr="003D77FD" w:rsidRDefault="00D948FE" w:rsidP="00D948FE"/>
        <w:p w14:paraId="7C2D63A9" w14:textId="77777777" w:rsidR="00D948FE" w:rsidRPr="003D77FD" w:rsidRDefault="00D948FE" w:rsidP="00D948FE"/>
        <w:p w14:paraId="7455443A" w14:textId="77777777" w:rsidR="00D948FE" w:rsidRPr="003D77FD" w:rsidRDefault="00D948FE" w:rsidP="00D948FE"/>
        <w:p w14:paraId="06274C66" w14:textId="77777777" w:rsidR="00D948FE" w:rsidRPr="003D77FD" w:rsidRDefault="00D948FE" w:rsidP="00D948FE"/>
        <w:p w14:paraId="2CAAAB1D" w14:textId="77777777" w:rsidR="00D948FE" w:rsidRPr="003D77FD" w:rsidRDefault="00D948FE" w:rsidP="00D948FE"/>
        <w:p w14:paraId="2A734B02" w14:textId="77777777" w:rsidR="00D948FE" w:rsidRPr="00561E26" w:rsidRDefault="00D948FE" w:rsidP="00D948FE">
          <w:pPr>
            <w:pStyle w:val="TOC3"/>
            <w:spacing w:line="480" w:lineRule="auto"/>
            <w:ind w:left="0"/>
            <w:rPr>
              <w:rFonts w:ascii="Times New Roman" w:hAnsi="Times New Roman"/>
              <w:sz w:val="24"/>
              <w:szCs w:val="24"/>
            </w:rPr>
          </w:pPr>
        </w:p>
      </w:sdtContent>
    </w:sdt>
    <w:p w14:paraId="6F71C1E0" w14:textId="77777777" w:rsidR="00D948FE" w:rsidRPr="00E75C76" w:rsidRDefault="00D948FE" w:rsidP="00D948FE">
      <w:pPr>
        <w:spacing w:after="0" w:line="480" w:lineRule="auto"/>
        <w:rPr>
          <w:rFonts w:ascii="Times New Roman" w:hAnsi="Times New Roman" w:cs="Times New Roman"/>
          <w:b/>
          <w:bCs/>
          <w:sz w:val="24"/>
          <w:szCs w:val="24"/>
        </w:rPr>
      </w:pPr>
      <w:r w:rsidRPr="00E75C76">
        <w:rPr>
          <w:rFonts w:ascii="Times New Roman" w:hAnsi="Times New Roman" w:cs="Times New Roman"/>
          <w:b/>
          <w:bCs/>
          <w:sz w:val="24"/>
          <w:szCs w:val="24"/>
        </w:rPr>
        <w:lastRenderedPageBreak/>
        <w:t xml:space="preserve"> </w:t>
      </w:r>
      <w:r w:rsidRPr="00E75C76">
        <w:rPr>
          <w:rFonts w:ascii="Times New Roman" w:hAnsi="Times New Roman" w:cs="Times New Roman"/>
          <w:b/>
          <w:bCs/>
          <w:sz w:val="24"/>
          <w:szCs w:val="24"/>
        </w:rPr>
        <w:t>ABSTRACT</w:t>
      </w:r>
    </w:p>
    <w:p w14:paraId="7A279180"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The Mississippian Meramec strata within the STACK (Sooner Trend in the Anadarko [Basin] in Canadian and Kingfisher counties) play of central Oklahoma is primarily a fine-grained mixed siliciclastic-carbonate system composed of mudstones, argillaceous siltstones, argillaceous-calcareous siltstones, and silty limestones. The Meramec interval within the study area ranges in thickness from 300 – 400 ft (91 – 122 m) and stratigraphically consists of seven parasequences, Meramec 1-7. The Meramec dips structurally to the southwest and is offset by several faults with varying throw that ranges from 50 to 150 ft (</w:t>
      </w:r>
      <w:r>
        <w:rPr>
          <w:rFonts w:ascii="Times New Roman" w:hAnsi="Times New Roman" w:cs="Times New Roman"/>
          <w:sz w:val="24"/>
          <w:szCs w:val="24"/>
        </w:rPr>
        <w:t>15</w:t>
      </w:r>
      <w:r w:rsidRPr="00E75C76">
        <w:rPr>
          <w:rFonts w:ascii="Times New Roman" w:hAnsi="Times New Roman" w:cs="Times New Roman"/>
          <w:sz w:val="24"/>
          <w:szCs w:val="24"/>
        </w:rPr>
        <w:t xml:space="preserve"> – </w:t>
      </w:r>
      <w:r>
        <w:rPr>
          <w:rFonts w:ascii="Times New Roman" w:hAnsi="Times New Roman" w:cs="Times New Roman"/>
          <w:sz w:val="24"/>
          <w:szCs w:val="24"/>
        </w:rPr>
        <w:t>46</w:t>
      </w:r>
      <w:r w:rsidRPr="00E75C76">
        <w:rPr>
          <w:rFonts w:ascii="Times New Roman" w:hAnsi="Times New Roman" w:cs="Times New Roman"/>
          <w:sz w:val="24"/>
          <w:szCs w:val="24"/>
        </w:rPr>
        <w:t xml:space="preserve"> m). Five lithologies and three petrophysics-based rock types are classified in non-cored wells using a supervised Artificial Neural Network (ANN) based on well-log and core data. Elastic seismic attributes are derived from a pre-stack inversion to produce </w:t>
      </w:r>
      <w:r>
        <w:rPr>
          <w:rFonts w:ascii="Times New Roman" w:hAnsi="Times New Roman" w:cs="Times New Roman"/>
          <w:sz w:val="24"/>
          <w:szCs w:val="24"/>
        </w:rPr>
        <w:t>P-impedance</w:t>
      </w:r>
      <w:r w:rsidRPr="00E75C76">
        <w:rPr>
          <w:rFonts w:ascii="Times New Roman" w:hAnsi="Times New Roman" w:cs="Times New Roman"/>
          <w:sz w:val="24"/>
          <w:szCs w:val="24"/>
        </w:rPr>
        <w:t xml:space="preserve">, </w:t>
      </w:r>
      <w:r>
        <w:rPr>
          <w:rFonts w:ascii="Times New Roman" w:hAnsi="Times New Roman" w:cs="Times New Roman"/>
          <w:sz w:val="24"/>
          <w:szCs w:val="24"/>
        </w:rPr>
        <w:t>S-impedance</w:t>
      </w:r>
      <w:r w:rsidRPr="00E75C76">
        <w:rPr>
          <w:rFonts w:ascii="Times New Roman" w:hAnsi="Times New Roman" w:cs="Times New Roman"/>
          <w:sz w:val="24"/>
          <w:szCs w:val="24"/>
        </w:rPr>
        <w:t xml:space="preserve">, and density volumes. Elastic properties, </w:t>
      </w:r>
      <w:r>
        <w:rPr>
          <w:rFonts w:ascii="Times New Roman" w:hAnsi="Times New Roman" w:cs="Times New Roman"/>
          <w:sz w:val="24"/>
          <w:szCs w:val="24"/>
        </w:rPr>
        <w:t>P-impedance</w:t>
      </w:r>
      <w:r w:rsidRPr="00E75C76">
        <w:rPr>
          <w:rFonts w:ascii="Times New Roman" w:hAnsi="Times New Roman" w:cs="Times New Roman"/>
          <w:sz w:val="24"/>
          <w:szCs w:val="24"/>
        </w:rPr>
        <w:t xml:space="preserve"> and </w:t>
      </w:r>
      <w:r>
        <w:rPr>
          <w:rFonts w:ascii="Times New Roman" w:hAnsi="Times New Roman" w:cs="Times New Roman"/>
          <w:sz w:val="24"/>
          <w:szCs w:val="24"/>
        </w:rPr>
        <w:t>S-impedance</w:t>
      </w:r>
      <w:r w:rsidRPr="00E75C76">
        <w:rPr>
          <w:rFonts w:ascii="Times New Roman" w:hAnsi="Times New Roman" w:cs="Times New Roman"/>
          <w:sz w:val="24"/>
          <w:szCs w:val="24"/>
        </w:rPr>
        <w:t xml:space="preserve">, are used to create lithology probability volumes for each lithology and a single lithology classification volume. Three-dimensional lithology and rock-type models illustrate the spatial distribution of stacked parasequences grading upward from argillaceous siltstone to calcareous siltstone. Petrophysical (porosity and water saturation) and geomechanical (Poisson’s Ratio and Young’s Modulus) property models show that lower values of porosity and higher value of water saturation are associated with brittle, calcareous-rich lithologies and rock types, and higher values of porosity and lower values of water saturation are associated with ductile, argillaceous-rich lithologies and rock types. </w:t>
      </w:r>
    </w:p>
    <w:p w14:paraId="3EE2E761" w14:textId="5B05E7B1" w:rsidR="00873659"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 xml:space="preserve">Comparisons to oil production </w:t>
      </w:r>
      <w:r>
        <w:rPr>
          <w:rFonts w:ascii="Times New Roman" w:hAnsi="Times New Roman" w:cs="Times New Roman"/>
          <w:sz w:val="24"/>
          <w:szCs w:val="24"/>
        </w:rPr>
        <w:t>suggest</w:t>
      </w:r>
      <w:r w:rsidRPr="00E75C76">
        <w:rPr>
          <w:rFonts w:ascii="Times New Roman" w:hAnsi="Times New Roman" w:cs="Times New Roman"/>
          <w:sz w:val="24"/>
          <w:szCs w:val="24"/>
        </w:rPr>
        <w:t xml:space="preserve"> that higher reservoir productivity is associated with the mixed argillaceous and calcareous-rich rock type 2 and </w:t>
      </w:r>
      <w:r>
        <w:rPr>
          <w:rFonts w:ascii="Times New Roman" w:hAnsi="Times New Roman" w:cs="Times New Roman"/>
          <w:sz w:val="24"/>
          <w:szCs w:val="24"/>
        </w:rPr>
        <w:t xml:space="preserve">relatively </w:t>
      </w:r>
      <w:r w:rsidRPr="00E75C76">
        <w:rPr>
          <w:rFonts w:ascii="Times New Roman" w:hAnsi="Times New Roman" w:cs="Times New Roman"/>
          <w:sz w:val="24"/>
          <w:szCs w:val="24"/>
        </w:rPr>
        <w:t xml:space="preserve">more brittle rocks. The distribution of optimal reservoir quality parameters including geomechanical and petrophysical properties are associated with the stratigraphically controlled stacking pattern and distribution of </w:t>
      </w:r>
      <w:r w:rsidRPr="00E75C76">
        <w:rPr>
          <w:rFonts w:ascii="Times New Roman" w:hAnsi="Times New Roman" w:cs="Times New Roman"/>
          <w:sz w:val="24"/>
          <w:szCs w:val="24"/>
        </w:rPr>
        <w:lastRenderedPageBreak/>
        <w:t>lithologies and rock types. Meramec parasequences 3 and 4</w:t>
      </w:r>
      <w:r>
        <w:rPr>
          <w:rFonts w:ascii="Times New Roman" w:hAnsi="Times New Roman" w:cs="Times New Roman"/>
          <w:sz w:val="24"/>
          <w:szCs w:val="24"/>
        </w:rPr>
        <w:t>, at the turnaround from retrogradational to progradational units,</w:t>
      </w:r>
      <w:r w:rsidRPr="00E75C76">
        <w:rPr>
          <w:rFonts w:ascii="Times New Roman" w:hAnsi="Times New Roman" w:cs="Times New Roman"/>
          <w:sz w:val="24"/>
          <w:szCs w:val="24"/>
        </w:rPr>
        <w:t xml:space="preserve"> have the combination of depositional, petrophysical, and geomechanical characteristics associated with better reservoir quality and favorable drilling and</w:t>
      </w:r>
      <w:r>
        <w:rPr>
          <w:rFonts w:ascii="Times New Roman" w:hAnsi="Times New Roman" w:cs="Times New Roman"/>
          <w:sz w:val="24"/>
          <w:szCs w:val="24"/>
        </w:rPr>
        <w:t xml:space="preserve"> hydraulic fracturing conditions.</w:t>
      </w:r>
    </w:p>
    <w:p w14:paraId="08AF476C" w14:textId="01823632" w:rsidR="00D160AA" w:rsidRDefault="00D160AA" w:rsidP="00062523">
      <w:pPr>
        <w:spacing w:line="480" w:lineRule="auto"/>
        <w:rPr>
          <w:rFonts w:ascii="Times New Roman" w:hAnsi="Times New Roman" w:cs="Times New Roman"/>
          <w:sz w:val="24"/>
          <w:szCs w:val="24"/>
        </w:rPr>
      </w:pPr>
    </w:p>
    <w:p w14:paraId="7B65C466" w14:textId="35B145AB" w:rsidR="00D160AA" w:rsidRDefault="00D160AA" w:rsidP="00062523">
      <w:pPr>
        <w:spacing w:line="480" w:lineRule="auto"/>
        <w:rPr>
          <w:rFonts w:ascii="Times New Roman" w:hAnsi="Times New Roman" w:cs="Times New Roman"/>
          <w:sz w:val="24"/>
          <w:szCs w:val="24"/>
        </w:rPr>
      </w:pPr>
    </w:p>
    <w:p w14:paraId="6CCA9140" w14:textId="41EC2EFB" w:rsidR="00D160AA" w:rsidRDefault="00D160AA" w:rsidP="00062523">
      <w:pPr>
        <w:spacing w:line="480" w:lineRule="auto"/>
        <w:rPr>
          <w:rFonts w:ascii="Times New Roman" w:hAnsi="Times New Roman" w:cs="Times New Roman"/>
          <w:sz w:val="24"/>
          <w:szCs w:val="24"/>
        </w:rPr>
      </w:pPr>
    </w:p>
    <w:p w14:paraId="1CD33172" w14:textId="29780B7B" w:rsidR="00D160AA" w:rsidRDefault="00D160AA" w:rsidP="00062523">
      <w:pPr>
        <w:spacing w:line="480" w:lineRule="auto"/>
        <w:rPr>
          <w:rFonts w:ascii="Times New Roman" w:hAnsi="Times New Roman" w:cs="Times New Roman"/>
          <w:sz w:val="24"/>
          <w:szCs w:val="24"/>
        </w:rPr>
      </w:pPr>
    </w:p>
    <w:p w14:paraId="7D5D2E45" w14:textId="27B84EE4" w:rsidR="00D160AA" w:rsidRDefault="00D160AA" w:rsidP="00062523">
      <w:pPr>
        <w:spacing w:line="480" w:lineRule="auto"/>
        <w:rPr>
          <w:rFonts w:ascii="Times New Roman" w:hAnsi="Times New Roman" w:cs="Times New Roman"/>
          <w:sz w:val="24"/>
          <w:szCs w:val="24"/>
        </w:rPr>
      </w:pPr>
    </w:p>
    <w:p w14:paraId="64B751E6" w14:textId="41B8FFE9" w:rsidR="00D160AA" w:rsidRDefault="00D160AA" w:rsidP="00062523">
      <w:pPr>
        <w:spacing w:line="480" w:lineRule="auto"/>
        <w:rPr>
          <w:rFonts w:ascii="Times New Roman" w:hAnsi="Times New Roman" w:cs="Times New Roman"/>
          <w:sz w:val="24"/>
          <w:szCs w:val="24"/>
        </w:rPr>
      </w:pPr>
    </w:p>
    <w:p w14:paraId="713E6755" w14:textId="5BF0D912" w:rsidR="00D160AA" w:rsidRDefault="00D160AA" w:rsidP="00062523">
      <w:pPr>
        <w:spacing w:line="480" w:lineRule="auto"/>
        <w:rPr>
          <w:rFonts w:ascii="Times New Roman" w:hAnsi="Times New Roman" w:cs="Times New Roman"/>
          <w:sz w:val="24"/>
          <w:szCs w:val="24"/>
        </w:rPr>
      </w:pPr>
    </w:p>
    <w:p w14:paraId="2ADE284E" w14:textId="11D8432B" w:rsidR="00A63508" w:rsidRDefault="00A63508" w:rsidP="00062523">
      <w:pPr>
        <w:spacing w:line="480" w:lineRule="auto"/>
        <w:rPr>
          <w:rFonts w:ascii="Times New Roman" w:hAnsi="Times New Roman" w:cs="Times New Roman"/>
          <w:sz w:val="24"/>
          <w:szCs w:val="24"/>
        </w:rPr>
        <w:sectPr w:rsidR="00A63508" w:rsidSect="00731B5E">
          <w:footerReference w:type="default" r:id="rId13"/>
          <w:footerReference w:type="first" r:id="rId14"/>
          <w:pgSz w:w="12240" w:h="15840"/>
          <w:pgMar w:top="1440" w:right="1440" w:bottom="1440" w:left="1440" w:header="720" w:footer="720" w:gutter="0"/>
          <w:pgNumType w:fmt="lowerRoman" w:start="4"/>
          <w:cols w:space="720"/>
          <w:titlePg/>
          <w:docGrid w:linePitch="360"/>
        </w:sectPr>
      </w:pPr>
    </w:p>
    <w:p w14:paraId="3D1F1262" w14:textId="77777777" w:rsidR="00D948FE" w:rsidRPr="00E75C76" w:rsidRDefault="00D948FE" w:rsidP="00D948FE">
      <w:pPr>
        <w:spacing w:after="0" w:line="480" w:lineRule="auto"/>
        <w:rPr>
          <w:rFonts w:ascii="Times New Roman" w:hAnsi="Times New Roman" w:cs="Times New Roman"/>
          <w:b/>
          <w:sz w:val="24"/>
          <w:szCs w:val="24"/>
        </w:rPr>
      </w:pPr>
      <w:bookmarkStart w:id="0" w:name="_Hlk5177023"/>
      <w:r>
        <w:rPr>
          <w:rFonts w:ascii="Times New Roman" w:hAnsi="Times New Roman" w:cs="Times New Roman"/>
          <w:b/>
          <w:sz w:val="24"/>
          <w:szCs w:val="24"/>
        </w:rPr>
        <w:lastRenderedPageBreak/>
        <w:t>I</w:t>
      </w:r>
      <w:r w:rsidRPr="00E75C76">
        <w:rPr>
          <w:rFonts w:ascii="Times New Roman" w:hAnsi="Times New Roman" w:cs="Times New Roman"/>
          <w:b/>
          <w:sz w:val="24"/>
          <w:szCs w:val="24"/>
        </w:rPr>
        <w:t>NTRODUCTION</w:t>
      </w:r>
    </w:p>
    <w:p w14:paraId="6C1114DD"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The Mississippian Meramec strata within the STACK (Sooner Trend of the Anadarko [Basin] in Canadian and Kingfisher counties) play of the eastern Anadarko Basin consists of deposits that represent a mixed carbonate-siliciclastic system. The Meramec of the STACK trend is, in part, the basinward equivalent of the carbonate and chert-rich Mississippian deposits of northern Oklahoma and southern Kansas, informally known as the “Mississippi Lime”. Unlike the Meramec, the “Mississippi Lime” reservoirs of the highly porous, weathered, and chert-replaced Mississippian section (Watney et al., 2001) have been the focus of extensive studies revealing the depositional history and spatial variability of the Mississippian limestone in north-central Oklahoma, as well as the depositional and diagenetic controls on reservoir properties (e.g., Peeler, 1985; Parham and Northcutt, 1993; Montgomery et al., 1998; Rogers, 2001; Watney, 2001; Mazzullo, 2011; Grammer et al., 2013; Cahill, 2014; </w:t>
      </w:r>
      <w:r>
        <w:rPr>
          <w:rFonts w:ascii="Times New Roman" w:hAnsi="Times New Roman" w:cs="Times New Roman"/>
          <w:sz w:val="24"/>
          <w:szCs w:val="24"/>
        </w:rPr>
        <w:t xml:space="preserve">LeBlanc, 2014; </w:t>
      </w:r>
      <w:r w:rsidRPr="00E75C76">
        <w:rPr>
          <w:rFonts w:ascii="Times New Roman" w:hAnsi="Times New Roman" w:cs="Times New Roman"/>
          <w:sz w:val="24"/>
          <w:szCs w:val="24"/>
        </w:rPr>
        <w:t xml:space="preserve">Doll, 2015; Mazzullo et al., 2016; Drummond, 2018; Price and Grammer, 2018; Wethington and Pranter, 2018; Lindzey et al., 2019; Turnini et al., 2019). A shift in depositional style is observed within the Mississippian strata from northern to central Oklahoma as the shallow-water carbonate system of northern Oklahoma transitions to a mixed carbonate and siliciclastic system of primarily siltstones and mudstones (Curtis and Champlin, 1959; Watney et al., 2001; Price et al., 2017; Drummond, 2018; Duarte; 2018; Hardwick, 2018; Hickman, 2018; </w:t>
      </w:r>
      <w:r>
        <w:rPr>
          <w:rFonts w:ascii="Times New Roman" w:hAnsi="Times New Roman" w:cs="Times New Roman"/>
          <w:sz w:val="24"/>
          <w:szCs w:val="24"/>
        </w:rPr>
        <w:t>Miller, 2019</w:t>
      </w:r>
      <w:r w:rsidRPr="00E75C76">
        <w:rPr>
          <w:rFonts w:ascii="Times New Roman" w:hAnsi="Times New Roman" w:cs="Times New Roman"/>
          <w:sz w:val="24"/>
          <w:szCs w:val="24"/>
        </w:rPr>
        <w:t>; Miller</w:t>
      </w:r>
      <w:r>
        <w:rPr>
          <w:rFonts w:ascii="Times New Roman" w:hAnsi="Times New Roman" w:cs="Times New Roman"/>
          <w:sz w:val="24"/>
          <w:szCs w:val="24"/>
        </w:rPr>
        <w:t xml:space="preserve"> et al.</w:t>
      </w:r>
      <w:r w:rsidRPr="00E75C76">
        <w:rPr>
          <w:rFonts w:ascii="Times New Roman" w:hAnsi="Times New Roman" w:cs="Times New Roman"/>
          <w:sz w:val="24"/>
          <w:szCs w:val="24"/>
        </w:rPr>
        <w:t>, 2019; Hardisty, 2019; Price et al., 2020) (Figure 1).</w:t>
      </w:r>
    </w:p>
    <w:p w14:paraId="665A4543"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Relative changes in sea</w:t>
      </w:r>
      <w:r>
        <w:rPr>
          <w:rFonts w:ascii="Times New Roman" w:hAnsi="Times New Roman" w:cs="Times New Roman"/>
          <w:sz w:val="24"/>
          <w:szCs w:val="24"/>
        </w:rPr>
        <w:t xml:space="preserve"> </w:t>
      </w:r>
      <w:r w:rsidRPr="00E75C76">
        <w:rPr>
          <w:rFonts w:ascii="Times New Roman" w:hAnsi="Times New Roman" w:cs="Times New Roman"/>
          <w:sz w:val="24"/>
          <w:szCs w:val="24"/>
        </w:rPr>
        <w:t>level is suggested to impart a strong control on reservoir quality as the stacked shallowing</w:t>
      </w:r>
      <w:r>
        <w:rPr>
          <w:rFonts w:ascii="Times New Roman" w:hAnsi="Times New Roman" w:cs="Times New Roman"/>
          <w:sz w:val="24"/>
          <w:szCs w:val="24"/>
        </w:rPr>
        <w:t>-</w:t>
      </w:r>
      <w:r w:rsidRPr="00E75C76">
        <w:rPr>
          <w:rFonts w:ascii="Times New Roman" w:hAnsi="Times New Roman" w:cs="Times New Roman"/>
          <w:sz w:val="24"/>
          <w:szCs w:val="24"/>
        </w:rPr>
        <w:t xml:space="preserve">upward parasequences </w:t>
      </w:r>
      <w:r>
        <w:rPr>
          <w:rFonts w:ascii="Times New Roman" w:hAnsi="Times New Roman" w:cs="Times New Roman"/>
          <w:sz w:val="24"/>
          <w:szCs w:val="24"/>
        </w:rPr>
        <w:t>transition</w:t>
      </w:r>
      <w:r w:rsidRPr="00E75C76">
        <w:rPr>
          <w:rFonts w:ascii="Times New Roman" w:hAnsi="Times New Roman" w:cs="Times New Roman"/>
          <w:sz w:val="24"/>
          <w:szCs w:val="24"/>
        </w:rPr>
        <w:t xml:space="preserve"> upward from </w:t>
      </w:r>
      <w:r>
        <w:rPr>
          <w:rFonts w:ascii="Times New Roman" w:hAnsi="Times New Roman" w:cs="Times New Roman"/>
          <w:sz w:val="24"/>
          <w:szCs w:val="24"/>
        </w:rPr>
        <w:t xml:space="preserve">those that exhibit </w:t>
      </w:r>
      <w:r w:rsidRPr="00E75C76">
        <w:rPr>
          <w:rFonts w:ascii="Times New Roman" w:hAnsi="Times New Roman" w:cs="Times New Roman"/>
          <w:sz w:val="24"/>
          <w:szCs w:val="24"/>
        </w:rPr>
        <w:t xml:space="preserve">more argillaceous siltstones to </w:t>
      </w:r>
      <w:r>
        <w:rPr>
          <w:rFonts w:ascii="Times New Roman" w:hAnsi="Times New Roman" w:cs="Times New Roman"/>
          <w:sz w:val="24"/>
          <w:szCs w:val="24"/>
        </w:rPr>
        <w:t xml:space="preserve">parasequences with </w:t>
      </w:r>
      <w:r w:rsidRPr="00E75C76">
        <w:rPr>
          <w:rFonts w:ascii="Times New Roman" w:hAnsi="Times New Roman" w:cs="Times New Roman"/>
          <w:sz w:val="24"/>
          <w:szCs w:val="24"/>
        </w:rPr>
        <w:t xml:space="preserve">more calcareous siltstones (Drummond, 2018; Duarte, 2018; Price et al. 2017; </w:t>
      </w:r>
      <w:r>
        <w:rPr>
          <w:rFonts w:ascii="Times New Roman" w:hAnsi="Times New Roman" w:cs="Times New Roman"/>
          <w:sz w:val="24"/>
          <w:szCs w:val="24"/>
        </w:rPr>
        <w:t>Miller, 2019; Miller et al., 2019</w:t>
      </w:r>
      <w:r w:rsidRPr="00E75C76">
        <w:rPr>
          <w:rFonts w:ascii="Times New Roman" w:hAnsi="Times New Roman" w:cs="Times New Roman"/>
          <w:sz w:val="24"/>
          <w:szCs w:val="24"/>
        </w:rPr>
        <w:t xml:space="preserve">; Hardisty 2019; Price et al., </w:t>
      </w:r>
      <w:r w:rsidRPr="00E75C76">
        <w:rPr>
          <w:rFonts w:ascii="Times New Roman" w:hAnsi="Times New Roman" w:cs="Times New Roman"/>
          <w:sz w:val="24"/>
          <w:szCs w:val="24"/>
        </w:rPr>
        <w:lastRenderedPageBreak/>
        <w:t>2020).</w:t>
      </w:r>
      <w:r>
        <w:rPr>
          <w:rFonts w:ascii="Times New Roman" w:hAnsi="Times New Roman" w:cs="Times New Roman"/>
          <w:sz w:val="24"/>
          <w:szCs w:val="24"/>
        </w:rPr>
        <w:t xml:space="preserve"> Hardwick (2018), Miller (2019), and Price et al. (2020) find t</w:t>
      </w:r>
      <w:r w:rsidRPr="00E75C76">
        <w:rPr>
          <w:rFonts w:ascii="Times New Roman" w:hAnsi="Times New Roman" w:cs="Times New Roman"/>
          <w:sz w:val="24"/>
          <w:szCs w:val="24"/>
        </w:rPr>
        <w:t>he quantity of calcite cement is considered to be a primary driver of reservoir quality in the Meramec, as more clay content inhibits calcite cementation and preserves some primary porosity</w:t>
      </w:r>
      <w:r>
        <w:rPr>
          <w:rFonts w:ascii="Times New Roman" w:hAnsi="Times New Roman" w:cs="Times New Roman"/>
          <w:sz w:val="24"/>
          <w:szCs w:val="24"/>
        </w:rPr>
        <w:t>.</w:t>
      </w:r>
      <w:r w:rsidRPr="00E75C76">
        <w:rPr>
          <w:rFonts w:ascii="Times New Roman" w:hAnsi="Times New Roman" w:cs="Times New Roman"/>
          <w:sz w:val="24"/>
          <w:szCs w:val="24"/>
        </w:rPr>
        <w:t xml:space="preserve"> </w:t>
      </w:r>
    </w:p>
    <w:p w14:paraId="30201998"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Drummond (2018) integrated core and well-log data to interpret shallowing-upward depositional cycles and establish </w:t>
      </w:r>
      <w:r>
        <w:rPr>
          <w:rFonts w:ascii="Times New Roman" w:hAnsi="Times New Roman" w:cs="Times New Roman"/>
          <w:sz w:val="24"/>
          <w:szCs w:val="24"/>
        </w:rPr>
        <w:t>a</w:t>
      </w:r>
      <w:r w:rsidRPr="00E75C76">
        <w:rPr>
          <w:rFonts w:ascii="Times New Roman" w:hAnsi="Times New Roman" w:cs="Times New Roman"/>
          <w:sz w:val="24"/>
          <w:szCs w:val="24"/>
        </w:rPr>
        <w:t xml:space="preserve"> regional stratigraphic framework of the Mississippian. Drummond (2018) incorporated machine learning and </w:t>
      </w:r>
      <w:r>
        <w:rPr>
          <w:rFonts w:ascii="Times New Roman" w:hAnsi="Times New Roman" w:cs="Times New Roman"/>
          <w:sz w:val="24"/>
          <w:szCs w:val="24"/>
        </w:rPr>
        <w:t>3D</w:t>
      </w:r>
      <w:r w:rsidRPr="00E75C76">
        <w:rPr>
          <w:rFonts w:ascii="Times New Roman" w:hAnsi="Times New Roman" w:cs="Times New Roman"/>
          <w:sz w:val="24"/>
          <w:szCs w:val="24"/>
        </w:rPr>
        <w:t xml:space="preserve"> reservoir modeling to illustrate the spatial distribution of Meramec lithologies and petrophysical properties.</w:t>
      </w:r>
    </w:p>
    <w:p w14:paraId="5A82B887"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There are few studies concerning seismic characterization of the Meramec in the eastern Anadarko Basin. Within the Mississippian limestone, Dowdell et al. (2013) combined pre-stack seismic inversion attributes with geometric attributes and horizontal image logs to identify sweet spots comprised of high porosity and high fracture density. Lindzey et al. (2019) and Turnini et al. (2019) demonstrated the spatial distribution of key lithologies and petrophysical properties within the Mississippian limestone through seismic-constrained </w:t>
      </w:r>
      <w:r>
        <w:rPr>
          <w:rFonts w:ascii="Times New Roman" w:hAnsi="Times New Roman" w:cs="Times New Roman"/>
          <w:sz w:val="24"/>
          <w:szCs w:val="24"/>
        </w:rPr>
        <w:t>3D</w:t>
      </w:r>
      <w:r w:rsidRPr="00E75C76">
        <w:rPr>
          <w:rFonts w:ascii="Times New Roman" w:hAnsi="Times New Roman" w:cs="Times New Roman"/>
          <w:sz w:val="24"/>
          <w:szCs w:val="24"/>
        </w:rPr>
        <w:t xml:space="preserve"> reservoir modeling techniques. Both Lindzey et al. (2019) and Turnini et al. (2019) observed that anomalously low impedance values indicated tripolitic chert within the reservoir and therefore used the impedance data as a constraint in the </w:t>
      </w:r>
      <w:r>
        <w:rPr>
          <w:rFonts w:ascii="Times New Roman" w:hAnsi="Times New Roman" w:cs="Times New Roman"/>
          <w:sz w:val="24"/>
          <w:szCs w:val="24"/>
        </w:rPr>
        <w:t>3D</w:t>
      </w:r>
      <w:r w:rsidRPr="00E75C76">
        <w:rPr>
          <w:rFonts w:ascii="Times New Roman" w:hAnsi="Times New Roman" w:cs="Times New Roman"/>
          <w:sz w:val="24"/>
          <w:szCs w:val="24"/>
        </w:rPr>
        <w:t xml:space="preserve"> reservoir modeling. Relationships between key reservoir properties and the production success of wells drilled in the areas were also analyzed in their studies (Lindzey et al., 2019; Turnini et al., 2019).</w:t>
      </w:r>
    </w:p>
    <w:p w14:paraId="63EE0ADA"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 This study further investigates the variability of key lithologies, rock types, and petrophysical and geomechanical properties of the Mississippian strata within the STACK trend.  Specifically, this study addresses the following questions:</w:t>
      </w:r>
    </w:p>
    <w:p w14:paraId="3E23380B" w14:textId="77777777" w:rsidR="00D948FE" w:rsidRPr="00E75C76" w:rsidRDefault="00D948FE" w:rsidP="00D948FE">
      <w:pPr>
        <w:pStyle w:val="ListParagraph"/>
        <w:numPr>
          <w:ilvl w:val="0"/>
          <w:numId w:val="2"/>
        </w:num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What is the seismic expression of stratigraphic (parasequences) and structural features?</w:t>
      </w:r>
    </w:p>
    <w:p w14:paraId="6829D895" w14:textId="77777777" w:rsidR="00D948FE" w:rsidRPr="00E75C76" w:rsidRDefault="00D948FE" w:rsidP="00D948FE">
      <w:pPr>
        <w:pStyle w:val="ListParagraph"/>
        <w:numPr>
          <w:ilvl w:val="0"/>
          <w:numId w:val="2"/>
        </w:numPr>
        <w:spacing w:after="0" w:line="480" w:lineRule="auto"/>
        <w:rPr>
          <w:rFonts w:ascii="Times New Roman" w:hAnsi="Times New Roman" w:cs="Times New Roman"/>
          <w:sz w:val="24"/>
          <w:szCs w:val="24"/>
        </w:rPr>
      </w:pPr>
      <w:r w:rsidRPr="00E75C76">
        <w:rPr>
          <w:rFonts w:ascii="Times New Roman" w:hAnsi="Times New Roman" w:cs="Times New Roman"/>
          <w:sz w:val="24"/>
          <w:szCs w:val="24"/>
        </w:rPr>
        <w:lastRenderedPageBreak/>
        <w:t>What is the spatial variability of lithologies, rock types, petrophysical properties, and geomechanical properties?</w:t>
      </w:r>
    </w:p>
    <w:p w14:paraId="2866BD1F" w14:textId="77777777" w:rsidR="00D948FE" w:rsidRPr="00E75C76" w:rsidRDefault="00D948FE" w:rsidP="00D948FE">
      <w:pPr>
        <w:pStyle w:val="ListParagraph"/>
        <w:numPr>
          <w:ilvl w:val="0"/>
          <w:numId w:val="2"/>
        </w:num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How do petrophysical and geomechanical properties relate to lithologies, rock types, stratigraphy, and reservoir performance?</w:t>
      </w:r>
    </w:p>
    <w:p w14:paraId="087224CF"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The study area is within Kingfisher County, Oklahoma (Figure 2). Data include a 36 mi</w:t>
      </w:r>
      <w:r w:rsidRPr="00E75C76">
        <w:rPr>
          <w:rFonts w:ascii="Times New Roman" w:hAnsi="Times New Roman" w:cs="Times New Roman"/>
          <w:sz w:val="24"/>
          <w:szCs w:val="24"/>
          <w:vertAlign w:val="superscript"/>
        </w:rPr>
        <w:t>2</w:t>
      </w:r>
      <w:r w:rsidRPr="00E75C76">
        <w:rPr>
          <w:rFonts w:ascii="Times New Roman" w:hAnsi="Times New Roman" w:cs="Times New Roman"/>
          <w:sz w:val="24"/>
          <w:szCs w:val="24"/>
        </w:rPr>
        <w:t xml:space="preserve"> (58 km</w:t>
      </w:r>
      <w:r w:rsidRPr="00E75C76">
        <w:rPr>
          <w:rFonts w:ascii="Times New Roman" w:hAnsi="Times New Roman" w:cs="Times New Roman"/>
          <w:sz w:val="24"/>
          <w:szCs w:val="24"/>
          <w:vertAlign w:val="superscript"/>
        </w:rPr>
        <w:t>2</w:t>
      </w:r>
      <w:r w:rsidRPr="00E75C76">
        <w:rPr>
          <w:rFonts w:ascii="Times New Roman" w:hAnsi="Times New Roman" w:cs="Times New Roman"/>
          <w:sz w:val="24"/>
          <w:szCs w:val="24"/>
        </w:rPr>
        <w:t xml:space="preserve">) </w:t>
      </w:r>
      <w:r>
        <w:rPr>
          <w:rFonts w:ascii="Times New Roman" w:hAnsi="Times New Roman" w:cs="Times New Roman"/>
          <w:sz w:val="24"/>
          <w:szCs w:val="24"/>
        </w:rPr>
        <w:t>3D</w:t>
      </w:r>
      <w:r w:rsidRPr="00E75C76">
        <w:rPr>
          <w:rFonts w:ascii="Times New Roman" w:hAnsi="Times New Roman" w:cs="Times New Roman"/>
          <w:sz w:val="24"/>
          <w:szCs w:val="24"/>
        </w:rPr>
        <w:t xml:space="preserve"> post-stack time-migrated seismic volume, </w:t>
      </w:r>
      <w:r>
        <w:rPr>
          <w:rFonts w:ascii="Times New Roman" w:hAnsi="Times New Roman" w:cs="Times New Roman"/>
          <w:sz w:val="24"/>
          <w:szCs w:val="24"/>
        </w:rPr>
        <w:t xml:space="preserve">time-migrated </w:t>
      </w:r>
      <w:r w:rsidRPr="00E75C76">
        <w:rPr>
          <w:rFonts w:ascii="Times New Roman" w:hAnsi="Times New Roman" w:cs="Times New Roman"/>
          <w:sz w:val="24"/>
          <w:szCs w:val="24"/>
        </w:rPr>
        <w:t>conditioned pre-stack seismic angle gathers, 86 wells (include logs for 44 vertical and 42 horizontal wells), core descriptions, x-ray diffraction (XRD) data, x-ray fluorescence (XRF) data, and thin-section photomicrographs. This study uses core information</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Well A, </w:t>
      </w:r>
      <w:r w:rsidRPr="00E75C76">
        <w:rPr>
          <w:rFonts w:ascii="Times New Roman" w:eastAsia="Times New Roman" w:hAnsi="Times New Roman" w:cs="Times New Roman"/>
          <w:sz w:val="24"/>
          <w:szCs w:val="24"/>
        </w:rPr>
        <w:t>the Gulf Oi</w:t>
      </w:r>
      <w:r>
        <w:rPr>
          <w:rFonts w:ascii="Times New Roman" w:eastAsia="Times New Roman" w:hAnsi="Times New Roman" w:cs="Times New Roman"/>
          <w:sz w:val="24"/>
          <w:szCs w:val="24"/>
        </w:rPr>
        <w:t xml:space="preserve">l Corp 1-23 Shaffer, </w:t>
      </w:r>
      <w:r w:rsidRPr="00E75C76">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the Gulf Oil Corp 1-25 Rohling) </w:t>
      </w:r>
      <w:r w:rsidRPr="00E75C76">
        <w:rPr>
          <w:rFonts w:ascii="Times New Roman" w:hAnsi="Times New Roman" w:cs="Times New Roman"/>
          <w:sz w:val="24"/>
          <w:szCs w:val="24"/>
        </w:rPr>
        <w:t xml:space="preserve">and well-log and </w:t>
      </w:r>
      <w:r>
        <w:rPr>
          <w:rFonts w:ascii="Times New Roman" w:hAnsi="Times New Roman" w:cs="Times New Roman"/>
          <w:sz w:val="24"/>
          <w:szCs w:val="24"/>
        </w:rPr>
        <w:t>3D</w:t>
      </w:r>
      <w:r w:rsidRPr="00E75C76">
        <w:rPr>
          <w:rFonts w:ascii="Times New Roman" w:hAnsi="Times New Roman" w:cs="Times New Roman"/>
          <w:sz w:val="24"/>
          <w:szCs w:val="24"/>
        </w:rPr>
        <w:t xml:space="preserve"> seismic data to interpret the stratigraphic and structural framework of the areas. </w:t>
      </w:r>
      <w:r>
        <w:rPr>
          <w:rFonts w:ascii="Times New Roman" w:hAnsi="Times New Roman" w:cs="Times New Roman"/>
          <w:sz w:val="24"/>
          <w:szCs w:val="24"/>
        </w:rPr>
        <w:t xml:space="preserve">Well A is located outside of the model boundary. </w:t>
      </w:r>
      <w:r w:rsidRPr="00E75C76">
        <w:rPr>
          <w:rFonts w:ascii="Times New Roman" w:hAnsi="Times New Roman" w:cs="Times New Roman"/>
          <w:sz w:val="24"/>
          <w:szCs w:val="24"/>
        </w:rPr>
        <w:t xml:space="preserve">A pre-stack seismic inversion using conditioned angle gathers yielded </w:t>
      </w:r>
      <w:r>
        <w:rPr>
          <w:rFonts w:ascii="Times New Roman" w:hAnsi="Times New Roman" w:cs="Times New Roman"/>
          <w:sz w:val="24"/>
          <w:szCs w:val="24"/>
        </w:rPr>
        <w:t>P-impedance</w:t>
      </w:r>
      <w:r w:rsidRPr="00E75C76">
        <w:rPr>
          <w:rFonts w:ascii="Times New Roman" w:hAnsi="Times New Roman" w:cs="Times New Roman"/>
          <w:sz w:val="24"/>
          <w:szCs w:val="24"/>
        </w:rPr>
        <w:t xml:space="preserve">, </w:t>
      </w:r>
      <w:r>
        <w:rPr>
          <w:rFonts w:ascii="Times New Roman" w:hAnsi="Times New Roman" w:cs="Times New Roman"/>
          <w:sz w:val="24"/>
          <w:szCs w:val="24"/>
        </w:rPr>
        <w:t>S-impedance</w:t>
      </w:r>
      <w:r w:rsidRPr="00E75C76">
        <w:rPr>
          <w:rFonts w:ascii="Times New Roman" w:hAnsi="Times New Roman" w:cs="Times New Roman"/>
          <w:sz w:val="24"/>
          <w:szCs w:val="24"/>
        </w:rPr>
        <w:t xml:space="preserve">, and density attributes. The seismic attributes were used as a constraint to model lithologies, rock types, and petrophysical and geomechanical properties. The relationships between reservoir properties and production is also examined. </w:t>
      </w:r>
    </w:p>
    <w:p w14:paraId="1DFAC4CF" w14:textId="77777777" w:rsidR="00D948FE" w:rsidRPr="00E75C76" w:rsidRDefault="00D948FE" w:rsidP="00D948FE">
      <w:pPr>
        <w:spacing w:after="0" w:line="480" w:lineRule="auto"/>
        <w:rPr>
          <w:rFonts w:ascii="Times New Roman" w:hAnsi="Times New Roman" w:cs="Times New Roman"/>
          <w:sz w:val="24"/>
          <w:szCs w:val="24"/>
        </w:rPr>
      </w:pPr>
    </w:p>
    <w:p w14:paraId="385D0819"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GEOLOGIC SETTING</w:t>
      </w:r>
    </w:p>
    <w:p w14:paraId="640C8B2F"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ab/>
        <w:t>The Anadarko Basin is a northwest trending, asymmetrical foreland basin covering western Oklahoma, northern Texas Panhandle, southern Kansas, and southwestern Colorado (Beebe, 1959). The basin is bounded to the east by the Nemaha</w:t>
      </w:r>
      <w:r>
        <w:rPr>
          <w:rFonts w:ascii="Times New Roman" w:hAnsi="Times New Roman" w:cs="Times New Roman"/>
          <w:sz w:val="24"/>
          <w:szCs w:val="24"/>
        </w:rPr>
        <w:t xml:space="preserve"> uplift,</w:t>
      </w:r>
      <w:r w:rsidRPr="00E75C76">
        <w:rPr>
          <w:rFonts w:ascii="Times New Roman" w:hAnsi="Times New Roman" w:cs="Times New Roman"/>
          <w:sz w:val="24"/>
          <w:szCs w:val="24"/>
        </w:rPr>
        <w:t xml:space="preserve"> the Arbuckle uplift and</w:t>
      </w:r>
      <w:r>
        <w:rPr>
          <w:rFonts w:ascii="Times New Roman" w:hAnsi="Times New Roman" w:cs="Times New Roman"/>
          <w:sz w:val="24"/>
          <w:szCs w:val="24"/>
        </w:rPr>
        <w:t xml:space="preserve"> Ardmore Basin to the southeast,</w:t>
      </w:r>
      <w:r w:rsidRPr="00E75C76">
        <w:rPr>
          <w:rFonts w:ascii="Times New Roman" w:hAnsi="Times New Roman" w:cs="Times New Roman"/>
          <w:sz w:val="24"/>
          <w:szCs w:val="24"/>
        </w:rPr>
        <w:t xml:space="preserve"> the Wichi</w:t>
      </w:r>
      <w:r>
        <w:rPr>
          <w:rFonts w:ascii="Times New Roman" w:hAnsi="Times New Roman" w:cs="Times New Roman"/>
          <w:sz w:val="24"/>
          <w:szCs w:val="24"/>
        </w:rPr>
        <w:t>ta-Amarillo uplift to the south,</w:t>
      </w:r>
      <w:r w:rsidRPr="00E75C76">
        <w:rPr>
          <w:rFonts w:ascii="Times New Roman" w:hAnsi="Times New Roman" w:cs="Times New Roman"/>
          <w:sz w:val="24"/>
          <w:szCs w:val="24"/>
        </w:rPr>
        <w:t xml:space="preserve"> and the Hugoton Embayment to the northwest. The basin shallows northward and grades into a broad shelf onto the Central Kansas uplift (</w:t>
      </w:r>
      <w:r>
        <w:rPr>
          <w:rFonts w:ascii="Times New Roman" w:hAnsi="Times New Roman" w:cs="Times New Roman"/>
          <w:sz w:val="24"/>
          <w:szCs w:val="24"/>
        </w:rPr>
        <w:t xml:space="preserve">Perry, 1990; </w:t>
      </w:r>
      <w:r w:rsidRPr="00E75C76">
        <w:rPr>
          <w:rFonts w:ascii="Times New Roman" w:hAnsi="Times New Roman" w:cs="Times New Roman"/>
          <w:sz w:val="24"/>
          <w:szCs w:val="24"/>
        </w:rPr>
        <w:t xml:space="preserve">Ball et al., 1991; Gallardo and Blackwell, 1999). The </w:t>
      </w:r>
      <w:r w:rsidRPr="00E75C76">
        <w:rPr>
          <w:rFonts w:ascii="Times New Roman" w:hAnsi="Times New Roman" w:cs="Times New Roman"/>
          <w:sz w:val="24"/>
          <w:szCs w:val="24"/>
        </w:rPr>
        <w:lastRenderedPageBreak/>
        <w:t>Anadarko Basin contains more than 40,000 ft (12,000 m) of Cambrian through Permian sediments at its deepest point along the southern margin at the edge of the Wichita Mountains uplift (Ham and Wilson, 1967).</w:t>
      </w:r>
    </w:p>
    <w:p w14:paraId="50447DB0"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The paleolatitude of the study area during the Mississippian is between 20º-30º S, placing it in a tropical to subtropical environment </w:t>
      </w:r>
      <w:r>
        <w:rPr>
          <w:rFonts w:ascii="Times New Roman" w:hAnsi="Times New Roman" w:cs="Times New Roman"/>
          <w:sz w:val="24"/>
          <w:szCs w:val="24"/>
        </w:rPr>
        <w:t>(Appendix-A1)</w:t>
      </w:r>
      <w:r w:rsidRPr="00E75C76">
        <w:rPr>
          <w:rFonts w:ascii="Times New Roman" w:hAnsi="Times New Roman" w:cs="Times New Roman"/>
          <w:sz w:val="24"/>
          <w:szCs w:val="24"/>
        </w:rPr>
        <w:t xml:space="preserve"> (Curtis and Champlin, 1959; Witzke, 1990; Mazzulo et al., 2016). A warm, shallow sea covered the North American craton during this time, depositing Mississippian sediments throughout the continent. Sediments deposited within the Anadarko Basin occurred on a low-relief ramp and are described as a system of low inclination (less than 1º) deep-water prograding clinoforms with strike-elongate in a northeast-southwest orientation and progradation of the clinoforms to the southeast along the ramp (Curtis and Champlin, 1959). The Mississippian deposits represent an interval of transition from Early Paleozoic greenhouse conditions with lower amplitude sea-level changes to Late Paleozoic icehouse conditions with higher amplitude sea-level fluctuations (Read, 1995; Haq and Schutter, 2008).</w:t>
      </w:r>
    </w:p>
    <w:p w14:paraId="6E96AD30" w14:textId="77777777" w:rsidR="00D948FE" w:rsidRPr="004310DA"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The Mississippian interval represents a single 2</w:t>
      </w:r>
      <w:r w:rsidRPr="00E75C76">
        <w:rPr>
          <w:rFonts w:ascii="Times New Roman" w:hAnsi="Times New Roman" w:cs="Times New Roman"/>
          <w:sz w:val="24"/>
          <w:szCs w:val="24"/>
          <w:vertAlign w:val="superscript"/>
        </w:rPr>
        <w:t>nd</w:t>
      </w:r>
      <w:r w:rsidRPr="00E75C76">
        <w:rPr>
          <w:rFonts w:ascii="Times New Roman" w:hAnsi="Times New Roman" w:cs="Times New Roman"/>
          <w:sz w:val="24"/>
          <w:szCs w:val="24"/>
        </w:rPr>
        <w:t xml:space="preserve">-order transgressive-regressive cycle bounded by a basal disconformity (Comer, 1991) and an overlying unconformity associated with the Kaskaskia Sequence (Sloss, 1963). It also includes several higher order transgressive-regressive cycles. In this part of the mid-continent, the Mississippian Period is divided into four series, in ascending order, Kinderhookian, Osagean, Meramecian, and Chesterian (Curtis and Champlin, 1959; Northcutt et al., 2001). The </w:t>
      </w:r>
      <w:r>
        <w:rPr>
          <w:rFonts w:ascii="Times New Roman" w:hAnsi="Times New Roman" w:cs="Times New Roman"/>
          <w:sz w:val="24"/>
          <w:szCs w:val="24"/>
        </w:rPr>
        <w:t xml:space="preserve">lithologies within the </w:t>
      </w:r>
      <w:r w:rsidRPr="00E75C76">
        <w:rPr>
          <w:rFonts w:ascii="Times New Roman" w:hAnsi="Times New Roman" w:cs="Times New Roman"/>
          <w:sz w:val="24"/>
          <w:szCs w:val="24"/>
        </w:rPr>
        <w:t xml:space="preserve">Meramecian strata </w:t>
      </w:r>
      <w:r>
        <w:rPr>
          <w:rFonts w:ascii="Times New Roman" w:hAnsi="Times New Roman" w:cs="Times New Roman"/>
          <w:sz w:val="24"/>
          <w:szCs w:val="24"/>
        </w:rPr>
        <w:t xml:space="preserve">in the study area have been defined by several previous studies as primarily </w:t>
      </w:r>
      <w:r w:rsidRPr="00E75C76">
        <w:rPr>
          <w:rFonts w:ascii="Times New Roman" w:hAnsi="Times New Roman" w:cs="Times New Roman"/>
          <w:sz w:val="24"/>
          <w:szCs w:val="24"/>
        </w:rPr>
        <w:t>mudstones, calcareous to argilliaceous siltstones and some very fine sandstones (Drummond, 2018; Duarte</w:t>
      </w:r>
      <w:r>
        <w:rPr>
          <w:rFonts w:ascii="Times New Roman" w:hAnsi="Times New Roman" w:cs="Times New Roman"/>
          <w:sz w:val="24"/>
          <w:szCs w:val="24"/>
        </w:rPr>
        <w:t xml:space="preserve">, 2018; Hickman, 2018; </w:t>
      </w:r>
      <w:r w:rsidRPr="00E75C76">
        <w:rPr>
          <w:rFonts w:ascii="Times New Roman" w:hAnsi="Times New Roman" w:cs="Times New Roman"/>
          <w:sz w:val="24"/>
          <w:szCs w:val="24"/>
        </w:rPr>
        <w:t>Miller, 2019</w:t>
      </w:r>
      <w:r>
        <w:rPr>
          <w:rFonts w:ascii="Times New Roman" w:hAnsi="Times New Roman" w:cs="Times New Roman"/>
          <w:sz w:val="24"/>
          <w:szCs w:val="24"/>
        </w:rPr>
        <w:t>; Miller et al., 2019;</w:t>
      </w:r>
      <w:r w:rsidRPr="00E75C76">
        <w:rPr>
          <w:rFonts w:ascii="Times New Roman" w:hAnsi="Times New Roman" w:cs="Times New Roman"/>
          <w:sz w:val="24"/>
          <w:szCs w:val="24"/>
        </w:rPr>
        <w:t xml:space="preserve"> Price et al., 2020)</w:t>
      </w:r>
      <w:r>
        <w:rPr>
          <w:rFonts w:ascii="Times New Roman" w:hAnsi="Times New Roman" w:cs="Times New Roman"/>
          <w:sz w:val="24"/>
          <w:szCs w:val="24"/>
        </w:rPr>
        <w:t>.</w:t>
      </w:r>
    </w:p>
    <w:p w14:paraId="257F0BFE" w14:textId="77777777" w:rsidR="00D948FE" w:rsidRPr="00E75C76" w:rsidRDefault="00D948FE" w:rsidP="00D948FE">
      <w:pPr>
        <w:spacing w:after="0" w:line="480" w:lineRule="auto"/>
        <w:rPr>
          <w:rFonts w:ascii="Times New Roman" w:eastAsia="TimesNewRoman" w:hAnsi="Times New Roman" w:cs="Times New Roman"/>
          <w:sz w:val="24"/>
          <w:szCs w:val="24"/>
        </w:rPr>
      </w:pPr>
      <w:r w:rsidRPr="00E75C76">
        <w:rPr>
          <w:rFonts w:ascii="Times New Roman" w:hAnsi="Times New Roman" w:cs="Times New Roman"/>
          <w:b/>
          <w:sz w:val="24"/>
          <w:szCs w:val="24"/>
        </w:rPr>
        <w:lastRenderedPageBreak/>
        <w:t>METHODS</w:t>
      </w:r>
    </w:p>
    <w:p w14:paraId="15FBC500" w14:textId="77777777" w:rsidR="00D948FE" w:rsidRPr="00E75C76" w:rsidRDefault="00D948FE" w:rsidP="00D948FE">
      <w:pPr>
        <w:autoSpaceDE w:val="0"/>
        <w:autoSpaceDN w:val="0"/>
        <w:adjustRightInd w:val="0"/>
        <w:spacing w:after="0" w:line="480" w:lineRule="auto"/>
        <w:rPr>
          <w:rFonts w:ascii="Times New Roman" w:eastAsia="TimesNewRoman" w:hAnsi="Times New Roman" w:cs="Times New Roman"/>
          <w:b/>
          <w:bCs/>
          <w:sz w:val="24"/>
          <w:szCs w:val="24"/>
        </w:rPr>
      </w:pPr>
      <w:r w:rsidRPr="00E75C76">
        <w:rPr>
          <w:rFonts w:ascii="Times New Roman" w:eastAsia="TimesNewRoman" w:hAnsi="Times New Roman" w:cs="Times New Roman"/>
          <w:b/>
          <w:bCs/>
          <w:sz w:val="24"/>
          <w:szCs w:val="24"/>
        </w:rPr>
        <w:t>Lithology and Rock-Type Definition and Classification</w:t>
      </w:r>
    </w:p>
    <w:p w14:paraId="76C14D8A" w14:textId="77777777" w:rsidR="00D948FE" w:rsidRPr="00E75C76" w:rsidRDefault="00D948FE" w:rsidP="00D948FE">
      <w:pPr>
        <w:spacing w:after="0" w:line="480" w:lineRule="auto"/>
        <w:ind w:firstLine="720"/>
        <w:rPr>
          <w:rFonts w:ascii="Times New Roman" w:hAnsi="Times New Roman" w:cs="Times New Roman"/>
          <w:sz w:val="24"/>
          <w:szCs w:val="24"/>
        </w:rPr>
      </w:pPr>
      <w:r w:rsidRPr="00F427F9">
        <w:rPr>
          <w:rFonts w:ascii="Times New Roman" w:eastAsia="TimesNew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073ADBEA" wp14:editId="78135A00">
                <wp:simplePos x="0" y="0"/>
                <wp:positionH relativeFrom="margin">
                  <wp:align>right</wp:align>
                </wp:positionH>
                <wp:positionV relativeFrom="paragraph">
                  <wp:posOffset>4951068</wp:posOffset>
                </wp:positionV>
                <wp:extent cx="349250" cy="274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74955"/>
                        </a:xfrm>
                        <a:prstGeom prst="rect">
                          <a:avLst/>
                        </a:prstGeom>
                        <a:solidFill>
                          <a:srgbClr val="FFFFFF"/>
                        </a:solidFill>
                        <a:ln w="9525">
                          <a:noFill/>
                          <a:miter lim="800000"/>
                          <a:headEnd/>
                          <a:tailEnd/>
                        </a:ln>
                      </wps:spPr>
                      <wps:txbx>
                        <w:txbxContent>
                          <w:p w14:paraId="1B2E25D9" w14:textId="77777777" w:rsidR="00D948FE" w:rsidRDefault="00D948FE" w:rsidP="00D948FE">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3ADBEA" id="_x0000_t202" coordsize="21600,21600" o:spt="202" path="m,l,21600r21600,l21600,xe">
                <v:stroke joinstyle="miter"/>
                <v:path gradientshapeok="t" o:connecttype="rect"/>
              </v:shapetype>
              <v:shape id="Text Box 2" o:spid="_x0000_s1026" type="#_x0000_t202" style="position:absolute;left:0;text-align:left;margin-left:-23.7pt;margin-top:389.85pt;width:27.5pt;height:21.6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" stroked="f">
                <v:textbox>
                  <w:txbxContent>
                    <w:p w14:paraId="1B2E25D9" w14:textId="77777777" w:rsidR="00D948FE" w:rsidRDefault="00D948FE" w:rsidP="00D948FE">
                      <w:r>
                        <w:t>(3)</w:t>
                      </w:r>
                    </w:p>
                  </w:txbxContent>
                </v:textbox>
                <w10:wrap anchorx="margin"/>
              </v:shape>
            </w:pict>
          </mc:Fallback>
        </mc:AlternateContent>
      </w:r>
      <w:r>
        <w:rPr>
          <w:rFonts w:ascii="Cambria Math" w:hAnsi="Cambria Math" w:cs="Times New Roman"/>
          <w:i/>
          <w:noProof/>
          <w:sz w:val="24"/>
          <w:szCs w:val="24"/>
        </w:rPr>
        <mc:AlternateContent>
          <mc:Choice Requires="wps">
            <w:drawing>
              <wp:anchor distT="45720" distB="45720" distL="114300" distR="114300" simplePos="0" relativeHeight="251660288" behindDoc="0" locked="0" layoutInCell="1" allowOverlap="1" wp14:anchorId="1970A278" wp14:editId="1115A1CD">
                <wp:simplePos x="0" y="0"/>
                <wp:positionH relativeFrom="margin">
                  <wp:align>right</wp:align>
                </wp:positionH>
                <wp:positionV relativeFrom="paragraph">
                  <wp:posOffset>4408777</wp:posOffset>
                </wp:positionV>
                <wp:extent cx="371475" cy="281940"/>
                <wp:effectExtent l="0" t="0" r="952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81940"/>
                        </a:xfrm>
                        <a:prstGeom prst="rect">
                          <a:avLst/>
                        </a:prstGeom>
                        <a:solidFill>
                          <a:srgbClr val="FFFFFF"/>
                        </a:solidFill>
                        <a:ln w="9525">
                          <a:noFill/>
                          <a:miter lim="800000"/>
                          <a:headEnd/>
                          <a:tailEnd/>
                        </a:ln>
                      </wps:spPr>
                      <wps:txbx>
                        <w:txbxContent>
                          <w:p w14:paraId="546EB538" w14:textId="77777777" w:rsidR="00D948FE" w:rsidRPr="00496360" w:rsidRDefault="00D948FE" w:rsidP="00D948FE">
                            <w:pPr>
                              <w:rPr>
                                <w:rFonts w:ascii="Times New Roman" w:hAnsi="Times New Roman" w:cs="Times New Roman"/>
                                <w:sz w:val="24"/>
                                <w:szCs w:val="24"/>
                              </w:rPr>
                            </w:pPr>
                            <w:r w:rsidRPr="00496360">
                              <w:rPr>
                                <w:rFonts w:ascii="Times New Roman" w:hAnsi="Times New Roman" w:cs="Times New Roman"/>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A278" id="_x0000_s1027" type="#_x0000_t202" style="position:absolute;left:0;text-align:left;margin-left:-21.95pt;margin-top:347.15pt;width:29.25pt;height:22.2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" stroked="f">
                <v:textbox>
                  <w:txbxContent>
                    <w:p w14:paraId="546EB538" w14:textId="77777777" w:rsidR="00D948FE" w:rsidRPr="00496360" w:rsidRDefault="00D948FE" w:rsidP="00D948FE">
                      <w:pPr>
                        <w:rPr>
                          <w:rFonts w:ascii="Times New Roman" w:hAnsi="Times New Roman" w:cs="Times New Roman"/>
                          <w:sz w:val="24"/>
                          <w:szCs w:val="24"/>
                        </w:rPr>
                      </w:pPr>
                      <w:r w:rsidRPr="00496360">
                        <w:rPr>
                          <w:rFonts w:ascii="Times New Roman" w:hAnsi="Times New Roman" w:cs="Times New Roman"/>
                          <w:sz w:val="24"/>
                          <w:szCs w:val="24"/>
                        </w:rPr>
                        <w:t>(2)</w:t>
                      </w:r>
                    </w:p>
                  </w:txbxContent>
                </v:textbox>
                <w10:wrap anchorx="margin"/>
              </v:shape>
            </w:pict>
          </mc:Fallback>
        </mc:AlternateContent>
      </w:r>
      <w:r>
        <w:rPr>
          <w:rFonts w:ascii="Cambria Math" w:hAnsi="Cambria Math" w:cs="Times New Roman"/>
          <w:i/>
          <w:noProof/>
          <w:sz w:val="24"/>
          <w:szCs w:val="24"/>
        </w:rPr>
        <mc:AlternateContent>
          <mc:Choice Requires="wps">
            <w:drawing>
              <wp:anchor distT="45720" distB="45720" distL="114300" distR="114300" simplePos="0" relativeHeight="251659264" behindDoc="0" locked="0" layoutInCell="1" allowOverlap="1" wp14:anchorId="05ECDE8A" wp14:editId="6B21F5EC">
                <wp:simplePos x="0" y="0"/>
                <wp:positionH relativeFrom="margin">
                  <wp:posOffset>5562600</wp:posOffset>
                </wp:positionH>
                <wp:positionV relativeFrom="paragraph">
                  <wp:posOffset>3887801</wp:posOffset>
                </wp:positionV>
                <wp:extent cx="379095" cy="281940"/>
                <wp:effectExtent l="0" t="0" r="1905"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1940"/>
                        </a:xfrm>
                        <a:prstGeom prst="rect">
                          <a:avLst/>
                        </a:prstGeom>
                        <a:solidFill>
                          <a:srgbClr val="FFFFFF"/>
                        </a:solidFill>
                        <a:ln w="9525">
                          <a:noFill/>
                          <a:miter lim="800000"/>
                          <a:headEnd/>
                          <a:tailEnd/>
                        </a:ln>
                      </wps:spPr>
                      <wps:txbx>
                        <w:txbxContent>
                          <w:p w14:paraId="362B18CF" w14:textId="77777777" w:rsidR="00D948FE" w:rsidRPr="00496360" w:rsidRDefault="00D948FE" w:rsidP="00D948FE">
                            <w:pPr>
                              <w:rPr>
                                <w:rFonts w:ascii="Times New Roman" w:hAnsi="Times New Roman" w:cs="Times New Roman"/>
                                <w:sz w:val="24"/>
                                <w:szCs w:val="24"/>
                              </w:rPr>
                            </w:pPr>
                            <w:r w:rsidRPr="00496360">
                              <w:rPr>
                                <w:rFonts w:ascii="Times New Roman" w:hAnsi="Times New Roman" w:cs="Times New Roman"/>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CDE8A" id="_x0000_s1028" type="#_x0000_t202" style="position:absolute;left:0;text-align:left;margin-left:438pt;margin-top:306.15pt;width:29.85pt;height:22.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" stroked="f">
                <v:textbox>
                  <w:txbxContent>
                    <w:p w14:paraId="362B18CF" w14:textId="77777777" w:rsidR="00D948FE" w:rsidRPr="00496360" w:rsidRDefault="00D948FE" w:rsidP="00D948FE">
                      <w:pPr>
                        <w:rPr>
                          <w:rFonts w:ascii="Times New Roman" w:hAnsi="Times New Roman" w:cs="Times New Roman"/>
                          <w:sz w:val="24"/>
                          <w:szCs w:val="24"/>
                        </w:rPr>
                      </w:pPr>
                      <w:r w:rsidRPr="00496360">
                        <w:rPr>
                          <w:rFonts w:ascii="Times New Roman" w:hAnsi="Times New Roman" w:cs="Times New Roman"/>
                          <w:sz w:val="24"/>
                          <w:szCs w:val="24"/>
                        </w:rPr>
                        <w:t>(1)</w:t>
                      </w:r>
                    </w:p>
                  </w:txbxContent>
                </v:textbox>
                <w10:wrap anchorx="margin"/>
              </v:shape>
            </w:pict>
          </mc:Fallback>
        </mc:AlternateContent>
      </w:r>
      <w:r w:rsidRPr="00E75C76">
        <w:rPr>
          <w:rFonts w:ascii="Times New Roman" w:eastAsia="Times New Roman" w:hAnsi="Times New Roman" w:cs="Times New Roman"/>
          <w:sz w:val="24"/>
          <w:szCs w:val="24"/>
        </w:rPr>
        <w:t>Mississippian Meramec lithologies includ</w:t>
      </w:r>
      <w:r>
        <w:rPr>
          <w:rFonts w:ascii="Times New Roman" w:eastAsia="Times New Roman" w:hAnsi="Times New Roman" w:cs="Times New Roman"/>
          <w:sz w:val="24"/>
          <w:szCs w:val="24"/>
        </w:rPr>
        <w:t>e</w:t>
      </w:r>
      <w:r w:rsidRPr="00E75C76">
        <w:rPr>
          <w:rFonts w:ascii="Times New Roman" w:eastAsia="Times New Roman" w:hAnsi="Times New Roman" w:cs="Times New Roman"/>
          <w:sz w:val="24"/>
          <w:szCs w:val="24"/>
        </w:rPr>
        <w:t xml:space="preserve"> mudstone</w:t>
      </w:r>
      <w:r>
        <w:rPr>
          <w:rFonts w:ascii="Times New Roman" w:eastAsia="Times New Roman" w:hAnsi="Times New Roman" w:cs="Times New Roman"/>
          <w:sz w:val="24"/>
          <w:szCs w:val="24"/>
        </w:rPr>
        <w:t>s</w:t>
      </w:r>
      <w:r w:rsidRPr="00E75C76">
        <w:rPr>
          <w:rFonts w:ascii="Times New Roman" w:eastAsia="Times New Roman" w:hAnsi="Times New Roman" w:cs="Times New Roman"/>
          <w:sz w:val="24"/>
          <w:szCs w:val="24"/>
        </w:rPr>
        <w:t>, argillaceous siltstone</w:t>
      </w:r>
      <w:r>
        <w:rPr>
          <w:rFonts w:ascii="Times New Roman" w:eastAsia="Times New Roman" w:hAnsi="Times New Roman" w:cs="Times New Roman"/>
          <w:sz w:val="24"/>
          <w:szCs w:val="24"/>
        </w:rPr>
        <w:t>s</w:t>
      </w:r>
      <w:r w:rsidRPr="00E75C76">
        <w:rPr>
          <w:rFonts w:ascii="Times New Roman" w:eastAsia="Times New Roman" w:hAnsi="Times New Roman" w:cs="Times New Roman"/>
          <w:sz w:val="24"/>
          <w:szCs w:val="24"/>
        </w:rPr>
        <w:t>, argillaceous-calcareous siltstone</w:t>
      </w:r>
      <w:r>
        <w:rPr>
          <w:rFonts w:ascii="Times New Roman" w:eastAsia="Times New Roman" w:hAnsi="Times New Roman" w:cs="Times New Roman"/>
          <w:sz w:val="24"/>
          <w:szCs w:val="24"/>
        </w:rPr>
        <w:t>s</w:t>
      </w:r>
      <w:r w:rsidRPr="00E75C76">
        <w:rPr>
          <w:rFonts w:ascii="Times New Roman" w:eastAsia="Times New Roman" w:hAnsi="Times New Roman" w:cs="Times New Roman"/>
          <w:sz w:val="24"/>
          <w:szCs w:val="24"/>
        </w:rPr>
        <w:t>, calcareous siltstone</w:t>
      </w:r>
      <w:r>
        <w:rPr>
          <w:rFonts w:ascii="Times New Roman" w:eastAsia="Times New Roman" w:hAnsi="Times New Roman" w:cs="Times New Roman"/>
          <w:sz w:val="24"/>
          <w:szCs w:val="24"/>
        </w:rPr>
        <w:t>s</w:t>
      </w:r>
      <w:r w:rsidRPr="00E75C76">
        <w:rPr>
          <w:rFonts w:ascii="Times New Roman" w:eastAsia="Times New Roman" w:hAnsi="Times New Roman" w:cs="Times New Roman"/>
          <w:sz w:val="24"/>
          <w:szCs w:val="24"/>
        </w:rPr>
        <w:t>, and silty limestone</w:t>
      </w:r>
      <w:r>
        <w:rPr>
          <w:rFonts w:ascii="Times New Roman" w:eastAsia="Times New Roman" w:hAnsi="Times New Roman" w:cs="Times New Roman"/>
          <w:sz w:val="24"/>
          <w:szCs w:val="24"/>
        </w:rPr>
        <w:t>s</w:t>
      </w:r>
      <w:r w:rsidRPr="00E75C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w:t>
      </w:r>
      <w:r w:rsidRPr="00E75C76">
        <w:rPr>
          <w:rFonts w:ascii="Times New Roman" w:eastAsia="Times New Roman" w:hAnsi="Times New Roman" w:cs="Times New Roman"/>
          <w:sz w:val="24"/>
          <w:szCs w:val="24"/>
        </w:rPr>
        <w:t>defined in the study area by Miller (2019) (Table 1</w:t>
      </w:r>
      <w:r>
        <w:rPr>
          <w:rFonts w:ascii="Times New Roman" w:eastAsia="Times New Roman" w:hAnsi="Times New Roman" w:cs="Times New Roman"/>
          <w:sz w:val="24"/>
          <w:szCs w:val="24"/>
        </w:rPr>
        <w:t>; Figure 3</w:t>
      </w:r>
      <w:r w:rsidRPr="00E75C76">
        <w:rPr>
          <w:rFonts w:ascii="Times New Roman" w:eastAsia="Times New Roman" w:hAnsi="Times New Roman" w:cs="Times New Roman"/>
          <w:sz w:val="24"/>
          <w:szCs w:val="24"/>
        </w:rPr>
        <w:t>). Miller (2019) defined lithologies by integrating detailed core descriptions with petrographic data, and calculated mineralogy from X-ray fluorescence data (Han et al., 2019). Thi</w:t>
      </w:r>
      <w:r>
        <w:rPr>
          <w:rFonts w:ascii="Times New Roman" w:eastAsia="Times New Roman" w:hAnsi="Times New Roman" w:cs="Times New Roman"/>
          <w:sz w:val="24"/>
          <w:szCs w:val="24"/>
        </w:rPr>
        <w:t>s information was derived from three</w:t>
      </w:r>
      <w:r w:rsidRPr="00E75C76">
        <w:rPr>
          <w:rFonts w:ascii="Times New Roman" w:eastAsia="Times New Roman" w:hAnsi="Times New Roman" w:cs="Times New Roman"/>
          <w:sz w:val="24"/>
          <w:szCs w:val="24"/>
        </w:rPr>
        <w:t xml:space="preserve"> cored wells near the study area: Well A (core length = 485 ft [148 m]), the Gulf Oil Corp 1-23 Shaffer (242 ft [74 m]), and the Gulf Oil Corp 1-25 Rohling (207 ft [63 m]) (Miller, 2019). Gupta (2018, personal communication) petrophysically defined </w:t>
      </w:r>
      <w:r>
        <w:rPr>
          <w:rFonts w:ascii="Times New Roman" w:eastAsia="Times New Roman" w:hAnsi="Times New Roman" w:cs="Times New Roman"/>
          <w:sz w:val="24"/>
          <w:szCs w:val="24"/>
        </w:rPr>
        <w:t xml:space="preserve">three </w:t>
      </w:r>
      <w:r w:rsidRPr="00E75C76">
        <w:rPr>
          <w:rFonts w:ascii="Times New Roman" w:eastAsia="Times New Roman" w:hAnsi="Times New Roman" w:cs="Times New Roman"/>
          <w:sz w:val="24"/>
          <w:szCs w:val="24"/>
        </w:rPr>
        <w:t>rock types based on cross plots of core-measured permeability (air) and porosity, and applied Flow Zone Indicator (FZI) cutoffs to the data</w:t>
      </w:r>
      <w:r>
        <w:rPr>
          <w:rFonts w:ascii="Times New Roman" w:eastAsia="Times New Roman" w:hAnsi="Times New Roman" w:cs="Times New Roman"/>
          <w:sz w:val="24"/>
          <w:szCs w:val="24"/>
        </w:rPr>
        <w:t xml:space="preserve"> </w:t>
      </w:r>
      <w:r>
        <w:rPr>
          <w:rFonts w:ascii="Times New Roman" w:hAnsi="Times New Roman" w:cs="Times New Roman"/>
          <w:sz w:val="24"/>
          <w:szCs w:val="24"/>
        </w:rPr>
        <w:t>(Appendix-B1)</w:t>
      </w:r>
      <w:r w:rsidRPr="00E75C76">
        <w:rPr>
          <w:rFonts w:ascii="Times New Roman" w:eastAsia="Times New Roman" w:hAnsi="Times New Roman" w:cs="Times New Roman"/>
          <w:sz w:val="24"/>
          <w:szCs w:val="24"/>
        </w:rPr>
        <w:t>. To calculate the FZI cutoff, the ratio of the Reservoir Quality Index (RQI) and the pore-to-grain volume (R</w:t>
      </w:r>
      <w:r w:rsidRPr="00E75C76">
        <w:rPr>
          <w:rFonts w:ascii="Times New Roman" w:eastAsia="Times New Roman" w:hAnsi="Times New Roman" w:cs="Times New Roman"/>
          <w:sz w:val="24"/>
          <w:szCs w:val="24"/>
          <w:vertAlign w:val="subscript"/>
        </w:rPr>
        <w:t>pvgv</w:t>
      </w:r>
      <w:r w:rsidRPr="00E75C76">
        <w:rPr>
          <w:rFonts w:ascii="Times New Roman" w:eastAsia="Times New Roman" w:hAnsi="Times New Roman" w:cs="Times New Roman"/>
          <w:sz w:val="24"/>
          <w:szCs w:val="24"/>
        </w:rPr>
        <w:t>) is defined by the following equations (Amafule et el., 1993):</w:t>
      </w:r>
    </w:p>
    <w:p w14:paraId="70C89E57" w14:textId="77777777" w:rsidR="00D948FE" w:rsidRPr="00496360" w:rsidRDefault="00D948FE" w:rsidP="00D948FE">
      <w:pPr>
        <w:spacing w:after="0" w:line="480" w:lineRule="auto"/>
        <w:jc w:val="center"/>
        <w:rPr>
          <w:rFonts w:ascii="Times New Roman" w:eastAsiaTheme="minorEastAsia" w:hAnsi="Times New Roman" w:cs="Times New Roman"/>
          <w:sz w:val="24"/>
          <w:szCs w:val="24"/>
        </w:rPr>
      </w:pPr>
      <m:oMath>
        <m:r>
          <w:rPr>
            <w:rFonts w:ascii="Cambria Math" w:hAnsi="Cambria Math" w:cs="Times New Roman"/>
            <w:sz w:val="24"/>
            <w:szCs w:val="24"/>
          </w:rPr>
          <m:t xml:space="preserve">RQI=0.0314*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m:t>
                </m:r>
              </m:den>
            </m:f>
          </m:e>
        </m:rad>
        <m:r>
          <w:rPr>
            <w:rFonts w:ascii="Cambria Math" w:hAnsi="Cambria Math" w:cs="Times New Roman"/>
            <w:sz w:val="24"/>
            <w:szCs w:val="24"/>
          </w:rPr>
          <m:t>,</m:t>
        </m:r>
      </m:oMath>
      <w:r w:rsidRPr="00496360">
        <w:rPr>
          <w:rFonts w:ascii="Times New Roman" w:eastAsiaTheme="minorEastAsia" w:hAnsi="Times New Roman" w:cs="Times New Roman"/>
          <w:i/>
          <w:sz w:val="24"/>
          <w:szCs w:val="24"/>
        </w:rPr>
        <w:t xml:space="preserve">                                        </w:t>
      </w:r>
      <w:r w:rsidRPr="00496360">
        <w:rPr>
          <w:rFonts w:ascii="Times New Roman" w:eastAsiaTheme="minorEastAsia" w:hAnsi="Times New Roman" w:cs="Times New Roman"/>
          <w:sz w:val="24"/>
          <w:szCs w:val="24"/>
        </w:rPr>
        <w:t xml:space="preserve">    </w:t>
      </w:r>
    </w:p>
    <w:p w14:paraId="5B6F6F82" w14:textId="77777777" w:rsidR="00D948FE" w:rsidRPr="00496360" w:rsidRDefault="00D948FE" w:rsidP="00D948FE">
      <w:pPr>
        <w:spacing w:after="0" w:line="480" w:lineRule="auto"/>
        <w:ind w:firstLine="720"/>
        <w:jc w:val="center"/>
        <w:rPr>
          <w:rFonts w:ascii="Times New Roman" w:eastAsiaTheme="minorEastAsia"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pvgv</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t>
              </m:r>
            </m:num>
            <m:den>
              <m:r>
                <w:rPr>
                  <w:rFonts w:ascii="Cambria Math" w:hAnsi="Cambria Math" w:cs="Times New Roman"/>
                  <w:sz w:val="24"/>
                  <w:szCs w:val="24"/>
                </w:rPr>
                <m:t>1- ∅</m:t>
              </m:r>
            </m:den>
          </m:f>
          <m:r>
            <w:rPr>
              <w:rFonts w:ascii="Cambria Math" w:hAnsi="Cambria Math" w:cs="Times New Roman"/>
              <w:sz w:val="24"/>
              <w:szCs w:val="24"/>
            </w:rPr>
            <m:t xml:space="preserve">, </m:t>
          </m:r>
          <m:r>
            <m:rPr>
              <m:sty m:val="p"/>
            </m:rPr>
            <w:rPr>
              <w:rFonts w:ascii="Cambria Math" w:hAnsi="Cambria Math" w:cs="Times New Roman"/>
              <w:sz w:val="24"/>
              <w:szCs w:val="24"/>
            </w:rPr>
            <m:t>and</m:t>
          </m:r>
        </m:oMath>
      </m:oMathPara>
    </w:p>
    <w:p w14:paraId="5D15AA76" w14:textId="77777777" w:rsidR="00D948FE" w:rsidRPr="00496360" w:rsidRDefault="00D948FE" w:rsidP="00D948FE">
      <w:pPr>
        <w:spacing w:after="0" w:line="480" w:lineRule="auto"/>
        <w:ind w:firstLine="720"/>
        <w:jc w:val="center"/>
        <w:rPr>
          <w:rFonts w:ascii="Times New Roman" w:hAnsi="Times New Roman" w:cs="Times New Roman"/>
          <w:i/>
          <w:sz w:val="24"/>
          <w:szCs w:val="24"/>
        </w:rPr>
      </w:pPr>
      <m:oMathPara>
        <m:oMath>
          <m:r>
            <w:rPr>
              <w:rFonts w:ascii="Cambria Math" w:hAnsi="Cambria Math" w:cs="Times New Roman"/>
              <w:sz w:val="24"/>
              <w:szCs w:val="24"/>
            </w:rPr>
            <m:t>FZI=</m:t>
          </m:r>
          <m:f>
            <m:fPr>
              <m:ctrlPr>
                <w:rPr>
                  <w:rFonts w:ascii="Cambria Math" w:hAnsi="Cambria Math" w:cs="Times New Roman"/>
                  <w:i/>
                  <w:sz w:val="24"/>
                  <w:szCs w:val="24"/>
                </w:rPr>
              </m:ctrlPr>
            </m:fPr>
            <m:num>
              <m:r>
                <w:rPr>
                  <w:rFonts w:ascii="Cambria Math" w:hAnsi="Cambria Math" w:cs="Times New Roman"/>
                  <w:sz w:val="24"/>
                  <w:szCs w:val="24"/>
                </w:rPr>
                <m:t>RQI</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pvgv</m:t>
                  </m:r>
                </m:sub>
              </m:sSub>
            </m:den>
          </m:f>
          <m:r>
            <w:rPr>
              <w:rFonts w:ascii="Cambria Math" w:hAnsi="Cambria Math" w:cs="Times New Roman"/>
              <w:sz w:val="24"/>
              <w:szCs w:val="24"/>
            </w:rPr>
            <m:t>,</m:t>
          </m:r>
        </m:oMath>
      </m:oMathPara>
    </w:p>
    <w:p w14:paraId="233961B6" w14:textId="77777777" w:rsidR="00D948FE" w:rsidRPr="00496360" w:rsidRDefault="00D948FE" w:rsidP="00D948FE">
      <w:pPr>
        <w:autoSpaceDE w:val="0"/>
        <w:autoSpaceDN w:val="0"/>
        <w:adjustRightInd w:val="0"/>
        <w:spacing w:after="0" w:line="480" w:lineRule="auto"/>
        <w:rPr>
          <w:rFonts w:ascii="Times New Roman" w:eastAsia="TimesNewRoman" w:hAnsi="Times New Roman" w:cs="Times New Roman"/>
          <w:sz w:val="24"/>
          <w:szCs w:val="24"/>
        </w:rPr>
      </w:pPr>
      <w:r w:rsidRPr="00496360">
        <w:rPr>
          <w:rFonts w:ascii="Times New Roman" w:eastAsia="TimesNewRoman" w:hAnsi="Times New Roman" w:cs="Times New Roman"/>
          <w:sz w:val="24"/>
          <w:szCs w:val="24"/>
        </w:rPr>
        <w:t>where:</w:t>
      </w:r>
    </w:p>
    <w:p w14:paraId="6B664BB8" w14:textId="77777777" w:rsidR="00D948FE" w:rsidRPr="00496360" w:rsidRDefault="00D948FE" w:rsidP="00D948FE">
      <w:pPr>
        <w:autoSpaceDE w:val="0"/>
        <w:autoSpaceDN w:val="0"/>
        <w:adjustRightInd w:val="0"/>
        <w:spacing w:after="0" w:line="480" w:lineRule="auto"/>
        <w:jc w:val="center"/>
        <w:rPr>
          <w:rFonts w:ascii="Times New Roman" w:eastAsia="TimesNewRoman" w:hAnsi="Times New Roman" w:cs="Times New Roman"/>
          <w:sz w:val="24"/>
          <w:szCs w:val="24"/>
        </w:rPr>
      </w:pPr>
      <w:r w:rsidRPr="00496360">
        <w:rPr>
          <w:rFonts w:ascii="Times New Roman" w:eastAsia="TimesNewRoman" w:hAnsi="Times New Roman" w:cs="Times New Roman"/>
          <w:i/>
          <w:sz w:val="24"/>
          <w:szCs w:val="24"/>
        </w:rPr>
        <w:t xml:space="preserve">k = </w:t>
      </w:r>
      <w:r w:rsidRPr="00496360">
        <w:rPr>
          <w:rFonts w:ascii="Times New Roman" w:eastAsia="TimesNewRoman" w:hAnsi="Times New Roman" w:cs="Times New Roman"/>
          <w:sz w:val="24"/>
          <w:szCs w:val="24"/>
        </w:rPr>
        <w:t>permeability,</w:t>
      </w:r>
    </w:p>
    <w:p w14:paraId="4E73D26C" w14:textId="77777777" w:rsidR="00D948FE" w:rsidRPr="00496360" w:rsidRDefault="00D948FE" w:rsidP="00D948FE">
      <w:pPr>
        <w:autoSpaceDE w:val="0"/>
        <w:autoSpaceDN w:val="0"/>
        <w:adjustRightInd w:val="0"/>
        <w:spacing w:after="0" w:line="480" w:lineRule="auto"/>
        <w:jc w:val="center"/>
        <w:rPr>
          <w:rFonts w:ascii="Times New Roman" w:hAnsi="Times New Roman" w:cs="Times New Roman"/>
          <w:sz w:val="24"/>
          <w:szCs w:val="24"/>
        </w:rPr>
      </w:pPr>
      <w:r w:rsidRPr="00496360">
        <w:rPr>
          <w:rFonts w:ascii="Times New Roman" w:hAnsi="Times New Roman" w:cs="Times New Roman"/>
          <w:sz w:val="24"/>
          <w:szCs w:val="24"/>
        </w:rPr>
        <w:t>ø = porosity,</w:t>
      </w:r>
    </w:p>
    <w:p w14:paraId="4C5C4762" w14:textId="77777777" w:rsidR="00D948FE" w:rsidRPr="00E75C76" w:rsidRDefault="00D948FE" w:rsidP="00D948FE">
      <w:pPr>
        <w:autoSpaceDE w:val="0"/>
        <w:autoSpaceDN w:val="0"/>
        <w:adjustRightInd w:val="0"/>
        <w:spacing w:after="0" w:line="480" w:lineRule="auto"/>
        <w:jc w:val="center"/>
        <w:rPr>
          <w:rFonts w:ascii="Times New Roman" w:hAnsi="Times New Roman" w:cs="Times New Roman"/>
          <w:sz w:val="24"/>
          <w:szCs w:val="24"/>
        </w:rPr>
      </w:pPr>
      <w:r w:rsidRPr="00E75C76">
        <w:rPr>
          <w:rFonts w:ascii="Times New Roman" w:hAnsi="Times New Roman" w:cs="Times New Roman"/>
          <w:sz w:val="24"/>
          <w:szCs w:val="24"/>
        </w:rPr>
        <w:t>R</w:t>
      </w:r>
      <w:r w:rsidRPr="00E75C76">
        <w:rPr>
          <w:rFonts w:ascii="Times New Roman" w:hAnsi="Times New Roman" w:cs="Times New Roman"/>
          <w:sz w:val="24"/>
          <w:szCs w:val="24"/>
          <w:vertAlign w:val="subscript"/>
        </w:rPr>
        <w:t xml:space="preserve">pvgv </w:t>
      </w:r>
      <w:r w:rsidRPr="00E75C76">
        <w:rPr>
          <w:rFonts w:ascii="Times New Roman" w:hAnsi="Times New Roman" w:cs="Times New Roman"/>
          <w:sz w:val="24"/>
          <w:szCs w:val="24"/>
        </w:rPr>
        <w:t>= pore-to-grain volume ratio</w:t>
      </w:r>
      <w:r>
        <w:rPr>
          <w:rFonts w:ascii="Times New Roman" w:hAnsi="Times New Roman" w:cs="Times New Roman"/>
          <w:sz w:val="24"/>
          <w:szCs w:val="24"/>
        </w:rPr>
        <w:t>,</w:t>
      </w:r>
    </w:p>
    <w:p w14:paraId="0B2B65C1" w14:textId="77777777" w:rsidR="00D948FE" w:rsidRPr="00E75C76" w:rsidRDefault="00D948FE" w:rsidP="00D948FE">
      <w:pPr>
        <w:autoSpaceDE w:val="0"/>
        <w:autoSpaceDN w:val="0"/>
        <w:adjustRightInd w:val="0"/>
        <w:spacing w:after="0" w:line="480" w:lineRule="auto"/>
        <w:jc w:val="center"/>
        <w:rPr>
          <w:rFonts w:ascii="Times New Roman" w:hAnsi="Times New Roman" w:cs="Times New Roman"/>
          <w:sz w:val="24"/>
          <w:szCs w:val="24"/>
        </w:rPr>
      </w:pPr>
      <w:r w:rsidRPr="00E75C76">
        <w:rPr>
          <w:rFonts w:ascii="Times New Roman" w:hAnsi="Times New Roman" w:cs="Times New Roman"/>
          <w:sz w:val="24"/>
          <w:szCs w:val="24"/>
        </w:rPr>
        <w:t>RQI = Reservoir Quality Index</w:t>
      </w:r>
      <w:r>
        <w:rPr>
          <w:rFonts w:ascii="Times New Roman" w:hAnsi="Times New Roman" w:cs="Times New Roman"/>
          <w:sz w:val="24"/>
          <w:szCs w:val="24"/>
        </w:rPr>
        <w:t>, and</w:t>
      </w:r>
    </w:p>
    <w:p w14:paraId="1AEB46DA" w14:textId="77777777" w:rsidR="00D948FE" w:rsidRPr="00E75C76" w:rsidRDefault="00D948FE" w:rsidP="00D948FE">
      <w:pPr>
        <w:autoSpaceDE w:val="0"/>
        <w:autoSpaceDN w:val="0"/>
        <w:adjustRightInd w:val="0"/>
        <w:spacing w:after="0" w:line="480" w:lineRule="auto"/>
        <w:jc w:val="center"/>
        <w:rPr>
          <w:rFonts w:ascii="Times New Roman" w:hAnsi="Times New Roman" w:cs="Times New Roman"/>
          <w:sz w:val="24"/>
          <w:szCs w:val="24"/>
        </w:rPr>
      </w:pPr>
      <w:r w:rsidRPr="00E75C76">
        <w:rPr>
          <w:rFonts w:ascii="Times New Roman" w:hAnsi="Times New Roman" w:cs="Times New Roman"/>
          <w:sz w:val="24"/>
          <w:szCs w:val="24"/>
        </w:rPr>
        <w:t>FZI = Flow Zone Indicator</w:t>
      </w:r>
      <w:r>
        <w:rPr>
          <w:rFonts w:ascii="Times New Roman" w:hAnsi="Times New Roman" w:cs="Times New Roman"/>
          <w:sz w:val="24"/>
          <w:szCs w:val="24"/>
        </w:rPr>
        <w:t>.</w:t>
      </w:r>
    </w:p>
    <w:p w14:paraId="4F09D357"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eastAsia="Times New Roman" w:hAnsi="Times New Roman" w:cs="Times New Roman"/>
          <w:sz w:val="24"/>
          <w:szCs w:val="24"/>
        </w:rPr>
        <w:lastRenderedPageBreak/>
        <w:t>Miller (2019) also classified lithologies and rock types in non-cored wells through electrofacies classification utilizing supervised Artificial Neural Networks [ANN]. Electrofacies classification is a method that is used to describe a rock in terms of its well-log characteristics (Serra and Abbo</w:t>
      </w:r>
      <w:r>
        <w:rPr>
          <w:rFonts w:ascii="Times New Roman" w:eastAsia="Times New Roman" w:hAnsi="Times New Roman" w:cs="Times New Roman"/>
          <w:sz w:val="24"/>
          <w:szCs w:val="24"/>
        </w:rPr>
        <w:t>t</w:t>
      </w:r>
      <w:r w:rsidRPr="00E75C76">
        <w:rPr>
          <w:rFonts w:ascii="Times New Roman" w:eastAsia="Times New Roman" w:hAnsi="Times New Roman" w:cs="Times New Roman"/>
          <w:sz w:val="24"/>
          <w:szCs w:val="24"/>
        </w:rPr>
        <w:t>t, 1982). This approach establishes a relationship between well-log values and the lithologies and rock types in the study by comparing the well-log signature to its corresponding cored lithology or rock-type interval. Miller (2019) used a supervised Artificial Neural Network [ANN] and a log suite consisting gamma ray (GR), neutron porosity (NPHI), bulk density (RhoB), and photoelectric effect (PE) to classify lithologies and rock types for Well A. The established relationships between the lithologies and rock types and the well-log responses were applied to non-cored wells</w:t>
      </w:r>
      <w:r>
        <w:rPr>
          <w:rFonts w:ascii="Times New Roman" w:eastAsia="Times New Roman" w:hAnsi="Times New Roman" w:cs="Times New Roman"/>
          <w:sz w:val="24"/>
          <w:szCs w:val="24"/>
        </w:rPr>
        <w:t>, thereby providing an estimate of lithology and rock type for all vertical wells in the study area</w:t>
      </w:r>
      <w:r w:rsidRPr="00E75C76">
        <w:rPr>
          <w:rFonts w:ascii="Times New Roman" w:eastAsia="Times New Roman" w:hAnsi="Times New Roman" w:cs="Times New Roman"/>
          <w:sz w:val="24"/>
          <w:szCs w:val="24"/>
        </w:rPr>
        <w:t>.</w:t>
      </w:r>
    </w:p>
    <w:p w14:paraId="46FD88A5" w14:textId="77777777" w:rsidR="00D948FE" w:rsidRPr="00E75C76" w:rsidRDefault="00D948FE" w:rsidP="00D948FE">
      <w:pPr>
        <w:autoSpaceDE w:val="0"/>
        <w:autoSpaceDN w:val="0"/>
        <w:adjustRightInd w:val="0"/>
        <w:spacing w:after="0" w:line="480" w:lineRule="auto"/>
        <w:rPr>
          <w:rFonts w:ascii="Times New Roman" w:eastAsia="TimesNewRoman" w:hAnsi="Times New Roman" w:cs="Times New Roman"/>
          <w:sz w:val="24"/>
          <w:szCs w:val="24"/>
        </w:rPr>
      </w:pPr>
      <w:r w:rsidRPr="00E75C76">
        <w:rPr>
          <w:rFonts w:ascii="Times New Roman" w:eastAsia="TimesNewRoman" w:hAnsi="Times New Roman" w:cs="Times New Roman"/>
          <w:b/>
          <w:bCs/>
          <w:sz w:val="24"/>
          <w:szCs w:val="24"/>
        </w:rPr>
        <w:t>Stratigraphic and Structural Framework</w:t>
      </w:r>
    </w:p>
    <w:p w14:paraId="07700C32" w14:textId="77777777" w:rsidR="00D948FE" w:rsidRPr="00E75C76" w:rsidRDefault="00D948FE" w:rsidP="00D948FE">
      <w:pPr>
        <w:spacing w:after="0" w:line="480" w:lineRule="auto"/>
        <w:ind w:firstLine="720"/>
        <w:rPr>
          <w:rFonts w:ascii="Times New Roman" w:eastAsia="Times New Roman" w:hAnsi="Times New Roman" w:cs="Times New Roman"/>
          <w:sz w:val="24"/>
          <w:szCs w:val="24"/>
        </w:rPr>
      </w:pPr>
      <w:r w:rsidRPr="00E75C76">
        <w:rPr>
          <w:rFonts w:ascii="Times New Roman" w:eastAsia="Times New Roman" w:hAnsi="Times New Roman" w:cs="Times New Roman"/>
          <w:sz w:val="24"/>
          <w:szCs w:val="24"/>
        </w:rPr>
        <w:t>The Meramec stratigraphy was interpreted initially using 44 vertical wells within the study area using the estimated lithology logs, conventional well logs (gamma-ray, neutron porosity, density porosity, bulk density, and resistivity)</w:t>
      </w:r>
      <w:r>
        <w:rPr>
          <w:rFonts w:ascii="Times New Roman" w:eastAsia="Times New Roman" w:hAnsi="Times New Roman" w:cs="Times New Roman"/>
          <w:sz w:val="24"/>
          <w:szCs w:val="24"/>
        </w:rPr>
        <w:t>,</w:t>
      </w:r>
      <w:r w:rsidRPr="00E75C76">
        <w:rPr>
          <w:rFonts w:ascii="Times New Roman" w:eastAsia="Times New Roman" w:hAnsi="Times New Roman" w:cs="Times New Roman"/>
          <w:sz w:val="24"/>
          <w:szCs w:val="24"/>
        </w:rPr>
        <w:t xml:space="preserve"> and a grid of dip- and strike- oriented well-log cross sections. </w:t>
      </w:r>
    </w:p>
    <w:p w14:paraId="70907D01"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eastAsia="Times New Roman" w:hAnsi="Times New Roman" w:cs="Times New Roman"/>
          <w:sz w:val="24"/>
          <w:szCs w:val="24"/>
        </w:rPr>
        <w:t xml:space="preserve">The formation tops were used as a guide to interpret corresponding horizons in the seismic volume. The formation well tops that align with a distinct peak, trough, or zero-crossing in the seismic data were picked as horizons. The cosine of phase seismic attribute was applied to the volume to aid in the interpretation of discontinuous reflectors. This attribute allows reflection continuity to be easier to recognize by acting “like a perfect automatic gain control (AGC) in that it removes all amplitude information” (Barnes, 2007). Based on the seismic data resolution, the top, base, and one internal parasequence of the Meramec were interpreted on the seismic volume.  </w:t>
      </w:r>
      <w:r w:rsidRPr="00E75C76">
        <w:rPr>
          <w:rFonts w:ascii="Times New Roman" w:eastAsia="Times New Roman" w:hAnsi="Times New Roman" w:cs="Times New Roman"/>
          <w:sz w:val="24"/>
          <w:szCs w:val="24"/>
        </w:rPr>
        <w:lastRenderedPageBreak/>
        <w:t>The remaining seismic-constrained horizons that represent thinner stratigraphic intervals were established using a conformable gridding algorithm that incorporates the upper and lower interpreted seismic horizons and the associated well tops. This operation conformably generates seismic-guided horizons for all zones within the Meramec. Structure-contour and isopach maps were constructed to check the quality of the interpretations and to analyze Meramec stratigraphic trends.</w:t>
      </w:r>
    </w:p>
    <w:p w14:paraId="72187AF5"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eastAsia="Times New Roman" w:hAnsi="Times New Roman" w:cs="Times New Roman"/>
          <w:sz w:val="24"/>
          <w:szCs w:val="24"/>
        </w:rPr>
        <w:t xml:space="preserve">Major faults were interpreted for the study area using structure-contour maps, seismic multi-attribute structural interpretations, and well-log cross sections. Structure-contour maps distinguish areas with sharp dip changes which could be indicative of faults. Structural seismic interpretation includes identifying and mapping faults distinguished by: (1) amplitude offsets in the seismic vertical-cross sections and time slices and (2) linear, incoherent features highlighted by the geometric attribute, coherency. </w:t>
      </w:r>
      <w:r>
        <w:rPr>
          <w:rFonts w:ascii="Times New Roman" w:eastAsia="Times New Roman" w:hAnsi="Times New Roman" w:cs="Times New Roman"/>
          <w:sz w:val="24"/>
          <w:szCs w:val="24"/>
        </w:rPr>
        <w:t>S</w:t>
      </w:r>
      <w:r w:rsidRPr="00E75C76">
        <w:rPr>
          <w:rFonts w:ascii="Times New Roman" w:eastAsia="Times New Roman" w:hAnsi="Times New Roman" w:cs="Times New Roman"/>
          <w:sz w:val="24"/>
          <w:szCs w:val="24"/>
        </w:rPr>
        <w:t xml:space="preserve">eismic coherency marks discontinuities where there are lateral changes in the trace-to-trace seismic response. Utilizing the coherency and amplitude data, faults were interpreted in vertical seismic sections and time slices. Faults were interpreted initially in areas with the greatest reflector offset and extended upward or downward until the reflectors were more continuous. Only faults extending through the Mississippian Meramec formation are interpreted (Figure 4). The amount of throw along each of the faults was quantified by measuring </w:t>
      </w:r>
      <w:r>
        <w:rPr>
          <w:rFonts w:ascii="Times New Roman" w:eastAsia="Times New Roman" w:hAnsi="Times New Roman" w:cs="Times New Roman"/>
          <w:sz w:val="24"/>
          <w:szCs w:val="24"/>
        </w:rPr>
        <w:t>vertical offset seen on the amplitude data volume</w:t>
      </w:r>
      <w:r w:rsidRPr="00E75C76">
        <w:rPr>
          <w:rFonts w:ascii="Times New Roman" w:eastAsia="Times New Roman" w:hAnsi="Times New Roman" w:cs="Times New Roman"/>
          <w:sz w:val="24"/>
          <w:szCs w:val="24"/>
        </w:rPr>
        <w:t xml:space="preserve">, while accounting for formation dip. </w:t>
      </w:r>
    </w:p>
    <w:p w14:paraId="303202EA" w14:textId="77777777" w:rsidR="00D948FE" w:rsidRPr="00E75C76" w:rsidRDefault="00D948FE" w:rsidP="00D948FE">
      <w:pPr>
        <w:spacing w:after="0" w:line="480" w:lineRule="auto"/>
        <w:rPr>
          <w:rFonts w:ascii="Times New Roman" w:hAnsi="Times New Roman" w:cs="Times New Roman"/>
          <w:b/>
          <w:bCs/>
          <w:sz w:val="24"/>
          <w:szCs w:val="24"/>
        </w:rPr>
      </w:pPr>
      <w:r w:rsidRPr="00E75C76">
        <w:rPr>
          <w:rFonts w:ascii="Times New Roman" w:hAnsi="Times New Roman" w:cs="Times New Roman"/>
          <w:b/>
          <w:bCs/>
          <w:sz w:val="24"/>
          <w:szCs w:val="24"/>
        </w:rPr>
        <w:t>Pre-stack Seismic Inversion</w:t>
      </w:r>
    </w:p>
    <w:p w14:paraId="09A692DE" w14:textId="77777777" w:rsidR="00D948FE" w:rsidRPr="00E75C76" w:rsidRDefault="00D948FE" w:rsidP="00D948FE">
      <w:pPr>
        <w:pStyle w:val="Default"/>
        <w:spacing w:line="480" w:lineRule="auto"/>
        <w:ind w:firstLine="720"/>
      </w:pPr>
      <w:r w:rsidRPr="00E75C76">
        <w:rPr>
          <w:rFonts w:eastAsia="Calibri"/>
        </w:rPr>
        <w:t xml:space="preserve">A pre-stack seismic inversion is conducted to obtain reliable estimates of </w:t>
      </w:r>
      <w:r>
        <w:rPr>
          <w:rFonts w:eastAsia="Calibri"/>
        </w:rPr>
        <w:t>P-impedance</w:t>
      </w:r>
      <w:r w:rsidRPr="00E75C76">
        <w:rPr>
          <w:rFonts w:eastAsia="Calibri"/>
        </w:rPr>
        <w:t xml:space="preserve">, </w:t>
      </w:r>
      <w:r>
        <w:rPr>
          <w:rFonts w:eastAsia="Calibri"/>
        </w:rPr>
        <w:t>S-impedance</w:t>
      </w:r>
      <w:r w:rsidRPr="00E75C76">
        <w:rPr>
          <w:rFonts w:eastAsia="Calibri"/>
        </w:rPr>
        <w:t xml:space="preserve">, and density. </w:t>
      </w:r>
      <w:r w:rsidRPr="00E75C76">
        <w:t xml:space="preserve">Before executing the pre-stack seismic inversion, a post-stack inversion was performed using the horizons, wells with bulk density and sonic logs, and the </w:t>
      </w:r>
      <w:r w:rsidRPr="00E75C76">
        <w:lastRenderedPageBreak/>
        <w:t xml:space="preserve">stacked seismic volume to produce a </w:t>
      </w:r>
      <w:r>
        <w:t>P-impedance</w:t>
      </w:r>
      <w:r w:rsidRPr="00E75C76">
        <w:t xml:space="preserve"> volume. A pre-stack seismic inversion was performed to investigate the spatial distribution of rock properties, and to use as a constraint in </w:t>
      </w:r>
      <w:r>
        <w:t>3D</w:t>
      </w:r>
      <w:r w:rsidRPr="00E75C76">
        <w:t xml:space="preserve"> lithology, rock-type, and petrophysical property models. The steps to perform the pre-stack inversion include: (1) data organization, (2) wavelet extraction and seismic-to-well tie, (3) low-frequency background model generation, and (4) pre-stack seismic inversion execution</w:t>
      </w:r>
      <w:r>
        <w:t xml:space="preserve"> (Figure 5)</w:t>
      </w:r>
      <w:r w:rsidRPr="00E75C76">
        <w:t>.</w:t>
      </w:r>
    </w:p>
    <w:p w14:paraId="565D098B" w14:textId="77777777" w:rsidR="00D948FE" w:rsidRPr="00E75C76" w:rsidRDefault="00D948FE" w:rsidP="00D948FE">
      <w:pPr>
        <w:pStyle w:val="Default"/>
        <w:spacing w:line="480" w:lineRule="auto"/>
        <w:ind w:firstLine="720"/>
      </w:pPr>
      <w:r w:rsidRPr="00E75C76">
        <w:t>The pre-stack seismic inversion inputs include the seismic horizons (top of Meramec 7, Meramec 3 [maximum flooding surface], Osage, and Woodford), 25 vertical wells with synthetic compressional sonic (DTC), synthetic shear sonic (DTS), and density (RhoB) logs, and seismic</w:t>
      </w:r>
      <w:r>
        <w:t>-</w:t>
      </w:r>
      <w:r w:rsidRPr="00E75C76">
        <w:t>angle gathers.  Synthetic sonic logs were generated using a multi-variable analysis (C. McLain, 2019, personal communication). Seismic gather traces correspond to angle of incidence, ɵ, for reflected energy as related to offset, X</w:t>
      </w:r>
      <w:r>
        <w:t xml:space="preserve"> (Appendix-C1)</w:t>
      </w:r>
      <w:r w:rsidRPr="00E75C76">
        <w:t>. If the angle of incidence is greater than zero, there is both a compressional and shear component (Russell, 2014). The seismic angle gathers include incident angles up to 60º. However, to reduce the additive noise that the far angles introduce, an angle mute was performed for incident angles greater than 45º.</w:t>
      </w:r>
    </w:p>
    <w:p w14:paraId="4A43EA7E" w14:textId="77777777" w:rsidR="00D948FE" w:rsidRPr="00E75C76" w:rsidRDefault="00D948FE" w:rsidP="00D948FE">
      <w:pPr>
        <w:pStyle w:val="Default"/>
        <w:spacing w:line="480" w:lineRule="auto"/>
        <w:ind w:firstLine="720"/>
        <w:rPr>
          <w:rFonts w:eastAsia="Calibri"/>
        </w:rPr>
      </w:pPr>
      <w:r w:rsidRPr="00E75C76">
        <w:t>Well ties to seismic data were performed on 25 wells using commercial software by first estimating a</w:t>
      </w:r>
      <w:r w:rsidRPr="00E75C76">
        <w:rPr>
          <w:rFonts w:eastAsia="Calibri"/>
        </w:rPr>
        <w:t xml:space="preserve"> statistical angle-dependent wavelet group consisting of three angles for low (4°-17°), mid (17°-31°), and far (31°-45°) angles from the seismic angle gathers (Figure </w:t>
      </w:r>
      <w:r>
        <w:rPr>
          <w:rFonts w:eastAsia="Calibri"/>
        </w:rPr>
        <w:t>6</w:t>
      </w:r>
      <w:r w:rsidRPr="00E75C76">
        <w:rPr>
          <w:rFonts w:eastAsia="Calibri"/>
        </w:rPr>
        <w:t>). Reflection coefficients calculated from the compressional sonic (DTC), shear sonic (DTS), and density (RhoB) logs are convolved with the low-angle (4°-17°) statistical wavelet producing a synthetic seismogram. The synthetic seismogram was modified by bulk shifts and minor stretch and squeeze edits to match the synthetic seismogram with the original time-migrated seismic trace.</w:t>
      </w:r>
    </w:p>
    <w:p w14:paraId="2A87CB2D" w14:textId="77777777" w:rsidR="00D948FE" w:rsidRPr="00E75C76" w:rsidRDefault="00D948FE" w:rsidP="00D948FE">
      <w:pPr>
        <w:pStyle w:val="Default"/>
        <w:spacing w:line="480" w:lineRule="auto"/>
        <w:ind w:firstLine="720"/>
      </w:pPr>
      <w:r w:rsidRPr="00E75C76">
        <w:lastRenderedPageBreak/>
        <w:t>Low-frequency background models are required for inverting the angle gathers simultaneously for multiple properties</w:t>
      </w:r>
      <w:r w:rsidRPr="00E75C76">
        <w:rPr>
          <w:rFonts w:eastAsia="Calibri"/>
        </w:rPr>
        <w:t>.</w:t>
      </w:r>
      <w:r w:rsidRPr="00E75C76">
        <w:t xml:space="preserve"> The low-frequency background models use the well data to compensate for the absent low frequency part of the seismic spectrum because well-log measurements of elastic properties contain a full range of frequencies from zero to well above the highest seismic frequencies (Sams and Carter, 2017). The seismic amplitude spectrum of the angle gathers shows that the </w:t>
      </w:r>
      <w:r>
        <w:t>amplitude rolls off to zero from 10 Hz to 5 Hz</w:t>
      </w:r>
      <w:r w:rsidRPr="00E75C76">
        <w:t xml:space="preserve">; therefore, the low-frequency background models were developed using well logs with a high-frequency cutoff range of 5-10 Hz. The high-cut frequency logs of </w:t>
      </w:r>
      <w:r>
        <w:t>P-impedance</w:t>
      </w:r>
      <w:r w:rsidRPr="00E75C76">
        <w:t xml:space="preserve">, </w:t>
      </w:r>
      <w:r>
        <w:t>S-impedance</w:t>
      </w:r>
      <w:r w:rsidRPr="00E75C76">
        <w:t>, p-wave velocity, s-wave velocity, and density values were interpolated using Kriging within the stratigraphic framework to generate 3D low-frequency background models for the pre-stack inversion.</w:t>
      </w:r>
    </w:p>
    <w:p w14:paraId="368A4A4D" w14:textId="77777777" w:rsidR="00D948FE" w:rsidRPr="00E75C76" w:rsidRDefault="00D948FE" w:rsidP="00D948FE">
      <w:pPr>
        <w:pStyle w:val="Default"/>
        <w:spacing w:line="480" w:lineRule="auto"/>
        <w:ind w:firstLine="720"/>
        <w:rPr>
          <w:rFonts w:eastAsia="Calibri"/>
        </w:rPr>
      </w:pPr>
      <w:r w:rsidRPr="00E75C76">
        <w:rPr>
          <w:rFonts w:eastAsia="Calibri"/>
        </w:rPr>
        <w:t>The pre-stack seismic angle gathers provide information about the elastic properties of the seismic by describing reflectivity as a function of angle</w:t>
      </w:r>
      <w:r>
        <w:rPr>
          <w:rFonts w:eastAsia="Calibri"/>
        </w:rPr>
        <w:t xml:space="preserve"> </w:t>
      </w:r>
      <w:r>
        <w:t>(Appendix-C2)</w:t>
      </w:r>
      <w:r w:rsidRPr="00E75C76">
        <w:rPr>
          <w:rFonts w:eastAsia="Calibri"/>
        </w:rPr>
        <w:t xml:space="preserve">. Seismic inversion allows for the distribution of these measured properties from wells throughout the seismic volume. In principle, a pre-stack seismic inversion is the reverse process to the forward modeling of acoustic impedance reflectivity convolved with a wavelet resulting in a seismic trace. Although a complete reversal is never achieved as the band-limited seismic data is contaminated with noise resulting in approximations of the properties. A model-based simultaneous inversion was executed using commercial software by first computing a synthetic offset seismic from the initial impedance model. The difference between the synthetic and the real seismic data is determined and iteratively updated using the conjugate gradient method until the derived synthetic seismic data best fits the observed seismic data, or a global minimum is achieved (Hampson et al., 2006). The simultaneous inversion examines all traces to invert for a globally constrained optimization model (Barclay et al., 2008) to produce estimates of </w:t>
      </w:r>
      <w:r>
        <w:rPr>
          <w:rFonts w:eastAsia="Calibri"/>
        </w:rPr>
        <w:t>P-impedance</w:t>
      </w:r>
      <w:r w:rsidRPr="00E75C76">
        <w:rPr>
          <w:rFonts w:eastAsia="Calibri"/>
        </w:rPr>
        <w:t xml:space="preserve">, </w:t>
      </w:r>
      <w:r>
        <w:rPr>
          <w:rFonts w:eastAsia="Calibri"/>
        </w:rPr>
        <w:t>S-</w:t>
      </w:r>
      <w:r>
        <w:rPr>
          <w:rFonts w:eastAsia="Calibri"/>
        </w:rPr>
        <w:lastRenderedPageBreak/>
        <w:t>impedance</w:t>
      </w:r>
      <w:r w:rsidRPr="00E75C76">
        <w:rPr>
          <w:rFonts w:eastAsia="Calibri"/>
        </w:rPr>
        <w:t xml:space="preserve">, and density. Three key assumptions are made in the algorithm used for this study: 1) </w:t>
      </w:r>
      <w:r w:rsidRPr="00E75C76">
        <w:t>the linearized approximation for reflectivity holds, 2) reflectivity as a function of angle can be approximated by the Aki-Richards equations, and 3) there is a linear relationship between</w:t>
      </w:r>
      <w:r>
        <w:t xml:space="preserve"> the logarithm of</w:t>
      </w:r>
      <w:r w:rsidRPr="00E75C76">
        <w:t xml:space="preserve"> </w:t>
      </w:r>
      <w:r>
        <w:t>P-impedance</w:t>
      </w:r>
      <w:r w:rsidRPr="00E75C76">
        <w:t xml:space="preserve"> and both </w:t>
      </w:r>
      <w:r>
        <w:t>S-impedance</w:t>
      </w:r>
      <w:r w:rsidRPr="00E75C76">
        <w:t xml:space="preserve"> and density </w:t>
      </w:r>
      <w:r w:rsidRPr="00E75C76">
        <w:rPr>
          <w:rFonts w:eastAsia="Calibri"/>
        </w:rPr>
        <w:t>(Hampson et al., 2006)</w:t>
      </w:r>
      <w:r w:rsidRPr="00E75C76">
        <w:t xml:space="preserve">. </w:t>
      </w:r>
      <w:r w:rsidRPr="00E75C76">
        <w:rPr>
          <w:rFonts w:eastAsia="Times New Roman"/>
        </w:rPr>
        <w:t>Several quality control steps were executed to ensure that the results of the inversion are accurate representations of the elastic properties from the seismic and well-log data.</w:t>
      </w:r>
    </w:p>
    <w:p w14:paraId="7251345A" w14:textId="77777777" w:rsidR="00D948FE" w:rsidRPr="00E75C76" w:rsidRDefault="00D948FE" w:rsidP="00D948FE">
      <w:pPr>
        <w:pStyle w:val="Default"/>
        <w:spacing w:line="480" w:lineRule="auto"/>
        <w:ind w:firstLine="720"/>
      </w:pPr>
      <w:r w:rsidRPr="00E75C76">
        <w:rPr>
          <w:rFonts w:eastAsia="Times New Roman"/>
        </w:rPr>
        <w:t>The results of the pre-stack seismic inversion contain additional information about the rock properties of the reservoir and are used to generate the geomechanical properties: Poisson’s Ratio (</w:t>
      </w:r>
      <w:r w:rsidRPr="00056DEA">
        <w:rPr>
          <w:rFonts w:eastAsia="Times New Roman"/>
          <w:i/>
        </w:rPr>
        <w:t>ν</w:t>
      </w:r>
      <w:r w:rsidRPr="00E75C76">
        <w:rPr>
          <w:rFonts w:eastAsia="Times New Roman"/>
        </w:rPr>
        <w:t>) and Young’s Modulus (</w:t>
      </w:r>
      <w:r w:rsidRPr="004933FE">
        <w:rPr>
          <w:rFonts w:eastAsia="Times New Roman"/>
          <w:i/>
        </w:rPr>
        <w:t>E</w:t>
      </w:r>
      <w:r w:rsidRPr="00E75C76">
        <w:rPr>
          <w:rFonts w:eastAsia="Times New Roman"/>
        </w:rPr>
        <w:t>)</w:t>
      </w:r>
      <w:r>
        <w:rPr>
          <w:rFonts w:eastAsia="Times New Roman"/>
        </w:rPr>
        <w:t xml:space="preserve"> </w:t>
      </w:r>
      <w:r>
        <w:t>(Appendix-C3)</w:t>
      </w:r>
      <w:r w:rsidRPr="00E75C76">
        <w:rPr>
          <w:rFonts w:eastAsia="Times New Roman"/>
        </w:rPr>
        <w:t>.</w:t>
      </w:r>
    </w:p>
    <w:p w14:paraId="30524C5E" w14:textId="77777777" w:rsidR="00D948FE" w:rsidRPr="00E75C76" w:rsidRDefault="00D948FE" w:rsidP="00D948FE">
      <w:pPr>
        <w:pStyle w:val="Default"/>
        <w:spacing w:line="480" w:lineRule="auto"/>
        <w:rPr>
          <w:rFonts w:eastAsia="Times New Roman"/>
        </w:rPr>
      </w:pPr>
      <w:r w:rsidRPr="00E75C76">
        <w:rPr>
          <w:rFonts w:eastAsia="Times New Roman"/>
          <w:b/>
        </w:rPr>
        <w:t>Velocity Modeling</w:t>
      </w:r>
    </w:p>
    <w:p w14:paraId="60488CBC" w14:textId="77777777" w:rsidR="00D948FE" w:rsidRPr="00E75C76" w:rsidRDefault="00D948FE" w:rsidP="00D948FE">
      <w:pPr>
        <w:pStyle w:val="Default"/>
        <w:spacing w:line="480" w:lineRule="auto"/>
        <w:ind w:firstLine="720"/>
        <w:rPr>
          <w:rFonts w:eastAsia="Times New Roman"/>
        </w:rPr>
      </w:pPr>
      <w:r w:rsidRPr="00E75C76">
        <w:rPr>
          <w:rFonts w:eastAsia="Times New Roman"/>
        </w:rPr>
        <w:t>The pre-stack inversion results</w:t>
      </w:r>
      <w:r>
        <w:rPr>
          <w:rFonts w:eastAsia="Times New Roman"/>
        </w:rPr>
        <w:t xml:space="preserve"> (P-impedance</w:t>
      </w:r>
      <w:r w:rsidRPr="00E75C76">
        <w:rPr>
          <w:rFonts w:eastAsia="Times New Roman"/>
        </w:rPr>
        <w:t xml:space="preserve">, </w:t>
      </w:r>
      <w:r>
        <w:rPr>
          <w:rFonts w:eastAsia="Times New Roman"/>
        </w:rPr>
        <w:t>S-impedance</w:t>
      </w:r>
      <w:r w:rsidRPr="00E75C76">
        <w:rPr>
          <w:rFonts w:eastAsia="Times New Roman"/>
        </w:rPr>
        <w:t>, density, Poisson’s Ratio, and Young’s Modulus volumes</w:t>
      </w:r>
      <w:r>
        <w:rPr>
          <w:rFonts w:eastAsia="Times New Roman"/>
        </w:rPr>
        <w:t>)</w:t>
      </w:r>
      <w:r w:rsidRPr="00E75C76">
        <w:rPr>
          <w:rFonts w:eastAsia="Times New Roman"/>
        </w:rPr>
        <w:t xml:space="preserve"> were converted from the time to depth domain. This was achieved by building a velocity model using instantaneous velocities from the wells with time-depth relationships (TDR) from the seismic-to-well ties and the seismic time horizons (from base to top): Woodford Shale, Meramec 3 (maximum flooding surface), and Meramec 7. Instantaneous velocity is modeled with depth using a linear equation so that the model layer velocities vary with depth and by stratigraphic zone (Etris et al., 2002)</w:t>
      </w:r>
      <w:r>
        <w:rPr>
          <w:rFonts w:eastAsia="Times New Roman"/>
        </w:rPr>
        <w:t xml:space="preserve"> </w:t>
      </w:r>
      <w:r>
        <w:t>(Appendix-D1)</w:t>
      </w:r>
      <w:r w:rsidRPr="00E75C76">
        <w:rPr>
          <w:rFonts w:eastAsia="Times New Roman"/>
        </w:rPr>
        <w:t>.</w:t>
      </w:r>
    </w:p>
    <w:p w14:paraId="5A4BF94A" w14:textId="77777777" w:rsidR="00D948FE" w:rsidRPr="00E75C76" w:rsidRDefault="00D948FE" w:rsidP="00D948FE">
      <w:pPr>
        <w:pStyle w:val="Default"/>
        <w:spacing w:line="480" w:lineRule="auto"/>
        <w:rPr>
          <w:rFonts w:eastAsia="Times New Roman"/>
        </w:rPr>
      </w:pPr>
      <w:r w:rsidRPr="00E75C76">
        <w:rPr>
          <w:rFonts w:eastAsia="Times New Roman"/>
          <w:b/>
        </w:rPr>
        <w:t>Impedance-Based Lithology and Rock-Type Prediction and Classification</w:t>
      </w:r>
    </w:p>
    <w:p w14:paraId="2FA7626D" w14:textId="77777777" w:rsidR="00D948FE" w:rsidRPr="00DC788E" w:rsidRDefault="00D948FE" w:rsidP="00D948FE">
      <w:pPr>
        <w:spacing w:after="0" w:line="480" w:lineRule="auto"/>
        <w:ind w:firstLine="720"/>
        <w:rPr>
          <w:rFonts w:ascii="Times New Roman" w:eastAsiaTheme="minorEastAsia" w:hAnsi="Times New Roman" w:cs="Times New Roman"/>
          <w:sz w:val="24"/>
          <w:szCs w:val="24"/>
        </w:rPr>
      </w:pPr>
      <w:r w:rsidRPr="0037667C">
        <w:rPr>
          <w:rFonts w:ascii="Times New Roman" w:hAnsi="Times New Roman" w:cs="Times New Roman"/>
          <w:i/>
          <w:noProof/>
          <w:sz w:val="24"/>
          <w:szCs w:val="24"/>
        </w:rPr>
        <mc:AlternateContent>
          <mc:Choice Requires="wps">
            <w:drawing>
              <wp:anchor distT="45720" distB="45720" distL="114300" distR="114300" simplePos="0" relativeHeight="251662336" behindDoc="1" locked="0" layoutInCell="1" allowOverlap="1" wp14:anchorId="10E45BDE" wp14:editId="23A51450">
                <wp:simplePos x="0" y="0"/>
                <wp:positionH relativeFrom="margin">
                  <wp:posOffset>5562600</wp:posOffset>
                </wp:positionH>
                <wp:positionV relativeFrom="paragraph">
                  <wp:posOffset>5894256</wp:posOffset>
                </wp:positionV>
                <wp:extent cx="356235" cy="2749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74955"/>
                        </a:xfrm>
                        <a:prstGeom prst="rect">
                          <a:avLst/>
                        </a:prstGeom>
                        <a:solidFill>
                          <a:srgbClr val="FFFFFF"/>
                        </a:solidFill>
                        <a:ln w="9525">
                          <a:noFill/>
                          <a:miter lim="800000"/>
                          <a:headEnd/>
                          <a:tailEnd/>
                        </a:ln>
                      </wps:spPr>
                      <wps:txbx>
                        <w:txbxContent>
                          <w:p w14:paraId="2E639385" w14:textId="77777777" w:rsidR="00D948FE" w:rsidRDefault="00D948FE" w:rsidP="00D948FE">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45BDE" id="_x0000_s1029" type="#_x0000_t202" style="position:absolute;left:0;text-align:left;margin-left:438pt;margin-top:464.1pt;width:28.05pt;height:21.6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" stroked="f">
                <v:textbox>
                  <w:txbxContent>
                    <w:p w14:paraId="2E639385" w14:textId="77777777" w:rsidR="00D948FE" w:rsidRDefault="00D948FE" w:rsidP="00D948FE">
                      <w:r>
                        <w:t>(4)</w:t>
                      </w:r>
                    </w:p>
                  </w:txbxContent>
                </v:textbox>
                <w10:wrap anchorx="margin"/>
              </v:shape>
            </w:pict>
          </mc:Fallback>
        </mc:AlternateContent>
      </w:r>
      <w:r w:rsidRPr="00E75C76">
        <w:rPr>
          <w:rFonts w:ascii="Times New Roman" w:hAnsi="Times New Roman" w:cs="Times New Roman"/>
          <w:sz w:val="24"/>
          <w:szCs w:val="24"/>
        </w:rPr>
        <w:t xml:space="preserve">Impedance-based lithology and rock-type prediction is a rock physics-based process that was performed to estimate the most probable lithology or rock type, with prediction uncertainty, as they relate to </w:t>
      </w:r>
      <w:r>
        <w:rPr>
          <w:rFonts w:ascii="Times New Roman" w:eastAsiaTheme="minorEastAsia" w:hAnsi="Times New Roman" w:cs="Times New Roman"/>
          <w:sz w:val="24"/>
          <w:szCs w:val="24"/>
        </w:rPr>
        <w:t>P-impedance</w:t>
      </w:r>
      <w:r w:rsidRPr="00E75C76">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S-impedance</w:t>
      </w:r>
      <w:r w:rsidRPr="00E75C76">
        <w:rPr>
          <w:rFonts w:ascii="Times New Roman" w:eastAsiaTheme="minorEastAsia" w:hAnsi="Times New Roman" w:cs="Times New Roman"/>
          <w:sz w:val="24"/>
          <w:szCs w:val="24"/>
        </w:rPr>
        <w:t xml:space="preserve"> (Figure </w:t>
      </w:r>
      <w:r>
        <w:rPr>
          <w:rFonts w:ascii="Times New Roman" w:eastAsiaTheme="minorEastAsia" w:hAnsi="Times New Roman" w:cs="Times New Roman"/>
          <w:sz w:val="24"/>
          <w:szCs w:val="24"/>
        </w:rPr>
        <w:t>5</w:t>
      </w:r>
      <w:r w:rsidRPr="00E75C76">
        <w:rPr>
          <w:rFonts w:ascii="Times New Roman" w:eastAsiaTheme="minorEastAsia" w:hAnsi="Times New Roman" w:cs="Times New Roman"/>
          <w:sz w:val="24"/>
          <w:szCs w:val="24"/>
        </w:rPr>
        <w:t xml:space="preserve">). </w:t>
      </w:r>
      <w:r w:rsidRPr="00E75C76">
        <w:rPr>
          <w:rFonts w:ascii="Times New Roman" w:hAnsi="Times New Roman" w:cs="Times New Roman"/>
          <w:sz w:val="24"/>
          <w:szCs w:val="24"/>
        </w:rPr>
        <w:t xml:space="preserve">Inputs include the lithology and rock-type logs, </w:t>
      </w:r>
      <w:r>
        <w:rPr>
          <w:rFonts w:ascii="Times New Roman" w:eastAsiaTheme="minorEastAsia" w:hAnsi="Times New Roman" w:cs="Times New Roman"/>
          <w:sz w:val="24"/>
          <w:szCs w:val="24"/>
        </w:rPr>
        <w:t>P-impedance</w:t>
      </w:r>
      <w:r w:rsidRPr="00E75C76">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S-impedance</w:t>
      </w:r>
      <w:r w:rsidRPr="00E75C76">
        <w:rPr>
          <w:rFonts w:ascii="Times New Roman" w:hAnsi="Times New Roman" w:cs="Times New Roman"/>
          <w:sz w:val="24"/>
          <w:szCs w:val="24"/>
        </w:rPr>
        <w:t xml:space="preserve"> logs, associated seismic inversion volumes, well-based formation tops, and seismic-depth surfaces. A Bayesian approach involving a Monte Carlo </w:t>
      </w:r>
      <w:r w:rsidRPr="00E75C76">
        <w:rPr>
          <w:rFonts w:ascii="Times New Roman" w:hAnsi="Times New Roman" w:cs="Times New Roman"/>
          <w:sz w:val="24"/>
          <w:szCs w:val="24"/>
        </w:rPr>
        <w:lastRenderedPageBreak/>
        <w:t xml:space="preserve">simulation </w:t>
      </w:r>
      <w:r w:rsidRPr="00E75C76">
        <w:rPr>
          <w:rFonts w:ascii="Times New Roman" w:eastAsiaTheme="minorEastAsia" w:hAnsi="Times New Roman" w:cs="Times New Roman"/>
          <w:sz w:val="24"/>
          <w:szCs w:val="24"/>
        </w:rPr>
        <w:t>allows for the assemblage of initial, or prior, knowledge about a model before the incorporation of seismic attributes (Bachrach et al., 200</w:t>
      </w:r>
      <w:r>
        <w:rPr>
          <w:rFonts w:ascii="Times New Roman" w:eastAsiaTheme="minorEastAsia" w:hAnsi="Times New Roman" w:cs="Times New Roman"/>
          <w:sz w:val="24"/>
          <w:szCs w:val="24"/>
        </w:rPr>
        <w:t>4</w:t>
      </w:r>
      <w:r w:rsidRPr="00E75C76">
        <w:rPr>
          <w:rFonts w:ascii="Times New Roman" w:eastAsiaTheme="minorEastAsia" w:hAnsi="Times New Roman" w:cs="Times New Roman"/>
          <w:sz w:val="24"/>
          <w:szCs w:val="24"/>
        </w:rPr>
        <w:t>) which is defined in this study by the percentages of each lithology or rock type within the formation.</w:t>
      </w:r>
      <w:r w:rsidRPr="00E75C76">
        <w:rPr>
          <w:rFonts w:ascii="Times New Roman" w:hAnsi="Times New Roman" w:cs="Times New Roman"/>
          <w:sz w:val="24"/>
          <w:szCs w:val="24"/>
        </w:rPr>
        <w:t xml:space="preserve"> The prior knowledge is incorporated in the simulation to determine the relationships between lithologies and rock types and elastic well-log properties (</w:t>
      </w:r>
      <w:r>
        <w:rPr>
          <w:rFonts w:ascii="Times New Roman" w:eastAsiaTheme="minorEastAsia" w:hAnsi="Times New Roman" w:cs="Times New Roman"/>
          <w:sz w:val="24"/>
          <w:szCs w:val="24"/>
        </w:rPr>
        <w:t>P-impedance</w:t>
      </w:r>
      <w:r w:rsidRPr="00E75C76">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S-impedance</w:t>
      </w:r>
      <w:r w:rsidRPr="00E75C76">
        <w:rPr>
          <w:rFonts w:ascii="Times New Roman" w:hAnsi="Times New Roman" w:cs="Times New Roman"/>
          <w:sz w:val="24"/>
          <w:szCs w:val="24"/>
        </w:rPr>
        <w:t xml:space="preserve">) resulting in the associated </w:t>
      </w:r>
      <w:r w:rsidRPr="00E75C76">
        <w:rPr>
          <w:rFonts w:ascii="Times New Roman" w:eastAsiaTheme="minorEastAsia" w:hAnsi="Times New Roman" w:cs="Times New Roman"/>
          <w:sz w:val="24"/>
          <w:szCs w:val="24"/>
        </w:rPr>
        <w:t xml:space="preserve">statistical probability density functions (PDFs). </w:t>
      </w:r>
      <w:r>
        <w:rPr>
          <w:rFonts w:ascii="Times New Roman" w:hAnsi="Times New Roman" w:cs="Times New Roman"/>
          <w:sz w:val="24"/>
          <w:szCs w:val="24"/>
        </w:rPr>
        <w:t>P-impedance</w:t>
      </w:r>
      <w:r w:rsidRPr="00E75C76">
        <w:rPr>
          <w:rFonts w:ascii="Times New Roman" w:hAnsi="Times New Roman" w:cs="Times New Roman"/>
          <w:sz w:val="24"/>
          <w:szCs w:val="24"/>
        </w:rPr>
        <w:t xml:space="preserve"> and </w:t>
      </w:r>
      <w:r>
        <w:rPr>
          <w:rFonts w:ascii="Times New Roman" w:hAnsi="Times New Roman" w:cs="Times New Roman"/>
          <w:sz w:val="24"/>
          <w:szCs w:val="24"/>
        </w:rPr>
        <w:t>S-impedance</w:t>
      </w:r>
      <w:r w:rsidRPr="00E75C76">
        <w:rPr>
          <w:rFonts w:ascii="Times New Roman" w:hAnsi="Times New Roman" w:cs="Times New Roman"/>
          <w:sz w:val="24"/>
          <w:szCs w:val="24"/>
        </w:rPr>
        <w:t xml:space="preserve"> logs are chosen as input because </w:t>
      </w:r>
      <w:r>
        <w:rPr>
          <w:rFonts w:ascii="Times New Roman" w:hAnsi="Times New Roman" w:cs="Times New Roman"/>
          <w:sz w:val="24"/>
          <w:szCs w:val="24"/>
        </w:rPr>
        <w:t>P-impedance</w:t>
      </w:r>
      <w:r w:rsidRPr="00E75C76">
        <w:rPr>
          <w:rFonts w:ascii="Times New Roman" w:hAnsi="Times New Roman" w:cs="Times New Roman"/>
          <w:sz w:val="24"/>
          <w:szCs w:val="24"/>
        </w:rPr>
        <w:t xml:space="preserve"> provides information about the porosity and hydrocarbon presence within the rock and </w:t>
      </w:r>
      <w:r>
        <w:rPr>
          <w:rFonts w:ascii="Times New Roman" w:hAnsi="Times New Roman" w:cs="Times New Roman"/>
          <w:sz w:val="24"/>
          <w:szCs w:val="24"/>
        </w:rPr>
        <w:t>S-impedance</w:t>
      </w:r>
      <w:r w:rsidRPr="00E75C76">
        <w:rPr>
          <w:rFonts w:ascii="Times New Roman" w:hAnsi="Times New Roman" w:cs="Times New Roman"/>
          <w:sz w:val="24"/>
          <w:szCs w:val="24"/>
        </w:rPr>
        <w:t xml:space="preserve"> gives clues regarding the lithology without the effects of pore space and fluid. The </w:t>
      </w:r>
      <w:r>
        <w:rPr>
          <w:rFonts w:ascii="Times New Roman" w:hAnsi="Times New Roman" w:cs="Times New Roman"/>
          <w:sz w:val="24"/>
          <w:szCs w:val="24"/>
        </w:rPr>
        <w:t>P-impedance</w:t>
      </w:r>
      <w:r w:rsidRPr="00E75C76">
        <w:rPr>
          <w:rFonts w:ascii="Times New Roman" w:hAnsi="Times New Roman" w:cs="Times New Roman"/>
          <w:sz w:val="24"/>
          <w:szCs w:val="24"/>
        </w:rPr>
        <w:t xml:space="preserve"> is calculated from the density and synthetic compressional sonic logs (DTC), and the </w:t>
      </w:r>
      <w:r>
        <w:rPr>
          <w:rFonts w:ascii="Times New Roman" w:hAnsi="Times New Roman" w:cs="Times New Roman"/>
          <w:sz w:val="24"/>
          <w:szCs w:val="24"/>
        </w:rPr>
        <w:t>S-impedance</w:t>
      </w:r>
      <w:r w:rsidRPr="00E75C76">
        <w:rPr>
          <w:rFonts w:ascii="Times New Roman" w:hAnsi="Times New Roman" w:cs="Times New Roman"/>
          <w:sz w:val="24"/>
          <w:szCs w:val="24"/>
        </w:rPr>
        <w:t xml:space="preserve"> log is calculated using the following equation for s-wave velocity derived from core velocity measurements (</w:t>
      </w:r>
      <w:r>
        <w:rPr>
          <w:rFonts w:ascii="Times New Roman" w:hAnsi="Times New Roman" w:cs="Times New Roman"/>
          <w:sz w:val="24"/>
          <w:szCs w:val="24"/>
        </w:rPr>
        <w:t>J. Fu, S. Dang, and H. Han</w:t>
      </w:r>
      <w:r w:rsidRPr="00E75C76">
        <w:rPr>
          <w:rFonts w:ascii="Times New Roman" w:hAnsi="Times New Roman" w:cs="Times New Roman"/>
          <w:sz w:val="24"/>
          <w:szCs w:val="24"/>
        </w:rPr>
        <w:t>, 2019</w:t>
      </w:r>
      <w:r>
        <w:rPr>
          <w:rFonts w:ascii="Times New Roman" w:hAnsi="Times New Roman" w:cs="Times New Roman"/>
          <w:sz w:val="24"/>
          <w:szCs w:val="24"/>
        </w:rPr>
        <w:t>, personal communication</w:t>
      </w:r>
      <w:r w:rsidRPr="00E75C76">
        <w:rPr>
          <w:rFonts w:ascii="Times New Roman" w:hAnsi="Times New Roman" w:cs="Times New Roman"/>
          <w:sz w:val="24"/>
          <w:szCs w:val="24"/>
        </w:rPr>
        <w:t>):</w:t>
      </w:r>
    </w:p>
    <w:p w14:paraId="4377C192" w14:textId="77777777" w:rsidR="00D948FE" w:rsidRPr="00DC788E" w:rsidRDefault="00D948FE" w:rsidP="00D948FE">
      <w:pPr>
        <w:spacing w:after="0" w:line="480" w:lineRule="auto"/>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  V</m:t>
              </m:r>
            </m:e>
            <m:sub>
              <m:r>
                <w:rPr>
                  <w:rFonts w:ascii="Cambria Math" w:hAnsi="Cambria Math" w:cs="Times New Roman"/>
                  <w:sz w:val="24"/>
                  <w:szCs w:val="24"/>
                </w:rPr>
                <m:t>s</m:t>
              </m:r>
            </m:sub>
          </m:sSub>
          <m:r>
            <w:rPr>
              <w:rFonts w:ascii="Cambria Math" w:hAnsi="Cambria Math" w:cs="Times New Roman"/>
              <w:sz w:val="24"/>
              <w:szCs w:val="24"/>
            </w:rPr>
            <m:t>=1.29+0.35*</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r>
            <w:rPr>
              <w:rFonts w:ascii="Cambria Math" w:hAnsi="Cambria Math" w:cs="Times New Roman"/>
              <w:sz w:val="24"/>
              <w:szCs w:val="24"/>
            </w:rPr>
            <m:t>,</m:t>
          </m:r>
        </m:oMath>
      </m:oMathPara>
    </w:p>
    <w:p w14:paraId="6449CCF0" w14:textId="77777777" w:rsidR="00D948FE" w:rsidRPr="00E75C76" w:rsidRDefault="00D948FE" w:rsidP="00D948FE">
      <w:pPr>
        <w:pStyle w:val="Default"/>
        <w:spacing w:line="480" w:lineRule="auto"/>
        <w:rPr>
          <w:rFonts w:eastAsia="Times New Roman"/>
        </w:rPr>
      </w:pPr>
      <w:r w:rsidRPr="00E75C76">
        <w:rPr>
          <w:rFonts w:eastAsia="Times New Roman"/>
        </w:rPr>
        <w:t>where:</w:t>
      </w:r>
    </w:p>
    <w:p w14:paraId="7E47F74A" w14:textId="77777777" w:rsidR="00D948FE" w:rsidRPr="00E75C76" w:rsidRDefault="00D948FE" w:rsidP="00D948FE">
      <w:pPr>
        <w:autoSpaceDE w:val="0"/>
        <w:autoSpaceDN w:val="0"/>
        <w:adjustRightInd w:val="0"/>
        <w:spacing w:after="0" w:line="480" w:lineRule="auto"/>
        <w:jc w:val="center"/>
        <w:rPr>
          <w:rFonts w:ascii="Times New Roman" w:hAnsi="Times New Roman" w:cs="Times New Roman"/>
          <w:sz w:val="24"/>
          <w:szCs w:val="24"/>
        </w:rPr>
      </w:pPr>
      <w:r w:rsidRPr="00E75C76">
        <w:rPr>
          <w:rFonts w:ascii="Times New Roman" w:hAnsi="Times New Roman" w:cs="Times New Roman"/>
          <w:i/>
          <w:sz w:val="24"/>
          <w:szCs w:val="24"/>
        </w:rPr>
        <w:t>V</w:t>
      </w:r>
      <w:r w:rsidRPr="00E75C76">
        <w:rPr>
          <w:rFonts w:ascii="Times New Roman" w:hAnsi="Times New Roman" w:cs="Times New Roman"/>
          <w:i/>
          <w:sz w:val="24"/>
          <w:szCs w:val="24"/>
          <w:vertAlign w:val="subscript"/>
        </w:rPr>
        <w:t xml:space="preserve">s </w:t>
      </w:r>
      <w:r w:rsidRPr="00E75C76">
        <w:rPr>
          <w:rFonts w:ascii="Times New Roman" w:hAnsi="Times New Roman" w:cs="Times New Roman"/>
          <w:sz w:val="24"/>
          <w:szCs w:val="24"/>
        </w:rPr>
        <w:t>= s-wave velocity</w:t>
      </w:r>
    </w:p>
    <w:p w14:paraId="29E6C580" w14:textId="77777777" w:rsidR="00D948FE" w:rsidRPr="00E75C76" w:rsidRDefault="00D948FE" w:rsidP="00D948FE">
      <w:pPr>
        <w:autoSpaceDE w:val="0"/>
        <w:autoSpaceDN w:val="0"/>
        <w:adjustRightInd w:val="0"/>
        <w:spacing w:after="0" w:line="480" w:lineRule="auto"/>
        <w:jc w:val="center"/>
        <w:rPr>
          <w:rFonts w:ascii="Times New Roman" w:hAnsi="Times New Roman" w:cs="Times New Roman"/>
          <w:sz w:val="24"/>
          <w:szCs w:val="24"/>
        </w:rPr>
      </w:pPr>
      <w:r w:rsidRPr="00E75C76">
        <w:rPr>
          <w:rFonts w:ascii="Times New Roman" w:hAnsi="Times New Roman" w:cs="Times New Roman"/>
          <w:i/>
          <w:sz w:val="24"/>
          <w:szCs w:val="24"/>
        </w:rPr>
        <w:t>V</w:t>
      </w:r>
      <w:r w:rsidRPr="00E75C76">
        <w:rPr>
          <w:rFonts w:ascii="Times New Roman" w:hAnsi="Times New Roman" w:cs="Times New Roman"/>
          <w:i/>
          <w:sz w:val="24"/>
          <w:szCs w:val="24"/>
          <w:vertAlign w:val="subscript"/>
        </w:rPr>
        <w:t xml:space="preserve">p </w:t>
      </w:r>
      <w:r w:rsidRPr="00E75C76">
        <w:rPr>
          <w:rFonts w:ascii="Times New Roman" w:hAnsi="Times New Roman" w:cs="Times New Roman"/>
          <w:sz w:val="24"/>
          <w:szCs w:val="24"/>
        </w:rPr>
        <w:t>= p-wave velocity</w:t>
      </w:r>
      <w:r>
        <w:rPr>
          <w:rFonts w:ascii="Times New Roman" w:hAnsi="Times New Roman" w:cs="Times New Roman"/>
          <w:sz w:val="24"/>
          <w:szCs w:val="24"/>
        </w:rPr>
        <w:t>.</w:t>
      </w:r>
    </w:p>
    <w:p w14:paraId="15337D78" w14:textId="77777777" w:rsidR="00D948FE" w:rsidRPr="00E75C76" w:rsidRDefault="00D948FE" w:rsidP="00D948FE">
      <w:pPr>
        <w:spacing w:after="0" w:line="480" w:lineRule="auto"/>
        <w:ind w:firstLine="720"/>
        <w:rPr>
          <w:rFonts w:ascii="Times New Roman" w:eastAsiaTheme="minorEastAsia" w:hAnsi="Times New Roman" w:cs="Times New Roman"/>
          <w:sz w:val="24"/>
          <w:szCs w:val="24"/>
        </w:rPr>
      </w:pPr>
      <w:r w:rsidRPr="00E75C76">
        <w:rPr>
          <w:rFonts w:ascii="Times New Roman" w:eastAsiaTheme="minorEastAsia" w:hAnsi="Times New Roman" w:cs="Times New Roman"/>
          <w:sz w:val="24"/>
          <w:szCs w:val="24"/>
        </w:rPr>
        <w:t xml:space="preserve">The results of the impedance-based lithology and rock-type predictions are used to generate lithology and rock-type probability volumes and one classification volume each for lithology and rock type (3D property volumes) by applying the statistical PDFs to the </w:t>
      </w:r>
      <w:r>
        <w:rPr>
          <w:rFonts w:ascii="Times New Roman" w:eastAsiaTheme="minorEastAsia" w:hAnsi="Times New Roman" w:cs="Times New Roman"/>
          <w:sz w:val="24"/>
          <w:szCs w:val="24"/>
        </w:rPr>
        <w:t>P-impedance</w:t>
      </w:r>
      <w:r w:rsidRPr="00E75C76">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S-impedance</w:t>
      </w:r>
      <w:r w:rsidRPr="00E75C76">
        <w:rPr>
          <w:rFonts w:ascii="Times New Roman" w:eastAsiaTheme="minorEastAsia" w:hAnsi="Times New Roman" w:cs="Times New Roman"/>
          <w:sz w:val="24"/>
          <w:szCs w:val="24"/>
        </w:rPr>
        <w:t xml:space="preserve"> seismic volumes. The most-likely lithology or rock type is chosen by using the maximum a priori rule (Kay, 1993) on the inversion data, as the different data at one point is collected into a sample vector where all PDFs for the different lithologies and rock types are evaluated and the PDF that is the largest for this vector is chosen as the predicted lithology or </w:t>
      </w:r>
      <w:r w:rsidRPr="00E75C76">
        <w:rPr>
          <w:rFonts w:ascii="Times New Roman" w:eastAsiaTheme="minorEastAsia" w:hAnsi="Times New Roman" w:cs="Times New Roman"/>
          <w:sz w:val="24"/>
          <w:szCs w:val="24"/>
        </w:rPr>
        <w:lastRenderedPageBreak/>
        <w:t>rock type for that point (Bachrach et al., 200</w:t>
      </w:r>
      <w:r>
        <w:rPr>
          <w:rFonts w:ascii="Times New Roman" w:eastAsiaTheme="minorEastAsia" w:hAnsi="Times New Roman" w:cs="Times New Roman"/>
          <w:sz w:val="24"/>
          <w:szCs w:val="24"/>
        </w:rPr>
        <w:t>4</w:t>
      </w:r>
      <w:r w:rsidRPr="00E75C76">
        <w:rPr>
          <w:rFonts w:ascii="Times New Roman" w:eastAsiaTheme="minorEastAsia" w:hAnsi="Times New Roman" w:cs="Times New Roman"/>
          <w:sz w:val="24"/>
          <w:szCs w:val="24"/>
        </w:rPr>
        <w:t>). For the lithology model, the impedance-based lithology prediction workflow was performed separately for the Meramec interval above and interval below the maximum flooding surface due to differences in the percentages of lithologies for those intervals.</w:t>
      </w:r>
    </w:p>
    <w:p w14:paraId="73612062" w14:textId="77777777" w:rsidR="00D948FE" w:rsidRPr="00E75C76" w:rsidRDefault="00D948FE" w:rsidP="00D948FE">
      <w:pPr>
        <w:spacing w:after="0" w:line="48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3D</w:t>
      </w:r>
      <w:r w:rsidRPr="00E75C76">
        <w:rPr>
          <w:rFonts w:ascii="Times New Roman" w:eastAsiaTheme="minorEastAsia" w:hAnsi="Times New Roman" w:cs="Times New Roman"/>
          <w:b/>
          <w:sz w:val="24"/>
          <w:szCs w:val="24"/>
        </w:rPr>
        <w:t xml:space="preserve"> Reservoir Modeling</w:t>
      </w:r>
    </w:p>
    <w:p w14:paraId="70244DDA"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For the Meramec, lithology and rock-type models (30 realizations each) were generated to assess their variability and the associated variability of porosity, water saturation, pore volume, and hydrocarbon pore volume (HCPV). A faulted </w:t>
      </w:r>
      <w:r>
        <w:rPr>
          <w:rFonts w:ascii="Times New Roman" w:hAnsi="Times New Roman" w:cs="Times New Roman"/>
          <w:sz w:val="24"/>
          <w:szCs w:val="24"/>
        </w:rPr>
        <w:t>3D</w:t>
      </w:r>
      <w:r w:rsidRPr="00E75C76">
        <w:rPr>
          <w:rFonts w:ascii="Times New Roman" w:hAnsi="Times New Roman" w:cs="Times New Roman"/>
          <w:sz w:val="24"/>
          <w:szCs w:val="24"/>
        </w:rPr>
        <w:t xml:space="preserve"> reservoir model grid was generated by incorporating the stratigraphic surfaces (structure-contour maps) established from the interpreted formation seismic horizons, well tops, interpreted fault surfaces, and their associated vertical offsets (Figure 7). The </w:t>
      </w:r>
      <w:r>
        <w:rPr>
          <w:rFonts w:ascii="Times New Roman" w:hAnsi="Times New Roman" w:cs="Times New Roman"/>
          <w:sz w:val="24"/>
          <w:szCs w:val="24"/>
        </w:rPr>
        <w:t>3D</w:t>
      </w:r>
      <w:r w:rsidRPr="00E75C76">
        <w:rPr>
          <w:rFonts w:ascii="Times New Roman" w:hAnsi="Times New Roman" w:cs="Times New Roman"/>
          <w:sz w:val="24"/>
          <w:szCs w:val="24"/>
        </w:rPr>
        <w:t xml:space="preserve"> grid covers an area ~36 mi</w:t>
      </w:r>
      <w:r w:rsidRPr="00E75C76">
        <w:rPr>
          <w:rFonts w:ascii="Times New Roman" w:hAnsi="Times New Roman" w:cs="Times New Roman"/>
          <w:sz w:val="24"/>
          <w:szCs w:val="24"/>
          <w:vertAlign w:val="superscript"/>
        </w:rPr>
        <w:t>2</w:t>
      </w:r>
      <w:r w:rsidRPr="00E75C76">
        <w:rPr>
          <w:rFonts w:ascii="Times New Roman" w:hAnsi="Times New Roman" w:cs="Times New Roman"/>
          <w:sz w:val="24"/>
          <w:szCs w:val="24"/>
        </w:rPr>
        <w:t xml:space="preserve"> (~60 km</w:t>
      </w:r>
      <w:r w:rsidRPr="00E75C76">
        <w:rPr>
          <w:rFonts w:ascii="Times New Roman" w:hAnsi="Times New Roman" w:cs="Times New Roman"/>
          <w:sz w:val="24"/>
          <w:szCs w:val="24"/>
          <w:vertAlign w:val="superscript"/>
        </w:rPr>
        <w:t xml:space="preserve"> 2</w:t>
      </w:r>
      <w:r w:rsidRPr="00E75C76">
        <w:rPr>
          <w:rFonts w:ascii="Times New Roman" w:hAnsi="Times New Roman" w:cs="Times New Roman"/>
          <w:sz w:val="24"/>
          <w:szCs w:val="24"/>
        </w:rPr>
        <w:t xml:space="preserve">). The aerial cell dimensions correspond to the seismic bin size of 110 ft x 110 ft (33.5 m x 33.5 m) with an approximate layer thickness of 2 ft (0.6 m). The grid is comprised of 288 x 283 x 185 cells in the I, J, and K directions, respectively, resulting in 16,056,288 cells with a proportional layering scheme. The </w:t>
      </w:r>
      <w:r>
        <w:rPr>
          <w:rFonts w:ascii="Times New Roman" w:hAnsi="Times New Roman" w:cs="Times New Roman"/>
          <w:sz w:val="24"/>
          <w:szCs w:val="24"/>
        </w:rPr>
        <w:t>3D</w:t>
      </w:r>
      <w:r w:rsidRPr="00E75C76">
        <w:rPr>
          <w:rFonts w:ascii="Times New Roman" w:hAnsi="Times New Roman" w:cs="Times New Roman"/>
          <w:sz w:val="24"/>
          <w:szCs w:val="24"/>
        </w:rPr>
        <w:t xml:space="preserve"> model grid was generated as a representation of the structural and stratigraphic framework of the Meramec.</w:t>
      </w:r>
    </w:p>
    <w:p w14:paraId="3BCBA6F2"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To constrain the spatial distribution of lithologies and rock-types, well logs and the lithology volumes derived from the impedance-based lithology prediction process were used to derive vertical and horizontal variograms, respectively, for each of the lithologies and rock types. Vertical variograms were created using the lithology and rock-type logs. The classification volumes representing the most-likely lithology or rock type were resampled to the 3D model grid and converted into corresponding discrete property models. The discretized lithology and rock-type models were then used to generate horizontal variograms for each property by zone. The </w:t>
      </w:r>
      <w:r w:rsidRPr="00E75C76">
        <w:rPr>
          <w:rFonts w:ascii="Times New Roman" w:hAnsi="Times New Roman" w:cs="Times New Roman"/>
          <w:sz w:val="24"/>
          <w:szCs w:val="24"/>
        </w:rPr>
        <w:lastRenderedPageBreak/>
        <w:t>probability volumes for each facies were used to generate variogram maps to estimate the major and minor range azimuths. For total porosity and water saturation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modeling, the corresponding logs were used to determine the vertical variogram ranges, and appropriate horizontal variogram ranges were approximated for the major and minor directions. </w:t>
      </w:r>
    </w:p>
    <w:p w14:paraId="0ED06A68" w14:textId="77777777" w:rsidR="00D948FE" w:rsidRPr="00E75C76" w:rsidRDefault="00D948FE" w:rsidP="00D948F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3D</w:t>
      </w:r>
      <w:r w:rsidRPr="00E75C76">
        <w:rPr>
          <w:rFonts w:ascii="Times New Roman" w:hAnsi="Times New Roman" w:cs="Times New Roman"/>
          <w:sz w:val="24"/>
          <w:szCs w:val="24"/>
        </w:rPr>
        <w:t xml:space="preserve"> lithology and rock-type models were generated using sequential-indicator simulation (SIS) to represent their spatial variability within the Meramec. The models are constrained by: 1) the stratigraphic and structural framework (faulted </w:t>
      </w:r>
      <w:r>
        <w:rPr>
          <w:rFonts w:ascii="Times New Roman" w:hAnsi="Times New Roman" w:cs="Times New Roman"/>
          <w:sz w:val="24"/>
          <w:szCs w:val="24"/>
        </w:rPr>
        <w:t>3D</w:t>
      </w:r>
      <w:r w:rsidRPr="00E75C76">
        <w:rPr>
          <w:rFonts w:ascii="Times New Roman" w:hAnsi="Times New Roman" w:cs="Times New Roman"/>
          <w:sz w:val="24"/>
          <w:szCs w:val="24"/>
        </w:rPr>
        <w:t xml:space="preserve"> grid), 2) upscaled lithology and rock-type logs, 3) variogram parameters by zone, 4) lithology and rock-type percentages by zone, and 5) seismic impedance-based lithology and rock-type probability volumes. The logs were upscaled to the </w:t>
      </w:r>
      <w:r>
        <w:rPr>
          <w:rFonts w:ascii="Times New Roman" w:hAnsi="Times New Roman" w:cs="Times New Roman"/>
          <w:sz w:val="24"/>
          <w:szCs w:val="24"/>
        </w:rPr>
        <w:t>3D</w:t>
      </w:r>
      <w:r w:rsidRPr="00E75C76">
        <w:rPr>
          <w:rFonts w:ascii="Times New Roman" w:hAnsi="Times New Roman" w:cs="Times New Roman"/>
          <w:sz w:val="24"/>
          <w:szCs w:val="24"/>
        </w:rPr>
        <w:t xml:space="preserve"> model grid by assigning a cell a single lithology or rock-type class based on the most abundant lithology or rock type within the cell. The lithology and rock-type percentages by zone were obtained from the upscaled logs. </w:t>
      </w:r>
    </w:p>
    <w:p w14:paraId="6C8EDF1C"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Two </w:t>
      </w:r>
      <w:r>
        <w:rPr>
          <w:rFonts w:ascii="Times New Roman" w:hAnsi="Times New Roman" w:cs="Times New Roman"/>
          <w:sz w:val="24"/>
          <w:szCs w:val="24"/>
        </w:rPr>
        <w:t>3D</w:t>
      </w:r>
      <w:r w:rsidRPr="00E75C76">
        <w:rPr>
          <w:rFonts w:ascii="Times New Roman" w:hAnsi="Times New Roman" w:cs="Times New Roman"/>
          <w:sz w:val="24"/>
          <w:szCs w:val="24"/>
        </w:rPr>
        <w:t xml:space="preserve"> porosity models were generated to analyze the spatial distribution of total porosity (PHI</w:t>
      </w:r>
      <w:r w:rsidRPr="00E75C76">
        <w:rPr>
          <w:rFonts w:ascii="Times New Roman" w:hAnsi="Times New Roman" w:cs="Times New Roman"/>
          <w:sz w:val="24"/>
          <w:szCs w:val="24"/>
          <w:vertAlign w:val="subscript"/>
        </w:rPr>
        <w:t>Tot</w:t>
      </w:r>
      <w:r w:rsidRPr="00E75C76">
        <w:rPr>
          <w:rFonts w:ascii="Times New Roman" w:hAnsi="Times New Roman" w:cs="Times New Roman"/>
          <w:sz w:val="24"/>
          <w:szCs w:val="24"/>
        </w:rPr>
        <w:t xml:space="preserve">). The lithology-based porosity model was generated using sequential-Gaussian simulation (SGS) with the following modeling constraints: 1) </w:t>
      </w:r>
      <w:r>
        <w:rPr>
          <w:rFonts w:ascii="Times New Roman" w:hAnsi="Times New Roman" w:cs="Times New Roman"/>
          <w:sz w:val="24"/>
          <w:szCs w:val="24"/>
        </w:rPr>
        <w:t>3D</w:t>
      </w:r>
      <w:r w:rsidRPr="00E75C76">
        <w:rPr>
          <w:rFonts w:ascii="Times New Roman" w:hAnsi="Times New Roman" w:cs="Times New Roman"/>
          <w:sz w:val="24"/>
          <w:szCs w:val="24"/>
        </w:rPr>
        <w:t xml:space="preserve"> lithology model, 2) upscaled PHI</w:t>
      </w:r>
      <w:r w:rsidRPr="00E75C76">
        <w:rPr>
          <w:rFonts w:ascii="Times New Roman" w:hAnsi="Times New Roman" w:cs="Times New Roman"/>
          <w:sz w:val="24"/>
          <w:szCs w:val="24"/>
          <w:vertAlign w:val="subscript"/>
        </w:rPr>
        <w:t xml:space="preserve">Tot </w:t>
      </w:r>
      <w:r w:rsidRPr="00E75C76">
        <w:rPr>
          <w:rFonts w:ascii="Times New Roman" w:hAnsi="Times New Roman" w:cs="Times New Roman"/>
          <w:sz w:val="24"/>
          <w:szCs w:val="24"/>
        </w:rPr>
        <w:t xml:space="preserve">logs biased to the lithology logs using an arithmetic mean, 3) porosity histograms by zone and lithology, and 4) variogram parameters by zone and lithology. The rock type-based porosity model was similarly generated using SGS with the following modeling constraints: 1) </w:t>
      </w:r>
      <w:r>
        <w:rPr>
          <w:rFonts w:ascii="Times New Roman" w:hAnsi="Times New Roman" w:cs="Times New Roman"/>
          <w:sz w:val="24"/>
          <w:szCs w:val="24"/>
        </w:rPr>
        <w:t>3D</w:t>
      </w:r>
      <w:r w:rsidRPr="00E75C76">
        <w:rPr>
          <w:rFonts w:ascii="Times New Roman" w:hAnsi="Times New Roman" w:cs="Times New Roman"/>
          <w:sz w:val="24"/>
          <w:szCs w:val="24"/>
        </w:rPr>
        <w:t xml:space="preserve"> rock-type model, 2) upscaled PHI</w:t>
      </w:r>
      <w:r w:rsidRPr="00E75C76">
        <w:rPr>
          <w:rFonts w:ascii="Times New Roman" w:hAnsi="Times New Roman" w:cs="Times New Roman"/>
          <w:sz w:val="24"/>
          <w:szCs w:val="24"/>
          <w:vertAlign w:val="subscript"/>
        </w:rPr>
        <w:t xml:space="preserve">Tot </w:t>
      </w:r>
      <w:r w:rsidRPr="00E75C76">
        <w:rPr>
          <w:rFonts w:ascii="Times New Roman" w:hAnsi="Times New Roman" w:cs="Times New Roman"/>
          <w:sz w:val="24"/>
          <w:szCs w:val="24"/>
        </w:rPr>
        <w:t>logs biased to the rock-type logs using an arithmetic mean, 3) porosity histograms by zone and rock type, and 4) variogram parameters by zone and rock type.</w:t>
      </w:r>
    </w:p>
    <w:p w14:paraId="40123261"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Two </w:t>
      </w:r>
      <w:r>
        <w:rPr>
          <w:rFonts w:ascii="Times New Roman" w:hAnsi="Times New Roman" w:cs="Times New Roman"/>
          <w:sz w:val="24"/>
          <w:szCs w:val="24"/>
        </w:rPr>
        <w:t>3D</w:t>
      </w:r>
      <w:r w:rsidRPr="00E75C76">
        <w:rPr>
          <w:rFonts w:ascii="Times New Roman" w:hAnsi="Times New Roman" w:cs="Times New Roman"/>
          <w:sz w:val="24"/>
          <w:szCs w:val="24"/>
        </w:rPr>
        <w:t xml:space="preserve"> water saturation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models were generated to evaluate the spatial distribution of water saturation. Miller (2019) calculated the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logs using the basic Archie equation with parameters derived fr</w:t>
      </w:r>
      <w:r>
        <w:rPr>
          <w:rFonts w:ascii="Times New Roman" w:hAnsi="Times New Roman" w:cs="Times New Roman"/>
          <w:sz w:val="24"/>
          <w:szCs w:val="24"/>
        </w:rPr>
        <w:t>om core and lab measurements (A</w:t>
      </w:r>
      <w:r w:rsidRPr="00E75C76">
        <w:rPr>
          <w:rFonts w:ascii="Times New Roman" w:hAnsi="Times New Roman" w:cs="Times New Roman"/>
          <w:sz w:val="24"/>
          <w:szCs w:val="24"/>
        </w:rPr>
        <w:t xml:space="preserve">li Tinni, 2019, personal communication), </w:t>
      </w:r>
      <w:r w:rsidRPr="00E75C76">
        <w:rPr>
          <w:rFonts w:ascii="Times New Roman" w:hAnsi="Times New Roman" w:cs="Times New Roman"/>
          <w:sz w:val="24"/>
          <w:szCs w:val="24"/>
        </w:rPr>
        <w:lastRenderedPageBreak/>
        <w:t>resistivity logs, and PHI</w:t>
      </w:r>
      <w:r w:rsidRPr="00E75C76">
        <w:rPr>
          <w:rFonts w:ascii="Times New Roman" w:hAnsi="Times New Roman" w:cs="Times New Roman"/>
          <w:sz w:val="24"/>
          <w:szCs w:val="24"/>
          <w:vertAlign w:val="subscript"/>
        </w:rPr>
        <w:t xml:space="preserve">Tot </w:t>
      </w:r>
      <w:r w:rsidRPr="00E75C76">
        <w:rPr>
          <w:rFonts w:ascii="Times New Roman" w:hAnsi="Times New Roman" w:cs="Times New Roman"/>
          <w:sz w:val="24"/>
          <w:szCs w:val="24"/>
        </w:rPr>
        <w:t>logs</w:t>
      </w:r>
      <w:r w:rsidRPr="00E75C76">
        <w:rPr>
          <w:rFonts w:ascii="Times New Roman" w:hAnsi="Times New Roman" w:cs="Times New Roman"/>
          <w:sz w:val="24"/>
          <w:szCs w:val="24"/>
          <w:vertAlign w:val="subscript"/>
        </w:rPr>
        <w:t xml:space="preserve">. </w:t>
      </w:r>
      <w:r w:rsidRPr="00E75C76">
        <w:rPr>
          <w:rFonts w:ascii="Times New Roman" w:hAnsi="Times New Roman" w:cs="Times New Roman"/>
          <w:sz w:val="24"/>
          <w:szCs w:val="24"/>
        </w:rPr>
        <w:t>The lithology-based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model was generated using SGS and constrained to: 1) the </w:t>
      </w:r>
      <w:r>
        <w:rPr>
          <w:rFonts w:ascii="Times New Roman" w:hAnsi="Times New Roman" w:cs="Times New Roman"/>
          <w:sz w:val="24"/>
          <w:szCs w:val="24"/>
        </w:rPr>
        <w:t>3D</w:t>
      </w:r>
      <w:r w:rsidRPr="00E75C76">
        <w:rPr>
          <w:rFonts w:ascii="Times New Roman" w:hAnsi="Times New Roman" w:cs="Times New Roman"/>
          <w:sz w:val="24"/>
          <w:szCs w:val="24"/>
        </w:rPr>
        <w:t xml:space="preserve"> lithology model, 2) upscaled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logs (biased to lithology),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histograms by zone and lithology, and variogram parameters by zone and lithology. Additionally, the rock type-based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model was generated using SGS and constrained to: 1) the </w:t>
      </w:r>
      <w:r>
        <w:rPr>
          <w:rFonts w:ascii="Times New Roman" w:hAnsi="Times New Roman" w:cs="Times New Roman"/>
          <w:sz w:val="24"/>
          <w:szCs w:val="24"/>
        </w:rPr>
        <w:t>3D</w:t>
      </w:r>
      <w:r w:rsidRPr="00E75C76">
        <w:rPr>
          <w:rFonts w:ascii="Times New Roman" w:hAnsi="Times New Roman" w:cs="Times New Roman"/>
          <w:sz w:val="24"/>
          <w:szCs w:val="24"/>
        </w:rPr>
        <w:t xml:space="preserve"> rock type model, 2) upscaled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logs (biased to rock type),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histograms by zone and rock type, and variogram parameters by zone and rock type.  </w:t>
      </w:r>
    </w:p>
    <w:p w14:paraId="15237ACC"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ab/>
        <w:t>Geomechanical property models, Poisson’s Ratio (</w:t>
      </w:r>
      <w:r w:rsidRPr="00056DEA">
        <w:rPr>
          <w:rFonts w:ascii="Times New Roman" w:hAnsi="Times New Roman" w:cs="Times New Roman"/>
          <w:i/>
          <w:sz w:val="24"/>
          <w:szCs w:val="24"/>
        </w:rPr>
        <w:t>ν</w:t>
      </w:r>
      <w:r w:rsidRPr="00E75C76">
        <w:rPr>
          <w:rFonts w:ascii="Times New Roman" w:hAnsi="Times New Roman" w:cs="Times New Roman"/>
          <w:sz w:val="24"/>
          <w:szCs w:val="24"/>
        </w:rPr>
        <w:t>) and Young’s Modulus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were generated directly by resampling the depth-converted, inversion-derived Poisson’s Ratio and Young’s Modulus volumes to the </w:t>
      </w:r>
      <w:r>
        <w:rPr>
          <w:rFonts w:ascii="Times New Roman" w:hAnsi="Times New Roman" w:cs="Times New Roman"/>
          <w:sz w:val="24"/>
          <w:szCs w:val="24"/>
        </w:rPr>
        <w:t>3D</w:t>
      </w:r>
      <w:r w:rsidRPr="00E75C76">
        <w:rPr>
          <w:rFonts w:ascii="Times New Roman" w:hAnsi="Times New Roman" w:cs="Times New Roman"/>
          <w:sz w:val="24"/>
          <w:szCs w:val="24"/>
        </w:rPr>
        <w:t xml:space="preserve"> grid. The distribution of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and E values throughout the Meramec in the study area was evaluated, and relative cutoffs were applied to both properties discretizing them into ductile, intermediate, and brittle facies. For Poisson’s Ratio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distinct cutoffs generated the following three properties: 1) high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(ductile), 2) intermediate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and 3.) low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(brittle). Poisson’s Ratio is associated with the strength of a rock. Hence, the low values of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indicate rocks that would be easier to break and vice versa. The high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rocks include all values of Poisson’s Ratio &gt;0.27, and the low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group includes all values &lt;=0.23. For Young’s Modulus (E), the discretized properties include: 1) low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(ductile), 2) intermediate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and 3) high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(brittle). Considering Young’s Modulus is a measure of the stiffness of a rock low values are associated with easily conformable, ductile material. The low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rocks include all values of Young’s Modulus &lt;40, and the high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facies encompasses all values &gt;= to 52. Geomechanical facies proportion maps per zone were generated to compare the percentages of the geomechanical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and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rocks within each of the Meramec zones.</w:t>
      </w:r>
    </w:p>
    <w:p w14:paraId="0D2AA97F"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Volumetrics</w:t>
      </w:r>
    </w:p>
    <w:p w14:paraId="38B52842"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lastRenderedPageBreak/>
        <w:t xml:space="preserve">To assess the range of uncertainty associated with the pore volume and hydrocarbon pore volume (HCPV) of the </w:t>
      </w:r>
      <w:r>
        <w:rPr>
          <w:rFonts w:ascii="Times New Roman" w:hAnsi="Times New Roman" w:cs="Times New Roman"/>
          <w:sz w:val="24"/>
          <w:szCs w:val="24"/>
        </w:rPr>
        <w:t>3D</w:t>
      </w:r>
      <w:r w:rsidRPr="00E75C76">
        <w:rPr>
          <w:rFonts w:ascii="Times New Roman" w:hAnsi="Times New Roman" w:cs="Times New Roman"/>
          <w:sz w:val="24"/>
          <w:szCs w:val="24"/>
        </w:rPr>
        <w:t xml:space="preserve"> lithology and rock-type models, multiple realizations are executed, and the range of values evaluated. The volumetric uncertainty analysis was performed for the lithology- and rock-type-constrained PHI</w:t>
      </w:r>
      <w:r w:rsidRPr="00E75C76">
        <w:rPr>
          <w:rFonts w:ascii="Times New Roman" w:hAnsi="Times New Roman" w:cs="Times New Roman"/>
          <w:sz w:val="24"/>
          <w:szCs w:val="24"/>
          <w:vertAlign w:val="subscript"/>
        </w:rPr>
        <w:t xml:space="preserve">Tot </w:t>
      </w:r>
      <w:r w:rsidRPr="00E75C76">
        <w:rPr>
          <w:rFonts w:ascii="Times New Roman" w:hAnsi="Times New Roman" w:cs="Times New Roman"/>
          <w:sz w:val="24"/>
          <w:szCs w:val="24"/>
        </w:rPr>
        <w:t>and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models by generating 30 realizations of pore volume and HCPV. It is assumed that most hydrocarbons in the Meramec are primarily present in clay-rich lithologies with limited calcite cement; therefore, total porosity (PHI</w:t>
      </w:r>
      <w:r w:rsidRPr="00E75C76">
        <w:rPr>
          <w:rFonts w:ascii="Times New Roman" w:hAnsi="Times New Roman" w:cs="Times New Roman"/>
          <w:sz w:val="24"/>
          <w:szCs w:val="24"/>
          <w:vertAlign w:val="subscript"/>
        </w:rPr>
        <w:t>Tot</w:t>
      </w:r>
      <w:r w:rsidRPr="00E75C76">
        <w:rPr>
          <w:rFonts w:ascii="Times New Roman" w:hAnsi="Times New Roman" w:cs="Times New Roman"/>
          <w:sz w:val="24"/>
          <w:szCs w:val="24"/>
        </w:rPr>
        <w:t>) was used for volumetric calculations.  HCPV was calculated by multiplying pore volume by oil saturation (1-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The resulting P10 (most conservative), P50, and P90 (most optimistic) values of pore volume and HCPV were determined. </w:t>
      </w:r>
    </w:p>
    <w:p w14:paraId="18D62B85"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Production Analysis</w:t>
      </w:r>
    </w:p>
    <w:p w14:paraId="6B5041FD"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To evaluate the controls that lithology, rock types, and geomechanical properties might have on reservoir performance, 1</w:t>
      </w:r>
      <w:r>
        <w:rPr>
          <w:rFonts w:ascii="Times New Roman" w:hAnsi="Times New Roman" w:cs="Times New Roman"/>
          <w:sz w:val="24"/>
          <w:szCs w:val="24"/>
        </w:rPr>
        <w:t>4</w:t>
      </w:r>
      <w:r w:rsidRPr="00E75C76">
        <w:rPr>
          <w:rFonts w:ascii="Times New Roman" w:hAnsi="Times New Roman" w:cs="Times New Roman"/>
          <w:sz w:val="24"/>
          <w:szCs w:val="24"/>
        </w:rPr>
        <w:t xml:space="preserve"> producing horizontal wells drilled </w:t>
      </w:r>
      <w:r>
        <w:rPr>
          <w:rFonts w:ascii="Times New Roman" w:hAnsi="Times New Roman" w:cs="Times New Roman"/>
          <w:sz w:val="24"/>
          <w:szCs w:val="24"/>
        </w:rPr>
        <w:t xml:space="preserve">primarily in parasequences 3 and 4 in </w:t>
      </w:r>
      <w:r w:rsidRPr="00E75C76">
        <w:rPr>
          <w:rFonts w:ascii="Times New Roman" w:hAnsi="Times New Roman" w:cs="Times New Roman"/>
          <w:sz w:val="24"/>
          <w:szCs w:val="24"/>
        </w:rPr>
        <w:t xml:space="preserve">the Meramec were evaluated. Lithology, rock-type, Poisson’s Ratio, and Young’s Modulus logs were extracted along the laterals from the associated </w:t>
      </w:r>
      <w:r>
        <w:rPr>
          <w:rFonts w:ascii="Times New Roman" w:hAnsi="Times New Roman" w:cs="Times New Roman"/>
          <w:sz w:val="24"/>
          <w:szCs w:val="24"/>
        </w:rPr>
        <w:t>3D</w:t>
      </w:r>
      <w:r w:rsidRPr="00E75C76">
        <w:rPr>
          <w:rFonts w:ascii="Times New Roman" w:hAnsi="Times New Roman" w:cs="Times New Roman"/>
          <w:sz w:val="24"/>
          <w:szCs w:val="24"/>
        </w:rPr>
        <w:t xml:space="preserve"> models, and the percentages for each of the properties was calculated. The 180-day and 360-day cumulative oil production (STB) was normalized by dividing the cumulative oil production by the lateral length of the well. The percentage of each lithology, rock type, and discrete geomechanical property was compared to the 180-day and 360-day cumulative oil production (STB) normalized to BBL/ft.  </w:t>
      </w:r>
    </w:p>
    <w:p w14:paraId="01007B5A" w14:textId="77777777" w:rsidR="00D948FE" w:rsidRPr="00E75C76" w:rsidRDefault="00D948FE" w:rsidP="00D948FE">
      <w:pPr>
        <w:spacing w:after="0" w:line="480" w:lineRule="auto"/>
        <w:ind w:firstLine="720"/>
        <w:rPr>
          <w:rFonts w:ascii="Times New Roman" w:hAnsi="Times New Roman" w:cs="Times New Roman"/>
          <w:sz w:val="24"/>
          <w:szCs w:val="24"/>
        </w:rPr>
      </w:pPr>
    </w:p>
    <w:p w14:paraId="0A88E9AA"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 xml:space="preserve">RESULTS </w:t>
      </w:r>
    </w:p>
    <w:p w14:paraId="4178DA8D" w14:textId="77777777" w:rsidR="00D948FE" w:rsidRPr="00E75C76" w:rsidRDefault="00D948FE" w:rsidP="00D948FE">
      <w:pPr>
        <w:autoSpaceDE w:val="0"/>
        <w:autoSpaceDN w:val="0"/>
        <w:adjustRightInd w:val="0"/>
        <w:spacing w:after="0" w:line="480" w:lineRule="auto"/>
        <w:rPr>
          <w:rFonts w:ascii="Times New Roman" w:eastAsia="TimesNewRoman" w:hAnsi="Times New Roman" w:cs="Times New Roman"/>
          <w:b/>
          <w:sz w:val="24"/>
          <w:szCs w:val="24"/>
        </w:rPr>
      </w:pPr>
      <w:r w:rsidRPr="00E75C76">
        <w:rPr>
          <w:rFonts w:ascii="Times New Roman" w:eastAsia="TimesNewRoman" w:hAnsi="Times New Roman" w:cs="Times New Roman"/>
          <w:b/>
          <w:sz w:val="24"/>
          <w:szCs w:val="24"/>
        </w:rPr>
        <w:t>Lithologies and Rock Types</w:t>
      </w:r>
    </w:p>
    <w:p w14:paraId="5465369D"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lastRenderedPageBreak/>
        <w:t>Based on core descriptions with petrographic data and calculated mineralogy from X-ray fluorescence, five lithologies were defined within the Mississippian Meramec by Miller (2019): 1) mudstone, 2) argillaceous siltstone, 3) argillaceous-calcareous siltstone, 4) calcareous siltstone, and 5) silty limestone (Table 1)</w:t>
      </w:r>
      <w:r>
        <w:rPr>
          <w:rFonts w:ascii="Times New Roman" w:hAnsi="Times New Roman" w:cs="Times New Roman"/>
          <w:sz w:val="24"/>
          <w:szCs w:val="24"/>
        </w:rPr>
        <w:t xml:space="preserve"> and were used in this study</w:t>
      </w:r>
      <w:r w:rsidRPr="00E75C76">
        <w:rPr>
          <w:rFonts w:ascii="Times New Roman" w:hAnsi="Times New Roman" w:cs="Times New Roman"/>
          <w:sz w:val="24"/>
          <w:szCs w:val="24"/>
        </w:rPr>
        <w:t>.</w:t>
      </w:r>
      <w:r>
        <w:rPr>
          <w:rFonts w:ascii="Times New Roman" w:hAnsi="Times New Roman" w:cs="Times New Roman"/>
          <w:sz w:val="24"/>
          <w:szCs w:val="24"/>
        </w:rPr>
        <w:t xml:space="preserve"> Other studies from Drummond</w:t>
      </w:r>
      <w:r w:rsidRPr="00E75C76">
        <w:rPr>
          <w:rFonts w:ascii="Times New Roman" w:hAnsi="Times New Roman" w:cs="Times New Roman"/>
          <w:sz w:val="24"/>
          <w:szCs w:val="24"/>
        </w:rPr>
        <w:t xml:space="preserve"> </w:t>
      </w:r>
      <w:r>
        <w:rPr>
          <w:rFonts w:ascii="Times New Roman" w:hAnsi="Times New Roman" w:cs="Times New Roman"/>
          <w:sz w:val="24"/>
          <w:szCs w:val="24"/>
        </w:rPr>
        <w:t>(2018),</w:t>
      </w:r>
      <w:r w:rsidRPr="00E75C76">
        <w:rPr>
          <w:rFonts w:ascii="Times New Roman" w:hAnsi="Times New Roman" w:cs="Times New Roman"/>
          <w:sz w:val="24"/>
          <w:szCs w:val="24"/>
        </w:rPr>
        <w:t xml:space="preserve"> Duarte </w:t>
      </w:r>
      <w:r>
        <w:rPr>
          <w:rFonts w:ascii="Times New Roman" w:hAnsi="Times New Roman" w:cs="Times New Roman"/>
          <w:sz w:val="24"/>
          <w:szCs w:val="24"/>
        </w:rPr>
        <w:t>(2018),</w:t>
      </w:r>
      <w:r w:rsidRPr="00E75C76">
        <w:rPr>
          <w:rFonts w:ascii="Times New Roman" w:hAnsi="Times New Roman" w:cs="Times New Roman"/>
          <w:sz w:val="24"/>
          <w:szCs w:val="24"/>
        </w:rPr>
        <w:t xml:space="preserve"> </w:t>
      </w:r>
      <w:r>
        <w:rPr>
          <w:rFonts w:ascii="Times New Roman" w:hAnsi="Times New Roman" w:cs="Times New Roman"/>
          <w:sz w:val="24"/>
          <w:szCs w:val="24"/>
        </w:rPr>
        <w:t>Hickman (2018), Miller et al. (2019), and</w:t>
      </w:r>
      <w:r w:rsidRPr="00E75C76">
        <w:rPr>
          <w:rFonts w:ascii="Times New Roman" w:hAnsi="Times New Roman" w:cs="Times New Roman"/>
          <w:sz w:val="24"/>
          <w:szCs w:val="24"/>
        </w:rPr>
        <w:t xml:space="preserve"> Price et al., 2020</w:t>
      </w:r>
      <w:r>
        <w:rPr>
          <w:rFonts w:ascii="Times New Roman" w:hAnsi="Times New Roman" w:cs="Times New Roman"/>
          <w:sz w:val="24"/>
          <w:szCs w:val="24"/>
        </w:rPr>
        <w:t xml:space="preserve"> describe similar lithologies with varying degrees of bioturbation and sedimentary structures. </w:t>
      </w:r>
    </w:p>
    <w:p w14:paraId="49ED1008"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 Gupta (2018, personal communication) defined 3 rock types: rock type 1, rock type 2, and rock type 3 based on the FZI approach. Rock type 1 has the least carbonate, most clay, lowest Young’s Modulus, low brittleness, highest porosity, and exhibits low water saturation. Rock type 3 has the most carbonate, least clay, low porosity, high brittleness, high Young’s Modulus, and relatively high water saturation. Rock type 2 is defined as having property values that are between those of rock type 1 and rock type 3.</w:t>
      </w:r>
    </w:p>
    <w:p w14:paraId="268CEB6F"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By means of electrofacies classification using a supervised Artificial Neural Network [ANN] and a log suite consisting Gamma ray (GR), Neutron porosity (NPHI), Bulk density (RhoB), and photoelectric effect (PE), the defined lithologies and rock types were estimated in 44 non-cored wells within the study area generating lithology and rock-type classification logs for each of those wells (Miller, 2019).</w:t>
      </w:r>
    </w:p>
    <w:p w14:paraId="0730C3B7" w14:textId="77777777" w:rsidR="00D948FE" w:rsidRPr="00E75C76" w:rsidRDefault="00D948FE" w:rsidP="00D948FE">
      <w:pPr>
        <w:autoSpaceDE w:val="0"/>
        <w:autoSpaceDN w:val="0"/>
        <w:adjustRightInd w:val="0"/>
        <w:spacing w:after="0" w:line="480" w:lineRule="auto"/>
        <w:rPr>
          <w:rFonts w:ascii="Times New Roman" w:eastAsia="TimesNewRoman" w:hAnsi="Times New Roman" w:cs="Times New Roman"/>
          <w:b/>
          <w:sz w:val="24"/>
          <w:szCs w:val="24"/>
        </w:rPr>
      </w:pPr>
      <w:r w:rsidRPr="00E75C76">
        <w:rPr>
          <w:rFonts w:ascii="Times New Roman" w:eastAsia="TimesNewRoman" w:hAnsi="Times New Roman" w:cs="Times New Roman"/>
          <w:b/>
          <w:sz w:val="24"/>
          <w:szCs w:val="24"/>
        </w:rPr>
        <w:t>Stratigraphic and Structural Framework</w:t>
      </w:r>
    </w:p>
    <w:p w14:paraId="74D0F468"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The Mississippian Meramec in the study area dips toward the southwest and ranges in thickness from approximately 300 – 400 ft (91 – 122 m). Th</w:t>
      </w:r>
      <w:r>
        <w:rPr>
          <w:rFonts w:ascii="Times New Roman" w:hAnsi="Times New Roman" w:cs="Times New Roman"/>
          <w:sz w:val="24"/>
          <w:szCs w:val="24"/>
        </w:rPr>
        <w:t>e</w:t>
      </w:r>
      <w:r w:rsidRPr="00E75C76">
        <w:rPr>
          <w:rFonts w:ascii="Times New Roman" w:hAnsi="Times New Roman" w:cs="Times New Roman"/>
          <w:sz w:val="24"/>
          <w:szCs w:val="24"/>
        </w:rPr>
        <w:t xml:space="preserve"> Meramec </w:t>
      </w:r>
      <w:r>
        <w:rPr>
          <w:rFonts w:ascii="Times New Roman" w:hAnsi="Times New Roman" w:cs="Times New Roman"/>
          <w:sz w:val="24"/>
          <w:szCs w:val="24"/>
        </w:rPr>
        <w:t xml:space="preserve">is thicker </w:t>
      </w:r>
      <w:r w:rsidRPr="00E75C76">
        <w:rPr>
          <w:rFonts w:ascii="Times New Roman" w:hAnsi="Times New Roman" w:cs="Times New Roman"/>
          <w:sz w:val="24"/>
          <w:szCs w:val="24"/>
        </w:rPr>
        <w:t xml:space="preserve">in the southwest part of the study area and thins toward the northeast (Figure 8). </w:t>
      </w:r>
    </w:p>
    <w:p w14:paraId="0F3D2B13" w14:textId="77777777" w:rsidR="00D948FE" w:rsidRPr="00E75C76" w:rsidRDefault="00D948FE" w:rsidP="00D948FE">
      <w:pPr>
        <w:spacing w:after="0" w:line="480" w:lineRule="auto"/>
        <w:ind w:firstLine="720"/>
        <w:rPr>
          <w:rFonts w:ascii="Times New Roman" w:hAnsi="Times New Roman" w:cs="Times New Roman"/>
          <w:sz w:val="24"/>
          <w:szCs w:val="24"/>
          <w:highlight w:val="yellow"/>
        </w:rPr>
      </w:pPr>
      <w:r w:rsidRPr="00E75C76">
        <w:rPr>
          <w:rFonts w:ascii="Times New Roman" w:hAnsi="Times New Roman" w:cs="Times New Roman"/>
          <w:sz w:val="24"/>
          <w:szCs w:val="24"/>
        </w:rPr>
        <w:t xml:space="preserve">The vertical succession of lithologies and rock types </w:t>
      </w:r>
      <w:r>
        <w:rPr>
          <w:rFonts w:ascii="Times New Roman" w:hAnsi="Times New Roman" w:cs="Times New Roman"/>
          <w:sz w:val="24"/>
          <w:szCs w:val="24"/>
        </w:rPr>
        <w:t>represent</w:t>
      </w:r>
      <w:r w:rsidRPr="00E75C76">
        <w:rPr>
          <w:rFonts w:ascii="Times New Roman" w:hAnsi="Times New Roman" w:cs="Times New Roman"/>
          <w:sz w:val="24"/>
          <w:szCs w:val="24"/>
        </w:rPr>
        <w:t xml:space="preserve"> </w:t>
      </w:r>
      <w:r>
        <w:rPr>
          <w:rFonts w:ascii="Times New Roman" w:hAnsi="Times New Roman" w:cs="Times New Roman"/>
          <w:sz w:val="24"/>
          <w:szCs w:val="24"/>
        </w:rPr>
        <w:t>several</w:t>
      </w:r>
      <w:r w:rsidRPr="00E75C76">
        <w:rPr>
          <w:rFonts w:ascii="Times New Roman" w:hAnsi="Times New Roman" w:cs="Times New Roman"/>
          <w:sz w:val="24"/>
          <w:szCs w:val="24"/>
        </w:rPr>
        <w:t xml:space="preserve"> higher-order</w:t>
      </w:r>
      <w:r>
        <w:rPr>
          <w:rFonts w:ascii="Times New Roman" w:hAnsi="Times New Roman" w:cs="Times New Roman"/>
          <w:sz w:val="24"/>
          <w:szCs w:val="24"/>
        </w:rPr>
        <w:t>,</w:t>
      </w:r>
      <w:r w:rsidRPr="00563022">
        <w:rPr>
          <w:rFonts w:ascii="Times New Roman" w:hAnsi="Times New Roman" w:cs="Times New Roman"/>
          <w:sz w:val="24"/>
          <w:szCs w:val="24"/>
        </w:rPr>
        <w:t xml:space="preserve"> </w:t>
      </w:r>
      <w:r w:rsidRPr="00E75C76">
        <w:rPr>
          <w:rFonts w:ascii="Times New Roman" w:hAnsi="Times New Roman" w:cs="Times New Roman"/>
          <w:sz w:val="24"/>
          <w:szCs w:val="24"/>
        </w:rPr>
        <w:t>upward-shallowing cycle</w:t>
      </w:r>
      <w:r>
        <w:rPr>
          <w:rFonts w:ascii="Times New Roman" w:hAnsi="Times New Roman" w:cs="Times New Roman"/>
          <w:sz w:val="24"/>
          <w:szCs w:val="24"/>
        </w:rPr>
        <w:t>s that are commonly capped by marine-flooding surfaces</w:t>
      </w:r>
      <w:r w:rsidRPr="00E75C76">
        <w:rPr>
          <w:rFonts w:ascii="Times New Roman" w:hAnsi="Times New Roman" w:cs="Times New Roman"/>
          <w:sz w:val="24"/>
          <w:szCs w:val="24"/>
        </w:rPr>
        <w:t xml:space="preserve"> (Figure</w:t>
      </w:r>
      <w:r>
        <w:rPr>
          <w:rFonts w:ascii="Times New Roman" w:hAnsi="Times New Roman" w:cs="Times New Roman"/>
          <w:sz w:val="24"/>
          <w:szCs w:val="24"/>
        </w:rPr>
        <w:t>s</w:t>
      </w:r>
      <w:r w:rsidRPr="00E75C76">
        <w:rPr>
          <w:rFonts w:ascii="Times New Roman" w:hAnsi="Times New Roman" w:cs="Times New Roman"/>
          <w:sz w:val="24"/>
          <w:szCs w:val="24"/>
        </w:rPr>
        <w:t xml:space="preserve"> 3 and </w:t>
      </w:r>
      <w:r w:rsidRPr="00E75C76">
        <w:rPr>
          <w:rFonts w:ascii="Times New Roman" w:hAnsi="Times New Roman" w:cs="Times New Roman"/>
          <w:sz w:val="24"/>
          <w:szCs w:val="24"/>
        </w:rPr>
        <w:lastRenderedPageBreak/>
        <w:t xml:space="preserve">9). </w:t>
      </w:r>
      <w:r>
        <w:rPr>
          <w:rFonts w:ascii="Times New Roman" w:hAnsi="Times New Roman" w:cs="Times New Roman"/>
          <w:sz w:val="24"/>
          <w:szCs w:val="24"/>
        </w:rPr>
        <w:t>These cycles represent parasequences</w:t>
      </w:r>
      <w:r w:rsidRPr="00E75C76">
        <w:rPr>
          <w:rFonts w:ascii="Times New Roman" w:hAnsi="Times New Roman" w:cs="Times New Roman"/>
          <w:sz w:val="24"/>
          <w:szCs w:val="24"/>
        </w:rPr>
        <w:t xml:space="preserve"> and are generally identified in well</w:t>
      </w:r>
      <w:r>
        <w:rPr>
          <w:rFonts w:ascii="Times New Roman" w:hAnsi="Times New Roman" w:cs="Times New Roman"/>
          <w:sz w:val="24"/>
          <w:szCs w:val="24"/>
        </w:rPr>
        <w:t xml:space="preserve"> </w:t>
      </w:r>
      <w:r w:rsidRPr="00E75C76">
        <w:rPr>
          <w:rFonts w:ascii="Times New Roman" w:hAnsi="Times New Roman" w:cs="Times New Roman"/>
          <w:sz w:val="24"/>
          <w:szCs w:val="24"/>
        </w:rPr>
        <w:t xml:space="preserve">logs by an upward decreasing GR signature with a sharp </w:t>
      </w:r>
      <w:r>
        <w:rPr>
          <w:rFonts w:ascii="Times New Roman" w:hAnsi="Times New Roman" w:cs="Times New Roman"/>
          <w:sz w:val="24"/>
          <w:szCs w:val="24"/>
        </w:rPr>
        <w:t xml:space="preserve">GR </w:t>
      </w:r>
      <w:r w:rsidRPr="00E75C76">
        <w:rPr>
          <w:rFonts w:ascii="Times New Roman" w:hAnsi="Times New Roman" w:cs="Times New Roman"/>
          <w:sz w:val="24"/>
          <w:szCs w:val="24"/>
        </w:rPr>
        <w:t>increase at the top of each cycle corresponding to the marine-flooding surface (Figure</w:t>
      </w:r>
      <w:r>
        <w:rPr>
          <w:rFonts w:ascii="Times New Roman" w:hAnsi="Times New Roman" w:cs="Times New Roman"/>
          <w:sz w:val="24"/>
          <w:szCs w:val="24"/>
        </w:rPr>
        <w:t>s</w:t>
      </w:r>
      <w:r w:rsidRPr="00E75C76">
        <w:rPr>
          <w:rFonts w:ascii="Times New Roman" w:hAnsi="Times New Roman" w:cs="Times New Roman"/>
          <w:sz w:val="24"/>
          <w:szCs w:val="24"/>
        </w:rPr>
        <w:t xml:space="preserve"> 3 and 9) (Miller, 2019). Controlling factors </w:t>
      </w:r>
      <w:r>
        <w:rPr>
          <w:rFonts w:ascii="Times New Roman" w:hAnsi="Times New Roman" w:cs="Times New Roman"/>
          <w:sz w:val="24"/>
          <w:szCs w:val="24"/>
        </w:rPr>
        <w:t>producing</w:t>
      </w:r>
      <w:r w:rsidRPr="00E75C76">
        <w:rPr>
          <w:rFonts w:ascii="Times New Roman" w:hAnsi="Times New Roman" w:cs="Times New Roman"/>
          <w:sz w:val="24"/>
          <w:szCs w:val="24"/>
        </w:rPr>
        <w:t xml:space="preserve"> these high</w:t>
      </w:r>
      <w:r>
        <w:rPr>
          <w:rFonts w:ascii="Times New Roman" w:hAnsi="Times New Roman" w:cs="Times New Roman"/>
          <w:sz w:val="24"/>
          <w:szCs w:val="24"/>
        </w:rPr>
        <w:t>er</w:t>
      </w:r>
      <w:r w:rsidRPr="00E75C76">
        <w:rPr>
          <w:rFonts w:ascii="Times New Roman" w:hAnsi="Times New Roman" w:cs="Times New Roman"/>
          <w:sz w:val="24"/>
          <w:szCs w:val="24"/>
        </w:rPr>
        <w:t>-order cycles are generally attributed to Milankovich-driven eustasy, but additional factors includ</w:t>
      </w:r>
      <w:r>
        <w:rPr>
          <w:rFonts w:ascii="Times New Roman" w:hAnsi="Times New Roman" w:cs="Times New Roman"/>
          <w:sz w:val="24"/>
          <w:szCs w:val="24"/>
        </w:rPr>
        <w:t>e</w:t>
      </w:r>
      <w:r w:rsidRPr="00E75C76">
        <w:rPr>
          <w:rFonts w:ascii="Times New Roman" w:hAnsi="Times New Roman" w:cs="Times New Roman"/>
          <w:sz w:val="24"/>
          <w:szCs w:val="24"/>
        </w:rPr>
        <w:t>: tectonics, rate of sedimentation, and short-term climatic variations (Read, 1995; Rogers, 2001; Watney et al., 2001). The Meramec is divided into seven shallowing-upward parasequences based on core-derived lithological stacking patterns, well-log response (GR, NPHI, RhoB, RILD) (Miller, 2019), and seismic data. From base to top, the reservoir zones are referred to as: Meramec 1-7 (Figure</w:t>
      </w:r>
      <w:r>
        <w:rPr>
          <w:rFonts w:ascii="Times New Roman" w:hAnsi="Times New Roman" w:cs="Times New Roman"/>
          <w:sz w:val="24"/>
          <w:szCs w:val="24"/>
        </w:rPr>
        <w:t>s</w:t>
      </w:r>
      <w:r w:rsidRPr="00E75C76">
        <w:rPr>
          <w:rFonts w:ascii="Times New Roman" w:hAnsi="Times New Roman" w:cs="Times New Roman"/>
          <w:sz w:val="24"/>
          <w:szCs w:val="24"/>
        </w:rPr>
        <w:t xml:space="preserve"> 3 and 4).</w:t>
      </w:r>
    </w:p>
    <w:p w14:paraId="38AA43F5"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ab/>
      </w:r>
      <w:r>
        <w:rPr>
          <w:rFonts w:ascii="Times New Roman" w:hAnsi="Times New Roman" w:cs="Times New Roman"/>
          <w:sz w:val="24"/>
          <w:szCs w:val="24"/>
        </w:rPr>
        <w:t>Seven</w:t>
      </w:r>
      <w:r w:rsidRPr="00E75C76">
        <w:rPr>
          <w:rFonts w:ascii="Times New Roman" w:hAnsi="Times New Roman" w:cs="Times New Roman"/>
          <w:sz w:val="24"/>
          <w:szCs w:val="24"/>
        </w:rPr>
        <w:t xml:space="preserve"> </w:t>
      </w:r>
      <w:r>
        <w:rPr>
          <w:rFonts w:ascii="Times New Roman" w:hAnsi="Times New Roman" w:cs="Times New Roman"/>
          <w:sz w:val="24"/>
          <w:szCs w:val="24"/>
        </w:rPr>
        <w:t xml:space="preserve">significant </w:t>
      </w:r>
      <w:r w:rsidRPr="00E75C76">
        <w:rPr>
          <w:rFonts w:ascii="Times New Roman" w:hAnsi="Times New Roman" w:cs="Times New Roman"/>
          <w:sz w:val="24"/>
          <w:szCs w:val="24"/>
        </w:rPr>
        <w:t>faults extend through the Meramec f</w:t>
      </w:r>
      <w:r>
        <w:rPr>
          <w:rFonts w:ascii="Times New Roman" w:hAnsi="Times New Roman" w:cs="Times New Roman"/>
          <w:sz w:val="24"/>
          <w:szCs w:val="24"/>
        </w:rPr>
        <w:t xml:space="preserve">ormation within the study area </w:t>
      </w:r>
      <w:r w:rsidRPr="00E75C76">
        <w:rPr>
          <w:rFonts w:ascii="Times New Roman" w:hAnsi="Times New Roman" w:cs="Times New Roman"/>
          <w:sz w:val="24"/>
          <w:szCs w:val="24"/>
        </w:rPr>
        <w:t>(Figure 8). In cross-section</w:t>
      </w:r>
      <w:r>
        <w:rPr>
          <w:rFonts w:ascii="Times New Roman" w:hAnsi="Times New Roman" w:cs="Times New Roman"/>
          <w:sz w:val="24"/>
          <w:szCs w:val="24"/>
        </w:rPr>
        <w:t>al</w:t>
      </w:r>
      <w:r w:rsidRPr="00E75C76">
        <w:rPr>
          <w:rFonts w:ascii="Times New Roman" w:hAnsi="Times New Roman" w:cs="Times New Roman"/>
          <w:sz w:val="24"/>
          <w:szCs w:val="24"/>
        </w:rPr>
        <w:t xml:space="preserve"> view, the faults appear near-vertical (Figure 4) with offsets ranging from 50 to 150 ft (</w:t>
      </w:r>
      <w:r>
        <w:rPr>
          <w:rFonts w:ascii="Times New Roman" w:hAnsi="Times New Roman" w:cs="Times New Roman"/>
          <w:sz w:val="24"/>
          <w:szCs w:val="24"/>
        </w:rPr>
        <w:t>15</w:t>
      </w:r>
      <w:r w:rsidRPr="00E75C76">
        <w:rPr>
          <w:rFonts w:ascii="Times New Roman" w:hAnsi="Times New Roman" w:cs="Times New Roman"/>
          <w:sz w:val="24"/>
          <w:szCs w:val="24"/>
        </w:rPr>
        <w:t xml:space="preserve"> </w:t>
      </w:r>
      <w:r>
        <w:rPr>
          <w:rFonts w:ascii="Times New Roman" w:hAnsi="Times New Roman" w:cs="Times New Roman"/>
          <w:sz w:val="24"/>
          <w:szCs w:val="24"/>
        </w:rPr>
        <w:t>to 46 m). The majority of the faults</w:t>
      </w:r>
      <w:r w:rsidRPr="00E75C76">
        <w:rPr>
          <w:rFonts w:ascii="Times New Roman" w:hAnsi="Times New Roman" w:cs="Times New Roman"/>
          <w:sz w:val="24"/>
          <w:szCs w:val="24"/>
        </w:rPr>
        <w:t xml:space="preserve"> </w:t>
      </w:r>
      <w:r>
        <w:rPr>
          <w:rFonts w:ascii="Times New Roman" w:hAnsi="Times New Roman" w:cs="Times New Roman"/>
          <w:sz w:val="24"/>
          <w:szCs w:val="24"/>
        </w:rPr>
        <w:t>trend</w:t>
      </w:r>
      <w:r w:rsidRPr="00E75C76">
        <w:rPr>
          <w:rFonts w:ascii="Times New Roman" w:hAnsi="Times New Roman" w:cs="Times New Roman"/>
          <w:sz w:val="24"/>
          <w:szCs w:val="24"/>
        </w:rPr>
        <w:t xml:space="preserve"> north-south</w:t>
      </w:r>
      <w:r>
        <w:rPr>
          <w:rFonts w:ascii="Times New Roman" w:hAnsi="Times New Roman" w:cs="Times New Roman"/>
          <w:sz w:val="24"/>
          <w:szCs w:val="24"/>
        </w:rPr>
        <w:t xml:space="preserve"> corresponding with the azimuth of the maximum horizontal stress being approximately east-west (N85º(±5º)E) (Alt and Zoback, 2017)</w:t>
      </w:r>
      <w:r w:rsidRPr="00E75C76">
        <w:rPr>
          <w:rFonts w:ascii="Times New Roman" w:hAnsi="Times New Roman" w:cs="Times New Roman"/>
          <w:sz w:val="24"/>
          <w:szCs w:val="24"/>
        </w:rPr>
        <w:t xml:space="preserve">. </w:t>
      </w:r>
      <w:r>
        <w:rPr>
          <w:rFonts w:ascii="Times New Roman" w:hAnsi="Times New Roman" w:cs="Times New Roman"/>
          <w:sz w:val="24"/>
          <w:szCs w:val="24"/>
        </w:rPr>
        <w:t xml:space="preserve"> I</w:t>
      </w:r>
      <w:r w:rsidRPr="00E75C76">
        <w:rPr>
          <w:rFonts w:ascii="Times New Roman" w:hAnsi="Times New Roman" w:cs="Times New Roman"/>
          <w:sz w:val="24"/>
          <w:szCs w:val="24"/>
        </w:rPr>
        <w:t>nterpret</w:t>
      </w:r>
      <w:r>
        <w:rPr>
          <w:rFonts w:ascii="Times New Roman" w:hAnsi="Times New Roman" w:cs="Times New Roman"/>
          <w:sz w:val="24"/>
          <w:szCs w:val="24"/>
        </w:rPr>
        <w:t>ing</w:t>
      </w:r>
      <w:r w:rsidRPr="00E75C76">
        <w:rPr>
          <w:rFonts w:ascii="Times New Roman" w:hAnsi="Times New Roman" w:cs="Times New Roman"/>
          <w:sz w:val="24"/>
          <w:szCs w:val="24"/>
        </w:rPr>
        <w:t xml:space="preserve"> fault</w:t>
      </w:r>
      <w:r>
        <w:rPr>
          <w:rFonts w:ascii="Times New Roman" w:hAnsi="Times New Roman" w:cs="Times New Roman"/>
          <w:sz w:val="24"/>
          <w:szCs w:val="24"/>
        </w:rPr>
        <w:t xml:space="preserve"> type</w:t>
      </w:r>
      <w:r w:rsidRPr="00E75C76">
        <w:rPr>
          <w:rFonts w:ascii="Times New Roman" w:hAnsi="Times New Roman" w:cs="Times New Roman"/>
          <w:sz w:val="24"/>
          <w:szCs w:val="24"/>
        </w:rPr>
        <w:t xml:space="preserve"> </w:t>
      </w:r>
      <w:r>
        <w:rPr>
          <w:rFonts w:ascii="Times New Roman" w:hAnsi="Times New Roman" w:cs="Times New Roman"/>
          <w:sz w:val="24"/>
          <w:szCs w:val="24"/>
        </w:rPr>
        <w:t>is</w:t>
      </w:r>
      <w:r w:rsidRPr="00E75C76">
        <w:rPr>
          <w:rFonts w:ascii="Times New Roman" w:hAnsi="Times New Roman" w:cs="Times New Roman"/>
          <w:sz w:val="24"/>
          <w:szCs w:val="24"/>
        </w:rPr>
        <w:t xml:space="preserve"> difficult due to the small displacement of seismic reflectors</w:t>
      </w:r>
      <w:r>
        <w:rPr>
          <w:rFonts w:ascii="Times New Roman" w:hAnsi="Times New Roman" w:cs="Times New Roman"/>
          <w:sz w:val="24"/>
          <w:szCs w:val="24"/>
        </w:rPr>
        <w:t xml:space="preserve"> and</w:t>
      </w:r>
      <w:r w:rsidRPr="00E75C76">
        <w:rPr>
          <w:rFonts w:ascii="Times New Roman" w:hAnsi="Times New Roman" w:cs="Times New Roman"/>
          <w:sz w:val="24"/>
          <w:szCs w:val="24"/>
        </w:rPr>
        <w:t xml:space="preserve"> the angle of fault</w:t>
      </w:r>
      <w:r>
        <w:rPr>
          <w:rFonts w:ascii="Times New Roman" w:hAnsi="Times New Roman" w:cs="Times New Roman"/>
          <w:sz w:val="24"/>
          <w:szCs w:val="24"/>
        </w:rPr>
        <w:t xml:space="preserve"> planes; however, most</w:t>
      </w:r>
      <w:r w:rsidRPr="00E75C76">
        <w:rPr>
          <w:rFonts w:ascii="Times New Roman" w:hAnsi="Times New Roman" w:cs="Times New Roman"/>
          <w:sz w:val="24"/>
          <w:szCs w:val="24"/>
        </w:rPr>
        <w:t xml:space="preserve"> </w:t>
      </w:r>
      <w:r>
        <w:rPr>
          <w:rFonts w:ascii="Times New Roman" w:hAnsi="Times New Roman" w:cs="Times New Roman"/>
          <w:sz w:val="24"/>
          <w:szCs w:val="24"/>
        </w:rPr>
        <w:t>appear as</w:t>
      </w:r>
      <w:r w:rsidRPr="00E75C76">
        <w:rPr>
          <w:rFonts w:ascii="Times New Roman" w:hAnsi="Times New Roman" w:cs="Times New Roman"/>
          <w:sz w:val="24"/>
          <w:szCs w:val="24"/>
        </w:rPr>
        <w:t xml:space="preserve"> normal or strike-slip. </w:t>
      </w:r>
      <w:r>
        <w:rPr>
          <w:rFonts w:ascii="Times New Roman" w:hAnsi="Times New Roman" w:cs="Times New Roman"/>
          <w:sz w:val="24"/>
          <w:szCs w:val="24"/>
        </w:rPr>
        <w:t xml:space="preserve">An </w:t>
      </w:r>
      <w:r w:rsidRPr="00E75C76">
        <w:rPr>
          <w:rFonts w:ascii="Times New Roman" w:hAnsi="Times New Roman" w:cs="Times New Roman"/>
          <w:sz w:val="24"/>
          <w:szCs w:val="24"/>
        </w:rPr>
        <w:t xml:space="preserve">east-west oriented strike-slip fault </w:t>
      </w:r>
      <w:r>
        <w:rPr>
          <w:rFonts w:ascii="Times New Roman" w:hAnsi="Times New Roman" w:cs="Times New Roman"/>
          <w:sz w:val="24"/>
          <w:szCs w:val="24"/>
        </w:rPr>
        <w:t>is</w:t>
      </w:r>
      <w:r w:rsidRPr="00E75C76">
        <w:rPr>
          <w:rFonts w:ascii="Times New Roman" w:hAnsi="Times New Roman" w:cs="Times New Roman"/>
          <w:sz w:val="24"/>
          <w:szCs w:val="24"/>
        </w:rPr>
        <w:t xml:space="preserve"> interpreted on the east side of the study area (Figure 8). </w:t>
      </w:r>
    </w:p>
    <w:p w14:paraId="76FDCF7D" w14:textId="77777777" w:rsidR="00D948FE" w:rsidRPr="00E75C76" w:rsidRDefault="00D948FE" w:rsidP="00D948FE">
      <w:pPr>
        <w:spacing w:after="0" w:line="480" w:lineRule="auto"/>
        <w:rPr>
          <w:rFonts w:ascii="Times New Roman" w:hAnsi="Times New Roman" w:cs="Times New Roman"/>
          <w:b/>
          <w:sz w:val="24"/>
          <w:szCs w:val="24"/>
        </w:rPr>
      </w:pPr>
      <w:r>
        <w:rPr>
          <w:rFonts w:ascii="Times New Roman" w:hAnsi="Times New Roman" w:cs="Times New Roman"/>
          <w:b/>
          <w:sz w:val="24"/>
          <w:szCs w:val="24"/>
        </w:rPr>
        <w:t>P-impedance</w:t>
      </w:r>
      <w:r w:rsidRPr="00E75C76">
        <w:rPr>
          <w:rFonts w:ascii="Times New Roman" w:hAnsi="Times New Roman" w:cs="Times New Roman"/>
          <w:b/>
          <w:sz w:val="24"/>
          <w:szCs w:val="24"/>
        </w:rPr>
        <w:t xml:space="preserve">, </w:t>
      </w:r>
      <w:r>
        <w:rPr>
          <w:rFonts w:ascii="Times New Roman" w:hAnsi="Times New Roman" w:cs="Times New Roman"/>
          <w:b/>
          <w:sz w:val="24"/>
          <w:szCs w:val="24"/>
        </w:rPr>
        <w:t>S-impedance</w:t>
      </w:r>
      <w:r w:rsidRPr="00E75C76">
        <w:rPr>
          <w:rFonts w:ascii="Times New Roman" w:hAnsi="Times New Roman" w:cs="Times New Roman"/>
          <w:b/>
          <w:sz w:val="24"/>
          <w:szCs w:val="24"/>
        </w:rPr>
        <w:t>, and Density</w:t>
      </w:r>
    </w:p>
    <w:p w14:paraId="020DE52D"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Seismic-to-well ties for 25 vertical wells resulted in cross-correlations ranging between 70% to 85%. The seismic-to-well tie for Well 1 illustrates that the synthetic seismogram correlates well with the surface seismic trace resulting in a cross-correlation of 84% (Figure </w:t>
      </w:r>
      <w:r>
        <w:rPr>
          <w:rFonts w:ascii="Times New Roman" w:hAnsi="Times New Roman" w:cs="Times New Roman"/>
          <w:sz w:val="24"/>
          <w:szCs w:val="24"/>
        </w:rPr>
        <w:t>6</w:t>
      </w:r>
      <w:r w:rsidRPr="00E75C76">
        <w:rPr>
          <w:rFonts w:ascii="Times New Roman" w:hAnsi="Times New Roman" w:cs="Times New Roman"/>
          <w:sz w:val="24"/>
          <w:szCs w:val="24"/>
        </w:rPr>
        <w:t>).</w:t>
      </w:r>
    </w:p>
    <w:p w14:paraId="6A1D9F13"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 xml:space="preserve">Well-log and inversion curves follow similar trends with a correlation of 97% within the Meremec interval. A qualitative comparison between the </w:t>
      </w:r>
      <w:r>
        <w:rPr>
          <w:rFonts w:ascii="Times New Roman" w:hAnsi="Times New Roman" w:cs="Times New Roman"/>
          <w:sz w:val="24"/>
          <w:szCs w:val="24"/>
        </w:rPr>
        <w:t>P-impedance</w:t>
      </w:r>
      <w:r w:rsidRPr="00E75C76">
        <w:rPr>
          <w:rFonts w:ascii="Times New Roman" w:hAnsi="Times New Roman" w:cs="Times New Roman"/>
          <w:sz w:val="24"/>
          <w:szCs w:val="24"/>
        </w:rPr>
        <w:t xml:space="preserve"> values from well logs and </w:t>
      </w:r>
      <w:r w:rsidRPr="00E75C76">
        <w:rPr>
          <w:rFonts w:ascii="Times New Roman" w:hAnsi="Times New Roman" w:cs="Times New Roman"/>
          <w:sz w:val="24"/>
          <w:szCs w:val="24"/>
        </w:rPr>
        <w:lastRenderedPageBreak/>
        <w:t>the inversion volume indicates that the inversion accurately estimated the elastic properties at the well locations (Figure 10).</w:t>
      </w:r>
    </w:p>
    <w:p w14:paraId="0D6C90CC"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Impedance-based Lithology and Rock-Type Relationships and Probabilities</w:t>
      </w:r>
    </w:p>
    <w:p w14:paraId="18FB9404"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ab/>
      </w:r>
      <w:r w:rsidRPr="00E75C76">
        <w:rPr>
          <w:rFonts w:ascii="Times New Roman" w:hAnsi="Times New Roman" w:cs="Times New Roman"/>
          <w:sz w:val="24"/>
          <w:szCs w:val="24"/>
        </w:rPr>
        <w:t>The predictive capabilities and range of uncertainties of the impedance-based lithology prediction process are illustrated in a confusion matrix (Table 2). It shows that argillaceous-calcareous siltstones are commonly misclassified resulting in an overall accuracy of 55% most likely due to their mixed mineralogy</w:t>
      </w:r>
      <w:r>
        <w:rPr>
          <w:rFonts w:ascii="Times New Roman" w:hAnsi="Times New Roman" w:cs="Times New Roman"/>
          <w:sz w:val="24"/>
          <w:szCs w:val="24"/>
        </w:rPr>
        <w:t xml:space="preserve"> (Appendix-E1)</w:t>
      </w:r>
      <w:r w:rsidRPr="00E75C76">
        <w:rPr>
          <w:rFonts w:ascii="Times New Roman" w:hAnsi="Times New Roman" w:cs="Times New Roman"/>
          <w:sz w:val="24"/>
          <w:szCs w:val="24"/>
        </w:rPr>
        <w:t>. The overall accuracy was greater by combining the argillaceous-calcareous siltstone with the argillaceous siltstone resulting in an overall accuracy of 70%. The confusion matrix for rock types shows an overall accuracy of 79%.</w:t>
      </w:r>
    </w:p>
    <w:p w14:paraId="066A0FE2"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The relationships between the lithologies and rock types and </w:t>
      </w:r>
      <w:r>
        <w:rPr>
          <w:rFonts w:ascii="Times New Roman" w:hAnsi="Times New Roman" w:cs="Times New Roman"/>
          <w:sz w:val="24"/>
          <w:szCs w:val="24"/>
        </w:rPr>
        <w:t>P-impedance</w:t>
      </w:r>
      <w:r w:rsidRPr="00E75C76">
        <w:rPr>
          <w:rFonts w:ascii="Times New Roman" w:hAnsi="Times New Roman" w:cs="Times New Roman"/>
          <w:sz w:val="24"/>
          <w:szCs w:val="24"/>
        </w:rPr>
        <w:t xml:space="preserve"> and </w:t>
      </w:r>
      <w:r>
        <w:rPr>
          <w:rFonts w:ascii="Times New Roman" w:hAnsi="Times New Roman" w:cs="Times New Roman"/>
          <w:sz w:val="24"/>
          <w:szCs w:val="24"/>
        </w:rPr>
        <w:t>S-impedance</w:t>
      </w:r>
      <w:r w:rsidRPr="00E75C76">
        <w:rPr>
          <w:rFonts w:ascii="Times New Roman" w:hAnsi="Times New Roman" w:cs="Times New Roman"/>
          <w:sz w:val="24"/>
          <w:szCs w:val="24"/>
        </w:rPr>
        <w:t xml:space="preserve"> are indicated by their associated probability density functions (PDFs). The PDF is represented by a shape that defines the probability of a lithology or rock type being predicting based on their range of impedance values. The resulting PDF shows the probability of predicting each rock type (Figure 11) and lithology</w:t>
      </w:r>
      <w:r>
        <w:rPr>
          <w:rFonts w:ascii="Times New Roman" w:hAnsi="Times New Roman" w:cs="Times New Roman"/>
          <w:sz w:val="24"/>
          <w:szCs w:val="24"/>
        </w:rPr>
        <w:t xml:space="preserve"> (Appendix-E2)</w:t>
      </w:r>
      <w:r w:rsidRPr="00E75C76">
        <w:rPr>
          <w:rFonts w:ascii="Times New Roman" w:hAnsi="Times New Roman" w:cs="Times New Roman"/>
          <w:sz w:val="24"/>
          <w:szCs w:val="24"/>
        </w:rPr>
        <w:t xml:space="preserve"> according to the combination of its associated </w:t>
      </w:r>
      <w:r>
        <w:rPr>
          <w:rFonts w:ascii="Times New Roman" w:hAnsi="Times New Roman" w:cs="Times New Roman"/>
          <w:sz w:val="24"/>
          <w:szCs w:val="24"/>
        </w:rPr>
        <w:t>P-impedance</w:t>
      </w:r>
      <w:r w:rsidRPr="00E75C76">
        <w:rPr>
          <w:rFonts w:ascii="Times New Roman" w:hAnsi="Times New Roman" w:cs="Times New Roman"/>
          <w:sz w:val="24"/>
          <w:szCs w:val="24"/>
        </w:rPr>
        <w:t xml:space="preserve"> and </w:t>
      </w:r>
      <w:r>
        <w:rPr>
          <w:rFonts w:ascii="Times New Roman" w:hAnsi="Times New Roman" w:cs="Times New Roman"/>
          <w:sz w:val="24"/>
          <w:szCs w:val="24"/>
        </w:rPr>
        <w:t>S-impedance</w:t>
      </w:r>
      <w:r w:rsidRPr="00E75C76">
        <w:rPr>
          <w:rFonts w:ascii="Times New Roman" w:hAnsi="Times New Roman" w:cs="Times New Roman"/>
          <w:sz w:val="24"/>
          <w:szCs w:val="24"/>
        </w:rPr>
        <w:t xml:space="preserve"> values. Less overlap and greater separation between each of the rock type or lithology PDFs indicates that the attributes can be used to differentiate between the different classes; thus, increasing the predictive probability. The </w:t>
      </w:r>
      <w:r>
        <w:rPr>
          <w:rFonts w:ascii="Times New Roman" w:hAnsi="Times New Roman" w:cs="Times New Roman"/>
          <w:sz w:val="24"/>
          <w:szCs w:val="24"/>
        </w:rPr>
        <w:t>P-impedance</w:t>
      </w:r>
      <w:r w:rsidRPr="00E75C76">
        <w:rPr>
          <w:rFonts w:ascii="Times New Roman" w:hAnsi="Times New Roman" w:cs="Times New Roman"/>
          <w:sz w:val="24"/>
          <w:szCs w:val="24"/>
        </w:rPr>
        <w:t xml:space="preserve"> and </w:t>
      </w:r>
      <w:r>
        <w:rPr>
          <w:rFonts w:ascii="Times New Roman" w:hAnsi="Times New Roman" w:cs="Times New Roman"/>
          <w:sz w:val="24"/>
          <w:szCs w:val="24"/>
        </w:rPr>
        <w:t>S-impedance</w:t>
      </w:r>
      <w:r w:rsidRPr="00E75C76">
        <w:rPr>
          <w:rFonts w:ascii="Times New Roman" w:hAnsi="Times New Roman" w:cs="Times New Roman"/>
          <w:sz w:val="24"/>
          <w:szCs w:val="24"/>
        </w:rPr>
        <w:t xml:space="preserve"> logs create separation between the peaks of the rock type PDFs expressing how each can be represented by different ranges of impedance values.  </w:t>
      </w:r>
    </w:p>
    <w:p w14:paraId="2DF00DF2"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ab/>
        <w:t xml:space="preserve">By applying the lithology and rock-type probabilities defined by the statistical PDFs to the </w:t>
      </w:r>
      <w:r>
        <w:rPr>
          <w:rFonts w:ascii="Times New Roman" w:hAnsi="Times New Roman" w:cs="Times New Roman"/>
          <w:sz w:val="24"/>
          <w:szCs w:val="24"/>
        </w:rPr>
        <w:t>P</w:t>
      </w:r>
      <w:r w:rsidRPr="00E75C76">
        <w:rPr>
          <w:rFonts w:ascii="Times New Roman" w:hAnsi="Times New Roman" w:cs="Times New Roman"/>
          <w:sz w:val="24"/>
          <w:szCs w:val="24"/>
        </w:rPr>
        <w:t xml:space="preserve">- and </w:t>
      </w:r>
      <w:r>
        <w:rPr>
          <w:rFonts w:ascii="Times New Roman" w:hAnsi="Times New Roman" w:cs="Times New Roman"/>
          <w:sz w:val="24"/>
          <w:szCs w:val="24"/>
        </w:rPr>
        <w:t>S-impedance</w:t>
      </w:r>
      <w:r w:rsidRPr="00E75C76">
        <w:rPr>
          <w:rFonts w:ascii="Times New Roman" w:hAnsi="Times New Roman" w:cs="Times New Roman"/>
          <w:sz w:val="24"/>
          <w:szCs w:val="24"/>
        </w:rPr>
        <w:t xml:space="preserve"> seismic attributes, lithology and rock-type classification volumes and probability volumes for each of the lithologies and rock types are generated (Figure 12). The distribution of lithologies and rock-types in the classification volumes demonstrate a direct </w:t>
      </w:r>
      <w:r w:rsidRPr="00E75C76">
        <w:rPr>
          <w:rFonts w:ascii="Times New Roman" w:hAnsi="Times New Roman" w:cs="Times New Roman"/>
          <w:sz w:val="24"/>
          <w:szCs w:val="24"/>
        </w:rPr>
        <w:lastRenderedPageBreak/>
        <w:t>correlation to their associated lithology and rock-type probability volumes; where there is the highest probability of a lithology or rock type, it will be defined as that lithology or rock type in the classification volume.</w:t>
      </w:r>
    </w:p>
    <w:p w14:paraId="6D53C345" w14:textId="77777777" w:rsidR="00D948FE" w:rsidRPr="00E75C76" w:rsidRDefault="00D948FE" w:rsidP="00D948FE">
      <w:pPr>
        <w:pStyle w:val="ListParagraph"/>
        <w:spacing w:after="0" w:line="480" w:lineRule="auto"/>
        <w:ind w:left="0"/>
        <w:rPr>
          <w:rFonts w:ascii="Times New Roman" w:hAnsi="Times New Roman" w:cs="Times New Roman"/>
          <w:b/>
          <w:sz w:val="24"/>
          <w:szCs w:val="24"/>
        </w:rPr>
      </w:pPr>
      <w:r w:rsidRPr="00E75C76">
        <w:rPr>
          <w:rFonts w:ascii="Times New Roman" w:hAnsi="Times New Roman" w:cs="Times New Roman"/>
          <w:b/>
          <w:sz w:val="24"/>
          <w:szCs w:val="24"/>
        </w:rPr>
        <w:t>Spatial Distribution of Reservoir Properties</w:t>
      </w:r>
    </w:p>
    <w:p w14:paraId="41771D69"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For the Meramec, 30 lithology and 30 rock-type models were generated and evaluated to assess the spatial variability and range of uncertainty of these properties and the associated porosity, water saturation, pore volume, and hydrocarbon pore volume (HCPV) (Figure 13). </w:t>
      </w:r>
      <w:r>
        <w:rPr>
          <w:rFonts w:ascii="Times New Roman" w:hAnsi="Times New Roman" w:cs="Times New Roman"/>
          <w:sz w:val="24"/>
          <w:szCs w:val="24"/>
        </w:rPr>
        <w:t>Variogram parameters for all models are summarized in Appendix-F1 through Appendix-F7.</w:t>
      </w:r>
    </w:p>
    <w:p w14:paraId="11B01BFD" w14:textId="77777777" w:rsidR="00D948FE" w:rsidRPr="00E75C76" w:rsidRDefault="00D948FE" w:rsidP="00D948FE">
      <w:pPr>
        <w:pStyle w:val="ListParagraph"/>
        <w:spacing w:after="0" w:line="480" w:lineRule="auto"/>
        <w:ind w:left="0" w:firstLine="720"/>
        <w:rPr>
          <w:rFonts w:ascii="Times New Roman" w:hAnsi="Times New Roman" w:cs="Times New Roman"/>
          <w:sz w:val="24"/>
          <w:szCs w:val="24"/>
        </w:rPr>
      </w:pPr>
      <w:r w:rsidRPr="00E75C76">
        <w:rPr>
          <w:rFonts w:ascii="Times New Roman" w:hAnsi="Times New Roman" w:cs="Times New Roman"/>
          <w:sz w:val="24"/>
          <w:szCs w:val="24"/>
        </w:rPr>
        <w:t>In terms of lithology, the transition from Meramec parasequences 1, 2, and 3 corresponds to an upward increase from 33% to 66% in argillaceous-rich lithologies and decrease in calcareous-rich lithologies from 67% to 34% (Figures 14)</w:t>
      </w:r>
      <w:r>
        <w:rPr>
          <w:rFonts w:ascii="Times New Roman" w:hAnsi="Times New Roman" w:cs="Times New Roman"/>
          <w:sz w:val="24"/>
          <w:szCs w:val="24"/>
        </w:rPr>
        <w:t xml:space="preserve"> (Appendix-F8)</w:t>
      </w:r>
      <w:r w:rsidRPr="00E75C76">
        <w:rPr>
          <w:rFonts w:ascii="Times New Roman" w:hAnsi="Times New Roman" w:cs="Times New Roman"/>
          <w:sz w:val="24"/>
          <w:szCs w:val="24"/>
        </w:rPr>
        <w:t xml:space="preserve">. The top of Meramec parasequence 3 represents the maximum flooding surface capping this retrogradational </w:t>
      </w:r>
      <w:r>
        <w:rPr>
          <w:rFonts w:ascii="Times New Roman" w:hAnsi="Times New Roman" w:cs="Times New Roman"/>
          <w:sz w:val="24"/>
          <w:szCs w:val="24"/>
        </w:rPr>
        <w:t xml:space="preserve">parasequence </w:t>
      </w:r>
      <w:r w:rsidRPr="00E75C76">
        <w:rPr>
          <w:rFonts w:ascii="Times New Roman" w:hAnsi="Times New Roman" w:cs="Times New Roman"/>
          <w:sz w:val="24"/>
          <w:szCs w:val="24"/>
        </w:rPr>
        <w:t>set</w:t>
      </w:r>
      <w:r>
        <w:rPr>
          <w:rFonts w:ascii="Times New Roman" w:hAnsi="Times New Roman" w:cs="Times New Roman"/>
          <w:sz w:val="24"/>
          <w:szCs w:val="24"/>
        </w:rPr>
        <w:t xml:space="preserve"> (Miller, 2019)</w:t>
      </w:r>
      <w:r w:rsidRPr="00E75C76">
        <w:rPr>
          <w:rFonts w:ascii="Times New Roman" w:hAnsi="Times New Roman" w:cs="Times New Roman"/>
          <w:sz w:val="24"/>
          <w:szCs w:val="24"/>
        </w:rPr>
        <w:t>. Moving stratigraphically upward, a</w:t>
      </w:r>
      <w:r>
        <w:rPr>
          <w:rFonts w:ascii="Times New Roman" w:hAnsi="Times New Roman" w:cs="Times New Roman"/>
          <w:sz w:val="24"/>
          <w:szCs w:val="24"/>
        </w:rPr>
        <w:t xml:space="preserve">n </w:t>
      </w:r>
      <w:r w:rsidRPr="00E75C76">
        <w:rPr>
          <w:rFonts w:ascii="Times New Roman" w:hAnsi="Times New Roman" w:cs="Times New Roman"/>
          <w:sz w:val="24"/>
          <w:szCs w:val="24"/>
        </w:rPr>
        <w:t>increase in calcareous siltstone (30 to 68%) in Meramec parasequences 4 and 5 suggest</w:t>
      </w:r>
      <w:r>
        <w:rPr>
          <w:rFonts w:ascii="Times New Roman" w:hAnsi="Times New Roman" w:cs="Times New Roman"/>
          <w:sz w:val="24"/>
          <w:szCs w:val="24"/>
        </w:rPr>
        <w:t>s</w:t>
      </w:r>
      <w:r w:rsidRPr="00E75C76">
        <w:rPr>
          <w:rFonts w:ascii="Times New Roman" w:hAnsi="Times New Roman" w:cs="Times New Roman"/>
          <w:sz w:val="24"/>
          <w:szCs w:val="24"/>
        </w:rPr>
        <w:t xml:space="preserve"> these are associated with a progradational parasequence set </w:t>
      </w:r>
      <w:r>
        <w:rPr>
          <w:rFonts w:ascii="Times New Roman" w:hAnsi="Times New Roman" w:cs="Times New Roman"/>
          <w:sz w:val="24"/>
          <w:szCs w:val="24"/>
        </w:rPr>
        <w:t xml:space="preserve">and </w:t>
      </w:r>
      <w:r w:rsidRPr="00E75C76">
        <w:rPr>
          <w:rFonts w:ascii="Times New Roman" w:hAnsi="Times New Roman" w:cs="Times New Roman"/>
          <w:sz w:val="24"/>
          <w:szCs w:val="24"/>
        </w:rPr>
        <w:t>coarsening-upward lithology successions. Meramec parasequences 6 and 7 show a</w:t>
      </w:r>
      <w:r>
        <w:rPr>
          <w:rFonts w:ascii="Times New Roman" w:hAnsi="Times New Roman" w:cs="Times New Roman"/>
          <w:sz w:val="24"/>
          <w:szCs w:val="24"/>
        </w:rPr>
        <w:t>n</w:t>
      </w:r>
      <w:r w:rsidRPr="00E75C76">
        <w:rPr>
          <w:rFonts w:ascii="Times New Roman" w:hAnsi="Times New Roman" w:cs="Times New Roman"/>
          <w:sz w:val="24"/>
          <w:szCs w:val="24"/>
        </w:rPr>
        <w:t xml:space="preserve"> increase in argillaceous-rich lithology (30 to 72%) and decrease in calcareous siltstone (68 to 28%) representing a retrogradational parasequence set. Meramec 7 contains the greatest amount of mudstone (26%) within the study area. </w:t>
      </w:r>
    </w:p>
    <w:p w14:paraId="2C2E8065" w14:textId="77777777" w:rsidR="00D948FE" w:rsidRPr="00E75C76" w:rsidRDefault="00D948FE" w:rsidP="00D948FE">
      <w:pPr>
        <w:pStyle w:val="ListParagraph"/>
        <w:spacing w:after="0" w:line="480" w:lineRule="auto"/>
        <w:ind w:left="0" w:firstLine="720"/>
        <w:rPr>
          <w:rFonts w:ascii="Times New Roman" w:hAnsi="Times New Roman" w:cs="Times New Roman"/>
          <w:sz w:val="24"/>
          <w:szCs w:val="24"/>
        </w:rPr>
      </w:pPr>
      <w:r w:rsidRPr="00E75C76">
        <w:rPr>
          <w:rFonts w:ascii="Times New Roman" w:hAnsi="Times New Roman" w:cs="Times New Roman"/>
          <w:sz w:val="24"/>
          <w:szCs w:val="24"/>
        </w:rPr>
        <w:t xml:space="preserve">In terms of the spatial variability of rock types, parasequences 1, 2, and 3 </w:t>
      </w:r>
      <w:r>
        <w:rPr>
          <w:rFonts w:ascii="Times New Roman" w:hAnsi="Times New Roman" w:cs="Times New Roman"/>
          <w:sz w:val="24"/>
          <w:szCs w:val="24"/>
        </w:rPr>
        <w:t>that form a</w:t>
      </w:r>
      <w:r w:rsidRPr="00E75C76">
        <w:rPr>
          <w:rFonts w:ascii="Times New Roman" w:hAnsi="Times New Roman" w:cs="Times New Roman"/>
          <w:sz w:val="24"/>
          <w:szCs w:val="24"/>
        </w:rPr>
        <w:t xml:space="preserve"> retrogradrational parasequence set show an upward increase in clay-rich rock type 1 from 5% to 34% and a decrease in the carbonate-rich rock type 3 from 32% to 7% (Figures 13 and 14). Like the lithology model, moving up section from Meramec parasequence 4 to 5, a significant increase in the amount of the calcareous-rich rock type 3 (5 to 43%) is observed. The top of the </w:t>
      </w:r>
      <w:r w:rsidRPr="00E75C76">
        <w:rPr>
          <w:rFonts w:ascii="Times New Roman" w:hAnsi="Times New Roman" w:cs="Times New Roman"/>
          <w:sz w:val="24"/>
          <w:szCs w:val="24"/>
        </w:rPr>
        <w:lastRenderedPageBreak/>
        <w:t xml:space="preserve">Meramec containing parasequences 6 and 7 introduce more clay with an increase of rock type 1 (47 to 77%). The lithology and rock-type classifications were created independently of each other yet display a similar retrogradational-progradational-retrogradational trend as </w:t>
      </w:r>
      <w:r>
        <w:rPr>
          <w:rFonts w:ascii="Times New Roman" w:hAnsi="Times New Roman" w:cs="Times New Roman"/>
          <w:sz w:val="24"/>
          <w:szCs w:val="24"/>
        </w:rPr>
        <w:t xml:space="preserve">also </w:t>
      </w:r>
      <w:r w:rsidRPr="00E75C76">
        <w:rPr>
          <w:rFonts w:ascii="Times New Roman" w:hAnsi="Times New Roman" w:cs="Times New Roman"/>
          <w:sz w:val="24"/>
          <w:szCs w:val="24"/>
        </w:rPr>
        <w:t xml:space="preserve">illustrated in the vertical proportion curves for lithologies and rock types (Figure 3). </w:t>
      </w:r>
    </w:p>
    <w:p w14:paraId="0F00611C" w14:textId="77777777" w:rsidR="00D948FE" w:rsidRPr="00E75C76" w:rsidRDefault="00D948FE" w:rsidP="00D948FE">
      <w:pPr>
        <w:pStyle w:val="ListParagraph"/>
        <w:spacing w:after="0" w:line="480" w:lineRule="auto"/>
        <w:ind w:left="0" w:firstLine="720"/>
        <w:rPr>
          <w:rFonts w:ascii="Times New Roman" w:hAnsi="Times New Roman" w:cs="Times New Roman"/>
          <w:sz w:val="24"/>
          <w:szCs w:val="24"/>
        </w:rPr>
      </w:pPr>
      <w:r w:rsidRPr="00E75C76">
        <w:rPr>
          <w:rFonts w:ascii="Times New Roman" w:hAnsi="Times New Roman" w:cs="Times New Roman"/>
          <w:sz w:val="24"/>
          <w:szCs w:val="24"/>
        </w:rPr>
        <w:t>Total porosity in the Meramec (lithology- and rock</w:t>
      </w:r>
      <w:r>
        <w:rPr>
          <w:rFonts w:ascii="Times New Roman" w:hAnsi="Times New Roman" w:cs="Times New Roman"/>
          <w:sz w:val="24"/>
          <w:szCs w:val="24"/>
        </w:rPr>
        <w:t>-</w:t>
      </w:r>
      <w:r w:rsidRPr="00E75C76">
        <w:rPr>
          <w:rFonts w:ascii="Times New Roman" w:hAnsi="Times New Roman" w:cs="Times New Roman"/>
          <w:sz w:val="24"/>
          <w:szCs w:val="24"/>
        </w:rPr>
        <w:t>type-based) ranges from 0-15% in the study area (Figures 13 and 15)</w:t>
      </w:r>
      <w:r>
        <w:rPr>
          <w:rFonts w:ascii="Times New Roman" w:hAnsi="Times New Roman" w:cs="Times New Roman"/>
          <w:sz w:val="24"/>
          <w:szCs w:val="24"/>
        </w:rPr>
        <w:t xml:space="preserve"> (Appendix-F8)</w:t>
      </w:r>
      <w:r w:rsidRPr="00E75C76">
        <w:rPr>
          <w:rFonts w:ascii="Times New Roman" w:hAnsi="Times New Roman" w:cs="Times New Roman"/>
          <w:sz w:val="24"/>
          <w:szCs w:val="24"/>
        </w:rPr>
        <w:t>. The rock type-based porosity model shows an upward increase in total porosity moving up section in Meramec parasequences 1, 2, 3, and 4 (mean =</w:t>
      </w:r>
      <w:r w:rsidRPr="00E75C76">
        <w:rPr>
          <w:rStyle w:val="CommentReference"/>
          <w:rFonts w:ascii="Times New Roman" w:hAnsi="Times New Roman" w:cs="Times New Roman"/>
          <w:sz w:val="24"/>
          <w:szCs w:val="24"/>
        </w:rPr>
        <w:t xml:space="preserve"> </w:t>
      </w:r>
      <w:r>
        <w:rPr>
          <w:rStyle w:val="CommentReference"/>
          <w:rFonts w:ascii="Times New Roman" w:hAnsi="Times New Roman" w:cs="Times New Roman"/>
          <w:sz w:val="24"/>
          <w:szCs w:val="24"/>
        </w:rPr>
        <w:t>0</w:t>
      </w:r>
      <w:r w:rsidRPr="00E75C76">
        <w:rPr>
          <w:rFonts w:ascii="Times New Roman" w:hAnsi="Times New Roman" w:cs="Times New Roman"/>
          <w:sz w:val="24"/>
          <w:szCs w:val="24"/>
        </w:rPr>
        <w:t xml:space="preserve">.2, 3.9, 5.3, and 5.7%, respectively) (Figures 15). Meramec 5 exhibits a lower </w:t>
      </w:r>
      <w:r>
        <w:rPr>
          <w:rFonts w:ascii="Times New Roman" w:hAnsi="Times New Roman" w:cs="Times New Roman"/>
          <w:sz w:val="24"/>
          <w:szCs w:val="24"/>
        </w:rPr>
        <w:t>mean</w:t>
      </w:r>
      <w:r w:rsidRPr="00E75C76">
        <w:rPr>
          <w:rFonts w:ascii="Times New Roman" w:hAnsi="Times New Roman" w:cs="Times New Roman"/>
          <w:sz w:val="24"/>
          <w:szCs w:val="24"/>
        </w:rPr>
        <w:t xml:space="preserve"> porosity (3.8%) as the calcareous-rich rock type 3 (with more calcite cement) dominates this parasequence. Meramec 6 and 7 have the highest </w:t>
      </w:r>
      <w:r>
        <w:rPr>
          <w:rFonts w:ascii="Times New Roman" w:hAnsi="Times New Roman" w:cs="Times New Roman"/>
          <w:sz w:val="24"/>
          <w:szCs w:val="24"/>
        </w:rPr>
        <w:t>mean</w:t>
      </w:r>
      <w:r w:rsidRPr="00E75C76">
        <w:rPr>
          <w:rFonts w:ascii="Times New Roman" w:hAnsi="Times New Roman" w:cs="Times New Roman"/>
          <w:sz w:val="24"/>
          <w:szCs w:val="24"/>
        </w:rPr>
        <w:t xml:space="preserve"> </w:t>
      </w:r>
      <w:r>
        <w:rPr>
          <w:rFonts w:ascii="Times New Roman" w:hAnsi="Times New Roman" w:cs="Times New Roman"/>
          <w:sz w:val="24"/>
          <w:szCs w:val="24"/>
        </w:rPr>
        <w:t xml:space="preserve">total </w:t>
      </w:r>
      <w:r w:rsidRPr="00E75C76">
        <w:rPr>
          <w:rFonts w:ascii="Times New Roman" w:hAnsi="Times New Roman" w:cs="Times New Roman"/>
          <w:sz w:val="24"/>
          <w:szCs w:val="24"/>
        </w:rPr>
        <w:t xml:space="preserve">porosity of 6.6% and 7.6%, respectively. The </w:t>
      </w:r>
      <w:r>
        <w:rPr>
          <w:rFonts w:ascii="Times New Roman" w:hAnsi="Times New Roman" w:cs="Times New Roman"/>
          <w:sz w:val="24"/>
          <w:szCs w:val="24"/>
        </w:rPr>
        <w:t xml:space="preserve">stratigraphic variability of rock-type and </w:t>
      </w:r>
      <w:r w:rsidRPr="00E75C76">
        <w:rPr>
          <w:rFonts w:ascii="Times New Roman" w:hAnsi="Times New Roman" w:cs="Times New Roman"/>
          <w:sz w:val="24"/>
          <w:szCs w:val="24"/>
        </w:rPr>
        <w:t>lithology-based porosity</w:t>
      </w:r>
      <w:r>
        <w:rPr>
          <w:rFonts w:ascii="Times New Roman" w:hAnsi="Times New Roman" w:cs="Times New Roman"/>
          <w:sz w:val="24"/>
          <w:szCs w:val="24"/>
        </w:rPr>
        <w:t xml:space="preserve"> within the Meramec is similar.</w:t>
      </w:r>
      <w:r w:rsidRPr="00E75C76">
        <w:rPr>
          <w:rFonts w:ascii="Times New Roman" w:hAnsi="Times New Roman" w:cs="Times New Roman"/>
          <w:sz w:val="24"/>
          <w:szCs w:val="24"/>
        </w:rPr>
        <w:t xml:space="preserve"> </w:t>
      </w:r>
    </w:p>
    <w:p w14:paraId="1C9A2E6A" w14:textId="77777777" w:rsidR="00D948FE" w:rsidRPr="00E75C76" w:rsidRDefault="00D948FE" w:rsidP="00D948FE">
      <w:pPr>
        <w:spacing w:after="0" w:line="480" w:lineRule="auto"/>
        <w:ind w:firstLine="720"/>
        <w:rPr>
          <w:rFonts w:ascii="Times New Roman" w:hAnsi="Times New Roman" w:cs="Times New Roman"/>
          <w:sz w:val="24"/>
          <w:szCs w:val="24"/>
          <w:vertAlign w:val="subscript"/>
        </w:rPr>
      </w:pPr>
      <w:r w:rsidRPr="00E75C76">
        <w:rPr>
          <w:rFonts w:ascii="Times New Roman" w:hAnsi="Times New Roman" w:cs="Times New Roman"/>
          <w:sz w:val="24"/>
          <w:szCs w:val="24"/>
        </w:rPr>
        <w:t>Water saturation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(lithology- and rock</w:t>
      </w:r>
      <w:r>
        <w:rPr>
          <w:rFonts w:ascii="Times New Roman" w:hAnsi="Times New Roman" w:cs="Times New Roman"/>
          <w:sz w:val="24"/>
          <w:szCs w:val="24"/>
        </w:rPr>
        <w:t>-</w:t>
      </w:r>
      <w:r w:rsidRPr="00E75C76">
        <w:rPr>
          <w:rFonts w:ascii="Times New Roman" w:hAnsi="Times New Roman" w:cs="Times New Roman"/>
          <w:sz w:val="24"/>
          <w:szCs w:val="24"/>
        </w:rPr>
        <w:t>type-based) is variable with the average being approximately 30-40% in the Meramec (Figures 13 and 15)</w:t>
      </w:r>
      <w:r>
        <w:rPr>
          <w:rFonts w:ascii="Times New Roman" w:hAnsi="Times New Roman" w:cs="Times New Roman"/>
          <w:sz w:val="24"/>
          <w:szCs w:val="24"/>
        </w:rPr>
        <w:t xml:space="preserve"> (Appendix-F8)</w:t>
      </w:r>
      <w:r w:rsidRPr="00E75C76">
        <w:rPr>
          <w:rFonts w:ascii="Times New Roman" w:hAnsi="Times New Roman" w:cs="Times New Roman"/>
          <w:sz w:val="24"/>
          <w:szCs w:val="24"/>
        </w:rPr>
        <w:t>. Parasequences 1, 2, and 3, show higher values of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(mean = 39%, 40%, 31%, respectively) (Figure 15). Parasequence 4 has the lowest average S</w:t>
      </w:r>
      <w:r w:rsidRPr="00E75C76">
        <w:rPr>
          <w:rFonts w:ascii="Times New Roman" w:hAnsi="Times New Roman" w:cs="Times New Roman"/>
          <w:sz w:val="24"/>
          <w:szCs w:val="24"/>
          <w:vertAlign w:val="subscript"/>
        </w:rPr>
        <w:t xml:space="preserve">w </w:t>
      </w:r>
      <w:r w:rsidRPr="00E75C76">
        <w:rPr>
          <w:rFonts w:ascii="Times New Roman" w:hAnsi="Times New Roman" w:cs="Times New Roman"/>
          <w:sz w:val="24"/>
          <w:szCs w:val="24"/>
        </w:rPr>
        <w:t xml:space="preserve">(28%). </w:t>
      </w:r>
      <w:r>
        <w:rPr>
          <w:rFonts w:ascii="Times New Roman" w:hAnsi="Times New Roman" w:cs="Times New Roman"/>
          <w:sz w:val="24"/>
          <w:szCs w:val="24"/>
        </w:rPr>
        <w:t>P</w:t>
      </w:r>
      <w:r w:rsidRPr="00E75C76">
        <w:rPr>
          <w:rFonts w:ascii="Times New Roman" w:hAnsi="Times New Roman" w:cs="Times New Roman"/>
          <w:sz w:val="24"/>
          <w:szCs w:val="24"/>
        </w:rPr>
        <w:t>arasequences 5, 6, and 7 revert to higher average S</w:t>
      </w:r>
      <w:r w:rsidRPr="00E75C76">
        <w:rPr>
          <w:rFonts w:ascii="Times New Roman" w:hAnsi="Times New Roman" w:cs="Times New Roman"/>
          <w:sz w:val="24"/>
          <w:szCs w:val="24"/>
          <w:vertAlign w:val="subscript"/>
        </w:rPr>
        <w:t xml:space="preserve">w </w:t>
      </w:r>
      <w:r w:rsidRPr="00E75C76">
        <w:rPr>
          <w:rFonts w:ascii="Times New Roman" w:hAnsi="Times New Roman" w:cs="Times New Roman"/>
          <w:sz w:val="24"/>
          <w:szCs w:val="24"/>
        </w:rPr>
        <w:t>values of 39%, 30%, and 36%, respectively. Like porosity, the lithology-biased S</w:t>
      </w:r>
      <w:r w:rsidRPr="00E75C76">
        <w:rPr>
          <w:rFonts w:ascii="Times New Roman" w:hAnsi="Times New Roman" w:cs="Times New Roman"/>
          <w:sz w:val="24"/>
          <w:szCs w:val="24"/>
          <w:vertAlign w:val="subscript"/>
        </w:rPr>
        <w:t>w</w:t>
      </w:r>
      <w:r w:rsidRPr="00E75C76">
        <w:rPr>
          <w:rFonts w:ascii="Times New Roman" w:hAnsi="Times New Roman" w:cs="Times New Roman"/>
          <w:sz w:val="24"/>
          <w:szCs w:val="24"/>
        </w:rPr>
        <w:t xml:space="preserve"> shows a similar spatial distribution as rock</w:t>
      </w:r>
      <w:r>
        <w:rPr>
          <w:rFonts w:ascii="Times New Roman" w:hAnsi="Times New Roman" w:cs="Times New Roman"/>
          <w:sz w:val="24"/>
          <w:szCs w:val="24"/>
        </w:rPr>
        <w:t>-</w:t>
      </w:r>
      <w:r w:rsidRPr="00E75C76">
        <w:rPr>
          <w:rFonts w:ascii="Times New Roman" w:hAnsi="Times New Roman" w:cs="Times New Roman"/>
          <w:sz w:val="24"/>
          <w:szCs w:val="24"/>
        </w:rPr>
        <w:t>type-based water saturation.</w:t>
      </w:r>
      <w:r w:rsidRPr="00E75C76">
        <w:rPr>
          <w:rFonts w:ascii="Times New Roman" w:hAnsi="Times New Roman" w:cs="Times New Roman"/>
          <w:sz w:val="24"/>
          <w:szCs w:val="24"/>
          <w:vertAlign w:val="subscript"/>
        </w:rPr>
        <w:t xml:space="preserve"> </w:t>
      </w:r>
    </w:p>
    <w:p w14:paraId="61F357AC"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Poisson’s Ratio (</w:t>
      </w:r>
      <w:r w:rsidRPr="00056DEA">
        <w:rPr>
          <w:rFonts w:ascii="Times New Roman" w:hAnsi="Times New Roman" w:cs="Times New Roman"/>
          <w:i/>
          <w:sz w:val="24"/>
          <w:szCs w:val="24"/>
        </w:rPr>
        <w:t>ν</w:t>
      </w:r>
      <w:r w:rsidRPr="00E75C76">
        <w:rPr>
          <w:rFonts w:ascii="Times New Roman" w:hAnsi="Times New Roman" w:cs="Times New Roman"/>
          <w:sz w:val="24"/>
          <w:szCs w:val="24"/>
        </w:rPr>
        <w:t>) and Young’s Modulus (</w:t>
      </w:r>
      <w:r w:rsidRPr="00056DEA">
        <w:rPr>
          <w:rFonts w:ascii="Times New Roman" w:hAnsi="Times New Roman" w:cs="Times New Roman"/>
          <w:i/>
          <w:sz w:val="24"/>
          <w:szCs w:val="24"/>
        </w:rPr>
        <w:t>E</w:t>
      </w:r>
      <w:r w:rsidRPr="00E75C76">
        <w:rPr>
          <w:rFonts w:ascii="Times New Roman" w:hAnsi="Times New Roman" w:cs="Times New Roman"/>
          <w:sz w:val="24"/>
          <w:szCs w:val="24"/>
        </w:rPr>
        <w:t>) are very heterogeneous in the Meramec (Figure 15)</w:t>
      </w:r>
      <w:r>
        <w:rPr>
          <w:rFonts w:ascii="Times New Roman" w:hAnsi="Times New Roman" w:cs="Times New Roman"/>
          <w:sz w:val="24"/>
          <w:szCs w:val="24"/>
        </w:rPr>
        <w:t xml:space="preserve"> (Appendix-F9)</w:t>
      </w:r>
      <w:r w:rsidRPr="00E75C76">
        <w:rPr>
          <w:rFonts w:ascii="Times New Roman" w:hAnsi="Times New Roman" w:cs="Times New Roman"/>
          <w:sz w:val="24"/>
          <w:szCs w:val="24"/>
        </w:rPr>
        <w:t xml:space="preserve">. Parasequences 4 and 5 exhibit the greatest percentage of the low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rocks and the high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rocks indicat</w:t>
      </w:r>
      <w:r>
        <w:rPr>
          <w:rFonts w:ascii="Times New Roman" w:hAnsi="Times New Roman" w:cs="Times New Roman"/>
          <w:sz w:val="24"/>
          <w:szCs w:val="24"/>
        </w:rPr>
        <w:t>ing</w:t>
      </w:r>
      <w:r w:rsidRPr="00E75C76">
        <w:rPr>
          <w:rFonts w:ascii="Times New Roman" w:hAnsi="Times New Roman" w:cs="Times New Roman"/>
          <w:sz w:val="24"/>
          <w:szCs w:val="24"/>
        </w:rPr>
        <w:t xml:space="preserve"> brittle rock</w:t>
      </w:r>
      <w:r>
        <w:rPr>
          <w:rFonts w:ascii="Times New Roman" w:hAnsi="Times New Roman" w:cs="Times New Roman"/>
          <w:sz w:val="24"/>
          <w:szCs w:val="24"/>
        </w:rPr>
        <w:t>,</w:t>
      </w:r>
      <w:r w:rsidRPr="00E75C76">
        <w:rPr>
          <w:rFonts w:ascii="Times New Roman" w:hAnsi="Times New Roman" w:cs="Times New Roman"/>
          <w:sz w:val="24"/>
          <w:szCs w:val="24"/>
        </w:rPr>
        <w:t xml:space="preserve"> and </w:t>
      </w:r>
      <w:r>
        <w:rPr>
          <w:rFonts w:ascii="Times New Roman" w:hAnsi="Times New Roman" w:cs="Times New Roman"/>
          <w:sz w:val="24"/>
          <w:szCs w:val="24"/>
        </w:rPr>
        <w:t xml:space="preserve">this </w:t>
      </w:r>
      <w:r w:rsidRPr="00E75C76">
        <w:rPr>
          <w:rFonts w:ascii="Times New Roman" w:hAnsi="Times New Roman" w:cs="Times New Roman"/>
          <w:sz w:val="24"/>
          <w:szCs w:val="24"/>
        </w:rPr>
        <w:t xml:space="preserve">is consistent with the increase in the calcareous-rich lithology and rock type 3. Parasequences 6 and 7 exhibit the greatest percentage </w:t>
      </w:r>
      <w:r w:rsidRPr="00E75C76">
        <w:rPr>
          <w:rFonts w:ascii="Times New Roman" w:hAnsi="Times New Roman" w:cs="Times New Roman"/>
          <w:sz w:val="24"/>
          <w:szCs w:val="24"/>
        </w:rPr>
        <w:lastRenderedPageBreak/>
        <w:t xml:space="preserve">of high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and low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rocks associated with a more ductile interval which corresponds to the presence of more argillaceous-rich lithologies and rock type 1. </w:t>
      </w:r>
    </w:p>
    <w:p w14:paraId="4F77400B" w14:textId="77777777" w:rsidR="00D948FE" w:rsidRPr="00E75C76" w:rsidRDefault="00D948FE" w:rsidP="00D948F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Within the study area, t</w:t>
      </w:r>
      <w:r w:rsidRPr="00E75C76">
        <w:rPr>
          <w:rFonts w:ascii="Times New Roman" w:hAnsi="Times New Roman" w:cs="Times New Roman"/>
          <w:sz w:val="24"/>
          <w:szCs w:val="24"/>
        </w:rPr>
        <w:t xml:space="preserve">he lateral variability of lithologies, rock types, and petrophysical properties </w:t>
      </w:r>
      <w:r>
        <w:rPr>
          <w:rFonts w:ascii="Times New Roman" w:hAnsi="Times New Roman" w:cs="Times New Roman"/>
          <w:sz w:val="24"/>
          <w:szCs w:val="24"/>
        </w:rPr>
        <w:t>appears to be</w:t>
      </w:r>
      <w:r w:rsidRPr="00E75C76">
        <w:rPr>
          <w:rFonts w:ascii="Times New Roman" w:hAnsi="Times New Roman" w:cs="Times New Roman"/>
          <w:sz w:val="24"/>
          <w:szCs w:val="24"/>
        </w:rPr>
        <w:t xml:space="preserve"> less significant as compared to their stratigraphic variability; thus, the sequence stratigraphy of the Meramec imparts a </w:t>
      </w:r>
      <w:r>
        <w:rPr>
          <w:rFonts w:ascii="Times New Roman" w:hAnsi="Times New Roman" w:cs="Times New Roman"/>
          <w:sz w:val="24"/>
          <w:szCs w:val="24"/>
        </w:rPr>
        <w:t>distinct stratigraphic</w:t>
      </w:r>
      <w:r w:rsidRPr="00E75C76">
        <w:rPr>
          <w:rFonts w:ascii="Times New Roman" w:hAnsi="Times New Roman" w:cs="Times New Roman"/>
          <w:sz w:val="24"/>
          <w:szCs w:val="24"/>
        </w:rPr>
        <w:t xml:space="preserve"> control on reservoir quality. </w:t>
      </w:r>
    </w:p>
    <w:p w14:paraId="2CE0C8AE"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Lithology, Rock-Type and Geomechanical Controls on Reservoir Performance</w:t>
      </w:r>
    </w:p>
    <w:p w14:paraId="467F7727"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Pore volume and HCPV in reservoir barrels (RB) </w:t>
      </w:r>
      <w:r>
        <w:rPr>
          <w:rFonts w:ascii="Times New Roman" w:hAnsi="Times New Roman" w:cs="Times New Roman"/>
          <w:sz w:val="24"/>
          <w:szCs w:val="24"/>
        </w:rPr>
        <w:t>were generated</w:t>
      </w:r>
      <w:r w:rsidRPr="00E75C76">
        <w:rPr>
          <w:rFonts w:ascii="Times New Roman" w:hAnsi="Times New Roman" w:cs="Times New Roman"/>
          <w:sz w:val="24"/>
          <w:szCs w:val="24"/>
        </w:rPr>
        <w:t xml:space="preserve"> for the P10 (most conservative volumetric outcome), P50, and P90 (most optimistic volumetric outcome) cases (by zone and total) for both the lithology and rock-type across the </w:t>
      </w:r>
      <w:r>
        <w:rPr>
          <w:rFonts w:ascii="Times New Roman" w:hAnsi="Times New Roman" w:cs="Times New Roman"/>
          <w:sz w:val="24"/>
          <w:szCs w:val="24"/>
        </w:rPr>
        <w:t xml:space="preserve">study area (Appendix-G1 and Appendix-G2). </w:t>
      </w:r>
      <w:r w:rsidRPr="00E75C76">
        <w:rPr>
          <w:rFonts w:ascii="Times New Roman" w:hAnsi="Times New Roman" w:cs="Times New Roman"/>
          <w:sz w:val="24"/>
          <w:szCs w:val="24"/>
        </w:rPr>
        <w:t>Parasequences 3 and 4 exhibit the greatest pore volume and HCPV</w:t>
      </w:r>
      <w:r>
        <w:rPr>
          <w:rFonts w:ascii="Times New Roman" w:hAnsi="Times New Roman" w:cs="Times New Roman"/>
          <w:sz w:val="24"/>
          <w:szCs w:val="24"/>
        </w:rPr>
        <w:t xml:space="preserve">. These </w:t>
      </w:r>
      <w:r w:rsidRPr="00E75C76">
        <w:rPr>
          <w:rFonts w:ascii="Times New Roman" w:hAnsi="Times New Roman" w:cs="Times New Roman"/>
          <w:sz w:val="24"/>
          <w:szCs w:val="24"/>
        </w:rPr>
        <w:t xml:space="preserve">intervals </w:t>
      </w:r>
      <w:r>
        <w:rPr>
          <w:rFonts w:ascii="Times New Roman" w:hAnsi="Times New Roman" w:cs="Times New Roman"/>
          <w:sz w:val="24"/>
          <w:szCs w:val="24"/>
        </w:rPr>
        <w:t>also exhibit relatively</w:t>
      </w:r>
      <w:r w:rsidRPr="00E75C76">
        <w:rPr>
          <w:rFonts w:ascii="Times New Roman" w:hAnsi="Times New Roman" w:cs="Times New Roman"/>
          <w:sz w:val="24"/>
          <w:szCs w:val="24"/>
        </w:rPr>
        <w:t xml:space="preserve"> high porosity and low water saturation values (Figures 15). </w:t>
      </w:r>
      <w:r w:rsidRPr="00E75C76">
        <w:rPr>
          <w:rFonts w:ascii="Times New Roman" w:hAnsi="Times New Roman" w:cs="Times New Roman"/>
          <w:sz w:val="24"/>
          <w:szCs w:val="24"/>
        </w:rPr>
        <w:tab/>
      </w:r>
    </w:p>
    <w:p w14:paraId="230AF8FF"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The production analysis revealed a negative correlation</w:t>
      </w:r>
      <w:r>
        <w:rPr>
          <w:rFonts w:ascii="Times New Roman" w:hAnsi="Times New Roman" w:cs="Times New Roman"/>
          <w:sz w:val="24"/>
          <w:szCs w:val="24"/>
        </w:rPr>
        <w:t xml:space="preserve"> (R</w:t>
      </w:r>
      <w:r w:rsidRPr="0081340C">
        <w:rPr>
          <w:rFonts w:ascii="TimesNewRomanPSMT" w:hAnsi="TimesNewRomanPSMT" w:cs="TimesNewRomanPSMT"/>
          <w:sz w:val="24"/>
          <w:szCs w:val="24"/>
          <w:vertAlign w:val="superscript"/>
        </w:rPr>
        <w:t>2</w:t>
      </w:r>
      <w:r>
        <w:rPr>
          <w:rFonts w:ascii="Times New Roman" w:hAnsi="Times New Roman" w:cs="Times New Roman"/>
          <w:sz w:val="24"/>
          <w:szCs w:val="24"/>
        </w:rPr>
        <w:t xml:space="preserve"> = 54%)</w:t>
      </w:r>
      <w:r w:rsidRPr="00E75C76">
        <w:rPr>
          <w:rFonts w:ascii="Times New Roman" w:hAnsi="Times New Roman" w:cs="Times New Roman"/>
          <w:sz w:val="24"/>
          <w:szCs w:val="24"/>
        </w:rPr>
        <w:t xml:space="preserve"> between the </w:t>
      </w:r>
      <w:r>
        <w:rPr>
          <w:rFonts w:ascii="Times New Roman" w:hAnsi="Times New Roman" w:cs="Times New Roman"/>
          <w:sz w:val="24"/>
          <w:szCs w:val="24"/>
        </w:rPr>
        <w:t>percentage</w:t>
      </w:r>
      <w:r w:rsidRPr="00E75C76">
        <w:rPr>
          <w:rFonts w:ascii="Times New Roman" w:hAnsi="Times New Roman" w:cs="Times New Roman"/>
          <w:sz w:val="24"/>
          <w:szCs w:val="24"/>
        </w:rPr>
        <w:t xml:space="preserve"> of argillaceous-rich rock type 1 and 180-day cumulative oil production, and a positive correlation </w:t>
      </w:r>
      <w:r>
        <w:rPr>
          <w:rFonts w:ascii="Times New Roman" w:hAnsi="Times New Roman" w:cs="Times New Roman"/>
          <w:sz w:val="24"/>
          <w:szCs w:val="24"/>
        </w:rPr>
        <w:t>(R</w:t>
      </w:r>
      <w:r w:rsidRPr="0081340C">
        <w:rPr>
          <w:rFonts w:ascii="TimesNewRomanPSMT" w:hAnsi="TimesNewRomanPSMT" w:cs="TimesNewRomanPSMT"/>
          <w:sz w:val="24"/>
          <w:szCs w:val="24"/>
          <w:vertAlign w:val="superscript"/>
        </w:rPr>
        <w:t>2</w:t>
      </w:r>
      <w:r>
        <w:rPr>
          <w:rFonts w:ascii="Times New Roman" w:hAnsi="Times New Roman" w:cs="Times New Roman"/>
          <w:sz w:val="24"/>
          <w:szCs w:val="24"/>
        </w:rPr>
        <w:t xml:space="preserve"> = 52%) </w:t>
      </w:r>
      <w:r w:rsidRPr="00E75C76">
        <w:rPr>
          <w:rFonts w:ascii="Times New Roman" w:hAnsi="Times New Roman" w:cs="Times New Roman"/>
          <w:sz w:val="24"/>
          <w:szCs w:val="24"/>
        </w:rPr>
        <w:t xml:space="preserve">between the </w:t>
      </w:r>
      <w:r>
        <w:rPr>
          <w:rFonts w:ascii="Times New Roman" w:hAnsi="Times New Roman" w:cs="Times New Roman"/>
          <w:sz w:val="24"/>
          <w:szCs w:val="24"/>
        </w:rPr>
        <w:t>percentage</w:t>
      </w:r>
      <w:r w:rsidRPr="00E75C76">
        <w:rPr>
          <w:rFonts w:ascii="Times New Roman" w:hAnsi="Times New Roman" w:cs="Times New Roman"/>
          <w:sz w:val="24"/>
          <w:szCs w:val="24"/>
        </w:rPr>
        <w:t xml:space="preserve"> of </w:t>
      </w:r>
      <w:r>
        <w:rPr>
          <w:rFonts w:ascii="Times New Roman" w:hAnsi="Times New Roman" w:cs="Times New Roman"/>
          <w:sz w:val="24"/>
          <w:szCs w:val="24"/>
        </w:rPr>
        <w:t>the intermediate (</w:t>
      </w:r>
      <w:r w:rsidRPr="00E75C76">
        <w:rPr>
          <w:rFonts w:ascii="Times New Roman" w:hAnsi="Times New Roman" w:cs="Times New Roman"/>
          <w:sz w:val="24"/>
          <w:szCs w:val="24"/>
        </w:rPr>
        <w:t>argillaceous-calcareous</w:t>
      </w:r>
      <w:r>
        <w:rPr>
          <w:rFonts w:ascii="Times New Roman" w:hAnsi="Times New Roman" w:cs="Times New Roman"/>
          <w:sz w:val="24"/>
          <w:szCs w:val="24"/>
        </w:rPr>
        <w:t xml:space="preserve">) </w:t>
      </w:r>
      <w:r w:rsidRPr="00E75C76">
        <w:rPr>
          <w:rFonts w:ascii="Times New Roman" w:hAnsi="Times New Roman" w:cs="Times New Roman"/>
          <w:sz w:val="24"/>
          <w:szCs w:val="24"/>
        </w:rPr>
        <w:t>rock type 2 and 180-day cumulative oil production (Figure 1</w:t>
      </w:r>
      <w:r>
        <w:rPr>
          <w:rFonts w:ascii="Times New Roman" w:hAnsi="Times New Roman" w:cs="Times New Roman"/>
          <w:sz w:val="24"/>
          <w:szCs w:val="24"/>
        </w:rPr>
        <w:t>6</w:t>
      </w:r>
      <w:r w:rsidRPr="00E75C76">
        <w:rPr>
          <w:rFonts w:ascii="Times New Roman" w:hAnsi="Times New Roman" w:cs="Times New Roman"/>
          <w:sz w:val="24"/>
          <w:szCs w:val="24"/>
        </w:rPr>
        <w:t xml:space="preserve">). A trend is not observed between </w:t>
      </w:r>
      <w:r>
        <w:rPr>
          <w:rFonts w:ascii="Times New Roman" w:hAnsi="Times New Roman" w:cs="Times New Roman"/>
          <w:sz w:val="24"/>
          <w:szCs w:val="24"/>
        </w:rPr>
        <w:t xml:space="preserve">the </w:t>
      </w:r>
      <w:r w:rsidRPr="00E75C76">
        <w:rPr>
          <w:rFonts w:ascii="Times New Roman" w:hAnsi="Times New Roman" w:cs="Times New Roman"/>
          <w:sz w:val="24"/>
          <w:szCs w:val="24"/>
        </w:rPr>
        <w:t xml:space="preserve">calcareous-rich rock type 3 and cumulative oil production data. The same correlations are observed for rock-type </w:t>
      </w:r>
      <w:r>
        <w:rPr>
          <w:rFonts w:ascii="Times New Roman" w:hAnsi="Times New Roman" w:cs="Times New Roman"/>
          <w:sz w:val="24"/>
          <w:szCs w:val="24"/>
        </w:rPr>
        <w:t>percentage</w:t>
      </w:r>
      <w:r w:rsidRPr="00E75C76">
        <w:rPr>
          <w:rFonts w:ascii="Times New Roman" w:hAnsi="Times New Roman" w:cs="Times New Roman"/>
          <w:sz w:val="24"/>
          <w:szCs w:val="24"/>
        </w:rPr>
        <w:t xml:space="preserve"> and normalized 360-day cumulative production. However, no trends are observed regarding the </w:t>
      </w:r>
      <w:r>
        <w:rPr>
          <w:rFonts w:ascii="Times New Roman" w:hAnsi="Times New Roman" w:cs="Times New Roman"/>
          <w:sz w:val="24"/>
          <w:szCs w:val="24"/>
        </w:rPr>
        <w:t>percentage</w:t>
      </w:r>
      <w:r w:rsidRPr="00E75C76">
        <w:rPr>
          <w:rFonts w:ascii="Times New Roman" w:hAnsi="Times New Roman" w:cs="Times New Roman"/>
          <w:sz w:val="24"/>
          <w:szCs w:val="24"/>
        </w:rPr>
        <w:t xml:space="preserve"> of lithology and 180-day and 360-day cumulative production</w:t>
      </w:r>
      <w:r>
        <w:rPr>
          <w:rFonts w:ascii="Times New Roman" w:hAnsi="Times New Roman" w:cs="Times New Roman"/>
          <w:sz w:val="24"/>
          <w:szCs w:val="24"/>
        </w:rPr>
        <w:t xml:space="preserve"> (Appendix-H1)</w:t>
      </w:r>
      <w:r w:rsidRPr="00E75C76">
        <w:rPr>
          <w:rFonts w:ascii="Times New Roman" w:hAnsi="Times New Roman" w:cs="Times New Roman"/>
          <w:sz w:val="24"/>
          <w:szCs w:val="24"/>
        </w:rPr>
        <w:t xml:space="preserve">. These comparisons show that the high-clay content rock type 1 is associated with </w:t>
      </w:r>
      <w:r>
        <w:rPr>
          <w:rFonts w:ascii="Times New Roman" w:hAnsi="Times New Roman" w:cs="Times New Roman"/>
          <w:sz w:val="24"/>
          <w:szCs w:val="24"/>
        </w:rPr>
        <w:t xml:space="preserve">relatively </w:t>
      </w:r>
      <w:r w:rsidRPr="00E75C76">
        <w:rPr>
          <w:rFonts w:ascii="Times New Roman" w:hAnsi="Times New Roman" w:cs="Times New Roman"/>
          <w:sz w:val="24"/>
          <w:szCs w:val="24"/>
        </w:rPr>
        <w:t xml:space="preserve">poor reservoir quality, and the argillaceous-calcareous mixed rock type 2 is associated with a higher quality reservoir rock. </w:t>
      </w:r>
    </w:p>
    <w:p w14:paraId="76FF22B4"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b/>
          <w:sz w:val="24"/>
          <w:szCs w:val="24"/>
        </w:rPr>
        <w:lastRenderedPageBreak/>
        <w:tab/>
      </w:r>
      <w:r w:rsidRPr="00E75C76">
        <w:rPr>
          <w:rFonts w:ascii="Times New Roman" w:hAnsi="Times New Roman" w:cs="Times New Roman"/>
          <w:sz w:val="24"/>
          <w:szCs w:val="24"/>
        </w:rPr>
        <w:t>The comparison of geomechanical properties with normalized 180-day oil production (Figure 1</w:t>
      </w:r>
      <w:r>
        <w:rPr>
          <w:rFonts w:ascii="Times New Roman" w:hAnsi="Times New Roman" w:cs="Times New Roman"/>
          <w:sz w:val="24"/>
          <w:szCs w:val="24"/>
        </w:rPr>
        <w:t>7</w:t>
      </w:r>
      <w:r w:rsidRPr="00E75C76">
        <w:rPr>
          <w:rFonts w:ascii="Times New Roman" w:hAnsi="Times New Roman" w:cs="Times New Roman"/>
          <w:sz w:val="24"/>
          <w:szCs w:val="24"/>
        </w:rPr>
        <w:t>) reveal a positive correlation</w:t>
      </w:r>
      <w:r>
        <w:rPr>
          <w:rFonts w:ascii="Times New Roman" w:hAnsi="Times New Roman" w:cs="Times New Roman"/>
          <w:sz w:val="24"/>
          <w:szCs w:val="24"/>
        </w:rPr>
        <w:t xml:space="preserve"> (R</w:t>
      </w:r>
      <w:r w:rsidRPr="0081340C">
        <w:rPr>
          <w:rFonts w:ascii="TimesNewRomanPSMT" w:hAnsi="TimesNewRomanPSMT" w:cs="TimesNewRomanPSMT"/>
          <w:sz w:val="24"/>
          <w:szCs w:val="24"/>
          <w:vertAlign w:val="superscript"/>
        </w:rPr>
        <w:t>2</w:t>
      </w:r>
      <w:r>
        <w:rPr>
          <w:rFonts w:ascii="Times New Roman" w:hAnsi="Times New Roman" w:cs="Times New Roman"/>
          <w:sz w:val="24"/>
          <w:szCs w:val="24"/>
        </w:rPr>
        <w:t xml:space="preserve"> = 70%)</w:t>
      </w:r>
      <w:r w:rsidRPr="00E75C76">
        <w:rPr>
          <w:rFonts w:ascii="Times New Roman" w:hAnsi="Times New Roman" w:cs="Times New Roman"/>
          <w:sz w:val="24"/>
          <w:szCs w:val="24"/>
        </w:rPr>
        <w:t xml:space="preserve"> between the abundance of high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(brittle) rock and production, and a negative correlation</w:t>
      </w:r>
      <w:r>
        <w:rPr>
          <w:rFonts w:ascii="Times New Roman" w:hAnsi="Times New Roman" w:cs="Times New Roman"/>
          <w:sz w:val="24"/>
          <w:szCs w:val="24"/>
        </w:rPr>
        <w:t xml:space="preserve"> (R</w:t>
      </w:r>
      <w:r w:rsidRPr="0081340C">
        <w:rPr>
          <w:rFonts w:ascii="TimesNewRomanPSMT" w:hAnsi="TimesNewRomanPSMT" w:cs="TimesNewRomanPSMT"/>
          <w:sz w:val="24"/>
          <w:szCs w:val="24"/>
          <w:vertAlign w:val="superscript"/>
        </w:rPr>
        <w:t>2</w:t>
      </w:r>
      <w:r>
        <w:rPr>
          <w:rFonts w:ascii="Times New Roman" w:hAnsi="Times New Roman" w:cs="Times New Roman"/>
          <w:sz w:val="24"/>
          <w:szCs w:val="24"/>
        </w:rPr>
        <w:t xml:space="preserve"> = 54%)</w:t>
      </w:r>
      <w:r w:rsidRPr="00E75C76">
        <w:rPr>
          <w:rFonts w:ascii="Times New Roman" w:hAnsi="Times New Roman" w:cs="Times New Roman"/>
          <w:sz w:val="24"/>
          <w:szCs w:val="24"/>
        </w:rPr>
        <w:t xml:space="preserve"> between the percentage of low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(ductile) rock and well production. Similarly, a positive correlation</w:t>
      </w:r>
      <w:r>
        <w:rPr>
          <w:rFonts w:ascii="Times New Roman" w:hAnsi="Times New Roman" w:cs="Times New Roman"/>
          <w:sz w:val="24"/>
          <w:szCs w:val="24"/>
        </w:rPr>
        <w:t xml:space="preserve"> (R</w:t>
      </w:r>
      <w:r w:rsidRPr="0081340C">
        <w:rPr>
          <w:rFonts w:ascii="TimesNewRomanPSMT" w:hAnsi="TimesNewRomanPSMT" w:cs="TimesNewRomanPSMT"/>
          <w:sz w:val="24"/>
          <w:szCs w:val="24"/>
          <w:vertAlign w:val="superscript"/>
        </w:rPr>
        <w:t>2</w:t>
      </w:r>
      <w:r>
        <w:rPr>
          <w:rFonts w:ascii="Times New Roman" w:hAnsi="Times New Roman" w:cs="Times New Roman"/>
          <w:sz w:val="24"/>
          <w:szCs w:val="24"/>
        </w:rPr>
        <w:t xml:space="preserve"> = 66%)</w:t>
      </w:r>
      <w:r w:rsidRPr="00E75C76">
        <w:rPr>
          <w:rFonts w:ascii="Times New Roman" w:hAnsi="Times New Roman" w:cs="Times New Roman"/>
          <w:sz w:val="24"/>
          <w:szCs w:val="24"/>
        </w:rPr>
        <w:t xml:space="preserve"> is observed between the abundance of low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(brittle) rock and the amount of oil production, and a negative correlation </w:t>
      </w:r>
      <w:r>
        <w:rPr>
          <w:rFonts w:ascii="Times New Roman" w:hAnsi="Times New Roman" w:cs="Times New Roman"/>
          <w:sz w:val="24"/>
          <w:szCs w:val="24"/>
        </w:rPr>
        <w:t>(R</w:t>
      </w:r>
      <w:r w:rsidRPr="0081340C">
        <w:rPr>
          <w:rFonts w:ascii="TimesNewRomanPSMT" w:hAnsi="TimesNewRomanPSMT" w:cs="TimesNewRomanPSMT"/>
          <w:sz w:val="24"/>
          <w:szCs w:val="24"/>
          <w:vertAlign w:val="superscript"/>
        </w:rPr>
        <w:t>2</w:t>
      </w:r>
      <w:r>
        <w:rPr>
          <w:rFonts w:ascii="Times New Roman" w:hAnsi="Times New Roman" w:cs="Times New Roman"/>
          <w:sz w:val="24"/>
          <w:szCs w:val="24"/>
        </w:rPr>
        <w:t xml:space="preserve"> = 56%)</w:t>
      </w:r>
      <w:r w:rsidRPr="00E75C76">
        <w:rPr>
          <w:rFonts w:ascii="Times New Roman" w:hAnsi="Times New Roman" w:cs="Times New Roman"/>
          <w:sz w:val="24"/>
          <w:szCs w:val="24"/>
        </w:rPr>
        <w:t xml:space="preserve"> between the percentage of high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(ductile) rock and well production. Production drivers from this analysis </w:t>
      </w:r>
      <w:r>
        <w:rPr>
          <w:rFonts w:ascii="Times New Roman" w:hAnsi="Times New Roman" w:cs="Times New Roman"/>
          <w:sz w:val="24"/>
          <w:szCs w:val="24"/>
        </w:rPr>
        <w:t>correspond to</w:t>
      </w:r>
      <w:r w:rsidRPr="00E75C76">
        <w:rPr>
          <w:rFonts w:ascii="Times New Roman" w:hAnsi="Times New Roman" w:cs="Times New Roman"/>
          <w:sz w:val="24"/>
          <w:szCs w:val="24"/>
        </w:rPr>
        <w:t xml:space="preserve"> reservoir rock</w:t>
      </w:r>
      <w:r>
        <w:rPr>
          <w:rFonts w:ascii="Times New Roman" w:hAnsi="Times New Roman" w:cs="Times New Roman"/>
          <w:sz w:val="24"/>
          <w:szCs w:val="24"/>
        </w:rPr>
        <w:t>s</w:t>
      </w:r>
      <w:r w:rsidRPr="00E75C76">
        <w:rPr>
          <w:rFonts w:ascii="Times New Roman" w:hAnsi="Times New Roman" w:cs="Times New Roman"/>
          <w:sz w:val="24"/>
          <w:szCs w:val="24"/>
        </w:rPr>
        <w:t xml:space="preserve"> that </w:t>
      </w:r>
      <w:r>
        <w:rPr>
          <w:rFonts w:ascii="Times New Roman" w:hAnsi="Times New Roman" w:cs="Times New Roman"/>
          <w:sz w:val="24"/>
          <w:szCs w:val="24"/>
        </w:rPr>
        <w:t>are</w:t>
      </w:r>
      <w:r w:rsidRPr="00E75C76">
        <w:rPr>
          <w:rFonts w:ascii="Times New Roman" w:hAnsi="Times New Roman" w:cs="Times New Roman"/>
          <w:sz w:val="24"/>
          <w:szCs w:val="24"/>
        </w:rPr>
        <w:t xml:space="preserve"> more brittle in nature </w:t>
      </w:r>
      <w:r>
        <w:rPr>
          <w:rFonts w:ascii="Times New Roman" w:hAnsi="Times New Roman" w:cs="Times New Roman"/>
          <w:sz w:val="24"/>
          <w:szCs w:val="24"/>
        </w:rPr>
        <w:t xml:space="preserve">as </w:t>
      </w:r>
      <w:r w:rsidRPr="00E75C76">
        <w:rPr>
          <w:rFonts w:ascii="Times New Roman" w:hAnsi="Times New Roman" w:cs="Times New Roman"/>
          <w:sz w:val="24"/>
          <w:szCs w:val="24"/>
        </w:rPr>
        <w:t xml:space="preserve">indicated by the combination of relatively high Young’s Modulus and low Poisson’s Ratio. </w:t>
      </w:r>
    </w:p>
    <w:p w14:paraId="34E34BF4" w14:textId="77777777" w:rsidR="00D948FE" w:rsidRPr="00E75C76" w:rsidRDefault="00D948FE" w:rsidP="00D948FE">
      <w:pPr>
        <w:spacing w:after="0" w:line="480" w:lineRule="auto"/>
        <w:rPr>
          <w:rFonts w:ascii="Times New Roman" w:hAnsi="Times New Roman" w:cs="Times New Roman"/>
          <w:b/>
          <w:sz w:val="24"/>
          <w:szCs w:val="24"/>
        </w:rPr>
      </w:pPr>
    </w:p>
    <w:p w14:paraId="0EE58D29"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DISCUSSION</w:t>
      </w:r>
    </w:p>
    <w:p w14:paraId="1765163E" w14:textId="77777777" w:rsidR="00D948FE" w:rsidRDefault="00D948FE" w:rsidP="00D948FE">
      <w:pPr>
        <w:spacing w:after="0" w:line="480" w:lineRule="auto"/>
        <w:rPr>
          <w:rFonts w:ascii="Times New Roman" w:hAnsi="Times New Roman" w:cs="Times New Roman"/>
          <w:b/>
          <w:sz w:val="24"/>
          <w:szCs w:val="24"/>
        </w:rPr>
      </w:pPr>
      <w:r>
        <w:rPr>
          <w:rFonts w:ascii="Times New Roman" w:hAnsi="Times New Roman" w:cs="Times New Roman"/>
          <w:b/>
          <w:sz w:val="24"/>
          <w:szCs w:val="24"/>
        </w:rPr>
        <w:t>Seismic Integrated Reservoir Modeling of the Meramec</w:t>
      </w:r>
    </w:p>
    <w:p w14:paraId="1C1312C8" w14:textId="77777777" w:rsidR="00D948FE" w:rsidRDefault="00D948FE" w:rsidP="00D948FE">
      <w:pPr>
        <w:spacing w:after="0" w:line="480" w:lineRule="auto"/>
        <w:rPr>
          <w:rFonts w:ascii="Times New Roman" w:hAnsi="Times New Roman" w:cs="Times New Roman"/>
          <w:sz w:val="24"/>
          <w:szCs w:val="24"/>
        </w:rPr>
      </w:pPr>
      <w:r>
        <w:rPr>
          <w:rFonts w:ascii="Times New Roman" w:hAnsi="Times New Roman" w:cs="Times New Roman"/>
          <w:sz w:val="24"/>
          <w:szCs w:val="24"/>
        </w:rPr>
        <w:tab/>
        <w:t>Integrated reservoir models require the incorporation of all available data from multiple disciplines including geology, geophysics, petrophysics, and rock physics. The integration of seismic data adds value to the accuracy of the reservoir models by helping to define the structural and stratigraphic framework of the area through the incorporation of interpreted faults and reservoir parasequence horizons. The seismic data also add a lateral constraint to the distribution of lithological and petrophysical properties by using the pre-stack inversion results to guide the distribution of rock properties within the model framework. The geomechanical properties derived from the pre-stack inversion provided more information about the distribution of brittle and ductile properties within the Meramec. Overall, the incorporation of the seismic data into the reservoir modeling adds spatial constraints improving the analysis of the Meramec structure, stratigraphy, and distribution of rock properties within the study area.</w:t>
      </w:r>
    </w:p>
    <w:p w14:paraId="22C4365C" w14:textId="77777777" w:rsidR="00D948FE" w:rsidRDefault="00D948FE" w:rsidP="00D948FE">
      <w:pPr>
        <w:spacing w:after="0" w:line="480" w:lineRule="auto"/>
        <w:rPr>
          <w:rFonts w:ascii="Times New Roman" w:hAnsi="Times New Roman" w:cs="Times New Roman"/>
          <w:b/>
          <w:sz w:val="24"/>
          <w:szCs w:val="24"/>
        </w:rPr>
      </w:pPr>
    </w:p>
    <w:p w14:paraId="5C6627A2" w14:textId="77777777" w:rsidR="00D948FE" w:rsidRPr="00E75C76" w:rsidRDefault="00D948FE" w:rsidP="00D948FE">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Production Drivers</w:t>
      </w:r>
    </w:p>
    <w:p w14:paraId="560B653D"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sz w:val="24"/>
          <w:szCs w:val="24"/>
        </w:rPr>
        <w:tab/>
        <w:t xml:space="preserve">The reservoir quality, typically defined by hydrocarbon storage capacity and deliverability, is variable within the Meramec. Previous studies suggest that the dominant drivers of reservoir quality within this low porosity and </w:t>
      </w:r>
      <w:r>
        <w:rPr>
          <w:rFonts w:ascii="Times New Roman" w:hAnsi="Times New Roman" w:cs="Times New Roman"/>
          <w:sz w:val="24"/>
          <w:szCs w:val="24"/>
        </w:rPr>
        <w:t xml:space="preserve">low </w:t>
      </w:r>
      <w:r w:rsidRPr="00E75C76">
        <w:rPr>
          <w:rFonts w:ascii="Times New Roman" w:hAnsi="Times New Roman" w:cs="Times New Roman"/>
          <w:sz w:val="24"/>
          <w:szCs w:val="24"/>
        </w:rPr>
        <w:t>permeable rock are related to the volume of clay and calcite cement within the reservoir (</w:t>
      </w:r>
      <w:r>
        <w:rPr>
          <w:rFonts w:ascii="Times New Roman" w:hAnsi="Times New Roman" w:cs="Times New Roman"/>
          <w:sz w:val="24"/>
          <w:szCs w:val="24"/>
        </w:rPr>
        <w:t xml:space="preserve">e.g., </w:t>
      </w:r>
      <w:r w:rsidRPr="00E75C76">
        <w:rPr>
          <w:rFonts w:ascii="Times New Roman" w:hAnsi="Times New Roman" w:cs="Times New Roman"/>
          <w:sz w:val="24"/>
          <w:szCs w:val="24"/>
        </w:rPr>
        <w:t>Hardwick, 2018; Miller, 2019; Price et al., 2020). Hence, the more argillaceous-rich siltstone is defined as the better reservoir rock due to the ability</w:t>
      </w:r>
      <w:r>
        <w:rPr>
          <w:rFonts w:ascii="Times New Roman" w:hAnsi="Times New Roman" w:cs="Times New Roman"/>
          <w:sz w:val="24"/>
          <w:szCs w:val="24"/>
        </w:rPr>
        <w:t xml:space="preserve"> of clay</w:t>
      </w:r>
      <w:r w:rsidRPr="00E75C76">
        <w:rPr>
          <w:rFonts w:ascii="Times New Roman" w:hAnsi="Times New Roman" w:cs="Times New Roman"/>
          <w:sz w:val="24"/>
          <w:szCs w:val="24"/>
        </w:rPr>
        <w:t xml:space="preserve"> to line the inner pores, limiting calcite cement, and preserving primary porosity. Also, zones of higher porosity and permeability within the Meramec </w:t>
      </w:r>
      <w:r>
        <w:rPr>
          <w:rFonts w:ascii="Times New Roman" w:hAnsi="Times New Roman" w:cs="Times New Roman"/>
          <w:sz w:val="24"/>
          <w:szCs w:val="24"/>
        </w:rPr>
        <w:t>can be</w:t>
      </w:r>
      <w:r w:rsidRPr="00E75C76">
        <w:rPr>
          <w:rFonts w:ascii="Times New Roman" w:hAnsi="Times New Roman" w:cs="Times New Roman"/>
          <w:sz w:val="24"/>
          <w:szCs w:val="24"/>
        </w:rPr>
        <w:t xml:space="preserve"> </w:t>
      </w:r>
      <w:r>
        <w:rPr>
          <w:rFonts w:ascii="Times New Roman" w:hAnsi="Times New Roman" w:cs="Times New Roman"/>
          <w:sz w:val="24"/>
          <w:szCs w:val="24"/>
        </w:rPr>
        <w:t>associated with abundant</w:t>
      </w:r>
      <w:r w:rsidRPr="00E75C76">
        <w:rPr>
          <w:rFonts w:ascii="Times New Roman" w:hAnsi="Times New Roman" w:cs="Times New Roman"/>
          <w:sz w:val="24"/>
          <w:szCs w:val="24"/>
        </w:rPr>
        <w:t xml:space="preserve"> </w:t>
      </w:r>
      <w:r>
        <w:rPr>
          <w:rFonts w:ascii="Times New Roman" w:hAnsi="Times New Roman" w:cs="Times New Roman"/>
          <w:sz w:val="24"/>
          <w:szCs w:val="24"/>
        </w:rPr>
        <w:t xml:space="preserve">open </w:t>
      </w:r>
      <w:r w:rsidRPr="00E75C76">
        <w:rPr>
          <w:rFonts w:ascii="Times New Roman" w:hAnsi="Times New Roman" w:cs="Times New Roman"/>
          <w:sz w:val="24"/>
          <w:szCs w:val="24"/>
        </w:rPr>
        <w:t>fractur</w:t>
      </w:r>
      <w:r>
        <w:rPr>
          <w:rFonts w:ascii="Times New Roman" w:hAnsi="Times New Roman" w:cs="Times New Roman"/>
          <w:sz w:val="24"/>
          <w:szCs w:val="24"/>
        </w:rPr>
        <w:t>es</w:t>
      </w:r>
      <w:r w:rsidRPr="00E75C76">
        <w:rPr>
          <w:rFonts w:ascii="Times New Roman" w:hAnsi="Times New Roman" w:cs="Times New Roman"/>
          <w:sz w:val="24"/>
          <w:szCs w:val="24"/>
        </w:rPr>
        <w:t xml:space="preserve"> in the more brittle rock, and low porosity zones are characterized by cemented a</w:t>
      </w:r>
      <w:r>
        <w:rPr>
          <w:rFonts w:ascii="Times New Roman" w:hAnsi="Times New Roman" w:cs="Times New Roman"/>
          <w:sz w:val="24"/>
          <w:szCs w:val="24"/>
        </w:rPr>
        <w:t>nd healed fractures (Xiaoxuan</w:t>
      </w:r>
      <w:r w:rsidRPr="00E75C76">
        <w:rPr>
          <w:rFonts w:ascii="Times New Roman" w:hAnsi="Times New Roman" w:cs="Times New Roman"/>
          <w:sz w:val="24"/>
          <w:szCs w:val="24"/>
        </w:rPr>
        <w:t xml:space="preserve">, 2019). </w:t>
      </w:r>
      <w:r>
        <w:rPr>
          <w:rFonts w:ascii="Times New Roman" w:hAnsi="Times New Roman" w:cs="Times New Roman"/>
          <w:sz w:val="24"/>
          <w:szCs w:val="24"/>
        </w:rPr>
        <w:t xml:space="preserve">Comparisons </w:t>
      </w:r>
      <w:r w:rsidRPr="00E75C76">
        <w:rPr>
          <w:rFonts w:ascii="Times New Roman" w:hAnsi="Times New Roman" w:cs="Times New Roman"/>
          <w:sz w:val="24"/>
          <w:szCs w:val="24"/>
        </w:rPr>
        <w:t xml:space="preserve">of reservoir properties to oil production data </w:t>
      </w:r>
      <w:r>
        <w:rPr>
          <w:rFonts w:ascii="Times New Roman" w:hAnsi="Times New Roman" w:cs="Times New Roman"/>
          <w:sz w:val="24"/>
          <w:szCs w:val="24"/>
        </w:rPr>
        <w:t>from</w:t>
      </w:r>
      <w:r w:rsidRPr="00E75C76">
        <w:rPr>
          <w:rFonts w:ascii="Times New Roman" w:hAnsi="Times New Roman" w:cs="Times New Roman"/>
          <w:sz w:val="24"/>
          <w:szCs w:val="24"/>
        </w:rPr>
        <w:t xml:space="preserve"> 1</w:t>
      </w:r>
      <w:r>
        <w:rPr>
          <w:rFonts w:ascii="Times New Roman" w:hAnsi="Times New Roman" w:cs="Times New Roman"/>
          <w:sz w:val="24"/>
          <w:szCs w:val="24"/>
        </w:rPr>
        <w:t>4</w:t>
      </w:r>
      <w:r w:rsidRPr="00E75C76">
        <w:rPr>
          <w:rFonts w:ascii="Times New Roman" w:hAnsi="Times New Roman" w:cs="Times New Roman"/>
          <w:sz w:val="24"/>
          <w:szCs w:val="24"/>
        </w:rPr>
        <w:t xml:space="preserve"> wells</w:t>
      </w:r>
      <w:r>
        <w:rPr>
          <w:rFonts w:ascii="Times New Roman" w:hAnsi="Times New Roman" w:cs="Times New Roman"/>
          <w:sz w:val="24"/>
          <w:szCs w:val="24"/>
        </w:rPr>
        <w:t xml:space="preserve"> primarily targeting parasequences 3 and 4 show that</w:t>
      </w:r>
      <w:r w:rsidRPr="00E75C76">
        <w:rPr>
          <w:rFonts w:ascii="Times New Roman" w:hAnsi="Times New Roman" w:cs="Times New Roman"/>
          <w:sz w:val="24"/>
          <w:szCs w:val="24"/>
        </w:rPr>
        <w:t xml:space="preserve"> rock type 2 and more brittle rocks appear to be </w:t>
      </w:r>
      <w:r>
        <w:rPr>
          <w:rFonts w:ascii="Times New Roman" w:hAnsi="Times New Roman" w:cs="Times New Roman"/>
          <w:sz w:val="24"/>
          <w:szCs w:val="24"/>
        </w:rPr>
        <w:t xml:space="preserve">related to high reservoir quality and </w:t>
      </w:r>
      <w:r w:rsidRPr="00E75C76">
        <w:rPr>
          <w:rFonts w:ascii="Times New Roman" w:hAnsi="Times New Roman" w:cs="Times New Roman"/>
          <w:sz w:val="24"/>
          <w:szCs w:val="24"/>
        </w:rPr>
        <w:t>a driver of oil production (Figure</w:t>
      </w:r>
      <w:r>
        <w:rPr>
          <w:rFonts w:ascii="Times New Roman" w:hAnsi="Times New Roman" w:cs="Times New Roman"/>
          <w:sz w:val="24"/>
          <w:szCs w:val="24"/>
        </w:rPr>
        <w:t>s</w:t>
      </w:r>
      <w:r w:rsidRPr="00E75C76">
        <w:rPr>
          <w:rFonts w:ascii="Times New Roman" w:hAnsi="Times New Roman" w:cs="Times New Roman"/>
          <w:sz w:val="24"/>
          <w:szCs w:val="24"/>
        </w:rPr>
        <w:t xml:space="preserve"> 17 and 18). While rock type 1 (more ductile rocks) are associated with relatively </w:t>
      </w:r>
      <w:r>
        <w:rPr>
          <w:rFonts w:ascii="Times New Roman" w:hAnsi="Times New Roman" w:cs="Times New Roman"/>
          <w:sz w:val="24"/>
          <w:szCs w:val="24"/>
        </w:rPr>
        <w:t>lower</w:t>
      </w:r>
      <w:r w:rsidRPr="00E75C76">
        <w:rPr>
          <w:rFonts w:ascii="Times New Roman" w:hAnsi="Times New Roman" w:cs="Times New Roman"/>
          <w:sz w:val="24"/>
          <w:szCs w:val="24"/>
        </w:rPr>
        <w:t xml:space="preserve"> reservoir quality. These results suggest an over-abundance of clay and highly ductile rock in </w:t>
      </w:r>
      <w:r>
        <w:rPr>
          <w:rFonts w:ascii="Times New Roman" w:hAnsi="Times New Roman" w:cs="Times New Roman"/>
          <w:sz w:val="24"/>
          <w:szCs w:val="24"/>
        </w:rPr>
        <w:t>the Meramec</w:t>
      </w:r>
      <w:r w:rsidRPr="00E75C76">
        <w:rPr>
          <w:rFonts w:ascii="Times New Roman" w:hAnsi="Times New Roman" w:cs="Times New Roman"/>
          <w:sz w:val="24"/>
          <w:szCs w:val="24"/>
        </w:rPr>
        <w:t xml:space="preserve"> reservoir is disadvantageous as confirmed with the negative production correlation with clay-rich rock type 1 and ductility. Drilling with freshwater mud </w:t>
      </w:r>
      <w:r>
        <w:rPr>
          <w:rFonts w:ascii="Times New Roman" w:hAnsi="Times New Roman" w:cs="Times New Roman"/>
          <w:sz w:val="24"/>
          <w:szCs w:val="24"/>
        </w:rPr>
        <w:t xml:space="preserve">also </w:t>
      </w:r>
      <w:r w:rsidRPr="00E75C76">
        <w:rPr>
          <w:rFonts w:ascii="Times New Roman" w:hAnsi="Times New Roman" w:cs="Times New Roman"/>
          <w:sz w:val="24"/>
          <w:szCs w:val="24"/>
        </w:rPr>
        <w:t>causes clays to swell</w:t>
      </w:r>
      <w:r>
        <w:rPr>
          <w:rFonts w:ascii="Times New Roman" w:hAnsi="Times New Roman" w:cs="Times New Roman"/>
          <w:sz w:val="24"/>
          <w:szCs w:val="24"/>
        </w:rPr>
        <w:t xml:space="preserve">; thus, </w:t>
      </w:r>
      <w:r w:rsidRPr="00E75C76">
        <w:rPr>
          <w:rFonts w:ascii="Times New Roman" w:hAnsi="Times New Roman" w:cs="Times New Roman"/>
          <w:sz w:val="24"/>
          <w:szCs w:val="24"/>
        </w:rPr>
        <w:t>occluding porosity</w:t>
      </w:r>
      <w:r>
        <w:rPr>
          <w:rFonts w:ascii="Times New Roman" w:hAnsi="Times New Roman" w:cs="Times New Roman"/>
          <w:sz w:val="24"/>
          <w:szCs w:val="24"/>
        </w:rPr>
        <w:t>. H</w:t>
      </w:r>
      <w:r w:rsidRPr="00E75C76">
        <w:rPr>
          <w:rFonts w:ascii="Times New Roman" w:hAnsi="Times New Roman" w:cs="Times New Roman"/>
          <w:sz w:val="24"/>
          <w:szCs w:val="24"/>
        </w:rPr>
        <w:t>ydraulic fracturing will not be as effective in highly ductile rocks as increased brittleness allows for more rock volume to be stimulated during horizontal well comple</w:t>
      </w:r>
      <w:r>
        <w:rPr>
          <w:rFonts w:ascii="Times New Roman" w:hAnsi="Times New Roman" w:cs="Times New Roman"/>
          <w:sz w:val="24"/>
          <w:szCs w:val="24"/>
        </w:rPr>
        <w:t>tions.</w:t>
      </w:r>
      <w:r w:rsidRPr="00E75C76">
        <w:rPr>
          <w:rFonts w:ascii="Times New Roman" w:hAnsi="Times New Roman" w:cs="Times New Roman"/>
          <w:sz w:val="24"/>
          <w:szCs w:val="24"/>
        </w:rPr>
        <w:t xml:space="preserve"> The mixed mineralogical components of rock type 2 </w:t>
      </w:r>
      <w:r>
        <w:rPr>
          <w:rFonts w:ascii="Times New Roman" w:hAnsi="Times New Roman" w:cs="Times New Roman"/>
          <w:sz w:val="24"/>
          <w:szCs w:val="24"/>
        </w:rPr>
        <w:t>correspond to appropriate amounts of clay with limited calcite cement; thus</w:t>
      </w:r>
      <w:r w:rsidRPr="00E75C76">
        <w:rPr>
          <w:rFonts w:ascii="Times New Roman" w:hAnsi="Times New Roman" w:cs="Times New Roman"/>
          <w:sz w:val="24"/>
          <w:szCs w:val="24"/>
        </w:rPr>
        <w:t xml:space="preserve"> preserving primary porosity</w:t>
      </w:r>
      <w:r>
        <w:rPr>
          <w:rFonts w:ascii="Times New Roman" w:hAnsi="Times New Roman" w:cs="Times New Roman"/>
          <w:sz w:val="24"/>
          <w:szCs w:val="24"/>
        </w:rPr>
        <w:t xml:space="preserve"> (Price et al., 2017; Hardwick, 2018; Miller, 2019; Price et al., 2020)</w:t>
      </w:r>
      <w:r w:rsidRPr="00E75C76">
        <w:rPr>
          <w:rFonts w:ascii="Times New Roman" w:hAnsi="Times New Roman" w:cs="Times New Roman"/>
          <w:sz w:val="24"/>
          <w:szCs w:val="24"/>
        </w:rPr>
        <w:t xml:space="preserve">, and the calcareous </w:t>
      </w:r>
      <w:r>
        <w:rPr>
          <w:rFonts w:ascii="Times New Roman" w:hAnsi="Times New Roman" w:cs="Times New Roman"/>
          <w:sz w:val="24"/>
          <w:szCs w:val="24"/>
        </w:rPr>
        <w:t xml:space="preserve">mineralogy </w:t>
      </w:r>
      <w:r w:rsidRPr="00E75C76">
        <w:rPr>
          <w:rFonts w:ascii="Times New Roman" w:hAnsi="Times New Roman" w:cs="Times New Roman"/>
          <w:sz w:val="24"/>
          <w:szCs w:val="24"/>
        </w:rPr>
        <w:t>add</w:t>
      </w:r>
      <w:r>
        <w:rPr>
          <w:rFonts w:ascii="Times New Roman" w:hAnsi="Times New Roman" w:cs="Times New Roman"/>
          <w:sz w:val="24"/>
          <w:szCs w:val="24"/>
        </w:rPr>
        <w:t>s</w:t>
      </w:r>
      <w:r w:rsidRPr="00E75C76">
        <w:rPr>
          <w:rFonts w:ascii="Times New Roman" w:hAnsi="Times New Roman" w:cs="Times New Roman"/>
          <w:sz w:val="24"/>
          <w:szCs w:val="24"/>
        </w:rPr>
        <w:t xml:space="preserve"> a brittle component to the reservoir rock. The brittle nature enhances the </w:t>
      </w:r>
      <w:r>
        <w:rPr>
          <w:rFonts w:ascii="Times New Roman" w:hAnsi="Times New Roman" w:cs="Times New Roman"/>
          <w:sz w:val="24"/>
          <w:szCs w:val="24"/>
        </w:rPr>
        <w:t>possible presence</w:t>
      </w:r>
      <w:r w:rsidRPr="00E75C76">
        <w:rPr>
          <w:rFonts w:ascii="Times New Roman" w:hAnsi="Times New Roman" w:cs="Times New Roman"/>
          <w:sz w:val="24"/>
          <w:szCs w:val="24"/>
        </w:rPr>
        <w:t xml:space="preserve"> of natural fractures and is more favorable to drill and hydraulically fracture. Therefore, rock type 2 exhibits </w:t>
      </w:r>
      <w:r w:rsidRPr="00E75C76">
        <w:rPr>
          <w:rFonts w:ascii="Times New Roman" w:hAnsi="Times New Roman" w:cs="Times New Roman"/>
          <w:sz w:val="24"/>
          <w:szCs w:val="24"/>
        </w:rPr>
        <w:lastRenderedPageBreak/>
        <w:t xml:space="preserve">an ideal balance in regard to mineralogy making it a more ideal reservoir rock in terms of pore volume and brittleness. </w:t>
      </w:r>
    </w:p>
    <w:p w14:paraId="0E37CAE0" w14:textId="77777777" w:rsidR="00D948FE" w:rsidRPr="00E75C76" w:rsidRDefault="00D948FE" w:rsidP="00D948FE">
      <w:pPr>
        <w:spacing w:after="0" w:line="480" w:lineRule="auto"/>
        <w:rPr>
          <w:rFonts w:ascii="Times New Roman" w:hAnsi="Times New Roman" w:cs="Times New Roman"/>
          <w:sz w:val="24"/>
          <w:szCs w:val="24"/>
        </w:rPr>
      </w:pPr>
      <w:r w:rsidRPr="00E75C76">
        <w:rPr>
          <w:rFonts w:ascii="Times New Roman" w:hAnsi="Times New Roman" w:cs="Times New Roman"/>
          <w:b/>
          <w:sz w:val="24"/>
          <w:szCs w:val="24"/>
        </w:rPr>
        <w:t>Stratigraphic Controls on Reservoir Quality</w:t>
      </w:r>
    </w:p>
    <w:p w14:paraId="0D6EB491"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Mississippian Meramec </w:t>
      </w:r>
      <w:r>
        <w:rPr>
          <w:rFonts w:ascii="Times New Roman" w:hAnsi="Times New Roman" w:cs="Times New Roman"/>
          <w:sz w:val="24"/>
          <w:szCs w:val="24"/>
        </w:rPr>
        <w:t>strata exhibit</w:t>
      </w:r>
      <w:r w:rsidRPr="00E75C76">
        <w:rPr>
          <w:rFonts w:ascii="Times New Roman" w:hAnsi="Times New Roman" w:cs="Times New Roman"/>
          <w:sz w:val="24"/>
          <w:szCs w:val="24"/>
        </w:rPr>
        <w:t xml:space="preserve"> </w:t>
      </w:r>
      <w:r>
        <w:rPr>
          <w:rFonts w:ascii="Times New Roman" w:hAnsi="Times New Roman" w:cs="Times New Roman"/>
          <w:sz w:val="24"/>
          <w:szCs w:val="24"/>
        </w:rPr>
        <w:t>a</w:t>
      </w:r>
      <w:r w:rsidRPr="00E75C76">
        <w:rPr>
          <w:rFonts w:ascii="Times New Roman" w:hAnsi="Times New Roman" w:cs="Times New Roman"/>
          <w:sz w:val="24"/>
          <w:szCs w:val="24"/>
        </w:rPr>
        <w:t xml:space="preserve"> multi-fold sequence</w:t>
      </w:r>
      <w:r>
        <w:rPr>
          <w:rFonts w:ascii="Times New Roman" w:hAnsi="Times New Roman" w:cs="Times New Roman"/>
          <w:sz w:val="24"/>
          <w:szCs w:val="24"/>
        </w:rPr>
        <w:t>-</w:t>
      </w:r>
      <w:r w:rsidRPr="00E75C76">
        <w:rPr>
          <w:rFonts w:ascii="Times New Roman" w:hAnsi="Times New Roman" w:cs="Times New Roman"/>
          <w:sz w:val="24"/>
          <w:szCs w:val="24"/>
        </w:rPr>
        <w:t>stratigraphic control on reservoir quality (Drummon</w:t>
      </w:r>
      <w:r>
        <w:rPr>
          <w:rFonts w:ascii="Times New Roman" w:hAnsi="Times New Roman" w:cs="Times New Roman"/>
          <w:sz w:val="24"/>
          <w:szCs w:val="24"/>
        </w:rPr>
        <w:t>d</w:t>
      </w:r>
      <w:r w:rsidRPr="00E75C76">
        <w:rPr>
          <w:rFonts w:ascii="Times New Roman" w:hAnsi="Times New Roman" w:cs="Times New Roman"/>
          <w:sz w:val="24"/>
          <w:szCs w:val="24"/>
        </w:rPr>
        <w:t xml:space="preserve">, 2018; Miller, 2018, Hardisty, 2019; Miller, 2019; Price et al., 2020). Meramec parasequences with an abundance of rock type 2 and more brittle rocks (high E, low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are associated with </w:t>
      </w:r>
      <w:r>
        <w:rPr>
          <w:rFonts w:ascii="Times New Roman" w:hAnsi="Times New Roman" w:cs="Times New Roman"/>
          <w:sz w:val="24"/>
          <w:szCs w:val="24"/>
        </w:rPr>
        <w:t xml:space="preserve">relatively </w:t>
      </w:r>
      <w:r w:rsidRPr="00E75C76">
        <w:rPr>
          <w:rFonts w:ascii="Times New Roman" w:hAnsi="Times New Roman" w:cs="Times New Roman"/>
          <w:sz w:val="24"/>
          <w:szCs w:val="24"/>
        </w:rPr>
        <w:t>high</w:t>
      </w:r>
      <w:r>
        <w:rPr>
          <w:rFonts w:ascii="Times New Roman" w:hAnsi="Times New Roman" w:cs="Times New Roman"/>
          <w:sz w:val="24"/>
          <w:szCs w:val="24"/>
        </w:rPr>
        <w:t>er</w:t>
      </w:r>
      <w:r w:rsidRPr="00E75C76">
        <w:rPr>
          <w:rFonts w:ascii="Times New Roman" w:hAnsi="Times New Roman" w:cs="Times New Roman"/>
          <w:sz w:val="24"/>
          <w:szCs w:val="24"/>
        </w:rPr>
        <w:t xml:space="preserve"> reservoir quality. The most abundant distribution of rock type 2 throughout the Meramec is within parasequences 3 and 4, which corresponds to higher average total porosity (mean = 5.3 % and 5.7 %, respectively) and lower average water saturation (mean = 31 % and 28 %, respectively). The Meramec parasequences 3 and 4 align above and below the maximum flooding surface indicating a period of transition from a transgressive to regressive environment within the rise-fall-rise cycle. Parasequences 4 and 5 reveal the greatest percentage of the more brittle (high </w:t>
      </w:r>
      <w:r w:rsidRPr="00056DEA">
        <w:rPr>
          <w:rFonts w:ascii="Times New Roman" w:hAnsi="Times New Roman" w:cs="Times New Roman"/>
          <w:i/>
          <w:sz w:val="24"/>
          <w:szCs w:val="24"/>
        </w:rPr>
        <w:t>E</w:t>
      </w:r>
      <w:r w:rsidRPr="00E75C76">
        <w:rPr>
          <w:rFonts w:ascii="Times New Roman" w:hAnsi="Times New Roman" w:cs="Times New Roman"/>
          <w:sz w:val="24"/>
          <w:szCs w:val="24"/>
        </w:rPr>
        <w:t xml:space="preserve">, low </w:t>
      </w:r>
      <w:r w:rsidRPr="00056DEA">
        <w:rPr>
          <w:rFonts w:ascii="Times New Roman" w:hAnsi="Times New Roman" w:cs="Times New Roman"/>
          <w:i/>
          <w:sz w:val="24"/>
          <w:szCs w:val="24"/>
        </w:rPr>
        <w:t>ν</w:t>
      </w:r>
      <w:r w:rsidRPr="00E75C76">
        <w:rPr>
          <w:rFonts w:ascii="Times New Roman" w:hAnsi="Times New Roman" w:cs="Times New Roman"/>
          <w:sz w:val="24"/>
          <w:szCs w:val="24"/>
        </w:rPr>
        <w:t xml:space="preserve">) rock and are associated with a coarsening-upward progradational parasequence set. Although, parasequence 5 is likely an interval of lower reservoir quality as it is dominated by calcareous-rich lithologies associated with lower average porosity (mean = 3.8 %) presumably caused by a </w:t>
      </w:r>
      <w:r>
        <w:rPr>
          <w:rFonts w:ascii="Times New Roman" w:hAnsi="Times New Roman" w:cs="Times New Roman"/>
          <w:sz w:val="24"/>
          <w:szCs w:val="24"/>
        </w:rPr>
        <w:t xml:space="preserve">relative </w:t>
      </w:r>
      <w:r w:rsidRPr="00E75C76">
        <w:rPr>
          <w:rFonts w:ascii="Times New Roman" w:hAnsi="Times New Roman" w:cs="Times New Roman"/>
          <w:sz w:val="24"/>
          <w:szCs w:val="24"/>
        </w:rPr>
        <w:t>drop in sea</w:t>
      </w:r>
      <w:r>
        <w:rPr>
          <w:rFonts w:ascii="Times New Roman" w:hAnsi="Times New Roman" w:cs="Times New Roman"/>
          <w:sz w:val="24"/>
          <w:szCs w:val="24"/>
        </w:rPr>
        <w:t xml:space="preserve"> </w:t>
      </w:r>
      <w:r w:rsidRPr="00E75C76">
        <w:rPr>
          <w:rFonts w:ascii="Times New Roman" w:hAnsi="Times New Roman" w:cs="Times New Roman"/>
          <w:sz w:val="24"/>
          <w:szCs w:val="24"/>
        </w:rPr>
        <w:t xml:space="preserve">level resulting in the seaward migration of wave base and increase in calcareous input (Price et al., 2020). Along with the higher order cycles, vertical succession lithologies and rock types in the Meramec show an overall increase in clay and decrease in calcite corresponding to an overall </w:t>
      </w:r>
      <w:r>
        <w:rPr>
          <w:rFonts w:ascii="Times New Roman" w:hAnsi="Times New Roman" w:cs="Times New Roman"/>
          <w:sz w:val="24"/>
          <w:szCs w:val="24"/>
        </w:rPr>
        <w:t>relative rise in</w:t>
      </w:r>
      <w:r w:rsidRPr="00E75C76">
        <w:rPr>
          <w:rFonts w:ascii="Times New Roman" w:hAnsi="Times New Roman" w:cs="Times New Roman"/>
          <w:sz w:val="24"/>
          <w:szCs w:val="24"/>
        </w:rPr>
        <w:t xml:space="preserve"> sea level (Figure 3). The overall deepening resulted in Meramec parasequences 6 and 7 to contain an abundance of rock type 1 and </w:t>
      </w:r>
      <w:r>
        <w:rPr>
          <w:rFonts w:ascii="Times New Roman" w:hAnsi="Times New Roman" w:cs="Times New Roman"/>
          <w:sz w:val="24"/>
          <w:szCs w:val="24"/>
        </w:rPr>
        <w:t xml:space="preserve">are </w:t>
      </w:r>
      <w:r w:rsidRPr="00E75C76">
        <w:rPr>
          <w:rFonts w:ascii="Times New Roman" w:hAnsi="Times New Roman" w:cs="Times New Roman"/>
          <w:sz w:val="24"/>
          <w:szCs w:val="24"/>
        </w:rPr>
        <w:t xml:space="preserve">ductile (low E, high </w:t>
      </w:r>
      <w:r w:rsidRPr="00056DEA">
        <w:rPr>
          <w:rFonts w:ascii="Times New Roman" w:hAnsi="Times New Roman" w:cs="Times New Roman"/>
          <w:i/>
          <w:sz w:val="24"/>
          <w:szCs w:val="24"/>
        </w:rPr>
        <w:t>ν</w:t>
      </w:r>
      <w:r w:rsidRPr="00E75C76">
        <w:rPr>
          <w:rFonts w:ascii="Times New Roman" w:hAnsi="Times New Roman" w:cs="Times New Roman"/>
          <w:sz w:val="24"/>
          <w:szCs w:val="24"/>
        </w:rPr>
        <w:t>). High average values of water saturation (mean = 35 % and 36 %, respectively) are also observed within these parasequences</w:t>
      </w:r>
      <w:r>
        <w:rPr>
          <w:rFonts w:ascii="Times New Roman" w:hAnsi="Times New Roman" w:cs="Times New Roman"/>
          <w:sz w:val="24"/>
          <w:szCs w:val="24"/>
        </w:rPr>
        <w:t>.</w:t>
      </w:r>
      <w:r w:rsidRPr="00E75C76">
        <w:rPr>
          <w:rFonts w:ascii="Times New Roman" w:hAnsi="Times New Roman" w:cs="Times New Roman"/>
          <w:sz w:val="24"/>
          <w:szCs w:val="24"/>
        </w:rPr>
        <w:t xml:space="preserve"> Due to the association of Meramec parasequences 6 and 7 with rock type 1, more </w:t>
      </w:r>
      <w:r w:rsidRPr="00E75C76">
        <w:rPr>
          <w:rFonts w:ascii="Times New Roman" w:hAnsi="Times New Roman" w:cs="Times New Roman"/>
          <w:sz w:val="24"/>
          <w:szCs w:val="24"/>
        </w:rPr>
        <w:lastRenderedPageBreak/>
        <w:t xml:space="preserve">ductile rocks, and high water saturation, the reservoir quality is </w:t>
      </w:r>
      <w:r>
        <w:rPr>
          <w:rFonts w:ascii="Times New Roman" w:hAnsi="Times New Roman" w:cs="Times New Roman"/>
          <w:sz w:val="24"/>
          <w:szCs w:val="24"/>
        </w:rPr>
        <w:t xml:space="preserve">relatively </w:t>
      </w:r>
      <w:r w:rsidRPr="00E75C76">
        <w:rPr>
          <w:rFonts w:ascii="Times New Roman" w:hAnsi="Times New Roman" w:cs="Times New Roman"/>
          <w:sz w:val="24"/>
          <w:szCs w:val="24"/>
        </w:rPr>
        <w:t>low in comparison to parasequences 3 and 4. The stacking pattern and distribution of lithologies and rock types indicate a stratigraphic control on the distribution of optimal reservoir quality parameters including geomechanical and petrophysical properties.</w:t>
      </w:r>
    </w:p>
    <w:p w14:paraId="6B11D333" w14:textId="77777777" w:rsidR="00D948FE" w:rsidRPr="00E75C76" w:rsidRDefault="00D948FE" w:rsidP="00D948FE">
      <w:pPr>
        <w:spacing w:after="0" w:line="480" w:lineRule="auto"/>
        <w:ind w:firstLine="720"/>
        <w:rPr>
          <w:rFonts w:ascii="Times New Roman" w:hAnsi="Times New Roman" w:cs="Times New Roman"/>
          <w:sz w:val="24"/>
          <w:szCs w:val="24"/>
        </w:rPr>
      </w:pPr>
    </w:p>
    <w:p w14:paraId="25E03208" w14:textId="77777777" w:rsidR="00D948FE" w:rsidRPr="00E75C76" w:rsidRDefault="00D948FE" w:rsidP="00D948FE">
      <w:pPr>
        <w:spacing w:after="0" w:line="480" w:lineRule="auto"/>
        <w:rPr>
          <w:rFonts w:ascii="Times New Roman" w:hAnsi="Times New Roman" w:cs="Times New Roman"/>
          <w:b/>
          <w:sz w:val="24"/>
          <w:szCs w:val="24"/>
        </w:rPr>
      </w:pPr>
      <w:r w:rsidRPr="00E75C76">
        <w:rPr>
          <w:rFonts w:ascii="Times New Roman" w:hAnsi="Times New Roman" w:cs="Times New Roman"/>
          <w:b/>
          <w:sz w:val="24"/>
          <w:szCs w:val="24"/>
        </w:rPr>
        <w:t>CONCLUSIONS</w:t>
      </w:r>
    </w:p>
    <w:p w14:paraId="24EC22F7" w14:textId="77777777" w:rsidR="00D948FE" w:rsidRPr="00E75C76" w:rsidRDefault="00D948FE" w:rsidP="00D948FE">
      <w:pPr>
        <w:spacing w:after="0" w:line="480" w:lineRule="auto"/>
        <w:ind w:firstLine="720"/>
        <w:rPr>
          <w:rFonts w:ascii="Times New Roman" w:eastAsia="Times New Roman" w:hAnsi="Times New Roman" w:cs="Times New Roman"/>
          <w:sz w:val="24"/>
          <w:szCs w:val="24"/>
        </w:rPr>
      </w:pPr>
      <w:r w:rsidRPr="00E75C76">
        <w:rPr>
          <w:rFonts w:ascii="Times New Roman" w:hAnsi="Times New Roman" w:cs="Times New Roman"/>
          <w:sz w:val="24"/>
          <w:szCs w:val="24"/>
        </w:rPr>
        <w:t xml:space="preserve">The Mississippian Meramec strata within the STACK play of central Oklahoma is a fine-grained system composed of carbonate and siliciclastic deposits that were deposited on a regionally extensive ramp and basin-floor setting of the Anadarko Basin. The complex stacking pattern and lateral distribution of lithologies within the Meramec is attributed to </w:t>
      </w:r>
      <w:r>
        <w:rPr>
          <w:rFonts w:ascii="Times New Roman" w:hAnsi="Times New Roman" w:cs="Times New Roman"/>
          <w:sz w:val="24"/>
          <w:szCs w:val="24"/>
        </w:rPr>
        <w:t xml:space="preserve">relative changes in </w:t>
      </w:r>
      <w:r w:rsidRPr="00E75C76">
        <w:rPr>
          <w:rFonts w:ascii="Times New Roman" w:hAnsi="Times New Roman" w:cs="Times New Roman"/>
          <w:sz w:val="24"/>
          <w:szCs w:val="24"/>
        </w:rPr>
        <w:t>sea</w:t>
      </w:r>
      <w:r>
        <w:rPr>
          <w:rFonts w:ascii="Times New Roman" w:hAnsi="Times New Roman" w:cs="Times New Roman"/>
          <w:sz w:val="24"/>
          <w:szCs w:val="24"/>
        </w:rPr>
        <w:t xml:space="preserve"> </w:t>
      </w:r>
      <w:r w:rsidRPr="00E75C76">
        <w:rPr>
          <w:rFonts w:ascii="Times New Roman" w:hAnsi="Times New Roman" w:cs="Times New Roman"/>
          <w:sz w:val="24"/>
          <w:szCs w:val="24"/>
        </w:rPr>
        <w:t>level</w:t>
      </w:r>
      <w:r>
        <w:rPr>
          <w:rFonts w:ascii="Times New Roman" w:hAnsi="Times New Roman" w:cs="Times New Roman"/>
          <w:sz w:val="24"/>
          <w:szCs w:val="24"/>
        </w:rPr>
        <w:t xml:space="preserve"> that impacted the ramp</w:t>
      </w:r>
      <w:r w:rsidRPr="00E75C76">
        <w:rPr>
          <w:rFonts w:ascii="Times New Roman" w:hAnsi="Times New Roman" w:cs="Times New Roman"/>
          <w:sz w:val="24"/>
          <w:szCs w:val="24"/>
        </w:rPr>
        <w:t xml:space="preserve">. </w:t>
      </w:r>
      <w:r w:rsidRPr="00E75C76">
        <w:rPr>
          <w:rFonts w:ascii="Times New Roman" w:eastAsia="Times New Roman" w:hAnsi="Times New Roman" w:cs="Times New Roman"/>
          <w:sz w:val="24"/>
          <w:szCs w:val="24"/>
        </w:rPr>
        <w:t xml:space="preserve">The Meramec is comprised of five lithologies, including mudstone, argillaceous siltstone, argillaceous-calcareous siltstone, calcareous siltstone, and silty limestone, and three petrophysical rock types. A supervised Artificial Neural Network (ANN) based on well-log and core data was used classify the lithologies and rock types in non-cored wells throughout the study area. The Meramec interval within the study area dips to the southwest and ranges in thickness from </w:t>
      </w:r>
      <w:r w:rsidRPr="00E75C76">
        <w:rPr>
          <w:rFonts w:ascii="Times New Roman" w:hAnsi="Times New Roman" w:cs="Times New Roman"/>
          <w:sz w:val="24"/>
          <w:szCs w:val="24"/>
        </w:rPr>
        <w:t xml:space="preserve">300 – 400 ft (91 – 122 m) with thicker Meramec sediment packages in the southwest and thinner toward the northeast. </w:t>
      </w:r>
      <w:r>
        <w:rPr>
          <w:rFonts w:ascii="Times New Roman" w:hAnsi="Times New Roman" w:cs="Times New Roman"/>
          <w:sz w:val="24"/>
          <w:szCs w:val="24"/>
        </w:rPr>
        <w:t>In the study area, the Meramec exhibits as many as seven</w:t>
      </w:r>
      <w:r w:rsidRPr="00E75C76">
        <w:rPr>
          <w:rFonts w:ascii="Times New Roman" w:hAnsi="Times New Roman" w:cs="Times New Roman"/>
          <w:sz w:val="24"/>
          <w:szCs w:val="24"/>
        </w:rPr>
        <w:t xml:space="preserve"> parasequences </w:t>
      </w:r>
      <w:r w:rsidRPr="00E75C76">
        <w:rPr>
          <w:rFonts w:ascii="Times New Roman" w:eastAsia="Times New Roman" w:hAnsi="Times New Roman" w:cs="Times New Roman"/>
          <w:sz w:val="24"/>
          <w:szCs w:val="24"/>
        </w:rPr>
        <w:t>and is cut by 7 faults with displacement ranging from 50</w:t>
      </w:r>
      <w:r w:rsidRPr="00E75C76">
        <w:rPr>
          <w:rFonts w:ascii="Times New Roman" w:hAnsi="Times New Roman" w:cs="Times New Roman"/>
          <w:sz w:val="24"/>
          <w:szCs w:val="24"/>
        </w:rPr>
        <w:t xml:space="preserve"> – 150 ft (</w:t>
      </w:r>
      <w:r>
        <w:rPr>
          <w:rFonts w:ascii="Times New Roman" w:hAnsi="Times New Roman" w:cs="Times New Roman"/>
          <w:sz w:val="24"/>
          <w:szCs w:val="24"/>
        </w:rPr>
        <w:t>15</w:t>
      </w:r>
      <w:r w:rsidRPr="00E75C76">
        <w:rPr>
          <w:rFonts w:ascii="Times New Roman" w:hAnsi="Times New Roman" w:cs="Times New Roman"/>
          <w:sz w:val="24"/>
          <w:szCs w:val="24"/>
        </w:rPr>
        <w:t xml:space="preserve"> – </w:t>
      </w:r>
      <w:r>
        <w:rPr>
          <w:rFonts w:ascii="Times New Roman" w:hAnsi="Times New Roman" w:cs="Times New Roman"/>
          <w:sz w:val="24"/>
          <w:szCs w:val="24"/>
        </w:rPr>
        <w:t>46</w:t>
      </w:r>
      <w:r w:rsidRPr="00E75C76">
        <w:rPr>
          <w:rFonts w:ascii="Times New Roman" w:hAnsi="Times New Roman" w:cs="Times New Roman"/>
          <w:sz w:val="24"/>
          <w:szCs w:val="24"/>
        </w:rPr>
        <w:t xml:space="preserve"> m)</w:t>
      </w:r>
      <w:r w:rsidRPr="00E75C76">
        <w:rPr>
          <w:rFonts w:ascii="Times New Roman" w:eastAsia="Times New Roman" w:hAnsi="Times New Roman" w:cs="Times New Roman"/>
          <w:sz w:val="24"/>
          <w:szCs w:val="24"/>
        </w:rPr>
        <w:t xml:space="preserve">. </w:t>
      </w:r>
    </w:p>
    <w:p w14:paraId="12063134"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A pre-stack inversion yielded </w:t>
      </w:r>
      <w:r>
        <w:rPr>
          <w:rFonts w:ascii="Times New Roman" w:hAnsi="Times New Roman" w:cs="Times New Roman"/>
          <w:sz w:val="24"/>
          <w:szCs w:val="24"/>
        </w:rPr>
        <w:t>P-impedance</w:t>
      </w:r>
      <w:r w:rsidRPr="00E75C76">
        <w:rPr>
          <w:rFonts w:ascii="Times New Roman" w:hAnsi="Times New Roman" w:cs="Times New Roman"/>
          <w:sz w:val="24"/>
          <w:szCs w:val="24"/>
        </w:rPr>
        <w:t xml:space="preserve">, </w:t>
      </w:r>
      <w:r>
        <w:rPr>
          <w:rFonts w:ascii="Times New Roman" w:hAnsi="Times New Roman" w:cs="Times New Roman"/>
          <w:sz w:val="24"/>
          <w:szCs w:val="24"/>
        </w:rPr>
        <w:t>S-impedance</w:t>
      </w:r>
      <w:r w:rsidRPr="00E75C76">
        <w:rPr>
          <w:rFonts w:ascii="Times New Roman" w:hAnsi="Times New Roman" w:cs="Times New Roman"/>
          <w:sz w:val="24"/>
          <w:szCs w:val="24"/>
        </w:rPr>
        <w:t xml:space="preserve">, and density volumes, and were combined to construct geomechanical estimates of Poisson’s Ratio and Young’s Modulus. The spatial distribution of rock properties within the Meramec are demonstrated in the seismic-constrained lithology and rock-type, petrophysical, and geomechanical property models. </w:t>
      </w:r>
      <w:r>
        <w:rPr>
          <w:rFonts w:ascii="Times New Roman" w:hAnsi="Times New Roman" w:cs="Times New Roman"/>
          <w:sz w:val="24"/>
          <w:szCs w:val="24"/>
        </w:rPr>
        <w:t xml:space="preserve">The </w:t>
      </w:r>
      <w:r>
        <w:rPr>
          <w:rFonts w:ascii="Times New Roman" w:hAnsi="Times New Roman" w:cs="Times New Roman"/>
          <w:sz w:val="24"/>
          <w:szCs w:val="24"/>
        </w:rPr>
        <w:lastRenderedPageBreak/>
        <w:t>stacking pattern of the parasequences control the distribution of lithologies and rock types impacting the distribution of optimal reservoir quality parameters such as total porosity, water satuation, and geomechanical properties.</w:t>
      </w:r>
      <w:r w:rsidRPr="00E75C76">
        <w:rPr>
          <w:rFonts w:ascii="Times New Roman" w:hAnsi="Times New Roman" w:cs="Times New Roman"/>
          <w:sz w:val="24"/>
          <w:szCs w:val="24"/>
        </w:rPr>
        <w:t xml:space="preserve"> </w:t>
      </w:r>
    </w:p>
    <w:p w14:paraId="129A58B5" w14:textId="77777777" w:rsidR="00D948FE" w:rsidRPr="00E75C76" w:rsidRDefault="00D948FE" w:rsidP="00D948FE">
      <w:pPr>
        <w:spacing w:after="0" w:line="480" w:lineRule="auto"/>
        <w:ind w:firstLine="720"/>
        <w:rPr>
          <w:rFonts w:ascii="Times New Roman" w:hAnsi="Times New Roman" w:cs="Times New Roman"/>
          <w:sz w:val="24"/>
          <w:szCs w:val="24"/>
        </w:rPr>
      </w:pPr>
      <w:r w:rsidRPr="00E75C76">
        <w:rPr>
          <w:rFonts w:ascii="Times New Roman" w:hAnsi="Times New Roman" w:cs="Times New Roman"/>
          <w:sz w:val="24"/>
          <w:szCs w:val="24"/>
        </w:rPr>
        <w:t xml:space="preserve">Production analysis reveal the drivers of high productivity are associated with rock type 2 and the more brittle rock. Rock type 2 exhibits an ideal balance in regard to mineralogy making it a more ideal reservoir rock in terms of pore volume and brittleness. The distribution of optimal reservoir quality parameters including geomechanical and petrophysical properties are associated with the stratigraphically controlled stacking pattern and distribution of lithologies and rock types. Meramec parasequences 3 and 4 consist of higher distributions of rock type 2, average total porosity, average pore volume and HCPV, and lower water saturation with parasequence 4 also containing a high percentage of the more brittle rock. This suggests that parasequences 3 and 4 have the depositional, petrophysical, and geomechanical characteristics associated with higher reservoir quality within the Meramec. </w:t>
      </w:r>
    </w:p>
    <w:p w14:paraId="4649CFCD" w14:textId="77777777" w:rsidR="00D948FE" w:rsidRDefault="00D948FE" w:rsidP="00D948FE">
      <w:pPr>
        <w:rPr>
          <w:rFonts w:ascii="Times New Roman" w:hAnsi="Times New Roman" w:cs="Times New Roman"/>
          <w:b/>
          <w:sz w:val="24"/>
          <w:szCs w:val="24"/>
        </w:rPr>
      </w:pPr>
    </w:p>
    <w:p w14:paraId="18B5C038" w14:textId="77777777" w:rsidR="00D948FE" w:rsidRDefault="00D948FE" w:rsidP="00D948FE">
      <w:pPr>
        <w:rPr>
          <w:rFonts w:ascii="Times New Roman" w:hAnsi="Times New Roman" w:cs="Times New Roman"/>
          <w:b/>
          <w:sz w:val="24"/>
          <w:szCs w:val="24"/>
        </w:rPr>
      </w:pPr>
    </w:p>
    <w:p w14:paraId="0F9BE888" w14:textId="77777777" w:rsidR="00D948FE" w:rsidRDefault="00D948FE" w:rsidP="00D948FE">
      <w:pPr>
        <w:rPr>
          <w:rFonts w:ascii="Times New Roman" w:hAnsi="Times New Roman" w:cs="Times New Roman"/>
          <w:b/>
          <w:sz w:val="24"/>
          <w:szCs w:val="24"/>
        </w:rPr>
      </w:pPr>
    </w:p>
    <w:p w14:paraId="6B34681E" w14:textId="77777777" w:rsidR="00D948FE" w:rsidRDefault="00D948FE" w:rsidP="00D948FE">
      <w:pPr>
        <w:rPr>
          <w:rFonts w:ascii="Times New Roman" w:hAnsi="Times New Roman" w:cs="Times New Roman"/>
          <w:b/>
          <w:sz w:val="24"/>
          <w:szCs w:val="24"/>
        </w:rPr>
      </w:pPr>
    </w:p>
    <w:p w14:paraId="548B4860" w14:textId="77777777" w:rsidR="00D948FE" w:rsidRDefault="00D948FE" w:rsidP="00D948FE">
      <w:pPr>
        <w:rPr>
          <w:rFonts w:ascii="Times New Roman" w:hAnsi="Times New Roman" w:cs="Times New Roman"/>
          <w:b/>
          <w:sz w:val="24"/>
          <w:szCs w:val="24"/>
        </w:rPr>
      </w:pPr>
    </w:p>
    <w:p w14:paraId="7E645FEA" w14:textId="77777777" w:rsidR="00D948FE" w:rsidRDefault="00D948FE" w:rsidP="00D948FE">
      <w:pPr>
        <w:rPr>
          <w:rFonts w:ascii="Times New Roman" w:hAnsi="Times New Roman" w:cs="Times New Roman"/>
          <w:b/>
          <w:sz w:val="24"/>
          <w:szCs w:val="24"/>
        </w:rPr>
      </w:pPr>
    </w:p>
    <w:p w14:paraId="6BC09A6D" w14:textId="77777777" w:rsidR="00D948FE" w:rsidRDefault="00D948FE" w:rsidP="00D948FE">
      <w:pPr>
        <w:rPr>
          <w:rFonts w:ascii="Times New Roman" w:hAnsi="Times New Roman" w:cs="Times New Roman"/>
          <w:b/>
          <w:sz w:val="24"/>
          <w:szCs w:val="24"/>
        </w:rPr>
      </w:pPr>
    </w:p>
    <w:p w14:paraId="56F142B4" w14:textId="77777777" w:rsidR="00D948FE" w:rsidRDefault="00D948FE" w:rsidP="00D948FE">
      <w:pPr>
        <w:rPr>
          <w:rFonts w:ascii="Times New Roman" w:hAnsi="Times New Roman" w:cs="Times New Roman"/>
          <w:b/>
          <w:sz w:val="24"/>
          <w:szCs w:val="24"/>
        </w:rPr>
      </w:pPr>
    </w:p>
    <w:p w14:paraId="0098DE05" w14:textId="77777777" w:rsidR="00D948FE" w:rsidRDefault="00D948FE" w:rsidP="00D948FE">
      <w:pPr>
        <w:rPr>
          <w:rFonts w:ascii="Times New Roman" w:hAnsi="Times New Roman" w:cs="Times New Roman"/>
          <w:b/>
          <w:sz w:val="24"/>
          <w:szCs w:val="24"/>
        </w:rPr>
      </w:pPr>
    </w:p>
    <w:p w14:paraId="038A0524" w14:textId="77777777" w:rsidR="00D948FE" w:rsidRDefault="00D948FE" w:rsidP="00D948FE">
      <w:pPr>
        <w:rPr>
          <w:rFonts w:ascii="Times New Roman" w:hAnsi="Times New Roman" w:cs="Times New Roman"/>
          <w:b/>
          <w:sz w:val="24"/>
          <w:szCs w:val="24"/>
        </w:rPr>
      </w:pPr>
    </w:p>
    <w:p w14:paraId="60F3E6B5" w14:textId="77777777" w:rsidR="00D948FE" w:rsidRDefault="00D948FE" w:rsidP="00D948FE">
      <w:pPr>
        <w:rPr>
          <w:rFonts w:ascii="Times New Roman" w:hAnsi="Times New Roman" w:cs="Times New Roman"/>
          <w:b/>
          <w:sz w:val="24"/>
          <w:szCs w:val="24"/>
        </w:rPr>
      </w:pPr>
    </w:p>
    <w:p w14:paraId="07E68EAC" w14:textId="77777777" w:rsidR="00D948FE" w:rsidRDefault="00D948FE" w:rsidP="00D948FE">
      <w:pPr>
        <w:rPr>
          <w:rFonts w:ascii="Times New Roman" w:hAnsi="Times New Roman" w:cs="Times New Roman"/>
          <w:b/>
          <w:sz w:val="24"/>
          <w:szCs w:val="24"/>
        </w:rPr>
      </w:pPr>
    </w:p>
    <w:p w14:paraId="32FC19B4" w14:textId="77777777" w:rsidR="00D948FE" w:rsidRDefault="00D948FE" w:rsidP="00D948FE">
      <w:pPr>
        <w:rPr>
          <w:rFonts w:ascii="Times New Roman" w:hAnsi="Times New Roman" w:cs="Times New Roman"/>
          <w:b/>
          <w:sz w:val="24"/>
          <w:szCs w:val="24"/>
        </w:rPr>
      </w:pPr>
    </w:p>
    <w:p w14:paraId="0C72D13B" w14:textId="77777777" w:rsidR="00D948FE" w:rsidRPr="006129EE" w:rsidRDefault="00D948FE" w:rsidP="00D948FE">
      <w:pPr>
        <w:rPr>
          <w:rFonts w:ascii="Times New Roman" w:hAnsi="Times New Roman" w:cs="Times New Roman"/>
          <w:b/>
          <w:sz w:val="24"/>
          <w:szCs w:val="24"/>
        </w:rPr>
      </w:pPr>
      <w:r w:rsidRPr="006129EE">
        <w:rPr>
          <w:rFonts w:ascii="Times New Roman" w:hAnsi="Times New Roman" w:cs="Times New Roman"/>
          <w:b/>
          <w:sz w:val="24"/>
          <w:szCs w:val="24"/>
        </w:rPr>
        <w:lastRenderedPageBreak/>
        <w:t>REFERENCES</w:t>
      </w:r>
      <w:bookmarkStart w:id="1" w:name="_Hlk5177032"/>
      <w:bookmarkEnd w:id="0"/>
    </w:p>
    <w:bookmarkEnd w:id="1"/>
    <w:p w14:paraId="2BD178CF" w14:textId="77777777" w:rsidR="00D948FE" w:rsidRPr="00C633CB"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C633CB">
        <w:rPr>
          <w:rFonts w:ascii="Times New Roman" w:hAnsi="Times New Roman" w:cs="Times New Roman"/>
          <w:sz w:val="24"/>
          <w:szCs w:val="24"/>
        </w:rPr>
        <w:t>Aki, K., and Richards, P.G., 2002, Quantitative Seismology, 2nd Edition: W.H. Freeman and Company.</w:t>
      </w:r>
    </w:p>
    <w:p w14:paraId="1E1475C4"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11F6AE82" w14:textId="77777777" w:rsidR="00D948FE" w:rsidRDefault="00D948FE" w:rsidP="00D948FE">
      <w:pPr>
        <w:autoSpaceDE w:val="0"/>
        <w:autoSpaceDN w:val="0"/>
        <w:adjustRightInd w:val="0"/>
        <w:spacing w:after="0" w:line="240" w:lineRule="auto"/>
        <w:ind w:left="720" w:hanging="720"/>
        <w:rPr>
          <w:rFonts w:ascii="TimesNewRomanPSMT" w:hAnsi="TimesNewRomanPSMT" w:cs="TimesNewRomanPSMT"/>
          <w:sz w:val="24"/>
          <w:szCs w:val="24"/>
        </w:rPr>
      </w:pPr>
      <w:r>
        <w:rPr>
          <w:rFonts w:ascii="TimesNewRomanPSMT" w:hAnsi="TimesNewRomanPSMT" w:cs="TimesNewRomanPSMT"/>
          <w:sz w:val="24"/>
          <w:szCs w:val="24"/>
        </w:rPr>
        <w:t xml:space="preserve">Alt, R. C., and M. D. Zoback, 2017, In Situ Stress and Active Faulting in Oklahoma: Bulletin of the Seismological Society of America, </w:t>
      </w:r>
      <w:r w:rsidRPr="006C1490">
        <w:rPr>
          <w:rFonts w:ascii="TimesNewRomanPSMT" w:hAnsi="TimesNewRomanPSMT" w:cs="TimesNewRomanPSMT"/>
          <w:b/>
          <w:sz w:val="24"/>
          <w:szCs w:val="24"/>
        </w:rPr>
        <w:t>107</w:t>
      </w:r>
      <w:r w:rsidRPr="006C1490">
        <w:rPr>
          <w:rFonts w:ascii="TimesNewRomanPSMT" w:hAnsi="TimesNewRomanPSMT" w:cs="TimesNewRomanPSMT"/>
          <w:sz w:val="24"/>
          <w:szCs w:val="24"/>
        </w:rPr>
        <w:t>,</w:t>
      </w:r>
      <w:r>
        <w:rPr>
          <w:rFonts w:ascii="TimesNewRomanPSMT" w:hAnsi="TimesNewRomanPSMT" w:cs="TimesNewRomanPSMT"/>
          <w:b/>
          <w:sz w:val="24"/>
          <w:szCs w:val="24"/>
        </w:rPr>
        <w:t xml:space="preserve"> </w:t>
      </w:r>
      <w:r w:rsidRPr="00E75C76">
        <w:rPr>
          <w:rFonts w:ascii="Times New Roman" w:hAnsi="Times New Roman" w:cs="Times New Roman"/>
          <w:sz w:val="24"/>
          <w:szCs w:val="24"/>
        </w:rPr>
        <w:t>1–36.</w:t>
      </w:r>
    </w:p>
    <w:p w14:paraId="3F915D96" w14:textId="77777777" w:rsidR="00D948FE" w:rsidRDefault="00D948FE" w:rsidP="00D948FE">
      <w:pPr>
        <w:autoSpaceDE w:val="0"/>
        <w:autoSpaceDN w:val="0"/>
        <w:adjustRightInd w:val="0"/>
        <w:spacing w:after="0" w:line="240" w:lineRule="auto"/>
        <w:ind w:left="720" w:hanging="720"/>
        <w:rPr>
          <w:rFonts w:ascii="TimesNewRomanPSMT" w:hAnsi="TimesNewRomanPSMT" w:cs="TimesNewRomanPSMT"/>
          <w:sz w:val="24"/>
          <w:szCs w:val="24"/>
        </w:rPr>
      </w:pPr>
    </w:p>
    <w:p w14:paraId="46C00B59" w14:textId="77777777" w:rsidR="00D948FE" w:rsidRDefault="00D948FE" w:rsidP="00D948FE">
      <w:pPr>
        <w:autoSpaceDE w:val="0"/>
        <w:autoSpaceDN w:val="0"/>
        <w:adjustRightInd w:val="0"/>
        <w:spacing w:after="0" w:line="240" w:lineRule="auto"/>
        <w:ind w:left="720" w:hanging="720"/>
        <w:rPr>
          <w:rFonts w:ascii="TimesNewRomanPSMT" w:hAnsi="TimesNewRomanPSMT" w:cs="TimesNewRomanPSMT"/>
          <w:sz w:val="24"/>
          <w:szCs w:val="24"/>
        </w:rPr>
      </w:pPr>
      <w:r>
        <w:rPr>
          <w:rFonts w:ascii="TimesNewRomanPSMT" w:hAnsi="TimesNewRomanPSMT" w:cs="TimesNewRomanPSMT"/>
          <w:sz w:val="24"/>
          <w:szCs w:val="24"/>
        </w:rPr>
        <w:t>Amaefule, J., M. Altunbay, D. Tiab, D. Kersey, and D. Keelan, 1993, Enhanced reservoir</w:t>
      </w:r>
    </w:p>
    <w:p w14:paraId="50803697" w14:textId="77777777" w:rsidR="00D948FE" w:rsidRDefault="00D948FE" w:rsidP="00D948FE">
      <w:pPr>
        <w:autoSpaceDE w:val="0"/>
        <w:autoSpaceDN w:val="0"/>
        <w:adjustRightInd w:val="0"/>
        <w:spacing w:after="0" w:line="240" w:lineRule="auto"/>
        <w:ind w:left="720"/>
        <w:rPr>
          <w:rFonts w:ascii="TimesNewRomanPSMT" w:hAnsi="TimesNewRomanPSMT" w:cs="TimesNewRomanPSMT"/>
          <w:sz w:val="24"/>
          <w:szCs w:val="24"/>
        </w:rPr>
      </w:pPr>
      <w:r>
        <w:rPr>
          <w:rFonts w:ascii="TimesNewRomanPSMT" w:hAnsi="TimesNewRomanPSMT" w:cs="TimesNewRomanPSMT"/>
          <w:sz w:val="24"/>
          <w:szCs w:val="24"/>
        </w:rPr>
        <w:t>description: Using core and log data to identify hydraulic (flow) units and predict</w:t>
      </w:r>
    </w:p>
    <w:p w14:paraId="61BB0FDA" w14:textId="77777777" w:rsidR="00D948FE" w:rsidRDefault="00D948FE" w:rsidP="00D948FE">
      <w:pPr>
        <w:autoSpaceDE w:val="0"/>
        <w:autoSpaceDN w:val="0"/>
        <w:adjustRightInd w:val="0"/>
        <w:spacing w:after="0" w:line="240" w:lineRule="auto"/>
        <w:ind w:left="720"/>
        <w:rPr>
          <w:rFonts w:ascii="TimesNewRomanPSMT" w:hAnsi="TimesNewRomanPSMT" w:cs="TimesNewRomanPSMT"/>
          <w:sz w:val="24"/>
          <w:szCs w:val="24"/>
        </w:rPr>
      </w:pPr>
      <w:r>
        <w:rPr>
          <w:rFonts w:ascii="TimesNewRomanPSMT" w:hAnsi="TimesNewRomanPSMT" w:cs="TimesNewRomanPSMT"/>
          <w:sz w:val="24"/>
          <w:szCs w:val="24"/>
        </w:rPr>
        <w:t>permeability in un-cored intervals/wells: Proceedings of SPE Annual Technical Conference and Exhibition, doi:10.2523/26436-ms.</w:t>
      </w:r>
    </w:p>
    <w:p w14:paraId="605C0598" w14:textId="77777777" w:rsidR="00D948FE" w:rsidRPr="00810920" w:rsidRDefault="00D948FE" w:rsidP="00D948FE">
      <w:pPr>
        <w:autoSpaceDE w:val="0"/>
        <w:autoSpaceDN w:val="0"/>
        <w:adjustRightInd w:val="0"/>
        <w:spacing w:after="0" w:line="240" w:lineRule="auto"/>
        <w:ind w:left="720"/>
        <w:rPr>
          <w:rFonts w:ascii="TimesNewRomanPSMT" w:hAnsi="TimesNewRomanPSMT" w:cs="TimesNewRomanPSMT"/>
          <w:sz w:val="24"/>
          <w:szCs w:val="24"/>
        </w:rPr>
      </w:pPr>
    </w:p>
    <w:p w14:paraId="454F8B89" w14:textId="77777777" w:rsidR="00D948FE" w:rsidRPr="00E75C76" w:rsidRDefault="00D948FE" w:rsidP="00D948FE">
      <w:pPr>
        <w:ind w:left="720" w:hanging="720"/>
        <w:rPr>
          <w:rFonts w:ascii="Times New Roman" w:hAnsi="Times New Roman" w:cs="Times New Roman"/>
          <w:sz w:val="24"/>
          <w:szCs w:val="24"/>
        </w:rPr>
      </w:pPr>
      <w:r w:rsidRPr="00E75C76">
        <w:rPr>
          <w:rFonts w:ascii="Times New Roman" w:hAnsi="Times New Roman" w:cs="Times New Roman"/>
          <w:sz w:val="24"/>
          <w:szCs w:val="24"/>
        </w:rPr>
        <w:t>Bachrach, R., M. Beller, C. C. Liu, J. Perdomo, D. Shelander, and N. Dutta, 2004, Combining rock physics analysis, full waveform prestack inversion</w:t>
      </w:r>
      <w:r>
        <w:rPr>
          <w:rFonts w:ascii="Times New Roman" w:hAnsi="Times New Roman" w:cs="Times New Roman"/>
          <w:sz w:val="24"/>
          <w:szCs w:val="24"/>
        </w:rPr>
        <w:t>,</w:t>
      </w:r>
      <w:r w:rsidRPr="00E75C76">
        <w:rPr>
          <w:rFonts w:ascii="Times New Roman" w:hAnsi="Times New Roman" w:cs="Times New Roman"/>
          <w:sz w:val="24"/>
          <w:szCs w:val="24"/>
        </w:rPr>
        <w:t xml:space="preserve"> and high resolution seismic interpretation to map lithology units in deep water: A Gulf of Mexico case study: The Leading Edge, 378–383.</w:t>
      </w:r>
    </w:p>
    <w:p w14:paraId="17A8CF27"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Ball, M. M., M. E. Henry, and S. E. Frezon, 1991, Petroleum Geology of the Anadarko Basin Region, Province (115), Kansas, Oklahoma, and Texas: USGS Open-File Report</w:t>
      </w:r>
      <w:r>
        <w:rPr>
          <w:rFonts w:ascii="Times New Roman" w:hAnsi="Times New Roman" w:cs="Times New Roman"/>
          <w:sz w:val="24"/>
          <w:szCs w:val="24"/>
        </w:rPr>
        <w:t xml:space="preserve"> </w:t>
      </w:r>
      <w:r w:rsidRPr="007E59EC">
        <w:rPr>
          <w:rFonts w:ascii="Times New Roman" w:hAnsi="Times New Roman" w:cs="Times New Roman"/>
          <w:sz w:val="24"/>
          <w:szCs w:val="24"/>
        </w:rPr>
        <w:t>88-450W</w:t>
      </w:r>
      <w:r w:rsidRPr="00E75C76">
        <w:rPr>
          <w:rFonts w:ascii="Times New Roman" w:hAnsi="Times New Roman" w:cs="Times New Roman"/>
          <w:sz w:val="24"/>
          <w:szCs w:val="24"/>
        </w:rPr>
        <w:t>, 1–36.</w:t>
      </w:r>
    </w:p>
    <w:p w14:paraId="421FD07A"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598DB2D5"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Barclay, F., J. C. Alfaro, A. Bruun, A. Cooke, D. Cooke, R. Godfrey, J. Herwanger, D. Lowden, S. McHugo, A. Murineddu,</w:t>
      </w:r>
      <w:r>
        <w:rPr>
          <w:rFonts w:ascii="Times New Roman" w:hAnsi="Times New Roman" w:cs="Times New Roman"/>
          <w:sz w:val="24"/>
          <w:szCs w:val="24"/>
        </w:rPr>
        <w:t xml:space="preserve"> </w:t>
      </w:r>
      <w:r w:rsidRPr="00E75C76">
        <w:rPr>
          <w:rFonts w:ascii="Times New Roman" w:hAnsi="Times New Roman" w:cs="Times New Roman"/>
          <w:sz w:val="24"/>
          <w:szCs w:val="24"/>
        </w:rPr>
        <w:t>H. Ozdemir, S. Pickering, F. G. Pineda, D. Salter, K. B. Rasmussen, A. Rasmussen, R. Roberts, and S. Volterrani, 2008, Seismic Inversion: Reading between the lines: Oilfield Review, 42–63.</w:t>
      </w:r>
    </w:p>
    <w:p w14:paraId="2C127F67"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5CAE6D14"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Barnes, A. E., 2007, A tutorial on complex seismic trace analysis: Geophysics, </w:t>
      </w:r>
      <w:r w:rsidRPr="00E75C76">
        <w:rPr>
          <w:rFonts w:ascii="Times New Roman" w:hAnsi="Times New Roman" w:cs="Times New Roman"/>
          <w:b/>
          <w:sz w:val="24"/>
          <w:szCs w:val="24"/>
        </w:rPr>
        <w:t>72</w:t>
      </w:r>
      <w:r w:rsidRPr="00E75C76">
        <w:rPr>
          <w:rFonts w:ascii="Times New Roman" w:hAnsi="Times New Roman" w:cs="Times New Roman"/>
          <w:sz w:val="24"/>
          <w:szCs w:val="24"/>
        </w:rPr>
        <w:t>, W33–W43.</w:t>
      </w:r>
    </w:p>
    <w:p w14:paraId="2A9B903A"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2CF8D37E"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Beebe, B. W., 1959, Characteristics of Mississippian Production in the Northwestern Anadarko Basin: Tulsa Geological Society Digest, </w:t>
      </w:r>
      <w:r w:rsidRPr="00E75C76">
        <w:rPr>
          <w:rFonts w:ascii="Times New Roman" w:hAnsi="Times New Roman" w:cs="Times New Roman"/>
          <w:b/>
          <w:sz w:val="24"/>
          <w:szCs w:val="24"/>
        </w:rPr>
        <w:t>27</w:t>
      </w:r>
      <w:r>
        <w:rPr>
          <w:rFonts w:ascii="Times New Roman" w:hAnsi="Times New Roman" w:cs="Times New Roman"/>
          <w:sz w:val="24"/>
          <w:szCs w:val="24"/>
        </w:rPr>
        <w:t>, 190–205.</w:t>
      </w:r>
    </w:p>
    <w:p w14:paraId="60D65B1E"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1A727FA4"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Blakey, R., 2011, Paleogeography and geologic evolution of North America, </w:t>
      </w:r>
      <w:hyperlink r:id="rId15" w:history="1">
        <w:r w:rsidRPr="00E75C76">
          <w:rPr>
            <w:rStyle w:val="Hyperlink"/>
            <w:rFonts w:ascii="Times New Roman" w:hAnsi="Times New Roman" w:cs="Times New Roman"/>
            <w:sz w:val="24"/>
            <w:szCs w:val="24"/>
          </w:rPr>
          <w:t>http://jan.ucc.nau.edu/~rcb7/index.html</w:t>
        </w:r>
      </w:hyperlink>
      <w:r w:rsidRPr="00E75C76">
        <w:rPr>
          <w:rFonts w:ascii="Times New Roman" w:hAnsi="Times New Roman" w:cs="Times New Roman"/>
          <w:sz w:val="24"/>
          <w:szCs w:val="24"/>
        </w:rPr>
        <w:t>.</w:t>
      </w:r>
    </w:p>
    <w:p w14:paraId="35978614"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10FF7C65"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Boyd, D. T., 2008, Stratigraphic guide to Oklahoma oil and gas reservoirs: Oklahoma</w:t>
      </w:r>
    </w:p>
    <w:p w14:paraId="3453DAFA" w14:textId="77777777" w:rsidR="00D948FE" w:rsidRPr="00764063" w:rsidRDefault="00D948FE" w:rsidP="00D948FE">
      <w:pPr>
        <w:autoSpaceDE w:val="0"/>
        <w:autoSpaceDN w:val="0"/>
        <w:adjustRightInd w:val="0"/>
        <w:spacing w:after="0" w:line="240" w:lineRule="auto"/>
        <w:ind w:left="720"/>
        <w:rPr>
          <w:rFonts w:ascii="Times New Roman" w:hAnsi="Times New Roman" w:cs="Times New Roman"/>
          <w:sz w:val="24"/>
          <w:szCs w:val="24"/>
        </w:rPr>
      </w:pPr>
      <w:r w:rsidRPr="00E75C76">
        <w:rPr>
          <w:rFonts w:ascii="Times New Roman" w:hAnsi="Times New Roman" w:cs="Times New Roman"/>
          <w:sz w:val="24"/>
          <w:szCs w:val="24"/>
        </w:rPr>
        <w:t>Geological Society, Special Publication 2008-1, 1–2.</w:t>
      </w:r>
    </w:p>
    <w:p w14:paraId="100469B6"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14582A23"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Cahill, T.</w:t>
      </w:r>
      <w:r>
        <w:rPr>
          <w:rFonts w:ascii="Times New Roman" w:hAnsi="Times New Roman" w:cs="Times New Roman"/>
          <w:sz w:val="24"/>
          <w:szCs w:val="24"/>
        </w:rPr>
        <w:t xml:space="preserve"> </w:t>
      </w:r>
      <w:r w:rsidRPr="00E75C76">
        <w:rPr>
          <w:rFonts w:ascii="Times New Roman" w:hAnsi="Times New Roman" w:cs="Times New Roman"/>
          <w:sz w:val="24"/>
          <w:szCs w:val="24"/>
        </w:rPr>
        <w:t>E., 2014, Subsurface Sequence Stratigraphy and Reservoir Characterization of the Mississippian Limestone (Kinderhookian to Meramecian), South Central Kansas and North Central Oklahoma, M.S. thesis, University of Arkansas.</w:t>
      </w:r>
      <w:r>
        <w:rPr>
          <w:rFonts w:ascii="Times New Roman" w:hAnsi="Times New Roman" w:cs="Times New Roman"/>
          <w:sz w:val="24"/>
          <w:szCs w:val="24"/>
        </w:rPr>
        <w:t xml:space="preserve"> </w:t>
      </w:r>
    </w:p>
    <w:p w14:paraId="15552AFA"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7F5E7D60" w14:textId="77777777" w:rsidR="00D948FE" w:rsidRDefault="00D948FE" w:rsidP="00D948FE">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Campbell, J. A., C. J. Mankin, A. B. Schwarzkopf, and J. J. Raymer, 1988, Habitat of petroleum</w:t>
      </w:r>
    </w:p>
    <w:p w14:paraId="66FCD3CB" w14:textId="77777777" w:rsidR="00D948FE" w:rsidRPr="003530B0" w:rsidRDefault="00D948FE" w:rsidP="00D948FE">
      <w:pPr>
        <w:autoSpaceDE w:val="0"/>
        <w:autoSpaceDN w:val="0"/>
        <w:adjustRightInd w:val="0"/>
        <w:spacing w:after="0" w:line="240" w:lineRule="auto"/>
        <w:ind w:left="720"/>
        <w:rPr>
          <w:rFonts w:ascii="TimesNewRomanPSMT" w:hAnsi="TimesNewRomanPSMT" w:cs="TimesNewRomanPSMT"/>
          <w:sz w:val="24"/>
          <w:szCs w:val="24"/>
        </w:rPr>
      </w:pPr>
      <w:r>
        <w:rPr>
          <w:rFonts w:ascii="TimesNewRomanPSMT" w:hAnsi="TimesNewRomanPSMT" w:cs="TimesNewRomanPSMT"/>
          <w:sz w:val="24"/>
          <w:szCs w:val="24"/>
        </w:rPr>
        <w:t>in Permian rocks of the Midcontinent region; in, Permian Rocks of the Midcontinent, W. A. Morgan and J. A. Babcock, eds.: Midcontinent Society of Economic Paleontologists and Mineralogists, Special Publication No. 1, 13–35.</w:t>
      </w:r>
    </w:p>
    <w:p w14:paraId="0C55FFC5"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5A41E70E" w14:textId="77777777" w:rsidR="00D948FE" w:rsidRPr="00E75C76" w:rsidRDefault="00D948FE" w:rsidP="00D948FE">
      <w:pPr>
        <w:pStyle w:val="references"/>
      </w:pPr>
      <w:bookmarkStart w:id="2" w:name="OLE_LINK12"/>
      <w:r w:rsidRPr="00E75C76">
        <w:lastRenderedPageBreak/>
        <w:t xml:space="preserve">Comer, J. B., 1991, Stratigraphic Analysis of the Upper Devonian Woodford Formation, Permian Basin, West Texas and Southeastern New Mexico: </w:t>
      </w:r>
      <w:r>
        <w:t xml:space="preserve">Bureau of Economic Geology </w:t>
      </w:r>
      <w:r w:rsidRPr="00E75C76">
        <w:t xml:space="preserve">Report of Investigations, </w:t>
      </w:r>
      <w:r w:rsidRPr="00E75C76">
        <w:rPr>
          <w:b/>
        </w:rPr>
        <w:t>201</w:t>
      </w:r>
      <w:r w:rsidRPr="00E75C76">
        <w:t>,</w:t>
      </w:r>
      <w:r>
        <w:t xml:space="preserve"> 20</w:t>
      </w:r>
      <w:r w:rsidRPr="00E75C76">
        <w:t>–</w:t>
      </w:r>
      <w:r>
        <w:t>35</w:t>
      </w:r>
      <w:r w:rsidRPr="00E75C76">
        <w:t xml:space="preserve">. </w:t>
      </w:r>
      <w:bookmarkEnd w:id="2"/>
    </w:p>
    <w:p w14:paraId="2D49F0A9" w14:textId="77777777" w:rsidR="00D948FE" w:rsidRPr="00E75C76" w:rsidRDefault="00D948FE" w:rsidP="00D948FE">
      <w:pPr>
        <w:pStyle w:val="references"/>
      </w:pPr>
    </w:p>
    <w:p w14:paraId="08A23E71"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Curtis, D. M., and S. C. Champlin, 1959, Depositional Environments of Mississippian Limestones of Oklahoma: Tulsa Geological Society Digest, </w:t>
      </w:r>
      <w:r w:rsidRPr="00E75C76">
        <w:rPr>
          <w:rFonts w:ascii="Times New Roman" w:hAnsi="Times New Roman" w:cs="Times New Roman"/>
          <w:b/>
          <w:sz w:val="24"/>
          <w:szCs w:val="24"/>
        </w:rPr>
        <w:t>27</w:t>
      </w:r>
      <w:r w:rsidRPr="00E75C76">
        <w:rPr>
          <w:rFonts w:ascii="Times New Roman" w:hAnsi="Times New Roman" w:cs="Times New Roman"/>
          <w:sz w:val="24"/>
          <w:szCs w:val="24"/>
        </w:rPr>
        <w:t>, 90–103.</w:t>
      </w:r>
    </w:p>
    <w:p w14:paraId="53422D9F"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2CDD0BEC"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Doll, P. L., 2015, Determining structural influence on depositional sequences in carbonates using core-calibrated wireline logs: Mississippian, Mid-continent, U.S.A., M.S. thesis, Oklahoma State University.</w:t>
      </w:r>
    </w:p>
    <w:p w14:paraId="371F2A70"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41ABCC06"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Dowdell, B.</w:t>
      </w:r>
      <w:r>
        <w:rPr>
          <w:rFonts w:ascii="Times New Roman" w:hAnsi="Times New Roman" w:cs="Times New Roman"/>
          <w:sz w:val="24"/>
          <w:szCs w:val="24"/>
        </w:rPr>
        <w:t xml:space="preserve"> </w:t>
      </w:r>
      <w:r w:rsidRPr="00E75C76">
        <w:rPr>
          <w:rFonts w:ascii="Times New Roman" w:hAnsi="Times New Roman" w:cs="Times New Roman"/>
          <w:sz w:val="24"/>
          <w:szCs w:val="24"/>
        </w:rPr>
        <w:t>L., J. T. Kwiatkowski, and K. J. Marfurt, 2013, Seismic characterization of a Mississippi Lime resource play in Osage County, Oklahoma, USA: Interpretation, SB97–SB108.</w:t>
      </w:r>
    </w:p>
    <w:p w14:paraId="76BEEB00"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154A63A0"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Drummond, K., 2018, Regional stratigraphy and proximal to distal variation of lithology and porosity within a mixed carbonate-siliciclastic system, Meramec and Osage series (Mississippian), central Oklahoma, M.S. thesis, University of Oklahoma.</w:t>
      </w:r>
    </w:p>
    <w:p w14:paraId="61DCB815"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B8ED7FD"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Duarte, D.</w:t>
      </w:r>
      <w:r>
        <w:rPr>
          <w:rFonts w:ascii="Times New Roman" w:hAnsi="Times New Roman" w:cs="Times New Roman"/>
          <w:sz w:val="24"/>
          <w:szCs w:val="24"/>
        </w:rPr>
        <w:t xml:space="preserve"> </w:t>
      </w:r>
      <w:r w:rsidRPr="00E75C76">
        <w:rPr>
          <w:rFonts w:ascii="Times New Roman" w:hAnsi="Times New Roman" w:cs="Times New Roman"/>
          <w:sz w:val="24"/>
          <w:szCs w:val="24"/>
        </w:rPr>
        <w:t>E., 2018, Rock characterization and stratigraphy of the Mississippian strata Meramec/Sycamore Merge play, central Oklahoma, M.S. thesis, University of Oklahoma.</w:t>
      </w:r>
    </w:p>
    <w:p w14:paraId="6201075C"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5C843767"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Dutton, S. P., 1984, Fan-Delta Granite Wash of the Texas Panhandle: Oklahoma City Geological Society, Short Course Notes, 1</w:t>
      </w:r>
      <w:r w:rsidRPr="00E75C76">
        <w:rPr>
          <w:rFonts w:ascii="Times New Roman" w:hAnsi="Times New Roman" w:cs="Times New Roman"/>
          <w:sz w:val="24"/>
          <w:szCs w:val="24"/>
        </w:rPr>
        <w:t>–</w:t>
      </w:r>
      <w:r>
        <w:rPr>
          <w:rFonts w:ascii="Times New Roman" w:hAnsi="Times New Roman" w:cs="Times New Roman"/>
          <w:sz w:val="24"/>
          <w:szCs w:val="24"/>
        </w:rPr>
        <w:t>44.</w:t>
      </w:r>
    </w:p>
    <w:p w14:paraId="574E423C"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704FCD23"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Etris, E. L., N. J. Crabtree, and J. Dewar, 2002, True Depth Conversion: More Than a Pretty Picture: CSEG Recorder, </w:t>
      </w:r>
      <w:r w:rsidRPr="00E75C76">
        <w:rPr>
          <w:rFonts w:ascii="Times New Roman" w:hAnsi="Times New Roman" w:cs="Times New Roman"/>
          <w:b/>
          <w:sz w:val="24"/>
          <w:szCs w:val="24"/>
        </w:rPr>
        <w:t>26</w:t>
      </w:r>
      <w:r w:rsidRPr="00E75C76">
        <w:rPr>
          <w:rFonts w:ascii="Times New Roman" w:hAnsi="Times New Roman" w:cs="Times New Roman"/>
          <w:sz w:val="24"/>
          <w:szCs w:val="24"/>
        </w:rPr>
        <w:t>, no. 9, 1–19.</w:t>
      </w:r>
    </w:p>
    <w:p w14:paraId="407DB3A6"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3161AB91"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4D7678">
        <w:rPr>
          <w:rFonts w:ascii="Times New Roman" w:hAnsi="Times New Roman" w:cs="Times New Roman"/>
          <w:sz w:val="24"/>
          <w:szCs w:val="24"/>
        </w:rPr>
        <w:t xml:space="preserve">Fatti, J. L., P. J. Vail, G. C. </w:t>
      </w:r>
      <w:r>
        <w:rPr>
          <w:rFonts w:ascii="Times New Roman" w:hAnsi="Times New Roman" w:cs="Times New Roman"/>
          <w:sz w:val="24"/>
          <w:szCs w:val="24"/>
        </w:rPr>
        <w:t xml:space="preserve">Smith, P. J. Strauss, and P. R. </w:t>
      </w:r>
      <w:r w:rsidRPr="004D7678">
        <w:rPr>
          <w:rFonts w:ascii="Times New Roman" w:hAnsi="Times New Roman" w:cs="Times New Roman"/>
          <w:sz w:val="24"/>
          <w:szCs w:val="24"/>
        </w:rPr>
        <w:t>Levitt, 1994, Detection of gas in sandstone reservoirs</w:t>
      </w:r>
      <w:r>
        <w:rPr>
          <w:rFonts w:ascii="Times New Roman" w:hAnsi="Times New Roman" w:cs="Times New Roman"/>
          <w:sz w:val="24"/>
          <w:szCs w:val="24"/>
        </w:rPr>
        <w:t xml:space="preserve"> </w:t>
      </w:r>
      <w:r w:rsidRPr="004D7678">
        <w:rPr>
          <w:rFonts w:ascii="Times New Roman" w:hAnsi="Times New Roman" w:cs="Times New Roman"/>
          <w:sz w:val="24"/>
          <w:szCs w:val="24"/>
        </w:rPr>
        <w:t>using AVO analysis: A 3-D seismic case history using</w:t>
      </w:r>
      <w:r>
        <w:rPr>
          <w:rFonts w:ascii="Times New Roman" w:hAnsi="Times New Roman" w:cs="Times New Roman"/>
          <w:sz w:val="24"/>
          <w:szCs w:val="24"/>
        </w:rPr>
        <w:t xml:space="preserve"> </w:t>
      </w:r>
      <w:r w:rsidRPr="004D7678">
        <w:rPr>
          <w:rFonts w:ascii="Times New Roman" w:hAnsi="Times New Roman" w:cs="Times New Roman"/>
          <w:sz w:val="24"/>
          <w:szCs w:val="24"/>
        </w:rPr>
        <w:t>the geostack techni</w:t>
      </w:r>
      <w:r>
        <w:rPr>
          <w:rFonts w:ascii="Times New Roman" w:hAnsi="Times New Roman" w:cs="Times New Roman"/>
          <w:sz w:val="24"/>
          <w:szCs w:val="24"/>
        </w:rPr>
        <w:t xml:space="preserve">que: Geophysics, </w:t>
      </w:r>
      <w:r w:rsidRPr="004D7678">
        <w:rPr>
          <w:rFonts w:ascii="Times New Roman" w:hAnsi="Times New Roman" w:cs="Times New Roman"/>
          <w:b/>
          <w:sz w:val="24"/>
          <w:szCs w:val="24"/>
        </w:rPr>
        <w:t>59</w:t>
      </w:r>
      <w:r>
        <w:rPr>
          <w:rFonts w:ascii="Times New Roman" w:hAnsi="Times New Roman" w:cs="Times New Roman"/>
          <w:sz w:val="24"/>
          <w:szCs w:val="24"/>
        </w:rPr>
        <w:t xml:space="preserve">, 1362–1376, </w:t>
      </w:r>
      <w:r w:rsidRPr="004D7678">
        <w:rPr>
          <w:rFonts w:ascii="Times New Roman" w:hAnsi="Times New Roman" w:cs="Times New Roman"/>
          <w:sz w:val="24"/>
          <w:szCs w:val="24"/>
        </w:rPr>
        <w:t>doi: 10.1190/1.1443695.</w:t>
      </w:r>
    </w:p>
    <w:p w14:paraId="0AFF9F5D"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0B91636B"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Gallardo, J., and D. D. Blackwell, 1999, Thermal Structure of the Anadarko Basin: AAPG Bulletin, </w:t>
      </w:r>
      <w:r w:rsidRPr="00E75C76">
        <w:rPr>
          <w:rFonts w:ascii="Times New Roman" w:hAnsi="Times New Roman" w:cs="Times New Roman"/>
          <w:b/>
          <w:sz w:val="24"/>
          <w:szCs w:val="24"/>
        </w:rPr>
        <w:t>83</w:t>
      </w:r>
      <w:r w:rsidRPr="00E75C76">
        <w:rPr>
          <w:rFonts w:ascii="Times New Roman" w:hAnsi="Times New Roman" w:cs="Times New Roman"/>
          <w:sz w:val="24"/>
          <w:szCs w:val="24"/>
        </w:rPr>
        <w:t>, 333–361.</w:t>
      </w:r>
    </w:p>
    <w:p w14:paraId="639FAEED"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000696A3"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4D7678">
        <w:rPr>
          <w:rFonts w:ascii="Times New Roman" w:hAnsi="Times New Roman" w:cs="Times New Roman"/>
          <w:sz w:val="24"/>
          <w:szCs w:val="24"/>
        </w:rPr>
        <w:t>Goodway, W., T. Chen, and J. Downton, 1997, Improved AVO fluid detection and lithology discrimination using Lamé petrophysical parameters: 67th Annual International Meeting, SEG, Expanded Abstracts, 183–186</w:t>
      </w:r>
      <w:r>
        <w:rPr>
          <w:rFonts w:ascii="Times New Roman" w:hAnsi="Times New Roman" w:cs="Times New Roman"/>
          <w:sz w:val="24"/>
          <w:szCs w:val="24"/>
        </w:rPr>
        <w:t>.</w:t>
      </w:r>
    </w:p>
    <w:p w14:paraId="17CDAB35"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482DC860"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Grammer</w:t>
      </w:r>
      <w:r>
        <w:rPr>
          <w:rFonts w:ascii="Times New Roman" w:hAnsi="Times New Roman" w:cs="Times New Roman"/>
          <w:sz w:val="24"/>
          <w:szCs w:val="24"/>
        </w:rPr>
        <w:t>,</w:t>
      </w:r>
      <w:r w:rsidRPr="00E75C76">
        <w:rPr>
          <w:rFonts w:ascii="Times New Roman" w:hAnsi="Times New Roman" w:cs="Times New Roman"/>
          <w:sz w:val="24"/>
          <w:szCs w:val="24"/>
        </w:rPr>
        <w:t xml:space="preserve"> G. M., D. Boardman, J. Puckette, J. Gregg, J. Priyank., M. Childress, B. J. Price, B.</w:t>
      </w:r>
    </w:p>
    <w:p w14:paraId="1F6CF43F" w14:textId="77777777" w:rsidR="00D948FE" w:rsidRPr="00E75C76" w:rsidRDefault="00D948FE" w:rsidP="00D948FE">
      <w:pPr>
        <w:autoSpaceDE w:val="0"/>
        <w:autoSpaceDN w:val="0"/>
        <w:adjustRightInd w:val="0"/>
        <w:spacing w:after="0" w:line="240" w:lineRule="auto"/>
        <w:ind w:left="720"/>
        <w:rPr>
          <w:rFonts w:ascii="Times New Roman" w:hAnsi="Times New Roman" w:cs="Times New Roman"/>
          <w:sz w:val="24"/>
          <w:szCs w:val="24"/>
        </w:rPr>
      </w:pPr>
      <w:r w:rsidRPr="00E75C76">
        <w:rPr>
          <w:rFonts w:ascii="Times New Roman" w:hAnsi="Times New Roman" w:cs="Times New Roman"/>
          <w:sz w:val="24"/>
          <w:szCs w:val="24"/>
        </w:rPr>
        <w:t>Vanden Berg, and S. LeBlanc, 2013, Integrated reservoir characterization of Mississippian Age Midcontinent carbonates: AAPG Search and Discovery Article #30297, 1–31.</w:t>
      </w:r>
    </w:p>
    <w:p w14:paraId="31E2CF55"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538BD6E"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Ham, W. E., and J. L. Wilson, 1967, Paleozoic Epeirogeny and Orogeny in the Central United States: American Journal of Science, </w:t>
      </w:r>
      <w:r w:rsidRPr="00E75C76">
        <w:rPr>
          <w:rFonts w:ascii="Times New Roman" w:hAnsi="Times New Roman" w:cs="Times New Roman"/>
          <w:b/>
          <w:sz w:val="24"/>
          <w:szCs w:val="24"/>
        </w:rPr>
        <w:t>265</w:t>
      </w:r>
      <w:r w:rsidRPr="00E75C76">
        <w:rPr>
          <w:rFonts w:ascii="Times New Roman" w:hAnsi="Times New Roman" w:cs="Times New Roman"/>
          <w:sz w:val="24"/>
          <w:szCs w:val="24"/>
        </w:rPr>
        <w:t>, 332–407.</w:t>
      </w:r>
    </w:p>
    <w:p w14:paraId="4CC7FEB9"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2F83F046"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Hampson, D. P., B. H. Russell, and </w:t>
      </w:r>
      <w:r>
        <w:rPr>
          <w:rFonts w:ascii="Times New Roman" w:hAnsi="Times New Roman" w:cs="Times New Roman"/>
          <w:sz w:val="24"/>
          <w:szCs w:val="24"/>
        </w:rPr>
        <w:t>B., Bankhead</w:t>
      </w:r>
      <w:r w:rsidRPr="00E75C76">
        <w:rPr>
          <w:rFonts w:ascii="Times New Roman" w:hAnsi="Times New Roman" w:cs="Times New Roman"/>
          <w:sz w:val="24"/>
          <w:szCs w:val="24"/>
        </w:rPr>
        <w:t xml:space="preserve">, 2006, Simultaneous Inversion of Pre-stack Seismic Data: Geohorizons, 13–17. </w:t>
      </w:r>
    </w:p>
    <w:p w14:paraId="73A58AF0"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30D00D67"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Han, H., J. C. Acosta, S. Dang, J. Fu, C. S. Rai, and C. Sondergeld,</w:t>
      </w:r>
      <w:r w:rsidRPr="00E75C76">
        <w:rPr>
          <w:rFonts w:ascii="Times New Roman" w:hAnsi="Times New Roman" w:cs="Times New Roman"/>
          <w:sz w:val="24"/>
          <w:szCs w:val="24"/>
        </w:rPr>
        <w:t xml:space="preserve"> 2019, X-ray Fluorescence and </w:t>
      </w:r>
      <w:r>
        <w:rPr>
          <w:rFonts w:ascii="Times New Roman" w:hAnsi="Times New Roman" w:cs="Times New Roman"/>
          <w:sz w:val="24"/>
          <w:szCs w:val="24"/>
        </w:rPr>
        <w:t>L</w:t>
      </w:r>
      <w:r w:rsidRPr="00E75C76">
        <w:rPr>
          <w:rFonts w:ascii="Times New Roman" w:hAnsi="Times New Roman" w:cs="Times New Roman"/>
          <w:sz w:val="24"/>
          <w:szCs w:val="24"/>
        </w:rPr>
        <w:t xml:space="preserve">aser </w:t>
      </w:r>
      <w:r>
        <w:rPr>
          <w:rFonts w:ascii="Times New Roman" w:hAnsi="Times New Roman" w:cs="Times New Roman"/>
          <w:sz w:val="24"/>
          <w:szCs w:val="24"/>
        </w:rPr>
        <w:t>I</w:t>
      </w:r>
      <w:r w:rsidRPr="00E75C76">
        <w:rPr>
          <w:rFonts w:ascii="Times New Roman" w:hAnsi="Times New Roman" w:cs="Times New Roman"/>
          <w:sz w:val="24"/>
          <w:szCs w:val="24"/>
        </w:rPr>
        <w:t xml:space="preserve">nduced </w:t>
      </w:r>
      <w:r>
        <w:rPr>
          <w:rFonts w:ascii="Times New Roman" w:hAnsi="Times New Roman" w:cs="Times New Roman"/>
          <w:sz w:val="24"/>
          <w:szCs w:val="24"/>
        </w:rPr>
        <w:t>B</w:t>
      </w:r>
      <w:r w:rsidRPr="00E75C76">
        <w:rPr>
          <w:rFonts w:ascii="Times New Roman" w:hAnsi="Times New Roman" w:cs="Times New Roman"/>
          <w:sz w:val="24"/>
          <w:szCs w:val="24"/>
        </w:rPr>
        <w:t xml:space="preserve">reakdown </w:t>
      </w:r>
      <w:r>
        <w:rPr>
          <w:rFonts w:ascii="Times New Roman" w:hAnsi="Times New Roman" w:cs="Times New Roman"/>
          <w:sz w:val="24"/>
          <w:szCs w:val="24"/>
        </w:rPr>
        <w:t>S</w:t>
      </w:r>
      <w:r w:rsidRPr="00E75C76">
        <w:rPr>
          <w:rFonts w:ascii="Times New Roman" w:hAnsi="Times New Roman" w:cs="Times New Roman"/>
          <w:sz w:val="24"/>
          <w:szCs w:val="24"/>
        </w:rPr>
        <w:t>pectroscopy for</w:t>
      </w:r>
      <w:r>
        <w:rPr>
          <w:rFonts w:ascii="Times New Roman" w:hAnsi="Times New Roman" w:cs="Times New Roman"/>
          <w:sz w:val="24"/>
          <w:szCs w:val="24"/>
        </w:rPr>
        <w:t xml:space="preserve"> A</w:t>
      </w:r>
      <w:r w:rsidRPr="00E75C76">
        <w:rPr>
          <w:rFonts w:ascii="Times New Roman" w:hAnsi="Times New Roman" w:cs="Times New Roman"/>
          <w:sz w:val="24"/>
          <w:szCs w:val="24"/>
        </w:rPr>
        <w:t xml:space="preserve">dvanced </w:t>
      </w:r>
      <w:r>
        <w:rPr>
          <w:rFonts w:ascii="Times New Roman" w:hAnsi="Times New Roman" w:cs="Times New Roman"/>
          <w:sz w:val="24"/>
          <w:szCs w:val="24"/>
        </w:rPr>
        <w:t>R</w:t>
      </w:r>
      <w:r w:rsidRPr="00E75C76">
        <w:rPr>
          <w:rFonts w:ascii="Times New Roman" w:hAnsi="Times New Roman" w:cs="Times New Roman"/>
          <w:sz w:val="24"/>
          <w:szCs w:val="24"/>
        </w:rPr>
        <w:t xml:space="preserve">ock </w:t>
      </w:r>
      <w:r>
        <w:rPr>
          <w:rFonts w:ascii="Times New Roman" w:hAnsi="Times New Roman" w:cs="Times New Roman"/>
          <w:sz w:val="24"/>
          <w:szCs w:val="24"/>
        </w:rPr>
        <w:t>E</w:t>
      </w:r>
      <w:r w:rsidRPr="00E75C76">
        <w:rPr>
          <w:rFonts w:ascii="Times New Roman" w:hAnsi="Times New Roman" w:cs="Times New Roman"/>
          <w:sz w:val="24"/>
          <w:szCs w:val="24"/>
        </w:rPr>
        <w:t xml:space="preserve">lemental </w:t>
      </w:r>
      <w:r>
        <w:rPr>
          <w:rFonts w:ascii="Times New Roman" w:hAnsi="Times New Roman" w:cs="Times New Roman"/>
          <w:sz w:val="24"/>
          <w:szCs w:val="24"/>
        </w:rPr>
        <w:t>A</w:t>
      </w:r>
      <w:r w:rsidRPr="00E75C76">
        <w:rPr>
          <w:rFonts w:ascii="Times New Roman" w:hAnsi="Times New Roman" w:cs="Times New Roman"/>
          <w:sz w:val="24"/>
          <w:szCs w:val="24"/>
        </w:rPr>
        <w:t>nalysis: Unconventional Resources Technology Conference</w:t>
      </w:r>
      <w:r>
        <w:rPr>
          <w:rFonts w:ascii="Times New Roman" w:hAnsi="Times New Roman" w:cs="Times New Roman"/>
          <w:sz w:val="24"/>
          <w:szCs w:val="24"/>
        </w:rPr>
        <w:t xml:space="preserve"> </w:t>
      </w:r>
      <w:r w:rsidRPr="00E75C76">
        <w:rPr>
          <w:rFonts w:ascii="Times New Roman" w:hAnsi="Times New Roman" w:cs="Times New Roman"/>
          <w:sz w:val="24"/>
          <w:szCs w:val="24"/>
        </w:rPr>
        <w:t>(URTEC), Article #1072</w:t>
      </w:r>
      <w:r>
        <w:rPr>
          <w:rFonts w:ascii="Times New Roman" w:hAnsi="Times New Roman" w:cs="Times New Roman"/>
          <w:sz w:val="24"/>
          <w:szCs w:val="24"/>
        </w:rPr>
        <w:t>, 1</w:t>
      </w:r>
      <w:r w:rsidRPr="00E75C76">
        <w:rPr>
          <w:rFonts w:ascii="Times New Roman" w:hAnsi="Times New Roman" w:cs="Times New Roman"/>
          <w:sz w:val="24"/>
          <w:szCs w:val="24"/>
        </w:rPr>
        <w:t>–</w:t>
      </w:r>
      <w:r>
        <w:rPr>
          <w:rFonts w:ascii="Times New Roman" w:hAnsi="Times New Roman" w:cs="Times New Roman"/>
          <w:sz w:val="24"/>
          <w:szCs w:val="24"/>
        </w:rPr>
        <w:t>12</w:t>
      </w:r>
      <w:r w:rsidRPr="00E75C76">
        <w:rPr>
          <w:rFonts w:ascii="Times New Roman" w:hAnsi="Times New Roman" w:cs="Times New Roman"/>
          <w:sz w:val="24"/>
          <w:szCs w:val="24"/>
        </w:rPr>
        <w:t>.</w:t>
      </w:r>
    </w:p>
    <w:p w14:paraId="389EF7C5"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459401C1"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Haq, B. U., and S. R. Shutter, 2008, A Chronology of Paleozoic Sea-Level Changes: AAAS Science, </w:t>
      </w:r>
      <w:r w:rsidRPr="00E75C76">
        <w:rPr>
          <w:rFonts w:ascii="Times New Roman" w:hAnsi="Times New Roman" w:cs="Times New Roman"/>
          <w:b/>
          <w:sz w:val="24"/>
          <w:szCs w:val="24"/>
        </w:rPr>
        <w:t>322</w:t>
      </w:r>
      <w:r w:rsidRPr="00E75C76">
        <w:rPr>
          <w:rFonts w:ascii="Times New Roman" w:hAnsi="Times New Roman" w:cs="Times New Roman"/>
          <w:sz w:val="24"/>
          <w:szCs w:val="24"/>
        </w:rPr>
        <w:t>, 64–68.</w:t>
      </w:r>
    </w:p>
    <w:p w14:paraId="5A142400"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51B5FA80"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Hardisty, L., 2019, Stratigraphic variability of Mississippian Meramec chemofacies and petrophysical properties using machine learning and geostatistical modeling, STACK trend, Anadarko Basin, Oklahoma, M.S. thesis, University of Oklahoma.</w:t>
      </w:r>
    </w:p>
    <w:p w14:paraId="4D57ECEC"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4128ED34"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Hardwick, J., 2018, Reservoir quality evaluation of the Meramec and Upper Osage units in the Anadarko Basin, M.S. thesis, University of Oklahoma.</w:t>
      </w:r>
    </w:p>
    <w:p w14:paraId="5A20CB11"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371B2996"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Hickman, G., 2018, Parasequence-scale stratigraphic variability of lithology and porosity of Mississippian Meramec reservoirs and the relationships to production characteristics, STACK trend, Oklahoma, M.S. thesis, University of Oklahoma.</w:t>
      </w:r>
    </w:p>
    <w:p w14:paraId="2817343D"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1D3BCC59"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Johnson, K. S., and K. V. Luza, 2008, Earth sciences and mineral resources of Oklahoma: Oklahoma Geological Survey, Educational Publication 9, 1</w:t>
      </w:r>
      <w:r w:rsidRPr="00E75C76">
        <w:rPr>
          <w:rFonts w:ascii="Times New Roman" w:hAnsi="Times New Roman" w:cs="Times New Roman"/>
          <w:sz w:val="24"/>
          <w:szCs w:val="24"/>
        </w:rPr>
        <w:t>–</w:t>
      </w:r>
      <w:r>
        <w:rPr>
          <w:rFonts w:ascii="Times New Roman" w:hAnsi="Times New Roman" w:cs="Times New Roman"/>
          <w:sz w:val="24"/>
          <w:szCs w:val="24"/>
        </w:rPr>
        <w:t>22.</w:t>
      </w:r>
    </w:p>
    <w:p w14:paraId="1A1B310D"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20357479"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Kay, S. M., 1993, Fundamentals of Statistical Signal Processing: Estimation Theory: Prentice Hall PTR.</w:t>
      </w:r>
    </w:p>
    <w:p w14:paraId="3DC21B00"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5A92AF0F"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LeBlanc, S. E., 2014, High resolution sequence stratigraphy and reservoir characterization of the “Mississippian Limestone” in north-central Oklahoma, M.S. thesis, Oklahoma State University.</w:t>
      </w:r>
    </w:p>
    <w:p w14:paraId="4852A70B"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25DF2D9C"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Lindzey, K. M., M. J. Pranter, and K. J. Marfurt, 2019, Lithological and petrophysical controls on production of the Mississippian limestone, northeastern Woods County, Oklahoma, in G. M. Grammer, J. M. Gregg, J. O. Puckette, P. Jaiswal, S. J. Mazzullo, M. J. Pranter, and R. H. Goldstein, eds., Mississippian reservoirs of the midcontinent: AAPG Memoir 122, 541–560.</w:t>
      </w:r>
    </w:p>
    <w:p w14:paraId="7DE580A0"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8847ADA" w14:textId="77777777" w:rsidR="00D948FE" w:rsidRPr="00467C4B"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467C4B">
        <w:rPr>
          <w:rFonts w:ascii="Times New Roman" w:hAnsi="Times New Roman" w:cs="Times New Roman"/>
          <w:sz w:val="24"/>
          <w:szCs w:val="24"/>
        </w:rPr>
        <w:t>LoCricchio, E., 2012, Wash Play Overview, Anadarko Basin: Stratigraphic framework and</w:t>
      </w:r>
    </w:p>
    <w:p w14:paraId="3D69D96F" w14:textId="77777777" w:rsidR="00D948FE" w:rsidRDefault="00D948FE" w:rsidP="00D948FE">
      <w:pPr>
        <w:autoSpaceDE w:val="0"/>
        <w:autoSpaceDN w:val="0"/>
        <w:adjustRightInd w:val="0"/>
        <w:spacing w:after="0" w:line="240" w:lineRule="auto"/>
        <w:ind w:left="720"/>
        <w:rPr>
          <w:rFonts w:ascii="Times New Roman" w:hAnsi="Times New Roman" w:cs="Times New Roman"/>
          <w:sz w:val="24"/>
          <w:szCs w:val="24"/>
        </w:rPr>
      </w:pPr>
      <w:r w:rsidRPr="00467C4B">
        <w:rPr>
          <w:rFonts w:ascii="Times New Roman" w:hAnsi="Times New Roman" w:cs="Times New Roman"/>
          <w:sz w:val="24"/>
          <w:szCs w:val="24"/>
        </w:rPr>
        <w:t>controls on Pennsylvanian granite wash production, Ana</w:t>
      </w:r>
      <w:r>
        <w:rPr>
          <w:rFonts w:ascii="Times New Roman" w:hAnsi="Times New Roman" w:cs="Times New Roman"/>
          <w:sz w:val="24"/>
          <w:szCs w:val="24"/>
        </w:rPr>
        <w:t xml:space="preserve">darko Basin, Texas and Oklahoma: </w:t>
      </w:r>
      <w:r w:rsidRPr="00467C4B">
        <w:rPr>
          <w:rFonts w:ascii="Times New Roman" w:hAnsi="Times New Roman" w:cs="Times New Roman"/>
          <w:sz w:val="24"/>
          <w:szCs w:val="24"/>
        </w:rPr>
        <w:t>AAPG Search and Discovery Article</w:t>
      </w:r>
      <w:r>
        <w:rPr>
          <w:rFonts w:ascii="Times New Roman" w:hAnsi="Times New Roman" w:cs="Times New Roman"/>
          <w:sz w:val="24"/>
          <w:szCs w:val="24"/>
        </w:rPr>
        <w:t xml:space="preserve"> #</w:t>
      </w:r>
      <w:r w:rsidRPr="00467C4B">
        <w:rPr>
          <w:rFonts w:ascii="Times New Roman" w:hAnsi="Times New Roman" w:cs="Times New Roman"/>
          <w:sz w:val="24"/>
          <w:szCs w:val="24"/>
        </w:rPr>
        <w:t>110163.</w:t>
      </w:r>
    </w:p>
    <w:p w14:paraId="20C741CE"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17344472"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Mazzullo, S. J., 2011, Mississippian oil reservoirs in the southern Midcontinent: new exploration concepts for a mature reservoir objective: AAPG Search and Discovery Article #10373.</w:t>
      </w:r>
    </w:p>
    <w:p w14:paraId="4B327D44"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AFC67DA" w14:textId="77777777" w:rsidR="00D948FE" w:rsidRDefault="00D948FE" w:rsidP="00D948FE">
      <w:pPr>
        <w:spacing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lastRenderedPageBreak/>
        <w:t xml:space="preserve">Mazzullo, S. J., B. W. Wilhite, D. R. Boardman, B. T. Morris., and C. J. Godwin, 2016, Stratigraphic architecture and petroleum reservoirs in lower to middle Mississippian strata (Kinderhookian to basal Meramecian) in subsurface central to southern Kansas and northern Oklahoma: Shale Shaker, </w:t>
      </w:r>
      <w:r w:rsidRPr="00E75C76">
        <w:rPr>
          <w:rFonts w:ascii="Times New Roman" w:hAnsi="Times New Roman" w:cs="Times New Roman"/>
          <w:b/>
          <w:sz w:val="24"/>
          <w:szCs w:val="24"/>
        </w:rPr>
        <w:t>67</w:t>
      </w:r>
      <w:r w:rsidRPr="00E75C76">
        <w:rPr>
          <w:rFonts w:ascii="Times New Roman" w:hAnsi="Times New Roman" w:cs="Times New Roman"/>
          <w:sz w:val="24"/>
          <w:szCs w:val="24"/>
        </w:rPr>
        <w:t>, no. 2, 20–49.</w:t>
      </w:r>
    </w:p>
    <w:p w14:paraId="70290157" w14:textId="77777777" w:rsidR="00D948FE" w:rsidRDefault="00D948FE" w:rsidP="00D948FE">
      <w:pPr>
        <w:spacing w:line="240" w:lineRule="auto"/>
        <w:ind w:left="720" w:hanging="720"/>
        <w:rPr>
          <w:rFonts w:ascii="Times New Roman" w:hAnsi="Times New Roman" w:cs="Times New Roman"/>
          <w:sz w:val="24"/>
          <w:szCs w:val="24"/>
        </w:rPr>
      </w:pPr>
      <w:r>
        <w:rPr>
          <w:rFonts w:ascii="TimesNewRomanPSMT" w:hAnsi="TimesNewRomanPSMT" w:cs="TimesNewRomanPSMT"/>
          <w:sz w:val="24"/>
          <w:szCs w:val="24"/>
        </w:rPr>
        <w:t xml:space="preserve">McConnell, D. A., M. J. Goyda, G. N. Smith, and J. P. Chitwood, 1989, Morphology of the frontal fault zone, southwest Oklahoma: Implications for deformation and deposition on the Wichita Uplift and Anadarko Basin: Geology, </w:t>
      </w:r>
      <w:r w:rsidRPr="00467C4B">
        <w:rPr>
          <w:rFonts w:ascii="TimesNewRomanPSMT" w:hAnsi="TimesNewRomanPSMT" w:cs="TimesNewRomanPSMT"/>
          <w:b/>
          <w:sz w:val="24"/>
          <w:szCs w:val="24"/>
        </w:rPr>
        <w:t>18</w:t>
      </w:r>
      <w:r>
        <w:rPr>
          <w:rFonts w:ascii="TimesNewRomanPSMT" w:hAnsi="TimesNewRomanPSMT" w:cs="TimesNewRomanPSMT"/>
          <w:sz w:val="24"/>
          <w:szCs w:val="24"/>
        </w:rPr>
        <w:t>, no. 7, 34–637.</w:t>
      </w:r>
    </w:p>
    <w:p w14:paraId="70255D37" w14:textId="77777777" w:rsidR="00D948FE" w:rsidRPr="00E75C76" w:rsidRDefault="00D948FE" w:rsidP="00D948FE">
      <w:pPr>
        <w:spacing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Miller, J.</w:t>
      </w:r>
      <w:r>
        <w:rPr>
          <w:rFonts w:ascii="Times New Roman" w:hAnsi="Times New Roman" w:cs="Times New Roman"/>
          <w:sz w:val="24"/>
          <w:szCs w:val="24"/>
        </w:rPr>
        <w:t xml:space="preserve"> C.</w:t>
      </w:r>
      <w:r w:rsidRPr="00E75C76">
        <w:rPr>
          <w:rFonts w:ascii="Times New Roman" w:hAnsi="Times New Roman" w:cs="Times New Roman"/>
          <w:sz w:val="24"/>
          <w:szCs w:val="24"/>
        </w:rPr>
        <w:t>,</w:t>
      </w:r>
      <w:r>
        <w:rPr>
          <w:rFonts w:ascii="Times New Roman" w:hAnsi="Times New Roman" w:cs="Times New Roman"/>
          <w:sz w:val="24"/>
          <w:szCs w:val="24"/>
        </w:rPr>
        <w:t xml:space="preserve"> M. J. Pranter, and A. B. Cullen,</w:t>
      </w:r>
      <w:r w:rsidRPr="00E75C76">
        <w:rPr>
          <w:rFonts w:ascii="Times New Roman" w:hAnsi="Times New Roman" w:cs="Times New Roman"/>
          <w:sz w:val="24"/>
          <w:szCs w:val="24"/>
        </w:rPr>
        <w:t xml:space="preserve"> 201</w:t>
      </w:r>
      <w:r>
        <w:rPr>
          <w:rFonts w:ascii="Times New Roman" w:hAnsi="Times New Roman" w:cs="Times New Roman"/>
          <w:sz w:val="24"/>
          <w:szCs w:val="24"/>
        </w:rPr>
        <w:t>9</w:t>
      </w:r>
      <w:r w:rsidRPr="00E75C76">
        <w:rPr>
          <w:rFonts w:ascii="Times New Roman" w:hAnsi="Times New Roman" w:cs="Times New Roman"/>
          <w:sz w:val="24"/>
          <w:szCs w:val="24"/>
        </w:rPr>
        <w:t xml:space="preserve">, Regional </w:t>
      </w:r>
      <w:r>
        <w:rPr>
          <w:rFonts w:ascii="Times New Roman" w:hAnsi="Times New Roman" w:cs="Times New Roman"/>
          <w:sz w:val="24"/>
          <w:szCs w:val="24"/>
        </w:rPr>
        <w:t>S</w:t>
      </w:r>
      <w:r w:rsidRPr="00E75C76">
        <w:rPr>
          <w:rFonts w:ascii="Times New Roman" w:hAnsi="Times New Roman" w:cs="Times New Roman"/>
          <w:sz w:val="24"/>
          <w:szCs w:val="24"/>
        </w:rPr>
        <w:t xml:space="preserve">tratigraphy and </w:t>
      </w:r>
      <w:r>
        <w:rPr>
          <w:rFonts w:ascii="Times New Roman" w:hAnsi="Times New Roman" w:cs="Times New Roman"/>
          <w:sz w:val="24"/>
          <w:szCs w:val="24"/>
        </w:rPr>
        <w:t>O</w:t>
      </w:r>
      <w:r w:rsidRPr="00E75C76">
        <w:rPr>
          <w:rFonts w:ascii="Times New Roman" w:hAnsi="Times New Roman" w:cs="Times New Roman"/>
          <w:sz w:val="24"/>
          <w:szCs w:val="24"/>
        </w:rPr>
        <w:t xml:space="preserve">rganic </w:t>
      </w:r>
      <w:r>
        <w:rPr>
          <w:rFonts w:ascii="Times New Roman" w:hAnsi="Times New Roman" w:cs="Times New Roman"/>
          <w:sz w:val="24"/>
          <w:szCs w:val="24"/>
        </w:rPr>
        <w:t>R</w:t>
      </w:r>
      <w:r w:rsidRPr="00E75C76">
        <w:rPr>
          <w:rFonts w:ascii="Times New Roman" w:hAnsi="Times New Roman" w:cs="Times New Roman"/>
          <w:sz w:val="24"/>
          <w:szCs w:val="24"/>
        </w:rPr>
        <w:t xml:space="preserve">ichness of the Mississippian Meramec and </w:t>
      </w:r>
      <w:r>
        <w:rPr>
          <w:rFonts w:ascii="Times New Roman" w:hAnsi="Times New Roman" w:cs="Times New Roman"/>
          <w:sz w:val="24"/>
          <w:szCs w:val="24"/>
        </w:rPr>
        <w:t>A</w:t>
      </w:r>
      <w:r w:rsidRPr="00E75C76">
        <w:rPr>
          <w:rFonts w:ascii="Times New Roman" w:hAnsi="Times New Roman" w:cs="Times New Roman"/>
          <w:sz w:val="24"/>
          <w:szCs w:val="24"/>
        </w:rPr>
        <w:t xml:space="preserve">ssociated </w:t>
      </w:r>
      <w:r>
        <w:rPr>
          <w:rFonts w:ascii="Times New Roman" w:hAnsi="Times New Roman" w:cs="Times New Roman"/>
          <w:sz w:val="24"/>
          <w:szCs w:val="24"/>
        </w:rPr>
        <w:t>S</w:t>
      </w:r>
      <w:r w:rsidRPr="00E75C76">
        <w:rPr>
          <w:rFonts w:ascii="Times New Roman" w:hAnsi="Times New Roman" w:cs="Times New Roman"/>
          <w:sz w:val="24"/>
          <w:szCs w:val="24"/>
        </w:rPr>
        <w:t xml:space="preserve">trata, Anadarko basin, </w:t>
      </w:r>
      <w:r>
        <w:rPr>
          <w:rFonts w:ascii="Times New Roman" w:hAnsi="Times New Roman" w:cs="Times New Roman"/>
          <w:sz w:val="24"/>
          <w:szCs w:val="24"/>
        </w:rPr>
        <w:t>C</w:t>
      </w:r>
      <w:r w:rsidRPr="00E75C76">
        <w:rPr>
          <w:rFonts w:ascii="Times New Roman" w:hAnsi="Times New Roman" w:cs="Times New Roman"/>
          <w:sz w:val="24"/>
          <w:szCs w:val="24"/>
        </w:rPr>
        <w:t>entral Oklahoma</w:t>
      </w:r>
      <w:r>
        <w:rPr>
          <w:rFonts w:ascii="Times New Roman" w:hAnsi="Times New Roman" w:cs="Times New Roman"/>
          <w:sz w:val="24"/>
          <w:szCs w:val="24"/>
        </w:rPr>
        <w:t xml:space="preserve">: Shale Shaker, </w:t>
      </w:r>
      <w:r>
        <w:rPr>
          <w:rFonts w:ascii="Times New Roman" w:hAnsi="Times New Roman" w:cs="Times New Roman"/>
          <w:b/>
          <w:sz w:val="24"/>
          <w:szCs w:val="24"/>
        </w:rPr>
        <w:t>70</w:t>
      </w:r>
      <w:r>
        <w:rPr>
          <w:rFonts w:ascii="Times New Roman" w:hAnsi="Times New Roman" w:cs="Times New Roman"/>
          <w:sz w:val="24"/>
          <w:szCs w:val="24"/>
        </w:rPr>
        <w:t>, no, 2, 50–7</w:t>
      </w:r>
      <w:r w:rsidRPr="00E75C76">
        <w:rPr>
          <w:rFonts w:ascii="Times New Roman" w:hAnsi="Times New Roman" w:cs="Times New Roman"/>
          <w:sz w:val="24"/>
          <w:szCs w:val="24"/>
        </w:rPr>
        <w:t>9</w:t>
      </w:r>
    </w:p>
    <w:p w14:paraId="6475F57F" w14:textId="77777777" w:rsidR="00D948FE" w:rsidRPr="00E75C76" w:rsidRDefault="00D948FE" w:rsidP="00D948FE">
      <w:pPr>
        <w:spacing w:after="100" w:afterAutospacing="1"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Miller, M., 2019, Mississippian Meramec Lithologies and Petrophysical Property Variability, STACK Trend, Anadarko Basin, M.S. thesis, University of Oklahoma.</w:t>
      </w:r>
    </w:p>
    <w:p w14:paraId="1C580658" w14:textId="77777777" w:rsidR="00D948FE" w:rsidRDefault="00D948FE" w:rsidP="00D948FE">
      <w:pPr>
        <w:spacing w:after="100" w:afterAutospacing="1"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Montgomery, S. L., J. C. Mullarkey, M. W. Longman, W. M. Colleary, and J. P. Rogers, 1998, Mississippian Chat reservoirs, South Kansas: Low resistivity Pay in a Complex Chert reservoir: AAPG Bulletin, </w:t>
      </w:r>
      <w:r w:rsidRPr="00E75C76">
        <w:rPr>
          <w:rFonts w:ascii="Times New Roman" w:hAnsi="Times New Roman" w:cs="Times New Roman"/>
          <w:b/>
          <w:sz w:val="24"/>
          <w:szCs w:val="24"/>
        </w:rPr>
        <w:t>82</w:t>
      </w:r>
      <w:r w:rsidRPr="00E75C76">
        <w:rPr>
          <w:rFonts w:ascii="Times New Roman" w:hAnsi="Times New Roman" w:cs="Times New Roman"/>
          <w:sz w:val="24"/>
          <w:szCs w:val="24"/>
        </w:rPr>
        <w:t>, no. 2, 187–205.</w:t>
      </w:r>
    </w:p>
    <w:p w14:paraId="77F82572" w14:textId="77777777" w:rsidR="00D948FE" w:rsidRDefault="00D948FE" w:rsidP="00D948FE">
      <w:pPr>
        <w:spacing w:after="100" w:afterAutospacing="1" w:line="240" w:lineRule="auto"/>
        <w:ind w:left="720" w:hanging="720"/>
        <w:rPr>
          <w:rFonts w:ascii="Times New Roman" w:hAnsi="Times New Roman" w:cs="Times New Roman"/>
          <w:sz w:val="24"/>
          <w:szCs w:val="24"/>
        </w:rPr>
      </w:pPr>
      <w:r>
        <w:rPr>
          <w:rFonts w:ascii="Times New Roman" w:hAnsi="Times New Roman" w:cs="Times New Roman"/>
          <w:sz w:val="24"/>
          <w:szCs w:val="24"/>
        </w:rPr>
        <w:t>Northcutt, R. A., and J. A. Campbell, 1995, Geology provinces of Oklahoma: Oklahoma Geological Survey Open-File Report 5</w:t>
      </w:r>
      <w:r w:rsidRPr="00E75C76">
        <w:rPr>
          <w:rFonts w:ascii="Times New Roman" w:hAnsi="Times New Roman" w:cs="Times New Roman"/>
          <w:sz w:val="24"/>
          <w:szCs w:val="24"/>
        </w:rPr>
        <w:t>–</w:t>
      </w:r>
      <w:r>
        <w:rPr>
          <w:rFonts w:ascii="Times New Roman" w:hAnsi="Times New Roman" w:cs="Times New Roman"/>
          <w:sz w:val="24"/>
          <w:szCs w:val="24"/>
        </w:rPr>
        <w:t>95.</w:t>
      </w:r>
    </w:p>
    <w:p w14:paraId="05C1918F" w14:textId="77777777" w:rsidR="00D948FE" w:rsidRPr="00E75C76" w:rsidRDefault="00D948FE" w:rsidP="00D948FE">
      <w:pPr>
        <w:spacing w:after="100" w:afterAutospacing="1"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Northcutt, R. A., K. S. Johnson, and G. C. Hinshaw, 2001, Geology and petroleum reservoirs in Silurian, Devonian, and Mississippian rocks in Oklahoma: Oklahoma Geological Survey Circular 105, 1–15.</w:t>
      </w:r>
    </w:p>
    <w:p w14:paraId="6DF9DA43" w14:textId="77777777" w:rsidR="00D948FE" w:rsidRPr="00E75C76" w:rsidRDefault="00D948FE" w:rsidP="00D948FE">
      <w:pPr>
        <w:spacing w:after="100" w:afterAutospacing="1"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Parham, K. D., and R. A. Northcutt, 1993, Mississippian chert and carbonate and basal Pennsylvanian sandstone – central Kansas uplift and northern Oklahoma</w:t>
      </w:r>
      <w:r w:rsidRPr="00A276E4">
        <w:rPr>
          <w:rFonts w:ascii="Times New Roman" w:hAnsi="Times New Roman" w:cs="Times New Roman"/>
          <w:sz w:val="24"/>
          <w:szCs w:val="24"/>
        </w:rPr>
        <w:t xml:space="preserve"> in</w:t>
      </w:r>
      <w:r w:rsidRPr="00E75C76">
        <w:rPr>
          <w:rFonts w:ascii="Times New Roman" w:hAnsi="Times New Roman" w:cs="Times New Roman"/>
          <w:sz w:val="24"/>
          <w:szCs w:val="24"/>
        </w:rPr>
        <w:t xml:space="preserve"> D. Bebout, W. White, and</w:t>
      </w:r>
      <w:r>
        <w:rPr>
          <w:rFonts w:ascii="Times New Roman" w:hAnsi="Times New Roman" w:cs="Times New Roman"/>
          <w:sz w:val="24"/>
          <w:szCs w:val="24"/>
        </w:rPr>
        <w:t>pee</w:t>
      </w:r>
      <w:r w:rsidRPr="00E75C76">
        <w:rPr>
          <w:rFonts w:ascii="Times New Roman" w:hAnsi="Times New Roman" w:cs="Times New Roman"/>
          <w:sz w:val="24"/>
          <w:szCs w:val="24"/>
        </w:rPr>
        <w:t xml:space="preserve"> T. Hentz, eds., Atlas of major Midcontinent gas reservoirs: Gas Research Institu</w:t>
      </w:r>
      <w:r>
        <w:rPr>
          <w:rFonts w:ascii="Times New Roman" w:hAnsi="Times New Roman" w:cs="Times New Roman"/>
          <w:sz w:val="24"/>
          <w:szCs w:val="24"/>
        </w:rPr>
        <w:t>t</w:t>
      </w:r>
      <w:r w:rsidRPr="00E75C76">
        <w:rPr>
          <w:rFonts w:ascii="Times New Roman" w:hAnsi="Times New Roman" w:cs="Times New Roman"/>
          <w:sz w:val="24"/>
          <w:szCs w:val="24"/>
        </w:rPr>
        <w:t>e, Bureau of Economic Geology, 57–59.</w:t>
      </w:r>
    </w:p>
    <w:p w14:paraId="253728D7"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Peeler, J. A., 1985, Reservoir characterization of the Mississippian “chat,” Hardtner field, southern Barber County, Kansas: M.S. thesis, Wichita State University.</w:t>
      </w:r>
    </w:p>
    <w:p w14:paraId="5026742E"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E43EBC3"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Perry,</w:t>
      </w:r>
      <w:r w:rsidRPr="00E75C76">
        <w:rPr>
          <w:rFonts w:ascii="Times New Roman" w:hAnsi="Times New Roman" w:cs="Times New Roman"/>
          <w:sz w:val="24"/>
          <w:szCs w:val="24"/>
        </w:rPr>
        <w:t xml:space="preserve"> W. J., 1990, Tectonic Evolution of the Anadarko Basin Region, Oklahoma: U.S. Geological Survey Bulletin, </w:t>
      </w:r>
      <w:r>
        <w:rPr>
          <w:rFonts w:ascii="Times New Roman" w:hAnsi="Times New Roman" w:cs="Times New Roman"/>
          <w:sz w:val="24"/>
          <w:szCs w:val="24"/>
        </w:rPr>
        <w:t xml:space="preserve">no. </w:t>
      </w:r>
      <w:r w:rsidRPr="007E59EC">
        <w:rPr>
          <w:rFonts w:ascii="Times New Roman" w:hAnsi="Times New Roman" w:cs="Times New Roman"/>
          <w:sz w:val="24"/>
          <w:szCs w:val="24"/>
        </w:rPr>
        <w:t>1866-A</w:t>
      </w:r>
      <w:r w:rsidRPr="00E75C76">
        <w:rPr>
          <w:rFonts w:ascii="Times New Roman" w:hAnsi="Times New Roman" w:cs="Times New Roman"/>
          <w:sz w:val="24"/>
          <w:szCs w:val="24"/>
        </w:rPr>
        <w:t>, A1–A19.</w:t>
      </w:r>
    </w:p>
    <w:p w14:paraId="3EB89CFD"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4B6B6735"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Price, B., K. Haustveit, and A. Lamb, 2017, Influence of Stratigraphy on Barriers to Fracture Growth and Completion Optimization in the Meramec Stack Play, Anadarko Basin, Oklahoma: Unconventional Resources Technology Conference (URTEC), </w:t>
      </w:r>
      <w:r>
        <w:rPr>
          <w:rFonts w:ascii="Times New Roman" w:hAnsi="Times New Roman" w:cs="Times New Roman"/>
          <w:sz w:val="24"/>
          <w:szCs w:val="24"/>
        </w:rPr>
        <w:t xml:space="preserve">Article #2697585, </w:t>
      </w:r>
      <w:r w:rsidRPr="00E75C76">
        <w:rPr>
          <w:rFonts w:ascii="Times New Roman" w:hAnsi="Times New Roman" w:cs="Times New Roman"/>
          <w:sz w:val="24"/>
          <w:szCs w:val="24"/>
        </w:rPr>
        <w:t>1–8.</w:t>
      </w:r>
    </w:p>
    <w:p w14:paraId="7263392A"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394E316" w14:textId="77777777" w:rsidR="00D948FE" w:rsidRPr="0056478E" w:rsidRDefault="00D948FE" w:rsidP="00D948FE">
      <w:pPr>
        <w:autoSpaceDE w:val="0"/>
        <w:autoSpaceDN w:val="0"/>
        <w:adjustRightInd w:val="0"/>
        <w:spacing w:after="0" w:line="240" w:lineRule="auto"/>
        <w:rPr>
          <w:rFonts w:ascii="Times New Roman" w:hAnsi="Times New Roman" w:cs="Times New Roman"/>
          <w:sz w:val="24"/>
          <w:szCs w:val="24"/>
        </w:rPr>
      </w:pPr>
      <w:r w:rsidRPr="0056478E">
        <w:rPr>
          <w:rFonts w:ascii="Times New Roman" w:hAnsi="Times New Roman" w:cs="Times New Roman"/>
          <w:sz w:val="24"/>
          <w:szCs w:val="24"/>
        </w:rPr>
        <w:t>Price, B. J., and G.</w:t>
      </w:r>
      <w:r>
        <w:rPr>
          <w:rFonts w:ascii="Times New Roman" w:hAnsi="Times New Roman" w:cs="Times New Roman"/>
          <w:sz w:val="24"/>
          <w:szCs w:val="24"/>
        </w:rPr>
        <w:t xml:space="preserve"> </w:t>
      </w:r>
      <w:r w:rsidRPr="0056478E">
        <w:rPr>
          <w:rFonts w:ascii="Times New Roman" w:hAnsi="Times New Roman" w:cs="Times New Roman"/>
          <w:sz w:val="24"/>
          <w:szCs w:val="24"/>
        </w:rPr>
        <w:t>M. Grammer, 2018, High resolution sequence stratigraphic architecture and</w:t>
      </w:r>
    </w:p>
    <w:p w14:paraId="61D8B34F" w14:textId="77777777" w:rsidR="00D948FE" w:rsidRPr="0056478E" w:rsidRDefault="00D948FE" w:rsidP="00D948FE">
      <w:pPr>
        <w:autoSpaceDE w:val="0"/>
        <w:autoSpaceDN w:val="0"/>
        <w:adjustRightInd w:val="0"/>
        <w:spacing w:after="0" w:line="240" w:lineRule="auto"/>
        <w:ind w:left="720"/>
        <w:rPr>
          <w:rFonts w:ascii="Times New Roman" w:hAnsi="Times New Roman" w:cs="Times New Roman"/>
          <w:sz w:val="24"/>
          <w:szCs w:val="24"/>
        </w:rPr>
      </w:pPr>
      <w:r w:rsidRPr="0056478E">
        <w:rPr>
          <w:rFonts w:ascii="Times New Roman" w:hAnsi="Times New Roman" w:cs="Times New Roman"/>
          <w:sz w:val="24"/>
          <w:szCs w:val="24"/>
        </w:rPr>
        <w:t>reservoir characterization of the Mississippi</w:t>
      </w:r>
      <w:r>
        <w:rPr>
          <w:rFonts w:ascii="Times New Roman" w:hAnsi="Times New Roman" w:cs="Times New Roman"/>
          <w:sz w:val="24"/>
          <w:szCs w:val="24"/>
        </w:rPr>
        <w:t xml:space="preserve">an Burlington/Keokuk Formation, </w:t>
      </w:r>
      <w:r w:rsidRPr="0056478E">
        <w:rPr>
          <w:rFonts w:ascii="Times New Roman" w:hAnsi="Times New Roman" w:cs="Times New Roman"/>
          <w:sz w:val="24"/>
          <w:szCs w:val="24"/>
        </w:rPr>
        <w:t>northwestern</w:t>
      </w:r>
      <w:r>
        <w:rPr>
          <w:rFonts w:ascii="Times New Roman" w:hAnsi="Times New Roman" w:cs="Times New Roman"/>
          <w:sz w:val="24"/>
          <w:szCs w:val="24"/>
        </w:rPr>
        <w:t xml:space="preserve"> </w:t>
      </w:r>
      <w:r w:rsidRPr="0056478E">
        <w:rPr>
          <w:rFonts w:ascii="Times New Roman" w:hAnsi="Times New Roman" w:cs="Times New Roman"/>
          <w:sz w:val="24"/>
          <w:szCs w:val="24"/>
        </w:rPr>
        <w:t xml:space="preserve">Arkansas, </w:t>
      </w:r>
      <w:r w:rsidRPr="0056478E">
        <w:rPr>
          <w:rFonts w:ascii="Times New Roman" w:hAnsi="Times New Roman" w:cs="Times New Roman"/>
          <w:iCs/>
          <w:sz w:val="24"/>
          <w:szCs w:val="24"/>
        </w:rPr>
        <w:t>in</w:t>
      </w:r>
      <w:r w:rsidRPr="0056478E">
        <w:rPr>
          <w:rFonts w:ascii="Times New Roman" w:hAnsi="Times New Roman" w:cs="Times New Roman"/>
          <w:i/>
          <w:iCs/>
          <w:sz w:val="24"/>
          <w:szCs w:val="24"/>
        </w:rPr>
        <w:t xml:space="preserve"> </w:t>
      </w:r>
      <w:r w:rsidRPr="0056478E">
        <w:rPr>
          <w:rFonts w:ascii="Times New Roman" w:hAnsi="Times New Roman" w:cs="Times New Roman"/>
          <w:sz w:val="24"/>
          <w:szCs w:val="24"/>
        </w:rPr>
        <w:t>G.M. Grammer, J.M. Gregg, J.O. Puckette, P.</w:t>
      </w:r>
      <w:r>
        <w:rPr>
          <w:rFonts w:ascii="Times New Roman" w:hAnsi="Times New Roman" w:cs="Times New Roman"/>
          <w:sz w:val="24"/>
          <w:szCs w:val="24"/>
        </w:rPr>
        <w:t xml:space="preserve"> Jaiswal, S.J. Mazzullo, M.J. </w:t>
      </w:r>
      <w:r w:rsidRPr="0056478E">
        <w:rPr>
          <w:rFonts w:ascii="Times New Roman" w:hAnsi="Times New Roman" w:cs="Times New Roman"/>
          <w:sz w:val="24"/>
          <w:szCs w:val="24"/>
        </w:rPr>
        <w:t>Pranter, and R.H. Goldstein, eds., Mississippian Reser</w:t>
      </w:r>
      <w:r>
        <w:rPr>
          <w:rFonts w:ascii="Times New Roman" w:hAnsi="Times New Roman" w:cs="Times New Roman"/>
          <w:sz w:val="24"/>
          <w:szCs w:val="24"/>
        </w:rPr>
        <w:t xml:space="preserve">voirs of the Midcontinent: AAPG </w:t>
      </w:r>
      <w:r w:rsidRPr="0056478E">
        <w:rPr>
          <w:rFonts w:ascii="Times New Roman" w:hAnsi="Times New Roman" w:cs="Times New Roman"/>
          <w:sz w:val="24"/>
          <w:szCs w:val="24"/>
        </w:rPr>
        <w:t>Memoir 116, doi: 10.1306/13632147M1163787.</w:t>
      </w:r>
    </w:p>
    <w:p w14:paraId="5163C241"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7B20084F" w14:textId="77777777" w:rsidR="00D948FE" w:rsidRDefault="00D948FE" w:rsidP="00D948FE">
      <w:pPr>
        <w:spacing w:after="100" w:afterAutospacing="1"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Price, B. J., A. C. Pollack, A. P</w:t>
      </w:r>
      <w:r>
        <w:rPr>
          <w:rFonts w:ascii="Times New Roman" w:hAnsi="Times New Roman" w:cs="Times New Roman"/>
          <w:sz w:val="24"/>
          <w:szCs w:val="24"/>
        </w:rPr>
        <w:t>.</w:t>
      </w:r>
      <w:r w:rsidRPr="00E75C76">
        <w:rPr>
          <w:rFonts w:ascii="Times New Roman" w:hAnsi="Times New Roman" w:cs="Times New Roman"/>
          <w:sz w:val="24"/>
          <w:szCs w:val="24"/>
        </w:rPr>
        <w:t xml:space="preserve"> Lamb, T. C. Peryman, and J. R. Anderson, 2020, Depositional interpretation and sequence stratigraphic control on reservoir quality and distribution in the Meremecian Sooner trend Anadarko Basin, Canadian and Kingfisher Counties (STACK) play, Anadarko Basin, Oklahoma, United States: AAPG Bulletin, </w:t>
      </w:r>
      <w:r w:rsidRPr="00E75C76">
        <w:rPr>
          <w:rFonts w:ascii="Times New Roman" w:hAnsi="Times New Roman" w:cs="Times New Roman"/>
          <w:b/>
          <w:sz w:val="24"/>
          <w:szCs w:val="24"/>
        </w:rPr>
        <w:t>104</w:t>
      </w:r>
      <w:r w:rsidRPr="00E75C76">
        <w:rPr>
          <w:rFonts w:ascii="Times New Roman" w:hAnsi="Times New Roman" w:cs="Times New Roman"/>
          <w:sz w:val="24"/>
          <w:szCs w:val="24"/>
        </w:rPr>
        <w:t>, no. 2, 357–386.</w:t>
      </w:r>
    </w:p>
    <w:p w14:paraId="16EBB098" w14:textId="77777777" w:rsidR="00D948FE" w:rsidRDefault="00D948FE" w:rsidP="00D948FE">
      <w:pPr>
        <w:autoSpaceDE w:val="0"/>
        <w:autoSpaceDN w:val="0"/>
        <w:adjustRightInd w:val="0"/>
        <w:spacing w:after="0" w:line="240" w:lineRule="auto"/>
        <w:ind w:left="720" w:hanging="720"/>
        <w:rPr>
          <w:rFonts w:ascii="TimesNewRomanPSMT" w:hAnsi="TimesNewRomanPSMT" w:cs="TimesNewRomanPSMT"/>
          <w:sz w:val="24"/>
          <w:szCs w:val="24"/>
        </w:rPr>
      </w:pPr>
      <w:r>
        <w:rPr>
          <w:rFonts w:ascii="TimesNewRomanPSMT" w:hAnsi="TimesNewRomanPSMT" w:cs="TimesNewRomanPSMT"/>
          <w:sz w:val="24"/>
          <w:szCs w:val="24"/>
        </w:rPr>
        <w:t xml:space="preserve">Read, J. F., 1995, Overview of Carbonate Platform Sequences, Cycle Stratigraphy and Reservoirs in Greenhouse and Icehouse Worlds, </w:t>
      </w:r>
      <w:r w:rsidRPr="0085411B">
        <w:rPr>
          <w:rFonts w:ascii="TimesNewRomanPS-ItalicMT" w:hAnsi="TimesNewRomanPS-ItalicMT" w:cs="TimesNewRomanPS-ItalicMT"/>
          <w:iCs/>
          <w:sz w:val="24"/>
          <w:szCs w:val="24"/>
        </w:rPr>
        <w:t>in</w:t>
      </w:r>
      <w:r>
        <w:rPr>
          <w:rFonts w:ascii="TimesNewRomanPS-ItalicMT" w:hAnsi="TimesNewRomanPS-ItalicMT" w:cs="TimesNewRomanPS-ItalicMT"/>
          <w:i/>
          <w:iCs/>
          <w:sz w:val="24"/>
          <w:szCs w:val="24"/>
        </w:rPr>
        <w:t xml:space="preserve"> </w:t>
      </w:r>
      <w:r>
        <w:rPr>
          <w:rFonts w:ascii="TimesNewRomanPSMT" w:hAnsi="TimesNewRomanPSMT" w:cs="TimesNewRomanPSMT"/>
          <w:sz w:val="24"/>
          <w:szCs w:val="24"/>
        </w:rPr>
        <w:t>Read, J.F., Kerans, C., Weber, L.J., Sarg, J.F., and Wright, F.M. (eds.), Milankovitch Sea Level Changes, Cycles, and Reservoirs on Carbonate Platforms in Greenhouse and Icehouse Worlds: SEPM Short Course 35, 1–102.</w:t>
      </w:r>
    </w:p>
    <w:p w14:paraId="6AE26E4A" w14:textId="77777777" w:rsidR="00D948FE" w:rsidRPr="00F45393" w:rsidRDefault="00D948FE" w:rsidP="00D948FE">
      <w:pPr>
        <w:autoSpaceDE w:val="0"/>
        <w:autoSpaceDN w:val="0"/>
        <w:adjustRightInd w:val="0"/>
        <w:spacing w:after="0" w:line="240" w:lineRule="auto"/>
        <w:ind w:left="720"/>
        <w:rPr>
          <w:rFonts w:ascii="TimesNewRomanPSMT" w:hAnsi="TimesNewRomanPSMT" w:cs="TimesNewRomanPSMT"/>
          <w:sz w:val="24"/>
          <w:szCs w:val="24"/>
        </w:rPr>
      </w:pPr>
    </w:p>
    <w:p w14:paraId="0BADFA22"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Rogers, S. M., 2001, Deposition and diagenesis of Mississippian chat reservoirs, north-central Oklahoma: AAPG Bulletin, </w:t>
      </w:r>
      <w:r w:rsidRPr="00E75C76">
        <w:rPr>
          <w:rFonts w:ascii="Times New Roman" w:hAnsi="Times New Roman" w:cs="Times New Roman"/>
          <w:b/>
          <w:sz w:val="24"/>
          <w:szCs w:val="24"/>
        </w:rPr>
        <w:t>85</w:t>
      </w:r>
      <w:r w:rsidRPr="00E75C76">
        <w:rPr>
          <w:rFonts w:ascii="Times New Roman" w:hAnsi="Times New Roman" w:cs="Times New Roman"/>
          <w:sz w:val="24"/>
          <w:szCs w:val="24"/>
        </w:rPr>
        <w:t>, no.1, 115–129.</w:t>
      </w:r>
    </w:p>
    <w:p w14:paraId="2C619789"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36FF2A8D"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Russell, B., 2014, Prestack seismic amplitude analysis: An integrated overview: Interpretation, </w:t>
      </w:r>
      <w:r w:rsidRPr="00E75C76">
        <w:rPr>
          <w:rFonts w:ascii="Times New Roman" w:hAnsi="Times New Roman" w:cs="Times New Roman"/>
          <w:b/>
          <w:sz w:val="24"/>
          <w:szCs w:val="24"/>
        </w:rPr>
        <w:t>2</w:t>
      </w:r>
      <w:r w:rsidRPr="00E75C76">
        <w:rPr>
          <w:rFonts w:ascii="Times New Roman" w:hAnsi="Times New Roman" w:cs="Times New Roman"/>
          <w:sz w:val="24"/>
          <w:szCs w:val="24"/>
        </w:rPr>
        <w:t>, SC19-SC36.</w:t>
      </w:r>
    </w:p>
    <w:p w14:paraId="76103D82"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8149FB5"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4D7678">
        <w:rPr>
          <w:rFonts w:ascii="Times New Roman" w:hAnsi="Times New Roman" w:cs="Times New Roman"/>
          <w:sz w:val="24"/>
          <w:szCs w:val="24"/>
        </w:rPr>
        <w:t>Russell, B., and D. Hampson, 1991, A comparison of poststack seismic inversion methods: 61st Annual International Meeting, SEG, Expanded Abstracts, 876–878.</w:t>
      </w:r>
    </w:p>
    <w:p w14:paraId="7A3FC9C7"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7C2CCE20"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Sams, M., and D. Carter, 2017, Stuck between a rock and a reflection: A tutorial on low-frequency models for seismic inversion: Interpretation, </w:t>
      </w:r>
      <w:r>
        <w:rPr>
          <w:rFonts w:ascii="Times New Roman" w:hAnsi="Times New Roman" w:cs="Times New Roman"/>
          <w:b/>
          <w:sz w:val="24"/>
          <w:szCs w:val="24"/>
        </w:rPr>
        <w:t>5</w:t>
      </w:r>
      <w:r>
        <w:rPr>
          <w:rFonts w:ascii="Times New Roman" w:hAnsi="Times New Roman" w:cs="Times New Roman"/>
          <w:sz w:val="24"/>
          <w:szCs w:val="24"/>
        </w:rPr>
        <w:t>, no. 2, B17</w:t>
      </w:r>
      <w:r w:rsidRPr="00E75C76">
        <w:rPr>
          <w:rFonts w:ascii="Times New Roman" w:hAnsi="Times New Roman" w:cs="Times New Roman"/>
          <w:sz w:val="24"/>
          <w:szCs w:val="24"/>
        </w:rPr>
        <w:t>–</w:t>
      </w:r>
      <w:r>
        <w:rPr>
          <w:rFonts w:ascii="Times New Roman" w:hAnsi="Times New Roman" w:cs="Times New Roman"/>
          <w:sz w:val="24"/>
          <w:szCs w:val="24"/>
        </w:rPr>
        <w:t>B27.</w:t>
      </w:r>
    </w:p>
    <w:p w14:paraId="5DECA51F"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5A878E12"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4B47C6">
        <w:rPr>
          <w:rFonts w:ascii="Times New Roman" w:hAnsi="Times New Roman" w:cs="Times New Roman"/>
          <w:sz w:val="24"/>
          <w:szCs w:val="24"/>
        </w:rPr>
        <w:t>Serra, O., and H. T. Ab</w:t>
      </w:r>
      <w:r>
        <w:rPr>
          <w:rFonts w:ascii="Times New Roman" w:hAnsi="Times New Roman" w:cs="Times New Roman"/>
          <w:sz w:val="24"/>
          <w:szCs w:val="24"/>
        </w:rPr>
        <w:t xml:space="preserve">bott, 1982, The contribution of </w:t>
      </w:r>
      <w:r w:rsidRPr="004B47C6">
        <w:rPr>
          <w:rFonts w:ascii="Times New Roman" w:hAnsi="Times New Roman" w:cs="Times New Roman"/>
          <w:sz w:val="24"/>
          <w:szCs w:val="24"/>
        </w:rPr>
        <w:t>logging data to sedimentary sedimentology and stratigraphy: Society of Petrol</w:t>
      </w:r>
      <w:r>
        <w:rPr>
          <w:rFonts w:ascii="Times New Roman" w:hAnsi="Times New Roman" w:cs="Times New Roman"/>
          <w:sz w:val="24"/>
          <w:szCs w:val="24"/>
        </w:rPr>
        <w:t xml:space="preserve">eum Engineers Journal, </w:t>
      </w:r>
      <w:r w:rsidRPr="004B47C6">
        <w:rPr>
          <w:rFonts w:ascii="Times New Roman" w:hAnsi="Times New Roman" w:cs="Times New Roman"/>
          <w:b/>
          <w:sz w:val="24"/>
          <w:szCs w:val="24"/>
        </w:rPr>
        <w:t>22</w:t>
      </w:r>
      <w:r>
        <w:rPr>
          <w:rFonts w:ascii="Times New Roman" w:hAnsi="Times New Roman" w:cs="Times New Roman"/>
          <w:sz w:val="24"/>
          <w:szCs w:val="24"/>
        </w:rPr>
        <w:t>, 117–</w:t>
      </w:r>
      <w:r w:rsidRPr="004B47C6">
        <w:rPr>
          <w:rFonts w:ascii="Times New Roman" w:hAnsi="Times New Roman" w:cs="Times New Roman"/>
          <w:sz w:val="24"/>
          <w:szCs w:val="24"/>
        </w:rPr>
        <w:t>131, doi: 10.2118/9270-PA.</w:t>
      </w:r>
    </w:p>
    <w:p w14:paraId="1D623364"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5B5A378D"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Sloss, L. L., 1963, Sequences in the Cratonic Interior of North America: Geological Society of America Bulletin, </w:t>
      </w:r>
      <w:r w:rsidRPr="00E75C76">
        <w:rPr>
          <w:rFonts w:ascii="Times New Roman" w:hAnsi="Times New Roman" w:cs="Times New Roman"/>
          <w:b/>
          <w:sz w:val="24"/>
          <w:szCs w:val="24"/>
        </w:rPr>
        <w:t>74</w:t>
      </w:r>
      <w:r w:rsidRPr="00E75C76">
        <w:rPr>
          <w:rFonts w:ascii="Times New Roman" w:hAnsi="Times New Roman" w:cs="Times New Roman"/>
          <w:sz w:val="24"/>
          <w:szCs w:val="24"/>
        </w:rPr>
        <w:t>, 93–114.</w:t>
      </w:r>
    </w:p>
    <w:p w14:paraId="2F120D37"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6291CD85" w14:textId="77777777" w:rsidR="00D948FE" w:rsidRPr="00E75C76" w:rsidRDefault="00D948FE" w:rsidP="00D948FE">
      <w:pPr>
        <w:spacing w:after="100" w:afterAutospacing="1"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Turnini, A. M., M. J. Pranter, and K. J. Marfurt, 2019, Mississippian limestone and chert reservoirs, Tonkawa field, north-central Oklahoma, in G. M. Grammer, J. M. Gregg, J. O. Puckette, P. Jaiswal, S. J. Mazzullo, M. J. Pranter, and R. H. Goldstein, eds., Mississippian reservoirs of the midcontinent: AAPG Memoir 122, 489–511. </w:t>
      </w:r>
    </w:p>
    <w:p w14:paraId="0E865FA8" w14:textId="77777777" w:rsidR="00D948FE" w:rsidRPr="00E75C76" w:rsidRDefault="00D948FE" w:rsidP="00D948FE">
      <w:pPr>
        <w:spacing w:after="100" w:afterAutospacing="1"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Watney, W. L., W. J. Guy, and A. P. Bynes, 2001, Characterization of the Mississippian chat in south-central Kansas: AAPG Bulletin, </w:t>
      </w:r>
      <w:r w:rsidRPr="00E75C76">
        <w:rPr>
          <w:rFonts w:ascii="Times New Roman" w:hAnsi="Times New Roman" w:cs="Times New Roman"/>
          <w:b/>
          <w:sz w:val="24"/>
          <w:szCs w:val="24"/>
        </w:rPr>
        <w:t>85</w:t>
      </w:r>
      <w:r w:rsidRPr="00E75C76">
        <w:rPr>
          <w:rFonts w:ascii="Times New Roman" w:hAnsi="Times New Roman" w:cs="Times New Roman"/>
          <w:sz w:val="24"/>
          <w:szCs w:val="24"/>
        </w:rPr>
        <w:t>, 85–113.</w:t>
      </w:r>
    </w:p>
    <w:p w14:paraId="54105891"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E75C76">
        <w:rPr>
          <w:rFonts w:ascii="Times New Roman" w:hAnsi="Times New Roman" w:cs="Times New Roman"/>
          <w:sz w:val="24"/>
          <w:szCs w:val="24"/>
        </w:rPr>
        <w:t xml:space="preserve">Wethington, N. W., and M. J. Pranter, 2018, Stratigraphic Architecture of the Mississippian Limestone through integrated electrofacies classification, Hardtner Field area, Kansas and Oklahoma, Interpretation, </w:t>
      </w:r>
      <w:r w:rsidRPr="00E75C76">
        <w:rPr>
          <w:rFonts w:ascii="Times New Roman" w:hAnsi="Times New Roman" w:cs="Times New Roman"/>
          <w:b/>
          <w:sz w:val="24"/>
          <w:szCs w:val="24"/>
        </w:rPr>
        <w:t>6</w:t>
      </w:r>
      <w:r w:rsidRPr="00E75C76">
        <w:rPr>
          <w:rFonts w:ascii="Times New Roman" w:hAnsi="Times New Roman" w:cs="Times New Roman"/>
          <w:sz w:val="24"/>
          <w:szCs w:val="24"/>
        </w:rPr>
        <w:t xml:space="preserve">, no. 4, </w:t>
      </w:r>
      <w:r>
        <w:rPr>
          <w:rFonts w:ascii="Times New Roman" w:hAnsi="Times New Roman" w:cs="Times New Roman"/>
          <w:sz w:val="24"/>
          <w:szCs w:val="24"/>
        </w:rPr>
        <w:t>T1095</w:t>
      </w:r>
      <w:r w:rsidRPr="00E75C76">
        <w:rPr>
          <w:rFonts w:ascii="Times New Roman" w:hAnsi="Times New Roman" w:cs="Times New Roman"/>
          <w:sz w:val="24"/>
          <w:szCs w:val="24"/>
        </w:rPr>
        <w:t>–</w:t>
      </w:r>
      <w:r>
        <w:rPr>
          <w:rFonts w:ascii="Times New Roman" w:hAnsi="Times New Roman" w:cs="Times New Roman"/>
          <w:sz w:val="24"/>
          <w:szCs w:val="24"/>
        </w:rPr>
        <w:t>T1115</w:t>
      </w:r>
      <w:r w:rsidRPr="00E75C76">
        <w:rPr>
          <w:rFonts w:ascii="Times New Roman" w:hAnsi="Times New Roman" w:cs="Times New Roman"/>
          <w:sz w:val="24"/>
          <w:szCs w:val="24"/>
        </w:rPr>
        <w:t>.</w:t>
      </w:r>
    </w:p>
    <w:p w14:paraId="122296C8" w14:textId="77777777" w:rsidR="00D948FE" w:rsidRPr="00E75C76"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53FF43E8"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r w:rsidRPr="00E75C76">
        <w:rPr>
          <w:rFonts w:ascii="Times New Roman" w:hAnsi="Times New Roman" w:cs="Times New Roman"/>
          <w:sz w:val="24"/>
          <w:szCs w:val="24"/>
        </w:rPr>
        <w:t>Witzke, B.</w:t>
      </w:r>
      <w:r>
        <w:rPr>
          <w:rFonts w:ascii="Times New Roman" w:hAnsi="Times New Roman" w:cs="Times New Roman"/>
          <w:sz w:val="24"/>
          <w:szCs w:val="24"/>
        </w:rPr>
        <w:t xml:space="preserve"> </w:t>
      </w:r>
      <w:r w:rsidRPr="00E75C76">
        <w:rPr>
          <w:rFonts w:ascii="Times New Roman" w:hAnsi="Times New Roman" w:cs="Times New Roman"/>
          <w:sz w:val="24"/>
          <w:szCs w:val="24"/>
        </w:rPr>
        <w:t>J., 1990, Paleoclimatic constraints for Paleozoic paleolatitudes of Laurentia and</w:t>
      </w:r>
    </w:p>
    <w:p w14:paraId="02DCFF8A" w14:textId="77777777" w:rsidR="00D948FE" w:rsidRPr="00E75C76" w:rsidRDefault="00D948FE" w:rsidP="00D948FE">
      <w:pPr>
        <w:autoSpaceDE w:val="0"/>
        <w:autoSpaceDN w:val="0"/>
        <w:adjustRightInd w:val="0"/>
        <w:spacing w:after="0" w:line="240" w:lineRule="auto"/>
        <w:ind w:firstLine="720"/>
        <w:rPr>
          <w:rFonts w:ascii="Times New Roman" w:hAnsi="Times New Roman" w:cs="Times New Roman"/>
          <w:sz w:val="24"/>
          <w:szCs w:val="24"/>
        </w:rPr>
      </w:pPr>
      <w:r w:rsidRPr="00E75C76">
        <w:rPr>
          <w:rFonts w:ascii="Times New Roman" w:hAnsi="Times New Roman" w:cs="Times New Roman"/>
          <w:sz w:val="24"/>
          <w:szCs w:val="24"/>
        </w:rPr>
        <w:t>Euramerica, W.S. McKerrow and C.R. Scotese, eds. Paleogeography and biogeography:</w:t>
      </w:r>
    </w:p>
    <w:p w14:paraId="734405F4" w14:textId="77777777" w:rsidR="00D948FE" w:rsidRPr="00E75C76" w:rsidRDefault="00D948FE" w:rsidP="00D948FE">
      <w:pPr>
        <w:autoSpaceDE w:val="0"/>
        <w:autoSpaceDN w:val="0"/>
        <w:adjustRightInd w:val="0"/>
        <w:spacing w:after="0" w:line="240" w:lineRule="auto"/>
        <w:ind w:left="720"/>
        <w:rPr>
          <w:rFonts w:ascii="Times New Roman" w:hAnsi="Times New Roman" w:cs="Times New Roman"/>
          <w:sz w:val="24"/>
          <w:szCs w:val="24"/>
        </w:rPr>
      </w:pPr>
      <w:r w:rsidRPr="00E75C76">
        <w:rPr>
          <w:rFonts w:ascii="Times New Roman" w:hAnsi="Times New Roman" w:cs="Times New Roman"/>
          <w:sz w:val="24"/>
          <w:szCs w:val="24"/>
        </w:rPr>
        <w:lastRenderedPageBreak/>
        <w:t>Geological Society (London) memoir 12, 57–73.</w:t>
      </w:r>
    </w:p>
    <w:p w14:paraId="13A56405" w14:textId="77777777" w:rsidR="00D948FE" w:rsidRPr="00E75C76" w:rsidRDefault="00D948FE" w:rsidP="00D948FE">
      <w:pPr>
        <w:autoSpaceDE w:val="0"/>
        <w:autoSpaceDN w:val="0"/>
        <w:adjustRightInd w:val="0"/>
        <w:spacing w:after="0" w:line="240" w:lineRule="auto"/>
        <w:rPr>
          <w:rFonts w:ascii="Times New Roman" w:hAnsi="Times New Roman" w:cs="Times New Roman"/>
          <w:sz w:val="24"/>
          <w:szCs w:val="24"/>
        </w:rPr>
      </w:pPr>
    </w:p>
    <w:p w14:paraId="4AFAE078"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Xiaoxuan, A., and L. Wu</w:t>
      </w:r>
      <w:r w:rsidRPr="00E75C76">
        <w:rPr>
          <w:rFonts w:ascii="Times New Roman" w:hAnsi="Times New Roman" w:cs="Times New Roman"/>
          <w:sz w:val="24"/>
          <w:szCs w:val="24"/>
        </w:rPr>
        <w:t xml:space="preserve">, 2019, Reservoir Quality and Fractures System Assessment of Meramec and Osage Limestone by using Advanced log Analysis Method: AAPG Search and Discovery Article #90350. </w:t>
      </w:r>
    </w:p>
    <w:p w14:paraId="15822E78"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3E3D6106"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r w:rsidRPr="004D7678">
        <w:rPr>
          <w:rFonts w:ascii="Times New Roman" w:hAnsi="Times New Roman" w:cs="Times New Roman"/>
          <w:sz w:val="24"/>
          <w:szCs w:val="24"/>
        </w:rPr>
        <w:t xml:space="preserve">Zoeppritz, K., 1919, </w:t>
      </w:r>
      <w:r>
        <w:rPr>
          <w:rFonts w:ascii="Times New Roman" w:hAnsi="Times New Roman" w:cs="Times New Roman"/>
          <w:sz w:val="24"/>
          <w:szCs w:val="24"/>
        </w:rPr>
        <w:t xml:space="preserve">Erdbebenwellen VIII B, Über die </w:t>
      </w:r>
      <w:r w:rsidRPr="004D7678">
        <w:rPr>
          <w:rFonts w:ascii="Times New Roman" w:hAnsi="Times New Roman" w:cs="Times New Roman"/>
          <w:sz w:val="24"/>
          <w:szCs w:val="24"/>
        </w:rPr>
        <w:t>Reflexion und Dur</w:t>
      </w:r>
      <w:r>
        <w:rPr>
          <w:rFonts w:ascii="Times New Roman" w:hAnsi="Times New Roman" w:cs="Times New Roman"/>
          <w:sz w:val="24"/>
          <w:szCs w:val="24"/>
        </w:rPr>
        <w:t xml:space="preserve">chgang seismischer Wellen durch </w:t>
      </w:r>
      <w:r w:rsidRPr="004D7678">
        <w:rPr>
          <w:rFonts w:ascii="Times New Roman" w:hAnsi="Times New Roman" w:cs="Times New Roman"/>
          <w:sz w:val="24"/>
          <w:szCs w:val="24"/>
        </w:rPr>
        <w:t xml:space="preserve">Unstetigkeitsflächen: Gottinger Nachr., </w:t>
      </w:r>
      <w:r w:rsidRPr="004D7678">
        <w:rPr>
          <w:rFonts w:ascii="Times New Roman" w:hAnsi="Times New Roman" w:cs="Times New Roman"/>
          <w:b/>
          <w:sz w:val="24"/>
          <w:szCs w:val="24"/>
        </w:rPr>
        <w:t>1</w:t>
      </w:r>
      <w:r w:rsidRPr="004D7678">
        <w:rPr>
          <w:rFonts w:ascii="Times New Roman" w:hAnsi="Times New Roman" w:cs="Times New Roman"/>
          <w:sz w:val="24"/>
          <w:szCs w:val="24"/>
        </w:rPr>
        <w:t>, 66–84.</w:t>
      </w:r>
    </w:p>
    <w:p w14:paraId="53BFFC32" w14:textId="77777777" w:rsidR="00D948FE" w:rsidRDefault="00D948FE" w:rsidP="00D948FE">
      <w:pPr>
        <w:autoSpaceDE w:val="0"/>
        <w:autoSpaceDN w:val="0"/>
        <w:adjustRightInd w:val="0"/>
        <w:spacing w:after="0" w:line="240" w:lineRule="auto"/>
        <w:ind w:left="720" w:hanging="720"/>
        <w:rPr>
          <w:rFonts w:ascii="Times New Roman" w:hAnsi="Times New Roman" w:cs="Times New Roman"/>
          <w:sz w:val="24"/>
          <w:szCs w:val="24"/>
        </w:rPr>
      </w:pPr>
    </w:p>
    <w:p w14:paraId="44529081" w14:textId="4E43D423" w:rsidR="004D7678" w:rsidRPr="00E75C76" w:rsidRDefault="004D7678" w:rsidP="00D948FE">
      <w:pPr>
        <w:spacing w:after="0" w:line="480" w:lineRule="auto"/>
        <w:rPr>
          <w:rFonts w:ascii="Times New Roman" w:hAnsi="Times New Roman" w:cs="Times New Roman"/>
          <w:sz w:val="24"/>
          <w:szCs w:val="24"/>
        </w:rPr>
      </w:pPr>
      <w:bookmarkStart w:id="3" w:name="_GoBack"/>
      <w:bookmarkEnd w:id="3"/>
    </w:p>
    <w:sectPr w:rsidR="004D7678" w:rsidRPr="00E75C76" w:rsidSect="00A63508">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178AD" w14:textId="77777777" w:rsidR="000A35E0" w:rsidRDefault="000A35E0" w:rsidP="00A56E04">
      <w:pPr>
        <w:spacing w:after="0" w:line="240" w:lineRule="auto"/>
      </w:pPr>
      <w:r>
        <w:separator/>
      </w:r>
    </w:p>
  </w:endnote>
  <w:endnote w:type="continuationSeparator" w:id="0">
    <w:p w14:paraId="10960CF4" w14:textId="77777777" w:rsidR="000A35E0" w:rsidRDefault="000A35E0" w:rsidP="00A56E04">
      <w:pPr>
        <w:spacing w:after="0" w:line="240" w:lineRule="auto"/>
      </w:pPr>
      <w:r>
        <w:continuationSeparator/>
      </w:r>
    </w:p>
  </w:endnote>
  <w:endnote w:type="continuationNotice" w:id="1">
    <w:p w14:paraId="0B13E396" w14:textId="77777777" w:rsidR="000A35E0" w:rsidRDefault="000A3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12737" w14:textId="66C2E5D2" w:rsidR="006D0A1F" w:rsidRDefault="006D0A1F">
    <w:pPr>
      <w:pStyle w:val="Footer"/>
      <w:jc w:val="center"/>
    </w:pPr>
  </w:p>
  <w:p w14:paraId="1E65E9B8" w14:textId="77777777" w:rsidR="006D0A1F" w:rsidRDefault="006D0A1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7E384" w14:textId="2F0EFF1D" w:rsidR="006D0A1F" w:rsidRDefault="006D0A1F">
    <w:pPr>
      <w:pStyle w:val="Footer"/>
      <w:jc w:val="center"/>
    </w:pPr>
  </w:p>
  <w:p w14:paraId="2F3B2A43" w14:textId="77777777" w:rsidR="006D0A1F" w:rsidRDefault="006D0A1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656741"/>
      <w:docPartObj>
        <w:docPartGallery w:val="Page Numbers (Bottom of Page)"/>
        <w:docPartUnique/>
      </w:docPartObj>
    </w:sdtPr>
    <w:sdtEndPr>
      <w:rPr>
        <w:noProof/>
      </w:rPr>
    </w:sdtEndPr>
    <w:sdtContent>
      <w:p w14:paraId="314F0E43" w14:textId="663A9887" w:rsidR="006D0A1F" w:rsidRDefault="006D0A1F">
        <w:pPr>
          <w:pStyle w:val="Footer"/>
          <w:jc w:val="center"/>
        </w:pPr>
        <w:r>
          <w:fldChar w:fldCharType="begin"/>
        </w:r>
        <w:r>
          <w:instrText xml:space="preserve"> PAGE   \* MERGEFORMAT </w:instrText>
        </w:r>
        <w:r>
          <w:fldChar w:fldCharType="separate"/>
        </w:r>
        <w:r w:rsidR="00D948FE">
          <w:rPr>
            <w:noProof/>
          </w:rPr>
          <w:t>13</w:t>
        </w:r>
        <w:r>
          <w:rPr>
            <w:noProof/>
          </w:rPr>
          <w:fldChar w:fldCharType="end"/>
        </w:r>
      </w:p>
    </w:sdtContent>
  </w:sdt>
  <w:p w14:paraId="4E278E8B" w14:textId="77777777" w:rsidR="006D0A1F" w:rsidRDefault="006D0A1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662727"/>
      <w:docPartObj>
        <w:docPartGallery w:val="Page Numbers (Bottom of Page)"/>
        <w:docPartUnique/>
      </w:docPartObj>
    </w:sdtPr>
    <w:sdtEndPr>
      <w:rPr>
        <w:noProof/>
      </w:rPr>
    </w:sdtEndPr>
    <w:sdtContent>
      <w:p w14:paraId="6E2BA4C3" w14:textId="24786B70" w:rsidR="006D0A1F" w:rsidRDefault="006D0A1F">
        <w:pPr>
          <w:pStyle w:val="Footer"/>
          <w:jc w:val="center"/>
        </w:pPr>
        <w:r>
          <w:fldChar w:fldCharType="begin"/>
        </w:r>
        <w:r>
          <w:instrText xml:space="preserve"> PAGE   \* MERGEFORMAT </w:instrText>
        </w:r>
        <w:r>
          <w:fldChar w:fldCharType="separate"/>
        </w:r>
        <w:r w:rsidR="00D948FE">
          <w:rPr>
            <w:noProof/>
          </w:rPr>
          <w:t>iv</w:t>
        </w:r>
        <w:r>
          <w:rPr>
            <w:noProof/>
          </w:rPr>
          <w:fldChar w:fldCharType="end"/>
        </w:r>
      </w:p>
    </w:sdtContent>
  </w:sdt>
  <w:p w14:paraId="74DC4BB1" w14:textId="77777777" w:rsidR="006D0A1F" w:rsidRDefault="006D0A1F">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748507"/>
      <w:docPartObj>
        <w:docPartGallery w:val="Page Numbers (Bottom of Page)"/>
        <w:docPartUnique/>
      </w:docPartObj>
    </w:sdtPr>
    <w:sdtEndPr>
      <w:rPr>
        <w:noProof/>
      </w:rPr>
    </w:sdtEndPr>
    <w:sdtContent>
      <w:p w14:paraId="54FDEFA3" w14:textId="3DB3EAF1" w:rsidR="006D0A1F" w:rsidRDefault="006D0A1F">
        <w:pPr>
          <w:pStyle w:val="Footer"/>
          <w:jc w:val="center"/>
        </w:pPr>
        <w:r>
          <w:fldChar w:fldCharType="begin"/>
        </w:r>
        <w:r>
          <w:instrText xml:space="preserve"> PAGE   \* MERGEFORMAT </w:instrText>
        </w:r>
        <w:r>
          <w:fldChar w:fldCharType="separate"/>
        </w:r>
        <w:r w:rsidR="00D948FE">
          <w:rPr>
            <w:noProof/>
          </w:rPr>
          <w:t>1</w:t>
        </w:r>
        <w:r>
          <w:rPr>
            <w:noProof/>
          </w:rPr>
          <w:fldChar w:fldCharType="end"/>
        </w:r>
      </w:p>
    </w:sdtContent>
  </w:sdt>
  <w:p w14:paraId="2CDF2DD6" w14:textId="77777777" w:rsidR="006D0A1F" w:rsidRDefault="006D0A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F058A" w14:textId="77777777" w:rsidR="000A35E0" w:rsidRDefault="000A35E0" w:rsidP="00A56E04">
      <w:pPr>
        <w:spacing w:after="0" w:line="240" w:lineRule="auto"/>
      </w:pPr>
      <w:r>
        <w:separator/>
      </w:r>
    </w:p>
  </w:footnote>
  <w:footnote w:type="continuationSeparator" w:id="0">
    <w:p w14:paraId="75CB5316" w14:textId="77777777" w:rsidR="000A35E0" w:rsidRDefault="000A35E0" w:rsidP="00A56E04">
      <w:pPr>
        <w:spacing w:after="0" w:line="240" w:lineRule="auto"/>
      </w:pPr>
      <w:r>
        <w:continuationSeparator/>
      </w:r>
    </w:p>
  </w:footnote>
  <w:footnote w:type="continuationNotice" w:id="1">
    <w:p w14:paraId="5F9AE946" w14:textId="77777777" w:rsidR="000A35E0" w:rsidRDefault="000A35E0">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37002"/>
    <w:multiLevelType w:val="hybridMultilevel"/>
    <w:tmpl w:val="0F163656"/>
    <w:lvl w:ilvl="0" w:tplc="2E1A2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00321A"/>
    <w:multiLevelType w:val="hybridMultilevel"/>
    <w:tmpl w:val="5178E382"/>
    <w:lvl w:ilvl="0" w:tplc="9B884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523"/>
    <w:rsid w:val="00005267"/>
    <w:rsid w:val="00011D47"/>
    <w:rsid w:val="00011E48"/>
    <w:rsid w:val="0001518B"/>
    <w:rsid w:val="00017C0E"/>
    <w:rsid w:val="00023E71"/>
    <w:rsid w:val="000246A4"/>
    <w:rsid w:val="000261C5"/>
    <w:rsid w:val="00032827"/>
    <w:rsid w:val="00033EAA"/>
    <w:rsid w:val="0003551A"/>
    <w:rsid w:val="0003656A"/>
    <w:rsid w:val="0003699C"/>
    <w:rsid w:val="00037C02"/>
    <w:rsid w:val="00042449"/>
    <w:rsid w:val="00042B0B"/>
    <w:rsid w:val="00042F2E"/>
    <w:rsid w:val="000435AC"/>
    <w:rsid w:val="0004389E"/>
    <w:rsid w:val="00045BE9"/>
    <w:rsid w:val="00047820"/>
    <w:rsid w:val="00047C8A"/>
    <w:rsid w:val="000508D6"/>
    <w:rsid w:val="000517CF"/>
    <w:rsid w:val="0005497C"/>
    <w:rsid w:val="00055E23"/>
    <w:rsid w:val="00057C9E"/>
    <w:rsid w:val="00062523"/>
    <w:rsid w:val="000664C7"/>
    <w:rsid w:val="00070AE1"/>
    <w:rsid w:val="00080360"/>
    <w:rsid w:val="000905AF"/>
    <w:rsid w:val="00095C9C"/>
    <w:rsid w:val="000A35E0"/>
    <w:rsid w:val="000A3F88"/>
    <w:rsid w:val="000B056C"/>
    <w:rsid w:val="000B3C6D"/>
    <w:rsid w:val="000B4059"/>
    <w:rsid w:val="000C281E"/>
    <w:rsid w:val="000D3B9D"/>
    <w:rsid w:val="000D5B1F"/>
    <w:rsid w:val="000D618F"/>
    <w:rsid w:val="000D7597"/>
    <w:rsid w:val="000E11F0"/>
    <w:rsid w:val="000F23A5"/>
    <w:rsid w:val="000F67EF"/>
    <w:rsid w:val="001026DD"/>
    <w:rsid w:val="0010797E"/>
    <w:rsid w:val="00112018"/>
    <w:rsid w:val="00113484"/>
    <w:rsid w:val="0011740C"/>
    <w:rsid w:val="00121990"/>
    <w:rsid w:val="00123399"/>
    <w:rsid w:val="001252D4"/>
    <w:rsid w:val="00126D72"/>
    <w:rsid w:val="0013615B"/>
    <w:rsid w:val="00136210"/>
    <w:rsid w:val="00137107"/>
    <w:rsid w:val="001475CB"/>
    <w:rsid w:val="00154F68"/>
    <w:rsid w:val="00157D5D"/>
    <w:rsid w:val="001615CD"/>
    <w:rsid w:val="00162DAA"/>
    <w:rsid w:val="00172DD5"/>
    <w:rsid w:val="0017518F"/>
    <w:rsid w:val="00177C2F"/>
    <w:rsid w:val="00180D96"/>
    <w:rsid w:val="0018497D"/>
    <w:rsid w:val="00186089"/>
    <w:rsid w:val="001917EA"/>
    <w:rsid w:val="001937DB"/>
    <w:rsid w:val="00195F4A"/>
    <w:rsid w:val="001A1259"/>
    <w:rsid w:val="001A5FD0"/>
    <w:rsid w:val="001B0C51"/>
    <w:rsid w:val="001B42DB"/>
    <w:rsid w:val="001C0139"/>
    <w:rsid w:val="001C2A61"/>
    <w:rsid w:val="001C705F"/>
    <w:rsid w:val="001C7E52"/>
    <w:rsid w:val="001D1444"/>
    <w:rsid w:val="001D4D36"/>
    <w:rsid w:val="001E2F5B"/>
    <w:rsid w:val="001E5E2F"/>
    <w:rsid w:val="001E6F60"/>
    <w:rsid w:val="001F4958"/>
    <w:rsid w:val="001F577E"/>
    <w:rsid w:val="0020068B"/>
    <w:rsid w:val="002054F8"/>
    <w:rsid w:val="0021072A"/>
    <w:rsid w:val="00210B32"/>
    <w:rsid w:val="002110A4"/>
    <w:rsid w:val="002128A6"/>
    <w:rsid w:val="00221D7E"/>
    <w:rsid w:val="00222369"/>
    <w:rsid w:val="002246E7"/>
    <w:rsid w:val="00227E69"/>
    <w:rsid w:val="00230ED6"/>
    <w:rsid w:val="00234330"/>
    <w:rsid w:val="00236EB7"/>
    <w:rsid w:val="00237F91"/>
    <w:rsid w:val="0024016C"/>
    <w:rsid w:val="00241E57"/>
    <w:rsid w:val="002424EA"/>
    <w:rsid w:val="0024654B"/>
    <w:rsid w:val="00256A83"/>
    <w:rsid w:val="00257546"/>
    <w:rsid w:val="0025774D"/>
    <w:rsid w:val="002668D4"/>
    <w:rsid w:val="00273932"/>
    <w:rsid w:val="00280716"/>
    <w:rsid w:val="00280F2C"/>
    <w:rsid w:val="00281CF1"/>
    <w:rsid w:val="00284000"/>
    <w:rsid w:val="002848CC"/>
    <w:rsid w:val="002848F2"/>
    <w:rsid w:val="00284B6A"/>
    <w:rsid w:val="0028530B"/>
    <w:rsid w:val="00285326"/>
    <w:rsid w:val="002875AF"/>
    <w:rsid w:val="00290938"/>
    <w:rsid w:val="00297DC9"/>
    <w:rsid w:val="002A1E10"/>
    <w:rsid w:val="002A68C4"/>
    <w:rsid w:val="002A6FFB"/>
    <w:rsid w:val="002A72F6"/>
    <w:rsid w:val="002B03B4"/>
    <w:rsid w:val="002B71E7"/>
    <w:rsid w:val="002C703D"/>
    <w:rsid w:val="002D34EF"/>
    <w:rsid w:val="002D63AA"/>
    <w:rsid w:val="002D6E17"/>
    <w:rsid w:val="002E0927"/>
    <w:rsid w:val="002E1332"/>
    <w:rsid w:val="002E4E17"/>
    <w:rsid w:val="002E65D3"/>
    <w:rsid w:val="002F2B9F"/>
    <w:rsid w:val="002F3938"/>
    <w:rsid w:val="002F48EC"/>
    <w:rsid w:val="002F6B0E"/>
    <w:rsid w:val="002F6F5B"/>
    <w:rsid w:val="00301902"/>
    <w:rsid w:val="003029FF"/>
    <w:rsid w:val="00304A8E"/>
    <w:rsid w:val="003056CA"/>
    <w:rsid w:val="00307DBC"/>
    <w:rsid w:val="00310E4D"/>
    <w:rsid w:val="003117B2"/>
    <w:rsid w:val="00316DF1"/>
    <w:rsid w:val="00316EFA"/>
    <w:rsid w:val="00323071"/>
    <w:rsid w:val="003261CB"/>
    <w:rsid w:val="00327F56"/>
    <w:rsid w:val="0033040F"/>
    <w:rsid w:val="003319C6"/>
    <w:rsid w:val="00337F08"/>
    <w:rsid w:val="0034013D"/>
    <w:rsid w:val="00342B35"/>
    <w:rsid w:val="00344716"/>
    <w:rsid w:val="0034591E"/>
    <w:rsid w:val="003501D3"/>
    <w:rsid w:val="00352EAC"/>
    <w:rsid w:val="003530B0"/>
    <w:rsid w:val="0036110D"/>
    <w:rsid w:val="003618CD"/>
    <w:rsid w:val="00363AB8"/>
    <w:rsid w:val="00365914"/>
    <w:rsid w:val="00366FBD"/>
    <w:rsid w:val="003761D3"/>
    <w:rsid w:val="00384F10"/>
    <w:rsid w:val="00386CAB"/>
    <w:rsid w:val="00391398"/>
    <w:rsid w:val="00393B2E"/>
    <w:rsid w:val="003B0733"/>
    <w:rsid w:val="003B2CCD"/>
    <w:rsid w:val="003B468C"/>
    <w:rsid w:val="003B540B"/>
    <w:rsid w:val="003C2725"/>
    <w:rsid w:val="003C46CB"/>
    <w:rsid w:val="003C4FB0"/>
    <w:rsid w:val="003C773D"/>
    <w:rsid w:val="003D0BE0"/>
    <w:rsid w:val="003D5816"/>
    <w:rsid w:val="003D77FD"/>
    <w:rsid w:val="003E0D23"/>
    <w:rsid w:val="003E3A5F"/>
    <w:rsid w:val="003E76B6"/>
    <w:rsid w:val="003F2C1F"/>
    <w:rsid w:val="003F30FD"/>
    <w:rsid w:val="003F4EB6"/>
    <w:rsid w:val="003F65FC"/>
    <w:rsid w:val="00403359"/>
    <w:rsid w:val="00404E86"/>
    <w:rsid w:val="0042138A"/>
    <w:rsid w:val="004225E0"/>
    <w:rsid w:val="0043070D"/>
    <w:rsid w:val="00430FAB"/>
    <w:rsid w:val="004310DA"/>
    <w:rsid w:val="00432F2F"/>
    <w:rsid w:val="00434861"/>
    <w:rsid w:val="004377D3"/>
    <w:rsid w:val="00452892"/>
    <w:rsid w:val="0045331D"/>
    <w:rsid w:val="004561C1"/>
    <w:rsid w:val="004576BA"/>
    <w:rsid w:val="00461CA0"/>
    <w:rsid w:val="00462CFB"/>
    <w:rsid w:val="004653B7"/>
    <w:rsid w:val="00467403"/>
    <w:rsid w:val="00471A72"/>
    <w:rsid w:val="004764B0"/>
    <w:rsid w:val="00481453"/>
    <w:rsid w:val="00484C82"/>
    <w:rsid w:val="00485EAE"/>
    <w:rsid w:val="00487A82"/>
    <w:rsid w:val="0049037F"/>
    <w:rsid w:val="00492542"/>
    <w:rsid w:val="00494F5C"/>
    <w:rsid w:val="00495180"/>
    <w:rsid w:val="00495558"/>
    <w:rsid w:val="00495D07"/>
    <w:rsid w:val="004969E7"/>
    <w:rsid w:val="004A1528"/>
    <w:rsid w:val="004A4690"/>
    <w:rsid w:val="004A6AD5"/>
    <w:rsid w:val="004B2A35"/>
    <w:rsid w:val="004B46AC"/>
    <w:rsid w:val="004D1AD9"/>
    <w:rsid w:val="004D3A78"/>
    <w:rsid w:val="004D3CCE"/>
    <w:rsid w:val="004D4A2C"/>
    <w:rsid w:val="004D607B"/>
    <w:rsid w:val="004D670B"/>
    <w:rsid w:val="004D7678"/>
    <w:rsid w:val="004D7CF8"/>
    <w:rsid w:val="004E0684"/>
    <w:rsid w:val="004E6609"/>
    <w:rsid w:val="004E7B5A"/>
    <w:rsid w:val="00506717"/>
    <w:rsid w:val="00506EB8"/>
    <w:rsid w:val="00512A6C"/>
    <w:rsid w:val="00521A86"/>
    <w:rsid w:val="0052622A"/>
    <w:rsid w:val="00530947"/>
    <w:rsid w:val="00534669"/>
    <w:rsid w:val="00535114"/>
    <w:rsid w:val="0054104F"/>
    <w:rsid w:val="00543EB7"/>
    <w:rsid w:val="0054454B"/>
    <w:rsid w:val="0055713F"/>
    <w:rsid w:val="005602BF"/>
    <w:rsid w:val="005618EB"/>
    <w:rsid w:val="0056526D"/>
    <w:rsid w:val="005670C4"/>
    <w:rsid w:val="00571E4C"/>
    <w:rsid w:val="0057317E"/>
    <w:rsid w:val="0057364C"/>
    <w:rsid w:val="00576369"/>
    <w:rsid w:val="0057660F"/>
    <w:rsid w:val="00581056"/>
    <w:rsid w:val="0058311D"/>
    <w:rsid w:val="005868D5"/>
    <w:rsid w:val="00587A22"/>
    <w:rsid w:val="00592D4E"/>
    <w:rsid w:val="005931A7"/>
    <w:rsid w:val="005962B4"/>
    <w:rsid w:val="005967B9"/>
    <w:rsid w:val="005A392C"/>
    <w:rsid w:val="005A4178"/>
    <w:rsid w:val="005A7811"/>
    <w:rsid w:val="005B1A8B"/>
    <w:rsid w:val="005B1D35"/>
    <w:rsid w:val="005B337E"/>
    <w:rsid w:val="005B63B3"/>
    <w:rsid w:val="005B69E2"/>
    <w:rsid w:val="005B763C"/>
    <w:rsid w:val="005C0748"/>
    <w:rsid w:val="005C6A66"/>
    <w:rsid w:val="005C6DBC"/>
    <w:rsid w:val="005D0C0B"/>
    <w:rsid w:val="005D5079"/>
    <w:rsid w:val="005D6827"/>
    <w:rsid w:val="005D6EA7"/>
    <w:rsid w:val="005E2F45"/>
    <w:rsid w:val="005E46F4"/>
    <w:rsid w:val="005E55F4"/>
    <w:rsid w:val="005E7047"/>
    <w:rsid w:val="005F0F83"/>
    <w:rsid w:val="005F2222"/>
    <w:rsid w:val="006027D8"/>
    <w:rsid w:val="00605CC3"/>
    <w:rsid w:val="00611243"/>
    <w:rsid w:val="00612F22"/>
    <w:rsid w:val="00614969"/>
    <w:rsid w:val="00617BBA"/>
    <w:rsid w:val="00624E92"/>
    <w:rsid w:val="00630544"/>
    <w:rsid w:val="00635781"/>
    <w:rsid w:val="00636949"/>
    <w:rsid w:val="00637668"/>
    <w:rsid w:val="00637AA7"/>
    <w:rsid w:val="006459BD"/>
    <w:rsid w:val="00651D56"/>
    <w:rsid w:val="00652313"/>
    <w:rsid w:val="00652468"/>
    <w:rsid w:val="00660340"/>
    <w:rsid w:val="00662E4B"/>
    <w:rsid w:val="006638DA"/>
    <w:rsid w:val="00675637"/>
    <w:rsid w:val="00676306"/>
    <w:rsid w:val="00681D19"/>
    <w:rsid w:val="0069236F"/>
    <w:rsid w:val="00695A69"/>
    <w:rsid w:val="006A2112"/>
    <w:rsid w:val="006A503D"/>
    <w:rsid w:val="006A628F"/>
    <w:rsid w:val="006B0930"/>
    <w:rsid w:val="006B5E5C"/>
    <w:rsid w:val="006C1B23"/>
    <w:rsid w:val="006C2127"/>
    <w:rsid w:val="006C2C2D"/>
    <w:rsid w:val="006C4868"/>
    <w:rsid w:val="006C6DA2"/>
    <w:rsid w:val="006D0A1F"/>
    <w:rsid w:val="006D6B5A"/>
    <w:rsid w:val="006E0A0A"/>
    <w:rsid w:val="006E3F53"/>
    <w:rsid w:val="006E4E9D"/>
    <w:rsid w:val="006E611C"/>
    <w:rsid w:val="006E6ADA"/>
    <w:rsid w:val="006F3D05"/>
    <w:rsid w:val="006F41F4"/>
    <w:rsid w:val="006F45FF"/>
    <w:rsid w:val="007006AE"/>
    <w:rsid w:val="00701408"/>
    <w:rsid w:val="00702399"/>
    <w:rsid w:val="00715FEC"/>
    <w:rsid w:val="00716210"/>
    <w:rsid w:val="00717DF6"/>
    <w:rsid w:val="00725413"/>
    <w:rsid w:val="007310AD"/>
    <w:rsid w:val="00731B5E"/>
    <w:rsid w:val="00734599"/>
    <w:rsid w:val="00741B83"/>
    <w:rsid w:val="00742C4B"/>
    <w:rsid w:val="00744B6C"/>
    <w:rsid w:val="007472B7"/>
    <w:rsid w:val="00750E66"/>
    <w:rsid w:val="00752199"/>
    <w:rsid w:val="00754F9A"/>
    <w:rsid w:val="00760846"/>
    <w:rsid w:val="00761ECC"/>
    <w:rsid w:val="007635FC"/>
    <w:rsid w:val="00763659"/>
    <w:rsid w:val="00764063"/>
    <w:rsid w:val="00767F8B"/>
    <w:rsid w:val="007729DA"/>
    <w:rsid w:val="00773047"/>
    <w:rsid w:val="007776EC"/>
    <w:rsid w:val="00777797"/>
    <w:rsid w:val="00782CA8"/>
    <w:rsid w:val="00783ADA"/>
    <w:rsid w:val="007965BB"/>
    <w:rsid w:val="0079771F"/>
    <w:rsid w:val="007A0777"/>
    <w:rsid w:val="007B5531"/>
    <w:rsid w:val="007C013C"/>
    <w:rsid w:val="007C0B1B"/>
    <w:rsid w:val="007C2AD3"/>
    <w:rsid w:val="007C4C35"/>
    <w:rsid w:val="007C5599"/>
    <w:rsid w:val="007C646E"/>
    <w:rsid w:val="007D0D7D"/>
    <w:rsid w:val="007D6FF1"/>
    <w:rsid w:val="007E08B0"/>
    <w:rsid w:val="007E495E"/>
    <w:rsid w:val="007E6502"/>
    <w:rsid w:val="007E6E1A"/>
    <w:rsid w:val="007E7C48"/>
    <w:rsid w:val="007F54E2"/>
    <w:rsid w:val="00802282"/>
    <w:rsid w:val="00805B52"/>
    <w:rsid w:val="00807DAD"/>
    <w:rsid w:val="00816E18"/>
    <w:rsid w:val="008218AD"/>
    <w:rsid w:val="008236FA"/>
    <w:rsid w:val="00834667"/>
    <w:rsid w:val="0083500B"/>
    <w:rsid w:val="00850640"/>
    <w:rsid w:val="00852406"/>
    <w:rsid w:val="00852452"/>
    <w:rsid w:val="00854546"/>
    <w:rsid w:val="00854EA8"/>
    <w:rsid w:val="008557CC"/>
    <w:rsid w:val="008562CA"/>
    <w:rsid w:val="00856D35"/>
    <w:rsid w:val="0086336E"/>
    <w:rsid w:val="00872E2D"/>
    <w:rsid w:val="00873659"/>
    <w:rsid w:val="00873A2C"/>
    <w:rsid w:val="0087464A"/>
    <w:rsid w:val="00876C9D"/>
    <w:rsid w:val="00881B49"/>
    <w:rsid w:val="008859E2"/>
    <w:rsid w:val="00892F3D"/>
    <w:rsid w:val="00893F44"/>
    <w:rsid w:val="008A5198"/>
    <w:rsid w:val="008A6783"/>
    <w:rsid w:val="008A7388"/>
    <w:rsid w:val="008A754E"/>
    <w:rsid w:val="008A7A8F"/>
    <w:rsid w:val="008C13D0"/>
    <w:rsid w:val="008C1BC5"/>
    <w:rsid w:val="008C1CB3"/>
    <w:rsid w:val="008C7C2D"/>
    <w:rsid w:val="008D1587"/>
    <w:rsid w:val="008D2386"/>
    <w:rsid w:val="008D3643"/>
    <w:rsid w:val="008D5A57"/>
    <w:rsid w:val="008F486B"/>
    <w:rsid w:val="008F68F5"/>
    <w:rsid w:val="008F7BE7"/>
    <w:rsid w:val="00902851"/>
    <w:rsid w:val="009041CD"/>
    <w:rsid w:val="00904468"/>
    <w:rsid w:val="0090574B"/>
    <w:rsid w:val="00905BC0"/>
    <w:rsid w:val="009118D3"/>
    <w:rsid w:val="00912967"/>
    <w:rsid w:val="00914BF2"/>
    <w:rsid w:val="00916EEF"/>
    <w:rsid w:val="009211D8"/>
    <w:rsid w:val="00921B64"/>
    <w:rsid w:val="00924469"/>
    <w:rsid w:val="00927FBE"/>
    <w:rsid w:val="00935653"/>
    <w:rsid w:val="0093686E"/>
    <w:rsid w:val="009374A7"/>
    <w:rsid w:val="00940A65"/>
    <w:rsid w:val="00950485"/>
    <w:rsid w:val="009511C6"/>
    <w:rsid w:val="00951562"/>
    <w:rsid w:val="00954B9F"/>
    <w:rsid w:val="00960870"/>
    <w:rsid w:val="00965EF8"/>
    <w:rsid w:val="00966F21"/>
    <w:rsid w:val="0097309F"/>
    <w:rsid w:val="009846A6"/>
    <w:rsid w:val="00985A4E"/>
    <w:rsid w:val="009A14B6"/>
    <w:rsid w:val="009A2934"/>
    <w:rsid w:val="009A36DA"/>
    <w:rsid w:val="009A3FF9"/>
    <w:rsid w:val="009B03DD"/>
    <w:rsid w:val="009B2D0E"/>
    <w:rsid w:val="009B2F0C"/>
    <w:rsid w:val="009B4D6E"/>
    <w:rsid w:val="009B60DE"/>
    <w:rsid w:val="009C0CA8"/>
    <w:rsid w:val="009C68C6"/>
    <w:rsid w:val="009D28B0"/>
    <w:rsid w:val="009D2EA4"/>
    <w:rsid w:val="009D6006"/>
    <w:rsid w:val="009E33CE"/>
    <w:rsid w:val="009E47DB"/>
    <w:rsid w:val="009F0870"/>
    <w:rsid w:val="009F5262"/>
    <w:rsid w:val="009F6B07"/>
    <w:rsid w:val="00A05454"/>
    <w:rsid w:val="00A05992"/>
    <w:rsid w:val="00A1057D"/>
    <w:rsid w:val="00A13969"/>
    <w:rsid w:val="00A13A1B"/>
    <w:rsid w:val="00A17028"/>
    <w:rsid w:val="00A17BF5"/>
    <w:rsid w:val="00A17CD9"/>
    <w:rsid w:val="00A25C22"/>
    <w:rsid w:val="00A26A4D"/>
    <w:rsid w:val="00A338FA"/>
    <w:rsid w:val="00A40237"/>
    <w:rsid w:val="00A41C02"/>
    <w:rsid w:val="00A41E0E"/>
    <w:rsid w:val="00A4216F"/>
    <w:rsid w:val="00A42AB1"/>
    <w:rsid w:val="00A42B25"/>
    <w:rsid w:val="00A43245"/>
    <w:rsid w:val="00A44348"/>
    <w:rsid w:val="00A448B6"/>
    <w:rsid w:val="00A45768"/>
    <w:rsid w:val="00A47ACC"/>
    <w:rsid w:val="00A55A19"/>
    <w:rsid w:val="00A56E04"/>
    <w:rsid w:val="00A61E49"/>
    <w:rsid w:val="00A63508"/>
    <w:rsid w:val="00A70B80"/>
    <w:rsid w:val="00A70FA5"/>
    <w:rsid w:val="00A723E5"/>
    <w:rsid w:val="00A74D1C"/>
    <w:rsid w:val="00A81CDE"/>
    <w:rsid w:val="00A85851"/>
    <w:rsid w:val="00AA0CA0"/>
    <w:rsid w:val="00AA1D36"/>
    <w:rsid w:val="00AA403F"/>
    <w:rsid w:val="00AB68D3"/>
    <w:rsid w:val="00AB6F5C"/>
    <w:rsid w:val="00AC112B"/>
    <w:rsid w:val="00AC5405"/>
    <w:rsid w:val="00AC6590"/>
    <w:rsid w:val="00AC79AE"/>
    <w:rsid w:val="00AD363F"/>
    <w:rsid w:val="00AD6F43"/>
    <w:rsid w:val="00AE107C"/>
    <w:rsid w:val="00AE3EBB"/>
    <w:rsid w:val="00AE4021"/>
    <w:rsid w:val="00AF06C8"/>
    <w:rsid w:val="00AF1E2D"/>
    <w:rsid w:val="00AF41F6"/>
    <w:rsid w:val="00AF6163"/>
    <w:rsid w:val="00AF7D6D"/>
    <w:rsid w:val="00B03A23"/>
    <w:rsid w:val="00B1010D"/>
    <w:rsid w:val="00B1601C"/>
    <w:rsid w:val="00B24D42"/>
    <w:rsid w:val="00B41924"/>
    <w:rsid w:val="00B50CE5"/>
    <w:rsid w:val="00B56864"/>
    <w:rsid w:val="00B61559"/>
    <w:rsid w:val="00B6185D"/>
    <w:rsid w:val="00B61A25"/>
    <w:rsid w:val="00B6337F"/>
    <w:rsid w:val="00B65CBA"/>
    <w:rsid w:val="00B71B6B"/>
    <w:rsid w:val="00B72B0A"/>
    <w:rsid w:val="00B7321D"/>
    <w:rsid w:val="00B81035"/>
    <w:rsid w:val="00B85F41"/>
    <w:rsid w:val="00B869BB"/>
    <w:rsid w:val="00B871DB"/>
    <w:rsid w:val="00B9072D"/>
    <w:rsid w:val="00B90962"/>
    <w:rsid w:val="00B91048"/>
    <w:rsid w:val="00B914FF"/>
    <w:rsid w:val="00B95435"/>
    <w:rsid w:val="00BA2915"/>
    <w:rsid w:val="00BA2B14"/>
    <w:rsid w:val="00BA34F4"/>
    <w:rsid w:val="00BA6629"/>
    <w:rsid w:val="00BB0F14"/>
    <w:rsid w:val="00BB11EE"/>
    <w:rsid w:val="00BB2296"/>
    <w:rsid w:val="00BB381C"/>
    <w:rsid w:val="00BC0022"/>
    <w:rsid w:val="00BC0D35"/>
    <w:rsid w:val="00BC2C8A"/>
    <w:rsid w:val="00BC7114"/>
    <w:rsid w:val="00BD2616"/>
    <w:rsid w:val="00BD5956"/>
    <w:rsid w:val="00BD66D2"/>
    <w:rsid w:val="00BE10CC"/>
    <w:rsid w:val="00BE2C15"/>
    <w:rsid w:val="00BE6A63"/>
    <w:rsid w:val="00BE6B16"/>
    <w:rsid w:val="00BF2454"/>
    <w:rsid w:val="00BF2B0C"/>
    <w:rsid w:val="00C006AB"/>
    <w:rsid w:val="00C03B12"/>
    <w:rsid w:val="00C03CCF"/>
    <w:rsid w:val="00C071E5"/>
    <w:rsid w:val="00C12ABC"/>
    <w:rsid w:val="00C15D63"/>
    <w:rsid w:val="00C30BB7"/>
    <w:rsid w:val="00C3132A"/>
    <w:rsid w:val="00C332E0"/>
    <w:rsid w:val="00C3438B"/>
    <w:rsid w:val="00C3443B"/>
    <w:rsid w:val="00C34AC6"/>
    <w:rsid w:val="00C34C3F"/>
    <w:rsid w:val="00C3747E"/>
    <w:rsid w:val="00C37866"/>
    <w:rsid w:val="00C40F51"/>
    <w:rsid w:val="00C42ABB"/>
    <w:rsid w:val="00C6241B"/>
    <w:rsid w:val="00C633CB"/>
    <w:rsid w:val="00C64668"/>
    <w:rsid w:val="00C671E4"/>
    <w:rsid w:val="00C7244E"/>
    <w:rsid w:val="00C72752"/>
    <w:rsid w:val="00C76074"/>
    <w:rsid w:val="00C779F3"/>
    <w:rsid w:val="00C80A5D"/>
    <w:rsid w:val="00C82D64"/>
    <w:rsid w:val="00C84498"/>
    <w:rsid w:val="00C84AAA"/>
    <w:rsid w:val="00C8545C"/>
    <w:rsid w:val="00C86352"/>
    <w:rsid w:val="00C90A17"/>
    <w:rsid w:val="00CA012E"/>
    <w:rsid w:val="00CA29CA"/>
    <w:rsid w:val="00CA364C"/>
    <w:rsid w:val="00CB2EBD"/>
    <w:rsid w:val="00CB3136"/>
    <w:rsid w:val="00CB7CC4"/>
    <w:rsid w:val="00CC4239"/>
    <w:rsid w:val="00CC46AB"/>
    <w:rsid w:val="00CC5A53"/>
    <w:rsid w:val="00CC5ADB"/>
    <w:rsid w:val="00CC6ABA"/>
    <w:rsid w:val="00CD776C"/>
    <w:rsid w:val="00CE091F"/>
    <w:rsid w:val="00CE28ED"/>
    <w:rsid w:val="00CE4244"/>
    <w:rsid w:val="00CF1215"/>
    <w:rsid w:val="00CF1D03"/>
    <w:rsid w:val="00CF2BB5"/>
    <w:rsid w:val="00CF5CBC"/>
    <w:rsid w:val="00D0441F"/>
    <w:rsid w:val="00D05428"/>
    <w:rsid w:val="00D06B2D"/>
    <w:rsid w:val="00D12358"/>
    <w:rsid w:val="00D140AE"/>
    <w:rsid w:val="00D160AA"/>
    <w:rsid w:val="00D209FE"/>
    <w:rsid w:val="00D238B7"/>
    <w:rsid w:val="00D319A2"/>
    <w:rsid w:val="00D32A5A"/>
    <w:rsid w:val="00D362C3"/>
    <w:rsid w:val="00D367D8"/>
    <w:rsid w:val="00D3726A"/>
    <w:rsid w:val="00D4520D"/>
    <w:rsid w:val="00D4537D"/>
    <w:rsid w:val="00D61D49"/>
    <w:rsid w:val="00D659BB"/>
    <w:rsid w:val="00D72165"/>
    <w:rsid w:val="00D72E10"/>
    <w:rsid w:val="00D74A46"/>
    <w:rsid w:val="00D81105"/>
    <w:rsid w:val="00D820EB"/>
    <w:rsid w:val="00D948FE"/>
    <w:rsid w:val="00DA046F"/>
    <w:rsid w:val="00DA6CC5"/>
    <w:rsid w:val="00DB2B18"/>
    <w:rsid w:val="00DB35BD"/>
    <w:rsid w:val="00DB3767"/>
    <w:rsid w:val="00DB4794"/>
    <w:rsid w:val="00DB72DE"/>
    <w:rsid w:val="00DC0339"/>
    <w:rsid w:val="00DC30FF"/>
    <w:rsid w:val="00DC44BF"/>
    <w:rsid w:val="00DD1242"/>
    <w:rsid w:val="00DD1AFE"/>
    <w:rsid w:val="00DD645F"/>
    <w:rsid w:val="00DD784E"/>
    <w:rsid w:val="00DE1980"/>
    <w:rsid w:val="00DE6161"/>
    <w:rsid w:val="00DE6A31"/>
    <w:rsid w:val="00DF4B00"/>
    <w:rsid w:val="00DF6C6E"/>
    <w:rsid w:val="00DF7E91"/>
    <w:rsid w:val="00DF7F04"/>
    <w:rsid w:val="00E03E62"/>
    <w:rsid w:val="00E03F59"/>
    <w:rsid w:val="00E0796F"/>
    <w:rsid w:val="00E12A32"/>
    <w:rsid w:val="00E1383D"/>
    <w:rsid w:val="00E15B88"/>
    <w:rsid w:val="00E27438"/>
    <w:rsid w:val="00E35DA0"/>
    <w:rsid w:val="00E36265"/>
    <w:rsid w:val="00E40B7C"/>
    <w:rsid w:val="00E4125F"/>
    <w:rsid w:val="00E421DF"/>
    <w:rsid w:val="00E42BFF"/>
    <w:rsid w:val="00E430CA"/>
    <w:rsid w:val="00E43AE7"/>
    <w:rsid w:val="00E43D18"/>
    <w:rsid w:val="00E45FC8"/>
    <w:rsid w:val="00E46904"/>
    <w:rsid w:val="00E505C5"/>
    <w:rsid w:val="00E54BBD"/>
    <w:rsid w:val="00E55DD5"/>
    <w:rsid w:val="00E562EA"/>
    <w:rsid w:val="00E57282"/>
    <w:rsid w:val="00E6225A"/>
    <w:rsid w:val="00E736DE"/>
    <w:rsid w:val="00E74A78"/>
    <w:rsid w:val="00E7784C"/>
    <w:rsid w:val="00E77880"/>
    <w:rsid w:val="00E779C8"/>
    <w:rsid w:val="00E82C77"/>
    <w:rsid w:val="00E85F2F"/>
    <w:rsid w:val="00E8783F"/>
    <w:rsid w:val="00E9102D"/>
    <w:rsid w:val="00E92899"/>
    <w:rsid w:val="00EA4309"/>
    <w:rsid w:val="00EA6426"/>
    <w:rsid w:val="00EA7376"/>
    <w:rsid w:val="00EA7DE0"/>
    <w:rsid w:val="00EB2360"/>
    <w:rsid w:val="00EB39CC"/>
    <w:rsid w:val="00EC0355"/>
    <w:rsid w:val="00EC7609"/>
    <w:rsid w:val="00ED3CBC"/>
    <w:rsid w:val="00ED4391"/>
    <w:rsid w:val="00ED4B0B"/>
    <w:rsid w:val="00ED6146"/>
    <w:rsid w:val="00ED7B55"/>
    <w:rsid w:val="00EE7355"/>
    <w:rsid w:val="00EF0829"/>
    <w:rsid w:val="00EF0BE7"/>
    <w:rsid w:val="00EF2834"/>
    <w:rsid w:val="00EF2EF8"/>
    <w:rsid w:val="00EF5470"/>
    <w:rsid w:val="00EF60DA"/>
    <w:rsid w:val="00EF7265"/>
    <w:rsid w:val="00F00FF7"/>
    <w:rsid w:val="00F03F8D"/>
    <w:rsid w:val="00F04658"/>
    <w:rsid w:val="00F108B8"/>
    <w:rsid w:val="00F10CEC"/>
    <w:rsid w:val="00F11C05"/>
    <w:rsid w:val="00F17B0A"/>
    <w:rsid w:val="00F20296"/>
    <w:rsid w:val="00F269D4"/>
    <w:rsid w:val="00F26C6D"/>
    <w:rsid w:val="00F36587"/>
    <w:rsid w:val="00F409C0"/>
    <w:rsid w:val="00F45695"/>
    <w:rsid w:val="00F52E8A"/>
    <w:rsid w:val="00F571D8"/>
    <w:rsid w:val="00F621E6"/>
    <w:rsid w:val="00F64E03"/>
    <w:rsid w:val="00F65B2C"/>
    <w:rsid w:val="00F73AFC"/>
    <w:rsid w:val="00F7792C"/>
    <w:rsid w:val="00F83530"/>
    <w:rsid w:val="00F86A9A"/>
    <w:rsid w:val="00F918FE"/>
    <w:rsid w:val="00F92CCE"/>
    <w:rsid w:val="00FA5059"/>
    <w:rsid w:val="00FA6F5F"/>
    <w:rsid w:val="00FB2F19"/>
    <w:rsid w:val="00FB5C2D"/>
    <w:rsid w:val="00FB7A51"/>
    <w:rsid w:val="00FC0D21"/>
    <w:rsid w:val="00FC4C34"/>
    <w:rsid w:val="00FD267A"/>
    <w:rsid w:val="00FD37A3"/>
    <w:rsid w:val="00FE1D28"/>
    <w:rsid w:val="00FE5841"/>
    <w:rsid w:val="00FE6057"/>
    <w:rsid w:val="00FF4070"/>
    <w:rsid w:val="00FF5B9A"/>
    <w:rsid w:val="0F6B2EBE"/>
    <w:rsid w:val="3C75C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8B35B"/>
  <w15:chartTrackingRefBased/>
  <w15:docId w15:val="{5123CBEB-2FF0-45E8-9AEF-2C64374E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B2C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523"/>
    <w:pPr>
      <w:ind w:left="720"/>
      <w:contextualSpacing/>
    </w:pPr>
  </w:style>
  <w:style w:type="character" w:styleId="PlaceholderText">
    <w:name w:val="Placeholder Text"/>
    <w:basedOn w:val="DefaultParagraphFont"/>
    <w:uiPriority w:val="99"/>
    <w:semiHidden/>
    <w:rsid w:val="00062523"/>
    <w:rPr>
      <w:color w:val="808080"/>
    </w:rPr>
  </w:style>
  <w:style w:type="paragraph" w:styleId="BodyText">
    <w:name w:val="Body Text"/>
    <w:basedOn w:val="Normal"/>
    <w:link w:val="BodyTextChar"/>
    <w:uiPriority w:val="1"/>
    <w:qFormat/>
    <w:rsid w:val="00062523"/>
    <w:pPr>
      <w:widowControl w:val="0"/>
      <w:autoSpaceDE w:val="0"/>
      <w:autoSpaceDN w:val="0"/>
      <w:spacing w:before="10" w:after="0" w:line="240" w:lineRule="auto"/>
      <w:ind w:left="2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62523"/>
    <w:rPr>
      <w:rFonts w:ascii="Times New Roman" w:eastAsia="Times New Roman" w:hAnsi="Times New Roman" w:cs="Times New Roman"/>
      <w:sz w:val="24"/>
      <w:szCs w:val="24"/>
      <w:lang w:bidi="en-US"/>
    </w:rPr>
  </w:style>
  <w:style w:type="character" w:styleId="CommentReference">
    <w:name w:val="annotation reference"/>
    <w:basedOn w:val="DefaultParagraphFont"/>
    <w:uiPriority w:val="99"/>
    <w:semiHidden/>
    <w:unhideWhenUsed/>
    <w:rsid w:val="00062523"/>
    <w:rPr>
      <w:sz w:val="16"/>
      <w:szCs w:val="16"/>
    </w:rPr>
  </w:style>
  <w:style w:type="paragraph" w:styleId="CommentText">
    <w:name w:val="annotation text"/>
    <w:basedOn w:val="Normal"/>
    <w:link w:val="CommentTextChar"/>
    <w:uiPriority w:val="99"/>
    <w:semiHidden/>
    <w:unhideWhenUsed/>
    <w:rsid w:val="00062523"/>
    <w:pPr>
      <w:spacing w:line="240" w:lineRule="auto"/>
    </w:pPr>
    <w:rPr>
      <w:sz w:val="20"/>
      <w:szCs w:val="20"/>
    </w:rPr>
  </w:style>
  <w:style w:type="character" w:customStyle="1" w:styleId="CommentTextChar">
    <w:name w:val="Comment Text Char"/>
    <w:basedOn w:val="DefaultParagraphFont"/>
    <w:link w:val="CommentText"/>
    <w:uiPriority w:val="99"/>
    <w:semiHidden/>
    <w:rsid w:val="00062523"/>
    <w:rPr>
      <w:sz w:val="20"/>
      <w:szCs w:val="20"/>
    </w:rPr>
  </w:style>
  <w:style w:type="paragraph" w:styleId="CommentSubject">
    <w:name w:val="annotation subject"/>
    <w:basedOn w:val="CommentText"/>
    <w:next w:val="CommentText"/>
    <w:link w:val="CommentSubjectChar"/>
    <w:uiPriority w:val="99"/>
    <w:semiHidden/>
    <w:unhideWhenUsed/>
    <w:rsid w:val="00062523"/>
    <w:rPr>
      <w:b/>
      <w:bCs/>
    </w:rPr>
  </w:style>
  <w:style w:type="character" w:customStyle="1" w:styleId="CommentSubjectChar">
    <w:name w:val="Comment Subject Char"/>
    <w:basedOn w:val="CommentTextChar"/>
    <w:link w:val="CommentSubject"/>
    <w:uiPriority w:val="99"/>
    <w:semiHidden/>
    <w:rsid w:val="00062523"/>
    <w:rPr>
      <w:b/>
      <w:bCs/>
      <w:sz w:val="20"/>
      <w:szCs w:val="20"/>
    </w:rPr>
  </w:style>
  <w:style w:type="paragraph" w:styleId="BalloonText">
    <w:name w:val="Balloon Text"/>
    <w:basedOn w:val="Normal"/>
    <w:link w:val="BalloonTextChar"/>
    <w:uiPriority w:val="99"/>
    <w:semiHidden/>
    <w:unhideWhenUsed/>
    <w:rsid w:val="00062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523"/>
    <w:rPr>
      <w:rFonts w:ascii="Segoe UI" w:hAnsi="Segoe UI" w:cs="Segoe UI"/>
      <w:sz w:val="18"/>
      <w:szCs w:val="18"/>
    </w:rPr>
  </w:style>
  <w:style w:type="paragraph" w:customStyle="1" w:styleId="Default">
    <w:name w:val="Default"/>
    <w:rsid w:val="0006252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stractNormalText">
    <w:name w:val="Abstract_Normal_Text"/>
    <w:basedOn w:val="Normal"/>
    <w:rsid w:val="00062523"/>
    <w:pPr>
      <w:tabs>
        <w:tab w:val="left" w:pos="504"/>
      </w:tabs>
      <w:spacing w:after="0" w:line="240" w:lineRule="auto"/>
      <w:jc w:val="both"/>
    </w:pPr>
    <w:rPr>
      <w:rFonts w:ascii="Times New Roman" w:eastAsia="Times New Roman" w:hAnsi="Times New Roman" w:cs="Times New Roman"/>
      <w:sz w:val="18"/>
      <w:szCs w:val="20"/>
    </w:rPr>
  </w:style>
  <w:style w:type="paragraph" w:styleId="Header">
    <w:name w:val="header"/>
    <w:basedOn w:val="Normal"/>
    <w:link w:val="HeaderChar"/>
    <w:uiPriority w:val="99"/>
    <w:unhideWhenUsed/>
    <w:rsid w:val="00062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523"/>
  </w:style>
  <w:style w:type="paragraph" w:styleId="Footer">
    <w:name w:val="footer"/>
    <w:basedOn w:val="Normal"/>
    <w:link w:val="FooterChar"/>
    <w:uiPriority w:val="99"/>
    <w:unhideWhenUsed/>
    <w:rsid w:val="00062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523"/>
  </w:style>
  <w:style w:type="paragraph" w:styleId="NormalWeb">
    <w:name w:val="Normal (Web)"/>
    <w:basedOn w:val="Normal"/>
    <w:uiPriority w:val="99"/>
    <w:semiHidden/>
    <w:unhideWhenUsed/>
    <w:rsid w:val="00DD1242"/>
    <w:rPr>
      <w:rFonts w:ascii="Times New Roman" w:hAnsi="Times New Roman" w:cs="Times New Roman"/>
      <w:sz w:val="24"/>
      <w:szCs w:val="24"/>
    </w:rPr>
  </w:style>
  <w:style w:type="character" w:customStyle="1" w:styleId="Heading1Char">
    <w:name w:val="Heading 1 Char"/>
    <w:basedOn w:val="DefaultParagraphFont"/>
    <w:link w:val="Heading1"/>
    <w:uiPriority w:val="9"/>
    <w:rsid w:val="003B2CC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B2CCD"/>
    <w:pPr>
      <w:outlineLvl w:val="9"/>
    </w:pPr>
  </w:style>
  <w:style w:type="paragraph" w:styleId="TOC2">
    <w:name w:val="toc 2"/>
    <w:basedOn w:val="Normal"/>
    <w:next w:val="Normal"/>
    <w:autoRedefine/>
    <w:uiPriority w:val="39"/>
    <w:unhideWhenUsed/>
    <w:rsid w:val="003B2CCD"/>
    <w:pPr>
      <w:spacing w:after="100"/>
      <w:ind w:left="220"/>
    </w:pPr>
    <w:rPr>
      <w:rFonts w:eastAsiaTheme="minorEastAsia" w:cs="Times New Roman"/>
    </w:rPr>
  </w:style>
  <w:style w:type="paragraph" w:styleId="TOC1">
    <w:name w:val="toc 1"/>
    <w:basedOn w:val="Normal"/>
    <w:next w:val="Normal"/>
    <w:autoRedefine/>
    <w:uiPriority w:val="39"/>
    <w:unhideWhenUsed/>
    <w:rsid w:val="003B2CCD"/>
    <w:pPr>
      <w:spacing w:after="100"/>
    </w:pPr>
    <w:rPr>
      <w:rFonts w:eastAsiaTheme="minorEastAsia" w:cs="Times New Roman"/>
    </w:rPr>
  </w:style>
  <w:style w:type="paragraph" w:styleId="TOC3">
    <w:name w:val="toc 3"/>
    <w:basedOn w:val="Normal"/>
    <w:next w:val="Normal"/>
    <w:autoRedefine/>
    <w:uiPriority w:val="39"/>
    <w:unhideWhenUsed/>
    <w:rsid w:val="003B2CCD"/>
    <w:pPr>
      <w:spacing w:after="100"/>
      <w:ind w:left="440"/>
    </w:pPr>
    <w:rPr>
      <w:rFonts w:eastAsiaTheme="minorEastAsia" w:cs="Times New Roman"/>
    </w:rPr>
  </w:style>
  <w:style w:type="paragraph" w:customStyle="1" w:styleId="references">
    <w:name w:val="references"/>
    <w:basedOn w:val="Normal"/>
    <w:autoRedefine/>
    <w:rsid w:val="003D77FD"/>
    <w:pPr>
      <w:spacing w:after="0" w:line="240" w:lineRule="auto"/>
      <w:ind w:left="720" w:right="720" w:hanging="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77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243904">
      <w:bodyDiv w:val="1"/>
      <w:marLeft w:val="0"/>
      <w:marRight w:val="0"/>
      <w:marTop w:val="0"/>
      <w:marBottom w:val="0"/>
      <w:divBdr>
        <w:top w:val="none" w:sz="0" w:space="0" w:color="auto"/>
        <w:left w:val="none" w:sz="0" w:space="0" w:color="auto"/>
        <w:bottom w:val="none" w:sz="0" w:space="0" w:color="auto"/>
        <w:right w:val="none" w:sz="0" w:space="0" w:color="auto"/>
      </w:divBdr>
    </w:div>
    <w:div w:id="208371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jan.ucc.nau.edu/~rcb7/index.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12" ma:contentTypeDescription="Create a new document." ma:contentTypeScope="" ma:versionID="bebaf14f578180c9fbbfe6e2bee2d2d7">
  <xsd:schema xmlns:xsd="http://www.w3.org/2001/XMLSchema" xmlns:xs="http://www.w3.org/2001/XMLSchema" xmlns:p="http://schemas.microsoft.com/office/2006/metadata/properties" xmlns:ns3="a93bf28d-c3e5-4b25-b576-f1cfe2078d75" xmlns:ns4="84414299-4190-4ce0-817c-498f52f0e748" targetNamespace="http://schemas.microsoft.com/office/2006/metadata/properties" ma:root="true" ma:fieldsID="a6bdc61a6e646b3567cc062de11eef5a" ns3:_="" ns4:_="">
    <xsd:import namespace="a93bf28d-c3e5-4b25-b576-f1cfe2078d75"/>
    <xsd:import namespace="84414299-4190-4ce0-817c-498f52f0e7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A1288-CB18-431A-8D51-CE3344981F94}">
  <ds:schemaRefs>
    <ds:schemaRef ds:uri="http://schemas.microsoft.com/sharepoint/v3/contenttype/forms"/>
  </ds:schemaRefs>
</ds:datastoreItem>
</file>

<file path=customXml/itemProps2.xml><?xml version="1.0" encoding="utf-8"?>
<ds:datastoreItem xmlns:ds="http://schemas.openxmlformats.org/officeDocument/2006/customXml" ds:itemID="{7B828827-2875-4EC9-8821-0DBDBB274A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E29ABC-D0A5-458F-9F7A-0B96C2091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bf28d-c3e5-4b25-b576-f1cfe2078d75"/>
    <ds:schemaRef ds:uri="84414299-4190-4ce0-817c-498f52f0e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A53DBB-16AF-478A-BBAA-A2CEC8710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10137</Words>
  <Characters>57782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Madison H.</dc:creator>
  <cp:keywords/>
  <dc:description/>
  <cp:lastModifiedBy>Williams, Hope H.</cp:lastModifiedBy>
  <cp:revision>2</cp:revision>
  <dcterms:created xsi:type="dcterms:W3CDTF">2020-05-07T23:06:00Z</dcterms:created>
  <dcterms:modified xsi:type="dcterms:W3CDTF">2020-05-07T23:06:00Z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0x01010029B35E9B34D4B540A5782920032EE300</vt:lpwstr>
  </property>
</Properties>
</file>