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9438AE" w:rsidRDefault="009438AE" w:rsidP="0008176F">
          <w:pPr>
            <w:pStyle w:val="NoSpacing"/>
            <w:spacing w:line="480" w:lineRule="auto"/>
            <w:jc w:val="center"/>
            <w:rPr>
              <w:caps/>
            </w:rPr>
          </w:pPr>
          <w:r>
            <w:rPr>
              <w:caps/>
            </w:rPr>
            <w:t xml:space="preserve">zOOMORPHIC REPRESENTATIONS IN EARLY CYCLADIC ART: </w:t>
          </w:r>
        </w:p>
        <w:p w:rsidR="0008176F" w:rsidRPr="0008176F" w:rsidRDefault="009438AE" w:rsidP="0008176F">
          <w:pPr>
            <w:pStyle w:val="NoSpacing"/>
            <w:spacing w:line="480" w:lineRule="auto"/>
            <w:jc w:val="center"/>
            <w:rPr>
              <w:caps/>
            </w:rPr>
          </w:pPr>
          <w:r>
            <w:rPr>
              <w:caps/>
            </w:rPr>
            <w:t>A CATALOGUE REFERENCE LIST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9438AE" w:rsidP="00746E16">
          <w:pPr>
            <w:pStyle w:val="NoSpacing"/>
            <w:spacing w:line="480" w:lineRule="auto"/>
            <w:jc w:val="center"/>
            <w:rPr>
              <w:caps/>
            </w:rPr>
          </w:pPr>
          <w:r>
            <w:rPr>
              <w:caps/>
            </w:rPr>
            <w:t>Master of Arts in Art History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9438AE" w:rsidP="00746E16">
          <w:pPr>
            <w:pStyle w:val="NoSpacing"/>
            <w:jc w:val="center"/>
            <w:rPr>
              <w:caps/>
            </w:rPr>
          </w:pPr>
          <w:r>
            <w:rPr>
              <w:caps/>
            </w:rPr>
            <w:t>MARIAH LOUANN ASHBACHER</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9438AE"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9075F0" w:rsidRDefault="009075F0" w:rsidP="00730F0A">
          <w:pPr>
            <w:pStyle w:val="NoSpacing"/>
            <w:jc w:val="center"/>
            <w:rPr>
              <w:caps/>
            </w:rPr>
          </w:pPr>
          <w:r>
            <w:rPr>
              <w:caps/>
            </w:rPr>
            <w:t xml:space="preserve">ZOOMORPHIC REPRESENTATIONS IN EARLY CYCLADIC ART: </w:t>
          </w:r>
        </w:p>
        <w:p w:rsidR="00730F0A" w:rsidRPr="00730F0A" w:rsidRDefault="009075F0" w:rsidP="00730F0A">
          <w:pPr>
            <w:pStyle w:val="NoSpacing"/>
            <w:jc w:val="center"/>
            <w:rPr>
              <w:caps/>
            </w:rPr>
          </w:pPr>
          <w:r>
            <w:rPr>
              <w:caps/>
            </w:rPr>
            <w:t>A CATALOGUE REFERENCE LIST</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9075F0" w:rsidP="00746E16">
          <w:pPr>
            <w:pStyle w:val="NoSpacing"/>
            <w:jc w:val="center"/>
            <w:rPr>
              <w:caps/>
            </w:rPr>
          </w:pPr>
          <w:r>
            <w:rPr>
              <w:caps/>
            </w:rPr>
            <w:t>School of Visual Arts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9E3AD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9075F0">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075F0">
            <w:t>Rozmeri Basic</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E3AD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9075F0">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9075F0">
            <w:t>Mary Jo Watson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E3AD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075F0">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9075F0">
            <w:t>Allison Palmer</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E3AD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438AE">
            <w:rPr>
              <w:caps/>
            </w:rPr>
            <w:t>MARIAH LOUANN ASHBACHER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438AE">
            <w:t>2017</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9075F0">
        <w:lastRenderedPageBreak/>
        <w:t xml:space="preserve">I dedicate this thesis to my husband, Todd, and to my children, Christian, Parker and Madison. </w:t>
      </w:r>
    </w:p>
    <w:p w:rsidR="008E1C26" w:rsidRDefault="00775701" w:rsidP="00C16C66">
      <w:pPr>
        <w:pStyle w:val="Heading1"/>
      </w:pPr>
      <w:bookmarkStart w:id="0" w:name="_Toc310579464"/>
      <w:bookmarkStart w:id="1" w:name="_Toc315681358"/>
      <w:bookmarkStart w:id="2" w:name="_Toc482206666"/>
      <w:r>
        <w:lastRenderedPageBreak/>
        <w:t>Acknowledgements</w:t>
      </w:r>
      <w:bookmarkEnd w:id="0"/>
      <w:bookmarkEnd w:id="1"/>
      <w:bookmarkEnd w:id="2"/>
    </w:p>
    <w:p w:rsidR="003450B1" w:rsidRDefault="009075F0" w:rsidP="00E77477">
      <w:r>
        <w:t>I would like to acknowledge the mentoring I received from Dr. Rozmeri Basic over the last four years, who introduced me to the Aegean Bronze Age.  It is because of her that I decided to study Art History.  Through my studies at the School of Visual Arts, I became acquainted with several professors who shaped my education, including Dr. W. Jackson Rushing, III, Dr. Robert Bailey, Professor Victor Youritzin, and Professor B. Byron Price. I also want to particularly</w:t>
      </w:r>
      <w:r w:rsidR="0074694C">
        <w:t xml:space="preserve"> mention Dr. Mary Jo Watson and Dr. Allison Palmer, who along with Dr. Basic, have been sources of immeasurable inspiration as art historians, professors, and women. I thank them for their contribution to this thesis as members of my committee and for shaping me as an emerging art historian.</w:t>
      </w:r>
    </w:p>
    <w:p w:rsidR="00775701" w:rsidRDefault="00775701" w:rsidP="00C16C66">
      <w:pPr>
        <w:pStyle w:val="Title"/>
      </w:pPr>
      <w:r>
        <w:br w:type="page"/>
      </w:r>
    </w:p>
    <w:sdt>
      <w:sdtPr>
        <w:rPr>
          <w:rFonts w:asciiTheme="minorHAnsi" w:hAnsiTheme="minorHAnsi"/>
          <w:b w:val="0"/>
          <w:bCs w:val="0"/>
          <w:sz w:val="24"/>
          <w:szCs w:val="24"/>
        </w:rPr>
        <w:id w:val="1615785758"/>
        <w:docPartObj>
          <w:docPartGallery w:val="Table of Contents"/>
          <w:docPartUnique/>
        </w:docPartObj>
      </w:sdtPr>
      <w:sdtEndPr>
        <w:rPr>
          <w:noProof/>
        </w:rPr>
      </w:sdtEndPr>
      <w:sdtContent>
        <w:p w:rsidR="009438AE" w:rsidRDefault="009438AE">
          <w:pPr>
            <w:pStyle w:val="TOCHeading"/>
          </w:pPr>
          <w:r>
            <w:t>Table of Contents</w:t>
          </w:r>
          <w:bookmarkStart w:id="3" w:name="_GoBack"/>
          <w:bookmarkEnd w:id="3"/>
        </w:p>
        <w:p w:rsidR="00211162" w:rsidRDefault="009438AE">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482206666" w:history="1">
            <w:r w:rsidR="00211162" w:rsidRPr="00E93900">
              <w:rPr>
                <w:rStyle w:val="Hyperlink"/>
                <w:noProof/>
              </w:rPr>
              <w:t>Acknowledgements</w:t>
            </w:r>
            <w:r w:rsidR="00211162">
              <w:rPr>
                <w:noProof/>
                <w:webHidden/>
              </w:rPr>
              <w:tab/>
            </w:r>
            <w:r w:rsidR="00211162">
              <w:rPr>
                <w:noProof/>
                <w:webHidden/>
              </w:rPr>
              <w:fldChar w:fldCharType="begin"/>
            </w:r>
            <w:r w:rsidR="00211162">
              <w:rPr>
                <w:noProof/>
                <w:webHidden/>
              </w:rPr>
              <w:instrText xml:space="preserve"> PAGEREF _Toc482206666 \h </w:instrText>
            </w:r>
            <w:r w:rsidR="00211162">
              <w:rPr>
                <w:noProof/>
                <w:webHidden/>
              </w:rPr>
            </w:r>
            <w:r w:rsidR="00211162">
              <w:rPr>
                <w:noProof/>
                <w:webHidden/>
              </w:rPr>
              <w:fldChar w:fldCharType="separate"/>
            </w:r>
            <w:r w:rsidR="00C61DE2">
              <w:rPr>
                <w:noProof/>
                <w:webHidden/>
              </w:rPr>
              <w:t>iv</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67" w:history="1">
            <w:r w:rsidR="00211162" w:rsidRPr="00E93900">
              <w:rPr>
                <w:rStyle w:val="Hyperlink"/>
                <w:noProof/>
              </w:rPr>
              <w:t>List of Figures</w:t>
            </w:r>
            <w:r w:rsidR="00211162">
              <w:rPr>
                <w:noProof/>
                <w:webHidden/>
              </w:rPr>
              <w:tab/>
            </w:r>
            <w:r w:rsidR="00211162">
              <w:rPr>
                <w:noProof/>
                <w:webHidden/>
              </w:rPr>
              <w:fldChar w:fldCharType="begin"/>
            </w:r>
            <w:r w:rsidR="00211162">
              <w:rPr>
                <w:noProof/>
                <w:webHidden/>
              </w:rPr>
              <w:instrText xml:space="preserve"> PAGEREF _Toc482206667 \h </w:instrText>
            </w:r>
            <w:r w:rsidR="00211162">
              <w:rPr>
                <w:noProof/>
                <w:webHidden/>
              </w:rPr>
            </w:r>
            <w:r w:rsidR="00211162">
              <w:rPr>
                <w:noProof/>
                <w:webHidden/>
              </w:rPr>
              <w:fldChar w:fldCharType="separate"/>
            </w:r>
            <w:r w:rsidR="00C61DE2">
              <w:rPr>
                <w:noProof/>
                <w:webHidden/>
              </w:rPr>
              <w:t>vii</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68" w:history="1">
            <w:r w:rsidR="00211162" w:rsidRPr="00E93900">
              <w:rPr>
                <w:rStyle w:val="Hyperlink"/>
                <w:noProof/>
              </w:rPr>
              <w:t>Abstract</w:t>
            </w:r>
            <w:r w:rsidR="00211162">
              <w:rPr>
                <w:noProof/>
                <w:webHidden/>
              </w:rPr>
              <w:tab/>
            </w:r>
            <w:r w:rsidR="00211162">
              <w:rPr>
                <w:noProof/>
                <w:webHidden/>
              </w:rPr>
              <w:fldChar w:fldCharType="begin"/>
            </w:r>
            <w:r w:rsidR="00211162">
              <w:rPr>
                <w:noProof/>
                <w:webHidden/>
              </w:rPr>
              <w:instrText xml:space="preserve"> PAGEREF _Toc482206668 \h </w:instrText>
            </w:r>
            <w:r w:rsidR="00211162">
              <w:rPr>
                <w:noProof/>
                <w:webHidden/>
              </w:rPr>
            </w:r>
            <w:r w:rsidR="00211162">
              <w:rPr>
                <w:noProof/>
                <w:webHidden/>
              </w:rPr>
              <w:fldChar w:fldCharType="separate"/>
            </w:r>
            <w:r w:rsidR="00C61DE2">
              <w:rPr>
                <w:noProof/>
                <w:webHidden/>
              </w:rPr>
              <w:t>viii</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69" w:history="1">
            <w:r w:rsidR="00211162" w:rsidRPr="00E93900">
              <w:rPr>
                <w:rStyle w:val="Hyperlink"/>
                <w:rFonts w:asciiTheme="majorHAnsi" w:hAnsiTheme="majorHAnsi"/>
                <w:noProof/>
              </w:rPr>
              <w:t>Chapter 1: Introduction</w:t>
            </w:r>
            <w:r w:rsidR="00211162">
              <w:rPr>
                <w:noProof/>
                <w:webHidden/>
              </w:rPr>
              <w:tab/>
            </w:r>
            <w:r w:rsidR="00211162">
              <w:rPr>
                <w:noProof/>
                <w:webHidden/>
              </w:rPr>
              <w:fldChar w:fldCharType="begin"/>
            </w:r>
            <w:r w:rsidR="00211162">
              <w:rPr>
                <w:noProof/>
                <w:webHidden/>
              </w:rPr>
              <w:instrText xml:space="preserve"> PAGEREF _Toc482206669 \h </w:instrText>
            </w:r>
            <w:r w:rsidR="00211162">
              <w:rPr>
                <w:noProof/>
                <w:webHidden/>
              </w:rPr>
            </w:r>
            <w:r w:rsidR="00211162">
              <w:rPr>
                <w:noProof/>
                <w:webHidden/>
              </w:rPr>
              <w:fldChar w:fldCharType="separate"/>
            </w:r>
            <w:r w:rsidR="00C61DE2">
              <w:rPr>
                <w:noProof/>
                <w:webHidden/>
              </w:rPr>
              <w:t>1</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0" w:history="1">
            <w:r w:rsidR="00211162" w:rsidRPr="00E93900">
              <w:rPr>
                <w:rStyle w:val="Hyperlink"/>
                <w:rFonts w:eastAsia="Calibri"/>
                <w:noProof/>
              </w:rPr>
              <w:t>Geographic and Environmental Background</w:t>
            </w:r>
            <w:r w:rsidR="00211162">
              <w:rPr>
                <w:noProof/>
                <w:webHidden/>
              </w:rPr>
              <w:tab/>
            </w:r>
            <w:r w:rsidR="00211162">
              <w:rPr>
                <w:noProof/>
                <w:webHidden/>
              </w:rPr>
              <w:fldChar w:fldCharType="begin"/>
            </w:r>
            <w:r w:rsidR="00211162">
              <w:rPr>
                <w:noProof/>
                <w:webHidden/>
              </w:rPr>
              <w:instrText xml:space="preserve"> PAGEREF _Toc482206670 \h </w:instrText>
            </w:r>
            <w:r w:rsidR="00211162">
              <w:rPr>
                <w:noProof/>
                <w:webHidden/>
              </w:rPr>
            </w:r>
            <w:r w:rsidR="00211162">
              <w:rPr>
                <w:noProof/>
                <w:webHidden/>
              </w:rPr>
              <w:fldChar w:fldCharType="separate"/>
            </w:r>
            <w:r w:rsidR="00C61DE2">
              <w:rPr>
                <w:noProof/>
                <w:webHidden/>
              </w:rPr>
              <w:t>6</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1" w:history="1">
            <w:r w:rsidR="00211162" w:rsidRPr="00E93900">
              <w:rPr>
                <w:rStyle w:val="Hyperlink"/>
                <w:noProof/>
              </w:rPr>
              <w:t>Animals in Cycladic Culture</w:t>
            </w:r>
            <w:r w:rsidR="00211162">
              <w:rPr>
                <w:noProof/>
                <w:webHidden/>
              </w:rPr>
              <w:tab/>
            </w:r>
            <w:r w:rsidR="00211162">
              <w:rPr>
                <w:noProof/>
                <w:webHidden/>
              </w:rPr>
              <w:fldChar w:fldCharType="begin"/>
            </w:r>
            <w:r w:rsidR="00211162">
              <w:rPr>
                <w:noProof/>
                <w:webHidden/>
              </w:rPr>
              <w:instrText xml:space="preserve"> PAGEREF _Toc482206671 \h </w:instrText>
            </w:r>
            <w:r w:rsidR="00211162">
              <w:rPr>
                <w:noProof/>
                <w:webHidden/>
              </w:rPr>
            </w:r>
            <w:r w:rsidR="00211162">
              <w:rPr>
                <w:noProof/>
                <w:webHidden/>
              </w:rPr>
              <w:fldChar w:fldCharType="separate"/>
            </w:r>
            <w:r w:rsidR="00C61DE2">
              <w:rPr>
                <w:noProof/>
                <w:webHidden/>
              </w:rPr>
              <w:t>11</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2" w:history="1">
            <w:r w:rsidR="00211162" w:rsidRPr="00E93900">
              <w:rPr>
                <w:rStyle w:val="Hyperlink"/>
                <w:noProof/>
              </w:rPr>
              <w:t>Bronze Age Chronology</w:t>
            </w:r>
            <w:r w:rsidR="00211162">
              <w:rPr>
                <w:noProof/>
                <w:webHidden/>
              </w:rPr>
              <w:tab/>
            </w:r>
            <w:r w:rsidR="00211162">
              <w:rPr>
                <w:noProof/>
                <w:webHidden/>
              </w:rPr>
              <w:fldChar w:fldCharType="begin"/>
            </w:r>
            <w:r w:rsidR="00211162">
              <w:rPr>
                <w:noProof/>
                <w:webHidden/>
              </w:rPr>
              <w:instrText xml:space="preserve"> PAGEREF _Toc482206672 \h </w:instrText>
            </w:r>
            <w:r w:rsidR="00211162">
              <w:rPr>
                <w:noProof/>
                <w:webHidden/>
              </w:rPr>
            </w:r>
            <w:r w:rsidR="00211162">
              <w:rPr>
                <w:noProof/>
                <w:webHidden/>
              </w:rPr>
              <w:fldChar w:fldCharType="separate"/>
            </w:r>
            <w:r w:rsidR="00C61DE2">
              <w:rPr>
                <w:noProof/>
                <w:webHidden/>
              </w:rPr>
              <w:t>14</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3" w:history="1">
            <w:r w:rsidR="00211162" w:rsidRPr="00E93900">
              <w:rPr>
                <w:rStyle w:val="Hyperlink"/>
                <w:noProof/>
              </w:rPr>
              <w:t>Methodology</w:t>
            </w:r>
            <w:r w:rsidR="00211162">
              <w:rPr>
                <w:noProof/>
                <w:webHidden/>
              </w:rPr>
              <w:tab/>
            </w:r>
            <w:r w:rsidR="00211162">
              <w:rPr>
                <w:noProof/>
                <w:webHidden/>
              </w:rPr>
              <w:fldChar w:fldCharType="begin"/>
            </w:r>
            <w:r w:rsidR="00211162">
              <w:rPr>
                <w:noProof/>
                <w:webHidden/>
              </w:rPr>
              <w:instrText xml:space="preserve"> PAGEREF _Toc482206673 \h </w:instrText>
            </w:r>
            <w:r w:rsidR="00211162">
              <w:rPr>
                <w:noProof/>
                <w:webHidden/>
              </w:rPr>
            </w:r>
            <w:r w:rsidR="00211162">
              <w:rPr>
                <w:noProof/>
                <w:webHidden/>
              </w:rPr>
              <w:fldChar w:fldCharType="separate"/>
            </w:r>
            <w:r w:rsidR="00C61DE2">
              <w:rPr>
                <w:noProof/>
                <w:webHidden/>
              </w:rPr>
              <w:t>22</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74" w:history="1">
            <w:r w:rsidR="00211162" w:rsidRPr="00E93900">
              <w:rPr>
                <w:rStyle w:val="Hyperlink"/>
                <w:rFonts w:asciiTheme="majorHAnsi" w:hAnsiTheme="majorHAnsi"/>
                <w:noProof/>
              </w:rPr>
              <w:t>Chapter 2: Literature Review</w:t>
            </w:r>
            <w:r w:rsidR="00211162">
              <w:rPr>
                <w:noProof/>
                <w:webHidden/>
              </w:rPr>
              <w:tab/>
            </w:r>
            <w:r w:rsidR="00211162">
              <w:rPr>
                <w:noProof/>
                <w:webHidden/>
              </w:rPr>
              <w:fldChar w:fldCharType="begin"/>
            </w:r>
            <w:r w:rsidR="00211162">
              <w:rPr>
                <w:noProof/>
                <w:webHidden/>
              </w:rPr>
              <w:instrText xml:space="preserve"> PAGEREF _Toc482206674 \h </w:instrText>
            </w:r>
            <w:r w:rsidR="00211162">
              <w:rPr>
                <w:noProof/>
                <w:webHidden/>
              </w:rPr>
            </w:r>
            <w:r w:rsidR="00211162">
              <w:rPr>
                <w:noProof/>
                <w:webHidden/>
              </w:rPr>
              <w:fldChar w:fldCharType="separate"/>
            </w:r>
            <w:r w:rsidR="00C61DE2">
              <w:rPr>
                <w:noProof/>
                <w:webHidden/>
              </w:rPr>
              <w:t>24</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5" w:history="1">
            <w:r w:rsidR="00211162" w:rsidRPr="00E93900">
              <w:rPr>
                <w:rStyle w:val="Hyperlink"/>
                <w:rFonts w:eastAsia="Calibri"/>
                <w:noProof/>
              </w:rPr>
              <w:t>Role of Migration in Cultural Exchange</w:t>
            </w:r>
            <w:r w:rsidR="00211162">
              <w:rPr>
                <w:noProof/>
                <w:webHidden/>
              </w:rPr>
              <w:tab/>
            </w:r>
            <w:r w:rsidR="00211162">
              <w:rPr>
                <w:noProof/>
                <w:webHidden/>
              </w:rPr>
              <w:fldChar w:fldCharType="begin"/>
            </w:r>
            <w:r w:rsidR="00211162">
              <w:rPr>
                <w:noProof/>
                <w:webHidden/>
              </w:rPr>
              <w:instrText xml:space="preserve"> PAGEREF _Toc482206675 \h </w:instrText>
            </w:r>
            <w:r w:rsidR="00211162">
              <w:rPr>
                <w:noProof/>
                <w:webHidden/>
              </w:rPr>
            </w:r>
            <w:r w:rsidR="00211162">
              <w:rPr>
                <w:noProof/>
                <w:webHidden/>
              </w:rPr>
              <w:fldChar w:fldCharType="separate"/>
            </w:r>
            <w:r w:rsidR="00C61DE2">
              <w:rPr>
                <w:noProof/>
                <w:webHidden/>
              </w:rPr>
              <w:t>27</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6" w:history="1">
            <w:r w:rsidR="00211162" w:rsidRPr="00E93900">
              <w:rPr>
                <w:rStyle w:val="Hyperlink"/>
                <w:noProof/>
              </w:rPr>
              <w:t>Maritime Trade in Early Bronze Age Aegean</w:t>
            </w:r>
            <w:r w:rsidR="00211162">
              <w:rPr>
                <w:noProof/>
                <w:webHidden/>
              </w:rPr>
              <w:tab/>
            </w:r>
            <w:r w:rsidR="00211162">
              <w:rPr>
                <w:noProof/>
                <w:webHidden/>
              </w:rPr>
              <w:fldChar w:fldCharType="begin"/>
            </w:r>
            <w:r w:rsidR="00211162">
              <w:rPr>
                <w:noProof/>
                <w:webHidden/>
              </w:rPr>
              <w:instrText xml:space="preserve"> PAGEREF _Toc482206676 \h </w:instrText>
            </w:r>
            <w:r w:rsidR="00211162">
              <w:rPr>
                <w:noProof/>
                <w:webHidden/>
              </w:rPr>
            </w:r>
            <w:r w:rsidR="00211162">
              <w:rPr>
                <w:noProof/>
                <w:webHidden/>
              </w:rPr>
              <w:fldChar w:fldCharType="separate"/>
            </w:r>
            <w:r w:rsidR="00C61DE2">
              <w:rPr>
                <w:noProof/>
                <w:webHidden/>
              </w:rPr>
              <w:t>31</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7" w:history="1">
            <w:r w:rsidR="00211162" w:rsidRPr="00E93900">
              <w:rPr>
                <w:rStyle w:val="Hyperlink"/>
                <w:noProof/>
              </w:rPr>
              <w:t>Religion and Funeral Rites</w:t>
            </w:r>
            <w:r w:rsidR="00211162">
              <w:rPr>
                <w:noProof/>
                <w:webHidden/>
              </w:rPr>
              <w:tab/>
            </w:r>
            <w:r w:rsidR="00211162">
              <w:rPr>
                <w:noProof/>
                <w:webHidden/>
              </w:rPr>
              <w:fldChar w:fldCharType="begin"/>
            </w:r>
            <w:r w:rsidR="00211162">
              <w:rPr>
                <w:noProof/>
                <w:webHidden/>
              </w:rPr>
              <w:instrText xml:space="preserve"> PAGEREF _Toc482206677 \h </w:instrText>
            </w:r>
            <w:r w:rsidR="00211162">
              <w:rPr>
                <w:noProof/>
                <w:webHidden/>
              </w:rPr>
            </w:r>
            <w:r w:rsidR="00211162">
              <w:rPr>
                <w:noProof/>
                <w:webHidden/>
              </w:rPr>
              <w:fldChar w:fldCharType="separate"/>
            </w:r>
            <w:r w:rsidR="00C61DE2">
              <w:rPr>
                <w:noProof/>
                <w:webHidden/>
              </w:rPr>
              <w:t>34</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78" w:history="1">
            <w:r w:rsidR="00211162" w:rsidRPr="00E93900">
              <w:rPr>
                <w:rStyle w:val="Hyperlink"/>
                <w:rFonts w:asciiTheme="majorHAnsi" w:hAnsiTheme="majorHAnsi"/>
                <w:noProof/>
              </w:rPr>
              <w:t>Chapter 3: Animal Presentations in Cycladic Art</w:t>
            </w:r>
            <w:r w:rsidR="00211162">
              <w:rPr>
                <w:noProof/>
                <w:webHidden/>
              </w:rPr>
              <w:tab/>
            </w:r>
            <w:r w:rsidR="00211162">
              <w:rPr>
                <w:noProof/>
                <w:webHidden/>
              </w:rPr>
              <w:fldChar w:fldCharType="begin"/>
            </w:r>
            <w:r w:rsidR="00211162">
              <w:rPr>
                <w:noProof/>
                <w:webHidden/>
              </w:rPr>
              <w:instrText xml:space="preserve"> PAGEREF _Toc482206678 \h </w:instrText>
            </w:r>
            <w:r w:rsidR="00211162">
              <w:rPr>
                <w:noProof/>
                <w:webHidden/>
              </w:rPr>
            </w:r>
            <w:r w:rsidR="00211162">
              <w:rPr>
                <w:noProof/>
                <w:webHidden/>
              </w:rPr>
              <w:fldChar w:fldCharType="separate"/>
            </w:r>
            <w:r w:rsidR="00C61DE2">
              <w:rPr>
                <w:noProof/>
                <w:webHidden/>
              </w:rPr>
              <w:t>43</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79" w:history="1">
            <w:r w:rsidR="00211162" w:rsidRPr="00E93900">
              <w:rPr>
                <w:rStyle w:val="Hyperlink"/>
                <w:noProof/>
              </w:rPr>
              <w:t>Domesticates</w:t>
            </w:r>
            <w:r w:rsidR="00211162">
              <w:rPr>
                <w:noProof/>
                <w:webHidden/>
              </w:rPr>
              <w:tab/>
            </w:r>
            <w:r w:rsidR="00211162">
              <w:rPr>
                <w:noProof/>
                <w:webHidden/>
              </w:rPr>
              <w:fldChar w:fldCharType="begin"/>
            </w:r>
            <w:r w:rsidR="00211162">
              <w:rPr>
                <w:noProof/>
                <w:webHidden/>
              </w:rPr>
              <w:instrText xml:space="preserve"> PAGEREF _Toc482206679 \h </w:instrText>
            </w:r>
            <w:r w:rsidR="00211162">
              <w:rPr>
                <w:noProof/>
                <w:webHidden/>
              </w:rPr>
            </w:r>
            <w:r w:rsidR="00211162">
              <w:rPr>
                <w:noProof/>
                <w:webHidden/>
              </w:rPr>
              <w:fldChar w:fldCharType="separate"/>
            </w:r>
            <w:r w:rsidR="00C61DE2">
              <w:rPr>
                <w:noProof/>
                <w:webHidden/>
              </w:rPr>
              <w:t>50</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0" w:history="1">
            <w:r w:rsidR="00211162" w:rsidRPr="00E93900">
              <w:rPr>
                <w:rStyle w:val="Hyperlink"/>
                <w:noProof/>
              </w:rPr>
              <w:t>Sheep/Rams</w:t>
            </w:r>
            <w:r w:rsidR="00211162">
              <w:rPr>
                <w:noProof/>
                <w:webHidden/>
              </w:rPr>
              <w:tab/>
            </w:r>
            <w:r w:rsidR="00211162">
              <w:rPr>
                <w:noProof/>
                <w:webHidden/>
              </w:rPr>
              <w:fldChar w:fldCharType="begin"/>
            </w:r>
            <w:r w:rsidR="00211162">
              <w:rPr>
                <w:noProof/>
                <w:webHidden/>
              </w:rPr>
              <w:instrText xml:space="preserve"> PAGEREF _Toc482206680 \h </w:instrText>
            </w:r>
            <w:r w:rsidR="00211162">
              <w:rPr>
                <w:noProof/>
                <w:webHidden/>
              </w:rPr>
            </w:r>
            <w:r w:rsidR="00211162">
              <w:rPr>
                <w:noProof/>
                <w:webHidden/>
              </w:rPr>
              <w:fldChar w:fldCharType="separate"/>
            </w:r>
            <w:r w:rsidR="00C61DE2">
              <w:rPr>
                <w:noProof/>
                <w:webHidden/>
              </w:rPr>
              <w:t>50</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1" w:history="1">
            <w:r w:rsidR="00211162" w:rsidRPr="00E93900">
              <w:rPr>
                <w:rStyle w:val="Hyperlink"/>
                <w:noProof/>
              </w:rPr>
              <w:t>Pigs</w:t>
            </w:r>
            <w:r w:rsidR="00FB148A">
              <w:rPr>
                <w:rStyle w:val="Hyperlink"/>
                <w:noProof/>
              </w:rPr>
              <w:t>……</w:t>
            </w:r>
            <w:r w:rsidR="00211162">
              <w:rPr>
                <w:noProof/>
                <w:webHidden/>
              </w:rPr>
              <w:tab/>
            </w:r>
            <w:r w:rsidR="00211162">
              <w:rPr>
                <w:noProof/>
                <w:webHidden/>
              </w:rPr>
              <w:fldChar w:fldCharType="begin"/>
            </w:r>
            <w:r w:rsidR="00211162">
              <w:rPr>
                <w:noProof/>
                <w:webHidden/>
              </w:rPr>
              <w:instrText xml:space="preserve"> PAGEREF _Toc482206681 \h </w:instrText>
            </w:r>
            <w:r w:rsidR="00211162">
              <w:rPr>
                <w:noProof/>
                <w:webHidden/>
              </w:rPr>
            </w:r>
            <w:r w:rsidR="00211162">
              <w:rPr>
                <w:noProof/>
                <w:webHidden/>
              </w:rPr>
              <w:fldChar w:fldCharType="separate"/>
            </w:r>
            <w:r w:rsidR="00C61DE2">
              <w:rPr>
                <w:noProof/>
                <w:webHidden/>
              </w:rPr>
              <w:t>51</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2" w:history="1">
            <w:r w:rsidR="00211162" w:rsidRPr="00E93900">
              <w:rPr>
                <w:rStyle w:val="Hyperlink"/>
                <w:noProof/>
              </w:rPr>
              <w:t>Bovines</w:t>
            </w:r>
            <w:r w:rsidR="00211162">
              <w:rPr>
                <w:noProof/>
                <w:webHidden/>
              </w:rPr>
              <w:tab/>
            </w:r>
            <w:r w:rsidR="00211162">
              <w:rPr>
                <w:noProof/>
                <w:webHidden/>
              </w:rPr>
              <w:fldChar w:fldCharType="begin"/>
            </w:r>
            <w:r w:rsidR="00211162">
              <w:rPr>
                <w:noProof/>
                <w:webHidden/>
              </w:rPr>
              <w:instrText xml:space="preserve"> PAGEREF _Toc482206682 \h </w:instrText>
            </w:r>
            <w:r w:rsidR="00211162">
              <w:rPr>
                <w:noProof/>
                <w:webHidden/>
              </w:rPr>
            </w:r>
            <w:r w:rsidR="00211162">
              <w:rPr>
                <w:noProof/>
                <w:webHidden/>
              </w:rPr>
              <w:fldChar w:fldCharType="separate"/>
            </w:r>
            <w:r w:rsidR="00C61DE2">
              <w:rPr>
                <w:noProof/>
                <w:webHidden/>
              </w:rPr>
              <w:t>52</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83" w:history="1">
            <w:r w:rsidR="00211162" w:rsidRPr="00E93900">
              <w:rPr>
                <w:rStyle w:val="Hyperlink"/>
                <w:noProof/>
              </w:rPr>
              <w:t>Wild Animals</w:t>
            </w:r>
            <w:r w:rsidR="00211162">
              <w:rPr>
                <w:noProof/>
                <w:webHidden/>
              </w:rPr>
              <w:tab/>
            </w:r>
            <w:r w:rsidR="00211162">
              <w:rPr>
                <w:noProof/>
                <w:webHidden/>
              </w:rPr>
              <w:fldChar w:fldCharType="begin"/>
            </w:r>
            <w:r w:rsidR="00211162">
              <w:rPr>
                <w:noProof/>
                <w:webHidden/>
              </w:rPr>
              <w:instrText xml:space="preserve"> PAGEREF _Toc482206683 \h </w:instrText>
            </w:r>
            <w:r w:rsidR="00211162">
              <w:rPr>
                <w:noProof/>
                <w:webHidden/>
              </w:rPr>
            </w:r>
            <w:r w:rsidR="00211162">
              <w:rPr>
                <w:noProof/>
                <w:webHidden/>
              </w:rPr>
              <w:fldChar w:fldCharType="separate"/>
            </w:r>
            <w:r w:rsidR="00C61DE2">
              <w:rPr>
                <w:noProof/>
                <w:webHidden/>
              </w:rPr>
              <w:t>54</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4" w:history="1">
            <w:r w:rsidR="00211162" w:rsidRPr="00E93900">
              <w:rPr>
                <w:rStyle w:val="Hyperlink"/>
                <w:noProof/>
              </w:rPr>
              <w:t>Hedgehogs</w:t>
            </w:r>
            <w:r w:rsidR="00211162">
              <w:rPr>
                <w:noProof/>
                <w:webHidden/>
              </w:rPr>
              <w:tab/>
            </w:r>
            <w:r w:rsidR="00211162">
              <w:rPr>
                <w:noProof/>
                <w:webHidden/>
              </w:rPr>
              <w:fldChar w:fldCharType="begin"/>
            </w:r>
            <w:r w:rsidR="00211162">
              <w:rPr>
                <w:noProof/>
                <w:webHidden/>
              </w:rPr>
              <w:instrText xml:space="preserve"> PAGEREF _Toc482206684 \h </w:instrText>
            </w:r>
            <w:r w:rsidR="00211162">
              <w:rPr>
                <w:noProof/>
                <w:webHidden/>
              </w:rPr>
            </w:r>
            <w:r w:rsidR="00211162">
              <w:rPr>
                <w:noProof/>
                <w:webHidden/>
              </w:rPr>
              <w:fldChar w:fldCharType="separate"/>
            </w:r>
            <w:r w:rsidR="00C61DE2">
              <w:rPr>
                <w:noProof/>
                <w:webHidden/>
              </w:rPr>
              <w:t>54</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5" w:history="1">
            <w:r w:rsidR="00211162" w:rsidRPr="00E93900">
              <w:rPr>
                <w:rStyle w:val="Hyperlink"/>
                <w:noProof/>
              </w:rPr>
              <w:t>Birds</w:t>
            </w:r>
            <w:r w:rsidR="00FB148A">
              <w:rPr>
                <w:rStyle w:val="Hyperlink"/>
                <w:noProof/>
              </w:rPr>
              <w:t>…</w:t>
            </w:r>
            <w:r w:rsidR="00211162">
              <w:rPr>
                <w:noProof/>
                <w:webHidden/>
              </w:rPr>
              <w:tab/>
            </w:r>
            <w:r w:rsidR="00211162">
              <w:rPr>
                <w:noProof/>
                <w:webHidden/>
              </w:rPr>
              <w:fldChar w:fldCharType="begin"/>
            </w:r>
            <w:r w:rsidR="00211162">
              <w:rPr>
                <w:noProof/>
                <w:webHidden/>
              </w:rPr>
              <w:instrText xml:space="preserve"> PAGEREF _Toc482206685 \h </w:instrText>
            </w:r>
            <w:r w:rsidR="00211162">
              <w:rPr>
                <w:noProof/>
                <w:webHidden/>
              </w:rPr>
            </w:r>
            <w:r w:rsidR="00211162">
              <w:rPr>
                <w:noProof/>
                <w:webHidden/>
              </w:rPr>
              <w:fldChar w:fldCharType="separate"/>
            </w:r>
            <w:r w:rsidR="00C61DE2">
              <w:rPr>
                <w:noProof/>
                <w:webHidden/>
              </w:rPr>
              <w:t>57</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6" w:history="1">
            <w:r w:rsidR="00211162" w:rsidRPr="00E93900">
              <w:rPr>
                <w:rStyle w:val="Hyperlink"/>
                <w:noProof/>
              </w:rPr>
              <w:t>Frogs</w:t>
            </w:r>
            <w:r w:rsidR="00FB148A">
              <w:rPr>
                <w:rStyle w:val="Hyperlink"/>
                <w:noProof/>
              </w:rPr>
              <w:t>…</w:t>
            </w:r>
            <w:r w:rsidR="00211162">
              <w:rPr>
                <w:noProof/>
                <w:webHidden/>
              </w:rPr>
              <w:tab/>
            </w:r>
            <w:r w:rsidR="00211162">
              <w:rPr>
                <w:noProof/>
                <w:webHidden/>
              </w:rPr>
              <w:fldChar w:fldCharType="begin"/>
            </w:r>
            <w:r w:rsidR="00211162">
              <w:rPr>
                <w:noProof/>
                <w:webHidden/>
              </w:rPr>
              <w:instrText xml:space="preserve"> PAGEREF _Toc482206686 \h </w:instrText>
            </w:r>
            <w:r w:rsidR="00211162">
              <w:rPr>
                <w:noProof/>
                <w:webHidden/>
              </w:rPr>
            </w:r>
            <w:r w:rsidR="00211162">
              <w:rPr>
                <w:noProof/>
                <w:webHidden/>
              </w:rPr>
              <w:fldChar w:fldCharType="separate"/>
            </w:r>
            <w:r w:rsidR="00C61DE2">
              <w:rPr>
                <w:noProof/>
                <w:webHidden/>
              </w:rPr>
              <w:t>64</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7" w:history="1">
            <w:r w:rsidR="00211162" w:rsidRPr="00E93900">
              <w:rPr>
                <w:rStyle w:val="Hyperlink"/>
                <w:noProof/>
              </w:rPr>
              <w:t>Snakes</w:t>
            </w:r>
            <w:r w:rsidR="00FB148A">
              <w:rPr>
                <w:rStyle w:val="Hyperlink"/>
                <w:noProof/>
              </w:rPr>
              <w:t>..</w:t>
            </w:r>
            <w:r w:rsidR="00211162">
              <w:rPr>
                <w:noProof/>
                <w:webHidden/>
              </w:rPr>
              <w:tab/>
            </w:r>
            <w:r w:rsidR="00211162">
              <w:rPr>
                <w:noProof/>
                <w:webHidden/>
              </w:rPr>
              <w:fldChar w:fldCharType="begin"/>
            </w:r>
            <w:r w:rsidR="00211162">
              <w:rPr>
                <w:noProof/>
                <w:webHidden/>
              </w:rPr>
              <w:instrText xml:space="preserve"> PAGEREF _Toc482206687 \h </w:instrText>
            </w:r>
            <w:r w:rsidR="00211162">
              <w:rPr>
                <w:noProof/>
                <w:webHidden/>
              </w:rPr>
            </w:r>
            <w:r w:rsidR="00211162">
              <w:rPr>
                <w:noProof/>
                <w:webHidden/>
              </w:rPr>
              <w:fldChar w:fldCharType="separate"/>
            </w:r>
            <w:r w:rsidR="00C61DE2">
              <w:rPr>
                <w:noProof/>
                <w:webHidden/>
              </w:rPr>
              <w:t>65</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8" w:history="1">
            <w:r w:rsidR="00211162" w:rsidRPr="00E93900">
              <w:rPr>
                <w:rStyle w:val="Hyperlink"/>
                <w:noProof/>
              </w:rPr>
              <w:t>Feline</w:t>
            </w:r>
            <w:r w:rsidR="00FB148A">
              <w:rPr>
                <w:rStyle w:val="Hyperlink"/>
                <w:noProof/>
              </w:rPr>
              <w:t>…</w:t>
            </w:r>
            <w:r w:rsidR="00211162">
              <w:rPr>
                <w:noProof/>
                <w:webHidden/>
              </w:rPr>
              <w:tab/>
            </w:r>
            <w:r w:rsidR="00211162">
              <w:rPr>
                <w:noProof/>
                <w:webHidden/>
              </w:rPr>
              <w:fldChar w:fldCharType="begin"/>
            </w:r>
            <w:r w:rsidR="00211162">
              <w:rPr>
                <w:noProof/>
                <w:webHidden/>
              </w:rPr>
              <w:instrText xml:space="preserve"> PAGEREF _Toc482206688 \h </w:instrText>
            </w:r>
            <w:r w:rsidR="00211162">
              <w:rPr>
                <w:noProof/>
                <w:webHidden/>
              </w:rPr>
            </w:r>
            <w:r w:rsidR="00211162">
              <w:rPr>
                <w:noProof/>
                <w:webHidden/>
              </w:rPr>
              <w:fldChar w:fldCharType="separate"/>
            </w:r>
            <w:r w:rsidR="00C61DE2">
              <w:rPr>
                <w:noProof/>
                <w:webHidden/>
              </w:rPr>
              <w:t>66</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89" w:history="1">
            <w:r w:rsidR="00211162" w:rsidRPr="00E93900">
              <w:rPr>
                <w:rStyle w:val="Hyperlink"/>
                <w:rFonts w:asciiTheme="majorHAnsi" w:hAnsiTheme="majorHAnsi"/>
                <w:noProof/>
              </w:rPr>
              <w:t>Flies/Bees</w:t>
            </w:r>
            <w:r w:rsidR="00211162">
              <w:rPr>
                <w:noProof/>
                <w:webHidden/>
              </w:rPr>
              <w:tab/>
            </w:r>
            <w:r w:rsidR="00211162">
              <w:rPr>
                <w:noProof/>
                <w:webHidden/>
              </w:rPr>
              <w:fldChar w:fldCharType="begin"/>
            </w:r>
            <w:r w:rsidR="00211162">
              <w:rPr>
                <w:noProof/>
                <w:webHidden/>
              </w:rPr>
              <w:instrText xml:space="preserve"> PAGEREF _Toc482206689 \h </w:instrText>
            </w:r>
            <w:r w:rsidR="00211162">
              <w:rPr>
                <w:noProof/>
                <w:webHidden/>
              </w:rPr>
            </w:r>
            <w:r w:rsidR="00211162">
              <w:rPr>
                <w:noProof/>
                <w:webHidden/>
              </w:rPr>
              <w:fldChar w:fldCharType="separate"/>
            </w:r>
            <w:r w:rsidR="00C61DE2">
              <w:rPr>
                <w:noProof/>
                <w:webHidden/>
              </w:rPr>
              <w:t>68</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90" w:history="1">
            <w:r w:rsidR="00211162" w:rsidRPr="00E93900">
              <w:rPr>
                <w:rStyle w:val="Hyperlink"/>
                <w:noProof/>
              </w:rPr>
              <w:t>Marine Objects</w:t>
            </w:r>
            <w:r w:rsidR="00211162">
              <w:rPr>
                <w:noProof/>
                <w:webHidden/>
              </w:rPr>
              <w:tab/>
            </w:r>
            <w:r w:rsidR="00211162">
              <w:rPr>
                <w:noProof/>
                <w:webHidden/>
              </w:rPr>
              <w:fldChar w:fldCharType="begin"/>
            </w:r>
            <w:r w:rsidR="00211162">
              <w:rPr>
                <w:noProof/>
                <w:webHidden/>
              </w:rPr>
              <w:instrText xml:space="preserve"> PAGEREF _Toc482206690 \h </w:instrText>
            </w:r>
            <w:r w:rsidR="00211162">
              <w:rPr>
                <w:noProof/>
                <w:webHidden/>
              </w:rPr>
            </w:r>
            <w:r w:rsidR="00211162">
              <w:rPr>
                <w:noProof/>
                <w:webHidden/>
              </w:rPr>
              <w:fldChar w:fldCharType="separate"/>
            </w:r>
            <w:r w:rsidR="00C61DE2">
              <w:rPr>
                <w:noProof/>
                <w:webHidden/>
              </w:rPr>
              <w:t>69</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91" w:history="1">
            <w:r w:rsidR="00211162" w:rsidRPr="00E93900">
              <w:rPr>
                <w:rStyle w:val="Hyperlink"/>
                <w:noProof/>
              </w:rPr>
              <w:t>Mythological Animals</w:t>
            </w:r>
            <w:r w:rsidR="00211162">
              <w:rPr>
                <w:noProof/>
                <w:webHidden/>
              </w:rPr>
              <w:tab/>
            </w:r>
            <w:r w:rsidR="00211162">
              <w:rPr>
                <w:noProof/>
                <w:webHidden/>
              </w:rPr>
              <w:fldChar w:fldCharType="begin"/>
            </w:r>
            <w:r w:rsidR="00211162">
              <w:rPr>
                <w:noProof/>
                <w:webHidden/>
              </w:rPr>
              <w:instrText xml:space="preserve"> PAGEREF _Toc482206691 \h </w:instrText>
            </w:r>
            <w:r w:rsidR="00211162">
              <w:rPr>
                <w:noProof/>
                <w:webHidden/>
              </w:rPr>
            </w:r>
            <w:r w:rsidR="00211162">
              <w:rPr>
                <w:noProof/>
                <w:webHidden/>
              </w:rPr>
              <w:fldChar w:fldCharType="separate"/>
            </w:r>
            <w:r w:rsidR="00C61DE2">
              <w:rPr>
                <w:noProof/>
                <w:webHidden/>
              </w:rPr>
              <w:t>70</w:t>
            </w:r>
            <w:r w:rsidR="00211162">
              <w:rPr>
                <w:noProof/>
                <w:webHidden/>
              </w:rPr>
              <w:fldChar w:fldCharType="end"/>
            </w:r>
          </w:hyperlink>
        </w:p>
        <w:p w:rsidR="00211162" w:rsidRDefault="009E3AD5">
          <w:pPr>
            <w:pStyle w:val="TOC3"/>
            <w:tabs>
              <w:tab w:val="right" w:leader="dot" w:pos="8486"/>
            </w:tabs>
            <w:rPr>
              <w:rFonts w:eastAsiaTheme="minorEastAsia" w:cstheme="minorBidi"/>
              <w:noProof/>
              <w:sz w:val="22"/>
              <w:szCs w:val="22"/>
              <w:lang w:bidi="ar-SA"/>
            </w:rPr>
          </w:pPr>
          <w:hyperlink w:anchor="_Toc482206692" w:history="1">
            <w:r w:rsidR="00211162" w:rsidRPr="00E93900">
              <w:rPr>
                <w:rStyle w:val="Hyperlink"/>
                <w:noProof/>
              </w:rPr>
              <w:t>Manticore</w:t>
            </w:r>
            <w:r w:rsidR="00211162">
              <w:rPr>
                <w:noProof/>
                <w:webHidden/>
              </w:rPr>
              <w:tab/>
            </w:r>
            <w:r w:rsidR="00211162">
              <w:rPr>
                <w:noProof/>
                <w:webHidden/>
              </w:rPr>
              <w:fldChar w:fldCharType="begin"/>
            </w:r>
            <w:r w:rsidR="00211162">
              <w:rPr>
                <w:noProof/>
                <w:webHidden/>
              </w:rPr>
              <w:instrText xml:space="preserve"> PAGEREF _Toc482206692 \h </w:instrText>
            </w:r>
            <w:r w:rsidR="00211162">
              <w:rPr>
                <w:noProof/>
                <w:webHidden/>
              </w:rPr>
            </w:r>
            <w:r w:rsidR="00211162">
              <w:rPr>
                <w:noProof/>
                <w:webHidden/>
              </w:rPr>
              <w:fldChar w:fldCharType="separate"/>
            </w:r>
            <w:r w:rsidR="00C61DE2">
              <w:rPr>
                <w:noProof/>
                <w:webHidden/>
              </w:rPr>
              <w:t>70</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93" w:history="1">
            <w:r w:rsidR="00211162" w:rsidRPr="00E93900">
              <w:rPr>
                <w:rStyle w:val="Hyperlink"/>
                <w:rFonts w:asciiTheme="majorHAnsi" w:hAnsiTheme="majorHAnsi"/>
                <w:noProof/>
              </w:rPr>
              <w:t>Chapter 4: Conclusion</w:t>
            </w:r>
            <w:r w:rsidR="00211162">
              <w:rPr>
                <w:noProof/>
                <w:webHidden/>
              </w:rPr>
              <w:tab/>
            </w:r>
            <w:r w:rsidR="00211162">
              <w:rPr>
                <w:noProof/>
                <w:webHidden/>
              </w:rPr>
              <w:fldChar w:fldCharType="begin"/>
            </w:r>
            <w:r w:rsidR="00211162">
              <w:rPr>
                <w:noProof/>
                <w:webHidden/>
              </w:rPr>
              <w:instrText xml:space="preserve"> PAGEREF _Toc482206693 \h </w:instrText>
            </w:r>
            <w:r w:rsidR="00211162">
              <w:rPr>
                <w:noProof/>
                <w:webHidden/>
              </w:rPr>
            </w:r>
            <w:r w:rsidR="00211162">
              <w:rPr>
                <w:noProof/>
                <w:webHidden/>
              </w:rPr>
              <w:fldChar w:fldCharType="separate"/>
            </w:r>
            <w:r w:rsidR="00C61DE2">
              <w:rPr>
                <w:noProof/>
                <w:webHidden/>
              </w:rPr>
              <w:t>73</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94" w:history="1">
            <w:r w:rsidR="00211162" w:rsidRPr="00E93900">
              <w:rPr>
                <w:rStyle w:val="Hyperlink"/>
                <w:rFonts w:eastAsia="Calibri"/>
                <w:noProof/>
              </w:rPr>
              <w:t>A Brief Note on the Current State of Research</w:t>
            </w:r>
            <w:r w:rsidR="00211162">
              <w:rPr>
                <w:noProof/>
                <w:webHidden/>
              </w:rPr>
              <w:tab/>
            </w:r>
            <w:r w:rsidR="00211162">
              <w:rPr>
                <w:noProof/>
                <w:webHidden/>
              </w:rPr>
              <w:fldChar w:fldCharType="begin"/>
            </w:r>
            <w:r w:rsidR="00211162">
              <w:rPr>
                <w:noProof/>
                <w:webHidden/>
              </w:rPr>
              <w:instrText xml:space="preserve"> PAGEREF _Toc482206694 \h </w:instrText>
            </w:r>
            <w:r w:rsidR="00211162">
              <w:rPr>
                <w:noProof/>
                <w:webHidden/>
              </w:rPr>
            </w:r>
            <w:r w:rsidR="00211162">
              <w:rPr>
                <w:noProof/>
                <w:webHidden/>
              </w:rPr>
              <w:fldChar w:fldCharType="separate"/>
            </w:r>
            <w:r w:rsidR="00C61DE2">
              <w:rPr>
                <w:noProof/>
                <w:webHidden/>
              </w:rPr>
              <w:t>75</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95" w:history="1">
            <w:r w:rsidR="00211162" w:rsidRPr="00E93900">
              <w:rPr>
                <w:rStyle w:val="Hyperlink"/>
                <w:rFonts w:asciiTheme="majorHAnsi" w:hAnsiTheme="majorHAnsi"/>
                <w:noProof/>
              </w:rPr>
              <w:t>Bibliography</w:t>
            </w:r>
            <w:r w:rsidR="00211162">
              <w:rPr>
                <w:noProof/>
                <w:webHidden/>
              </w:rPr>
              <w:tab/>
            </w:r>
            <w:r w:rsidR="00211162">
              <w:rPr>
                <w:noProof/>
                <w:webHidden/>
              </w:rPr>
              <w:fldChar w:fldCharType="begin"/>
            </w:r>
            <w:r w:rsidR="00211162">
              <w:rPr>
                <w:noProof/>
                <w:webHidden/>
              </w:rPr>
              <w:instrText xml:space="preserve"> PAGEREF _Toc482206695 \h </w:instrText>
            </w:r>
            <w:r w:rsidR="00211162">
              <w:rPr>
                <w:noProof/>
                <w:webHidden/>
              </w:rPr>
            </w:r>
            <w:r w:rsidR="00211162">
              <w:rPr>
                <w:noProof/>
                <w:webHidden/>
              </w:rPr>
              <w:fldChar w:fldCharType="separate"/>
            </w:r>
            <w:r w:rsidR="00C61DE2">
              <w:rPr>
                <w:noProof/>
                <w:webHidden/>
              </w:rPr>
              <w:t>83</w:t>
            </w:r>
            <w:r w:rsidR="00211162">
              <w:rPr>
                <w:noProof/>
                <w:webHidden/>
              </w:rPr>
              <w:fldChar w:fldCharType="end"/>
            </w:r>
          </w:hyperlink>
        </w:p>
        <w:p w:rsidR="00211162" w:rsidRDefault="009E3AD5">
          <w:pPr>
            <w:pStyle w:val="TOC1"/>
            <w:rPr>
              <w:rFonts w:eastAsiaTheme="minorEastAsia" w:cstheme="minorBidi"/>
              <w:noProof/>
              <w:sz w:val="22"/>
              <w:szCs w:val="22"/>
              <w:lang w:bidi="ar-SA"/>
            </w:rPr>
          </w:pPr>
          <w:hyperlink w:anchor="_Toc482206696" w:history="1">
            <w:r w:rsidR="00211162" w:rsidRPr="00E93900">
              <w:rPr>
                <w:rStyle w:val="Hyperlink"/>
                <w:rFonts w:asciiTheme="majorHAnsi" w:hAnsiTheme="majorHAnsi"/>
                <w:noProof/>
              </w:rPr>
              <w:t>Appendix A: Catalog Reference List, Chronological</w:t>
            </w:r>
            <w:r w:rsidR="00211162">
              <w:rPr>
                <w:noProof/>
                <w:webHidden/>
              </w:rPr>
              <w:tab/>
            </w:r>
            <w:r w:rsidR="00211162">
              <w:rPr>
                <w:noProof/>
                <w:webHidden/>
              </w:rPr>
              <w:fldChar w:fldCharType="begin"/>
            </w:r>
            <w:r w:rsidR="00211162">
              <w:rPr>
                <w:noProof/>
                <w:webHidden/>
              </w:rPr>
              <w:instrText xml:space="preserve"> PAGEREF _Toc482206696 \h </w:instrText>
            </w:r>
            <w:r w:rsidR="00211162">
              <w:rPr>
                <w:noProof/>
                <w:webHidden/>
              </w:rPr>
            </w:r>
            <w:r w:rsidR="00211162">
              <w:rPr>
                <w:noProof/>
                <w:webHidden/>
              </w:rPr>
              <w:fldChar w:fldCharType="separate"/>
            </w:r>
            <w:r w:rsidR="00C61DE2">
              <w:rPr>
                <w:noProof/>
                <w:webHidden/>
              </w:rPr>
              <w:t>98</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97" w:history="1">
            <w:r w:rsidR="00211162" w:rsidRPr="00E93900">
              <w:rPr>
                <w:rStyle w:val="Hyperlink"/>
                <w:noProof/>
              </w:rPr>
              <w:t>Early Cycladic I (3200 BCE-2800/2700 BCE)</w:t>
            </w:r>
            <w:r w:rsidR="00211162">
              <w:rPr>
                <w:noProof/>
                <w:webHidden/>
              </w:rPr>
              <w:tab/>
            </w:r>
            <w:r w:rsidR="00211162">
              <w:rPr>
                <w:noProof/>
                <w:webHidden/>
              </w:rPr>
              <w:fldChar w:fldCharType="begin"/>
            </w:r>
            <w:r w:rsidR="00211162">
              <w:rPr>
                <w:noProof/>
                <w:webHidden/>
              </w:rPr>
              <w:instrText xml:space="preserve"> PAGEREF _Toc482206697 \h </w:instrText>
            </w:r>
            <w:r w:rsidR="00211162">
              <w:rPr>
                <w:noProof/>
                <w:webHidden/>
              </w:rPr>
            </w:r>
            <w:r w:rsidR="00211162">
              <w:rPr>
                <w:noProof/>
                <w:webHidden/>
              </w:rPr>
              <w:fldChar w:fldCharType="separate"/>
            </w:r>
            <w:r w:rsidR="00C61DE2">
              <w:rPr>
                <w:noProof/>
                <w:webHidden/>
              </w:rPr>
              <w:t>100</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98" w:history="1">
            <w:r w:rsidR="00211162" w:rsidRPr="00E93900">
              <w:rPr>
                <w:rStyle w:val="Hyperlink"/>
                <w:noProof/>
              </w:rPr>
              <w:t>Early Cycladic II (2800/2700 BCE-2400/2300 BCE)</w:t>
            </w:r>
            <w:r w:rsidR="00211162">
              <w:rPr>
                <w:noProof/>
                <w:webHidden/>
              </w:rPr>
              <w:tab/>
            </w:r>
            <w:r w:rsidR="00211162">
              <w:rPr>
                <w:noProof/>
                <w:webHidden/>
              </w:rPr>
              <w:fldChar w:fldCharType="begin"/>
            </w:r>
            <w:r w:rsidR="00211162">
              <w:rPr>
                <w:noProof/>
                <w:webHidden/>
              </w:rPr>
              <w:instrText xml:space="preserve"> PAGEREF _Toc482206698 \h </w:instrText>
            </w:r>
            <w:r w:rsidR="00211162">
              <w:rPr>
                <w:noProof/>
                <w:webHidden/>
              </w:rPr>
            </w:r>
            <w:r w:rsidR="00211162">
              <w:rPr>
                <w:noProof/>
                <w:webHidden/>
              </w:rPr>
              <w:fldChar w:fldCharType="separate"/>
            </w:r>
            <w:r w:rsidR="00C61DE2">
              <w:rPr>
                <w:noProof/>
                <w:webHidden/>
              </w:rPr>
              <w:t>115</w:t>
            </w:r>
            <w:r w:rsidR="00211162">
              <w:rPr>
                <w:noProof/>
                <w:webHidden/>
              </w:rPr>
              <w:fldChar w:fldCharType="end"/>
            </w:r>
          </w:hyperlink>
        </w:p>
        <w:p w:rsidR="00211162" w:rsidRDefault="009E3AD5">
          <w:pPr>
            <w:pStyle w:val="TOC2"/>
            <w:tabs>
              <w:tab w:val="right" w:leader="dot" w:pos="8486"/>
            </w:tabs>
            <w:rPr>
              <w:rFonts w:eastAsiaTheme="minorEastAsia" w:cstheme="minorBidi"/>
              <w:noProof/>
              <w:sz w:val="22"/>
              <w:szCs w:val="22"/>
              <w:lang w:bidi="ar-SA"/>
            </w:rPr>
          </w:pPr>
          <w:hyperlink w:anchor="_Toc482206699" w:history="1">
            <w:r w:rsidR="00211162" w:rsidRPr="00E93900">
              <w:rPr>
                <w:rStyle w:val="Hyperlink"/>
                <w:noProof/>
              </w:rPr>
              <w:t>Early Cycladic III (2400/2300 BCE-2000 BCE)</w:t>
            </w:r>
            <w:r w:rsidR="00211162">
              <w:rPr>
                <w:noProof/>
                <w:webHidden/>
              </w:rPr>
              <w:tab/>
            </w:r>
            <w:r w:rsidR="00211162">
              <w:rPr>
                <w:noProof/>
                <w:webHidden/>
              </w:rPr>
              <w:fldChar w:fldCharType="begin"/>
            </w:r>
            <w:r w:rsidR="00211162">
              <w:rPr>
                <w:noProof/>
                <w:webHidden/>
              </w:rPr>
              <w:instrText xml:space="preserve"> PAGEREF _Toc482206699 \h </w:instrText>
            </w:r>
            <w:r w:rsidR="00211162">
              <w:rPr>
                <w:noProof/>
                <w:webHidden/>
              </w:rPr>
            </w:r>
            <w:r w:rsidR="00211162">
              <w:rPr>
                <w:noProof/>
                <w:webHidden/>
              </w:rPr>
              <w:fldChar w:fldCharType="separate"/>
            </w:r>
            <w:r w:rsidR="00C61DE2">
              <w:rPr>
                <w:noProof/>
                <w:webHidden/>
              </w:rPr>
              <w:t>196</w:t>
            </w:r>
            <w:r w:rsidR="00211162">
              <w:rPr>
                <w:noProof/>
                <w:webHidden/>
              </w:rPr>
              <w:fldChar w:fldCharType="end"/>
            </w:r>
          </w:hyperlink>
        </w:p>
        <w:p w:rsidR="009438AE" w:rsidRDefault="009438AE">
          <w:r>
            <w:rPr>
              <w:b/>
              <w:bCs/>
              <w:noProof/>
            </w:rPr>
            <w:fldChar w:fldCharType="end"/>
          </w:r>
        </w:p>
      </w:sdtContent>
    </w:sdt>
    <w:p w:rsidR="00DA1971" w:rsidRDefault="00C92079" w:rsidP="000504BA">
      <w:pPr>
        <w:tabs>
          <w:tab w:val="left" w:pos="7215"/>
        </w:tabs>
      </w:pPr>
      <w:r>
        <w:t xml:space="preserve"> </w:t>
      </w:r>
      <w:r w:rsidR="000504BA">
        <w:tab/>
      </w:r>
    </w:p>
    <w:p w:rsidR="004D0DE2" w:rsidRDefault="00DA1971" w:rsidP="004D0DE2">
      <w:pPr>
        <w:pStyle w:val="Heading1"/>
      </w:pPr>
      <w:r>
        <w:br w:type="page"/>
      </w:r>
    </w:p>
    <w:bookmarkStart w:id="4" w:name="_Toc310579466"/>
    <w:bookmarkStart w:id="5" w:name="_Toc315681360"/>
    <w:bookmarkStart w:id="6" w:name="_Toc482206667"/>
    <w:p w:rsidR="00DA1971" w:rsidRDefault="009E3AD5" w:rsidP="00F061D4">
      <w:pPr>
        <w:pStyle w:val="Heading1"/>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bookmarkEnd w:id="6"/>
    </w:p>
    <w:p w:rsidR="009C4FEF" w:rsidRPr="00EE3EDB" w:rsidRDefault="009C4FEF" w:rsidP="009C4FEF">
      <w:pPr>
        <w:pStyle w:val="NoSpacing"/>
      </w:pPr>
    </w:p>
    <w:p w:rsidR="00FB148A"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2207250" w:history="1">
        <w:r w:rsidR="00FB148A" w:rsidRPr="008C772B">
          <w:rPr>
            <w:rStyle w:val="Hyperlink"/>
            <w:noProof/>
          </w:rPr>
          <w:t>Figure 1: The Cycladic Islands. Renfrew, The Emergence of Civilization, 137.</w:t>
        </w:r>
        <w:r w:rsidR="00FB148A">
          <w:rPr>
            <w:noProof/>
            <w:webHidden/>
          </w:rPr>
          <w:tab/>
        </w:r>
        <w:r w:rsidR="00FB148A">
          <w:rPr>
            <w:noProof/>
            <w:webHidden/>
          </w:rPr>
          <w:fldChar w:fldCharType="begin"/>
        </w:r>
        <w:r w:rsidR="00FB148A">
          <w:rPr>
            <w:noProof/>
            <w:webHidden/>
          </w:rPr>
          <w:instrText xml:space="preserve"> PAGEREF _Toc482207250 \h </w:instrText>
        </w:r>
        <w:r w:rsidR="00FB148A">
          <w:rPr>
            <w:noProof/>
            <w:webHidden/>
          </w:rPr>
        </w:r>
        <w:r w:rsidR="00FB148A">
          <w:rPr>
            <w:noProof/>
            <w:webHidden/>
          </w:rPr>
          <w:fldChar w:fldCharType="separate"/>
        </w:r>
        <w:r w:rsidR="00C61DE2">
          <w:rPr>
            <w:noProof/>
            <w:webHidden/>
          </w:rPr>
          <w:t>76</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8" w:anchor="_Toc482207251" w:history="1">
        <w:r w:rsidR="00FB148A" w:rsidRPr="008C772B">
          <w:rPr>
            <w:rStyle w:val="Hyperlink"/>
            <w:noProof/>
          </w:rPr>
          <w:t>Figure 2: Axes of migration into the Cyclades. Broodbank, An Island Archaeology, 132.</w:t>
        </w:r>
        <w:r w:rsidR="00FB148A">
          <w:rPr>
            <w:noProof/>
            <w:webHidden/>
          </w:rPr>
          <w:tab/>
        </w:r>
        <w:r w:rsidR="00FB148A">
          <w:rPr>
            <w:noProof/>
            <w:webHidden/>
          </w:rPr>
          <w:fldChar w:fldCharType="begin"/>
        </w:r>
        <w:r w:rsidR="00FB148A">
          <w:rPr>
            <w:noProof/>
            <w:webHidden/>
          </w:rPr>
          <w:instrText xml:space="preserve"> PAGEREF _Toc482207251 \h </w:instrText>
        </w:r>
        <w:r w:rsidR="00FB148A">
          <w:rPr>
            <w:noProof/>
            <w:webHidden/>
          </w:rPr>
        </w:r>
        <w:r w:rsidR="00FB148A">
          <w:rPr>
            <w:noProof/>
            <w:webHidden/>
          </w:rPr>
          <w:fldChar w:fldCharType="separate"/>
        </w:r>
        <w:r w:rsidR="00C61DE2">
          <w:rPr>
            <w:noProof/>
            <w:webHidden/>
          </w:rPr>
          <w:t>77</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9" w:anchor="_Toc482207252" w:history="1">
        <w:r w:rsidR="00FB148A" w:rsidRPr="008C772B">
          <w:rPr>
            <w:rStyle w:val="Hyperlink"/>
            <w:noProof/>
          </w:rPr>
          <w:t>Figure 3: Neolithic sites in the Cyclades. Broodbank, An Island Archaeology, 122.</w:t>
        </w:r>
        <w:r w:rsidR="00FB148A">
          <w:rPr>
            <w:noProof/>
            <w:webHidden/>
          </w:rPr>
          <w:tab/>
        </w:r>
        <w:r w:rsidR="00FB148A">
          <w:rPr>
            <w:noProof/>
            <w:webHidden/>
          </w:rPr>
          <w:fldChar w:fldCharType="begin"/>
        </w:r>
        <w:r w:rsidR="00FB148A">
          <w:rPr>
            <w:noProof/>
            <w:webHidden/>
          </w:rPr>
          <w:instrText xml:space="preserve"> PAGEREF _Toc482207252 \h </w:instrText>
        </w:r>
        <w:r w:rsidR="00FB148A">
          <w:rPr>
            <w:noProof/>
            <w:webHidden/>
          </w:rPr>
        </w:r>
        <w:r w:rsidR="00FB148A">
          <w:rPr>
            <w:noProof/>
            <w:webHidden/>
          </w:rPr>
          <w:fldChar w:fldCharType="separate"/>
        </w:r>
        <w:r w:rsidR="00C61DE2">
          <w:rPr>
            <w:noProof/>
            <w:webHidden/>
          </w:rPr>
          <w:t>78</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10" w:anchor="_Toc482207253" w:history="1">
        <w:r w:rsidR="00FB148A" w:rsidRPr="008C772B">
          <w:rPr>
            <w:rStyle w:val="Hyperlink"/>
            <w:noProof/>
          </w:rPr>
          <w:t>Figure 4: The early prehistoric culture sequence in the Cycladic Islands. Renfrew, The Emergence of Civilization, 150.</w:t>
        </w:r>
        <w:r w:rsidR="00FB148A">
          <w:rPr>
            <w:noProof/>
            <w:webHidden/>
          </w:rPr>
          <w:tab/>
        </w:r>
        <w:r w:rsidR="00FB148A">
          <w:rPr>
            <w:noProof/>
            <w:webHidden/>
          </w:rPr>
          <w:fldChar w:fldCharType="begin"/>
        </w:r>
        <w:r w:rsidR="00FB148A">
          <w:rPr>
            <w:noProof/>
            <w:webHidden/>
          </w:rPr>
          <w:instrText xml:space="preserve"> PAGEREF _Toc482207253 \h </w:instrText>
        </w:r>
        <w:r w:rsidR="00FB148A">
          <w:rPr>
            <w:noProof/>
            <w:webHidden/>
          </w:rPr>
        </w:r>
        <w:r w:rsidR="00FB148A">
          <w:rPr>
            <w:noProof/>
            <w:webHidden/>
          </w:rPr>
          <w:fldChar w:fldCharType="separate"/>
        </w:r>
        <w:r w:rsidR="00C61DE2">
          <w:rPr>
            <w:noProof/>
            <w:webHidden/>
          </w:rPr>
          <w:t>79</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11" w:anchor="_Toc482207254" w:history="1">
        <w:r w:rsidR="00FB148A" w:rsidRPr="008C772B">
          <w:rPr>
            <w:rStyle w:val="Hyperlink"/>
            <w:noProof/>
          </w:rPr>
          <w:t>Figure 5: The Early Prehistoric Culture Sequence in the Cycladic Islands; Renfrew, The Emergence of Civilization, 150.</w:t>
        </w:r>
        <w:r w:rsidR="00FB148A">
          <w:rPr>
            <w:noProof/>
            <w:webHidden/>
          </w:rPr>
          <w:tab/>
        </w:r>
        <w:r w:rsidR="00FB148A">
          <w:rPr>
            <w:noProof/>
            <w:webHidden/>
          </w:rPr>
          <w:fldChar w:fldCharType="begin"/>
        </w:r>
        <w:r w:rsidR="00FB148A">
          <w:rPr>
            <w:noProof/>
            <w:webHidden/>
          </w:rPr>
          <w:instrText xml:space="preserve"> PAGEREF _Toc482207254 \h </w:instrText>
        </w:r>
        <w:r w:rsidR="00FB148A">
          <w:rPr>
            <w:noProof/>
            <w:webHidden/>
          </w:rPr>
        </w:r>
        <w:r w:rsidR="00FB148A">
          <w:rPr>
            <w:noProof/>
            <w:webHidden/>
          </w:rPr>
          <w:fldChar w:fldCharType="separate"/>
        </w:r>
        <w:r w:rsidR="00C61DE2">
          <w:rPr>
            <w:noProof/>
            <w:webHidden/>
          </w:rPr>
          <w:t>80</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12" w:anchor="_Toc482207255" w:history="1">
        <w:r w:rsidR="00FB148A" w:rsidRPr="008C772B">
          <w:rPr>
            <w:rStyle w:val="Hyperlink"/>
            <w:noProof/>
          </w:rPr>
          <w:t>Figure 6: Chart of chronological and typological development of Cycladic figurines; Getz-Gentle, Early Cycladic Art in North American Collections, 48.</w:t>
        </w:r>
        <w:r w:rsidR="00FB148A">
          <w:rPr>
            <w:noProof/>
            <w:webHidden/>
          </w:rPr>
          <w:tab/>
        </w:r>
        <w:r w:rsidR="00FB148A">
          <w:rPr>
            <w:noProof/>
            <w:webHidden/>
          </w:rPr>
          <w:fldChar w:fldCharType="begin"/>
        </w:r>
        <w:r w:rsidR="00FB148A">
          <w:rPr>
            <w:noProof/>
            <w:webHidden/>
          </w:rPr>
          <w:instrText xml:space="preserve"> PAGEREF _Toc482207255 \h </w:instrText>
        </w:r>
        <w:r w:rsidR="00FB148A">
          <w:rPr>
            <w:noProof/>
            <w:webHidden/>
          </w:rPr>
        </w:r>
        <w:r w:rsidR="00FB148A">
          <w:rPr>
            <w:noProof/>
            <w:webHidden/>
          </w:rPr>
          <w:fldChar w:fldCharType="separate"/>
        </w:r>
        <w:r w:rsidR="00C61DE2">
          <w:rPr>
            <w:noProof/>
            <w:webHidden/>
          </w:rPr>
          <w:t>81</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13" w:anchor="_Toc482207256" w:history="1">
        <w:r w:rsidR="00FB148A" w:rsidRPr="008C772B">
          <w:rPr>
            <w:rStyle w:val="Hyperlink"/>
            <w:noProof/>
          </w:rPr>
          <w:t>Figure 7: Part of a large floor composition from Strofilas, Andros; Televantou, "Strofilas: A Neolithic Settlement on Andros," 49.</w:t>
        </w:r>
        <w:r w:rsidR="00FB148A">
          <w:rPr>
            <w:noProof/>
            <w:webHidden/>
          </w:rPr>
          <w:tab/>
        </w:r>
        <w:r w:rsidR="00FB148A">
          <w:rPr>
            <w:noProof/>
            <w:webHidden/>
          </w:rPr>
          <w:fldChar w:fldCharType="begin"/>
        </w:r>
        <w:r w:rsidR="00FB148A">
          <w:rPr>
            <w:noProof/>
            <w:webHidden/>
          </w:rPr>
          <w:instrText xml:space="preserve"> PAGEREF _Toc482207256 \h </w:instrText>
        </w:r>
        <w:r w:rsidR="00FB148A">
          <w:rPr>
            <w:noProof/>
            <w:webHidden/>
          </w:rPr>
        </w:r>
        <w:r w:rsidR="00FB148A">
          <w:rPr>
            <w:noProof/>
            <w:webHidden/>
          </w:rPr>
          <w:fldChar w:fldCharType="separate"/>
        </w:r>
        <w:r w:rsidR="00C61DE2">
          <w:rPr>
            <w:noProof/>
            <w:webHidden/>
          </w:rPr>
          <w:t>82</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14" w:anchor="_Toc482207257" w:history="1">
        <w:r w:rsidR="00FB148A" w:rsidRPr="008C772B">
          <w:rPr>
            <w:rStyle w:val="Hyperlink"/>
            <w:noProof/>
          </w:rPr>
          <w:t>Figure 8: Rock pecking showing a canoe carrying a person and an animal, from Korphi t'Aroniou on Naxos; Broodbank, An Island Archaeology, 98.</w:t>
        </w:r>
        <w:r w:rsidR="00FB148A">
          <w:rPr>
            <w:noProof/>
            <w:webHidden/>
          </w:rPr>
          <w:tab/>
        </w:r>
        <w:r w:rsidR="00FB148A">
          <w:rPr>
            <w:noProof/>
            <w:webHidden/>
          </w:rPr>
          <w:fldChar w:fldCharType="begin"/>
        </w:r>
        <w:r w:rsidR="00FB148A">
          <w:rPr>
            <w:noProof/>
            <w:webHidden/>
          </w:rPr>
          <w:instrText xml:space="preserve"> PAGEREF _Toc482207257 \h </w:instrText>
        </w:r>
        <w:r w:rsidR="00FB148A">
          <w:rPr>
            <w:noProof/>
            <w:webHidden/>
          </w:rPr>
        </w:r>
        <w:r w:rsidR="00FB148A">
          <w:rPr>
            <w:noProof/>
            <w:webHidden/>
          </w:rPr>
          <w:fldChar w:fldCharType="separate"/>
        </w:r>
        <w:r w:rsidR="00C61DE2">
          <w:rPr>
            <w:noProof/>
            <w:webHidden/>
          </w:rPr>
          <w:t>82</w:t>
        </w:r>
        <w:r w:rsidR="00FB148A">
          <w:rPr>
            <w:noProof/>
            <w:webHidden/>
          </w:rPr>
          <w:fldChar w:fldCharType="end"/>
        </w:r>
      </w:hyperlink>
    </w:p>
    <w:p w:rsidR="00FB148A" w:rsidRDefault="009E3AD5">
      <w:pPr>
        <w:pStyle w:val="TableofFigures"/>
        <w:tabs>
          <w:tab w:val="right" w:leader="dot" w:pos="8486"/>
        </w:tabs>
        <w:rPr>
          <w:rFonts w:eastAsiaTheme="minorEastAsia" w:cstheme="minorBidi"/>
          <w:noProof/>
          <w:sz w:val="22"/>
          <w:szCs w:val="22"/>
          <w:lang w:bidi="ar-SA"/>
        </w:rPr>
      </w:pPr>
      <w:hyperlink r:id="rId15" w:anchor="_Toc482207258" w:history="1">
        <w:r w:rsidR="00FB148A" w:rsidRPr="008C772B">
          <w:rPr>
            <w:rStyle w:val="Hyperlink"/>
            <w:noProof/>
          </w:rPr>
          <w:t>Figure 9: Ring-shaped idol pendant from Strofilas and Keros-Syros 'frying pan', Chalandriani; Televantou, "Strofilas: A Neolithic Settlement on Andros," 52; National Archaeological Museum website, accessed 3/19/17.</w:t>
        </w:r>
        <w:r w:rsidR="00FB148A">
          <w:rPr>
            <w:noProof/>
            <w:webHidden/>
          </w:rPr>
          <w:tab/>
        </w:r>
        <w:r w:rsidR="00FB148A">
          <w:rPr>
            <w:noProof/>
            <w:webHidden/>
          </w:rPr>
          <w:fldChar w:fldCharType="begin"/>
        </w:r>
        <w:r w:rsidR="00FB148A">
          <w:rPr>
            <w:noProof/>
            <w:webHidden/>
          </w:rPr>
          <w:instrText xml:space="preserve"> PAGEREF _Toc482207258 \h </w:instrText>
        </w:r>
        <w:r w:rsidR="00FB148A">
          <w:rPr>
            <w:noProof/>
            <w:webHidden/>
          </w:rPr>
        </w:r>
        <w:r w:rsidR="00FB148A">
          <w:rPr>
            <w:noProof/>
            <w:webHidden/>
          </w:rPr>
          <w:fldChar w:fldCharType="separate"/>
        </w:r>
        <w:r w:rsidR="00C61DE2">
          <w:rPr>
            <w:noProof/>
            <w:webHidden/>
          </w:rPr>
          <w:t>82</w:t>
        </w:r>
        <w:r w:rsidR="00FB148A">
          <w:rPr>
            <w:noProof/>
            <w:webHidden/>
          </w:rPr>
          <w:fldChar w:fldCharType="end"/>
        </w:r>
      </w:hyperlink>
    </w:p>
    <w:p w:rsidR="00DA1971" w:rsidRDefault="00AA4AED" w:rsidP="00C16C66">
      <w:pPr>
        <w:pStyle w:val="Heading1"/>
      </w:pPr>
      <w:r>
        <w:fldChar w:fldCharType="end"/>
      </w:r>
      <w:r w:rsidR="00DA1971">
        <w:br w:type="page"/>
      </w:r>
      <w:bookmarkStart w:id="7" w:name="_Toc310579467"/>
      <w:bookmarkStart w:id="8" w:name="_Toc315681361"/>
      <w:bookmarkStart w:id="9" w:name="_Toc482206668"/>
      <w:r w:rsidR="00DA1971">
        <w:lastRenderedPageBreak/>
        <w:t>Abstract</w:t>
      </w:r>
      <w:bookmarkEnd w:id="7"/>
      <w:bookmarkEnd w:id="8"/>
      <w:bookmarkEnd w:id="9"/>
    </w:p>
    <w:p w:rsidR="0074694C" w:rsidRDefault="0074694C" w:rsidP="0074694C">
      <w:pPr>
        <w:ind w:firstLine="720"/>
      </w:pPr>
      <w:r>
        <w:t xml:space="preserve">The focus of my thesis is to examine the noteworthy role that three-dimensional zoomorphic figures played in Cycladic Art during the Early Bronze Age Aegean period.  The importance of animals for this period, clearly documented by their artistic representations, has largely been surpassed by scholarship on the anthropomorphic figures found in and around burial sites.  It is my intention   with this study, and an accompanying reference list of sixty-nine works, to provide evidence that supports the importance of the animals, their relationship to the communities of the islands, and to discuss the reasons and iconography behind their artistic production. </w:t>
      </w:r>
    </w:p>
    <w:p w:rsidR="0074694C" w:rsidRDefault="000504BA" w:rsidP="0074694C">
      <w:pPr>
        <w:ind w:firstLine="720"/>
        <w:sectPr w:rsidR="0074694C" w:rsidSect="00775701">
          <w:footerReference w:type="default" r:id="rId16"/>
          <w:pgSz w:w="12240" w:h="15840" w:code="1"/>
          <w:pgMar w:top="1440" w:right="1440" w:bottom="1440" w:left="2304" w:header="720" w:footer="720" w:gutter="0"/>
          <w:pgNumType w:fmt="lowerRoman" w:start="4"/>
          <w:cols w:space="720"/>
          <w:docGrid w:linePitch="360"/>
        </w:sectPr>
      </w:pPr>
      <w:r>
        <w:t xml:space="preserve">Previously, the zoomorphic </w:t>
      </w:r>
      <w:r w:rsidR="0074694C">
        <w:t xml:space="preserve">objects discussed here have been studied </w:t>
      </w:r>
      <w:r>
        <w:t>considering</w:t>
      </w:r>
      <w:r w:rsidR="0074694C">
        <w:t xml:space="preserve"> the archaeological context of their discover</w:t>
      </w:r>
      <w:r w:rsidR="008A65BE">
        <w:t>y</w:t>
      </w:r>
      <w:r w:rsidR="0074694C">
        <w:t xml:space="preserve">, as part of a chronological group or on an individual basis only for their aesthetic qualities. However, by compiling them as an isolated corpus of objects, and then arranging them chronologically, new interpretations become apparent. When these considerations are combined with existing information known about the settlements and cemeteries where they were excavated, established hypotheses about other artifacts, and comparative data concerning cultures of contact, it is possible to </w:t>
      </w:r>
      <w:r w:rsidR="008A65BE">
        <w:t>come to</w:t>
      </w:r>
      <w:r w:rsidR="0074694C">
        <w:t xml:space="preserve"> </w:t>
      </w:r>
      <w:r w:rsidR="008A65BE">
        <w:t>new perspectives</w:t>
      </w:r>
      <w:r w:rsidR="0074694C">
        <w:t xml:space="preserve"> concerning the role of animal objects in the Early Cycladic period. I propose that the three-dimensional zoomorphic figures represented in the catalog reference list are in the categories of votives and occasionally cult images used in domestic cult activity. </w:t>
      </w:r>
    </w:p>
    <w:p w:rsidR="004D0DE2" w:rsidRPr="004D0DE2" w:rsidRDefault="004D0DE2" w:rsidP="004D0DE2">
      <w:pPr>
        <w:jc w:val="center"/>
        <w:outlineLvl w:val="0"/>
        <w:rPr>
          <w:rFonts w:asciiTheme="majorHAnsi" w:hAnsiTheme="majorHAnsi"/>
          <w:b/>
          <w:bCs/>
          <w:sz w:val="28"/>
          <w:szCs w:val="32"/>
        </w:rPr>
      </w:pPr>
      <w:bookmarkStart w:id="10" w:name="_Toc482206669"/>
      <w:r w:rsidRPr="004D0DE2">
        <w:rPr>
          <w:rFonts w:asciiTheme="majorHAnsi" w:hAnsiTheme="majorHAnsi"/>
          <w:b/>
          <w:bCs/>
          <w:sz w:val="28"/>
          <w:szCs w:val="32"/>
        </w:rPr>
        <w:lastRenderedPageBreak/>
        <w:t>Chapter 1: Introduction</w:t>
      </w:r>
      <w:bookmarkEnd w:id="10"/>
    </w:p>
    <w:p w:rsidR="004D0DE2" w:rsidRPr="004D0DE2" w:rsidRDefault="004D0DE2" w:rsidP="004D0DE2">
      <w:pPr>
        <w:rPr>
          <w:rFonts w:ascii="Calibri" w:hAnsi="Calibri"/>
          <w:color w:val="000000"/>
          <w:lang w:bidi="ar-SA"/>
        </w:rPr>
      </w:pPr>
      <w:r w:rsidRPr="004D0DE2">
        <w:rPr>
          <w:rFonts w:ascii="Calibri" w:hAnsi="Calibri"/>
          <w:color w:val="000000"/>
        </w:rPr>
        <w:t xml:space="preserve">             </w:t>
      </w:r>
      <w:r w:rsidRPr="004D0DE2">
        <w:rPr>
          <w:rFonts w:asciiTheme="majorHAnsi" w:hAnsiTheme="majorHAnsi" w:cstheme="majorHAnsi"/>
          <w:color w:val="000000"/>
        </w:rPr>
        <w:t xml:space="preserve">Five thousand years ago, on a fractured island group in the Aegean Sea, dozens of small, tightly-knit communities were flourishing during the beginning of </w:t>
      </w:r>
      <w:r w:rsidR="00E35386">
        <w:rPr>
          <w:rFonts w:asciiTheme="majorHAnsi" w:hAnsiTheme="majorHAnsi" w:cstheme="majorHAnsi"/>
          <w:color w:val="000000"/>
        </w:rPr>
        <w:t>the Bronze Age in the Cyclades,</w:t>
      </w:r>
      <w:r w:rsidRPr="004D0DE2">
        <w:rPr>
          <w:rFonts w:asciiTheme="majorHAnsi" w:hAnsiTheme="majorHAnsi" w:cstheme="majorHAnsi"/>
          <w:color w:val="000000"/>
        </w:rPr>
        <w:t xml:space="preserve"> (Fig.1). This early Cyc</w:t>
      </w:r>
      <w:r w:rsidR="00B328CA">
        <w:rPr>
          <w:rFonts w:asciiTheme="majorHAnsi" w:hAnsiTheme="majorHAnsi" w:cstheme="majorHAnsi"/>
          <w:color w:val="000000"/>
        </w:rPr>
        <w:t>ladic period (c.3200-2000 BCE</w:t>
      </w:r>
      <w:r w:rsidRPr="004D0DE2">
        <w:rPr>
          <w:rFonts w:asciiTheme="majorHAnsi" w:hAnsiTheme="majorHAnsi" w:cstheme="majorHAnsi"/>
          <w:color w:val="000000"/>
        </w:rPr>
        <w:t xml:space="preserve">) </w:t>
      </w:r>
      <w:r w:rsidRPr="004D0DE2">
        <w:rPr>
          <w:rFonts w:asciiTheme="majorHAnsi" w:hAnsiTheme="majorHAnsi" w:cstheme="majorHAnsi"/>
          <w:noProof/>
          <w:color w:val="000000"/>
        </w:rPr>
        <w:t>is primarily defined</w:t>
      </w:r>
      <w:r w:rsidRPr="004D0DE2">
        <w:rPr>
          <w:rFonts w:asciiTheme="majorHAnsi" w:hAnsiTheme="majorHAnsi" w:cstheme="majorHAnsi"/>
          <w:color w:val="000000"/>
        </w:rPr>
        <w:t xml:space="preserve"> by the myriad anthropomorphic marble figurines found in and around burial sites on these islands. A smaller corpus of figures are the </w:t>
      </w:r>
      <w:r w:rsidRPr="004D0DE2">
        <w:rPr>
          <w:rFonts w:asciiTheme="majorHAnsi" w:hAnsiTheme="majorHAnsi" w:cstheme="majorHAnsi"/>
          <w:noProof/>
          <w:color w:val="000000"/>
        </w:rPr>
        <w:t>three-dimensional</w:t>
      </w:r>
      <w:r w:rsidRPr="004D0DE2">
        <w:rPr>
          <w:rFonts w:asciiTheme="majorHAnsi" w:hAnsiTheme="majorHAnsi" w:cstheme="majorHAnsi"/>
          <w:color w:val="000000"/>
        </w:rPr>
        <w:t xml:space="preserve"> representations of animals and these lesser-known objects are the focus of my thesis. I have compiled sixty-nine animal figure</w:t>
      </w:r>
      <w:r w:rsidR="00B328CA">
        <w:rPr>
          <w:rFonts w:asciiTheme="majorHAnsi" w:hAnsiTheme="majorHAnsi" w:cstheme="majorHAnsi"/>
          <w:color w:val="000000"/>
        </w:rPr>
        <w:t>s into a catalog reference list that includes</w:t>
      </w:r>
      <w:r w:rsidRPr="004D0DE2">
        <w:rPr>
          <w:rFonts w:asciiTheme="majorHAnsi" w:hAnsiTheme="majorHAnsi" w:cstheme="majorHAnsi"/>
          <w:color w:val="000000"/>
        </w:rPr>
        <w:t xml:space="preserve"> the most recent state of research on these objects. Paintings, </w:t>
      </w:r>
      <w:r w:rsidRPr="004D0DE2">
        <w:rPr>
          <w:rFonts w:asciiTheme="majorHAnsi" w:hAnsiTheme="majorHAnsi" w:cstheme="majorHAnsi"/>
          <w:noProof/>
          <w:color w:val="000000"/>
        </w:rPr>
        <w:t>sculptures</w:t>
      </w:r>
      <w:r w:rsidRPr="004D0DE2">
        <w:rPr>
          <w:rFonts w:asciiTheme="majorHAnsi" w:hAnsiTheme="majorHAnsi" w:cstheme="majorHAnsi"/>
          <w:color w:val="000000"/>
        </w:rPr>
        <w:t xml:space="preserve"> and clay modeled animals are part of human </w:t>
      </w:r>
      <w:r w:rsidRPr="004D0DE2">
        <w:rPr>
          <w:rFonts w:asciiTheme="majorHAnsi" w:hAnsiTheme="majorHAnsi" w:cstheme="majorHAnsi"/>
          <w:noProof/>
          <w:color w:val="000000"/>
        </w:rPr>
        <w:t>history,</w:t>
      </w:r>
      <w:r w:rsidRPr="004D0DE2">
        <w:rPr>
          <w:rFonts w:asciiTheme="majorHAnsi" w:hAnsiTheme="majorHAnsi" w:cstheme="majorHAnsi"/>
          <w:color w:val="000000"/>
        </w:rPr>
        <w:t xml:space="preserve"> and the beginning of art history starts with their depictions in Lascaux in France, Altamira in Spain, caves in China, and other sites throughout the world.  The Cycladic islands were </w:t>
      </w:r>
      <w:r w:rsidR="00B328CA">
        <w:rPr>
          <w:rFonts w:asciiTheme="majorHAnsi" w:hAnsiTheme="majorHAnsi" w:cstheme="majorHAnsi"/>
          <w:color w:val="000000"/>
        </w:rPr>
        <w:t>populated</w:t>
      </w:r>
      <w:r w:rsidRPr="004D0DE2">
        <w:rPr>
          <w:rFonts w:asciiTheme="majorHAnsi" w:hAnsiTheme="majorHAnsi" w:cstheme="majorHAnsi"/>
          <w:color w:val="000000"/>
        </w:rPr>
        <w:t xml:space="preserve"> with animals that constituted an important part of their lives.  It is my intention in this thesis to provide evidence that supports the importance of the animals, their relationship to the communities of the islands, and to discuss the reasons and iconography behind their artistic production.</w:t>
      </w:r>
      <w:r w:rsidRPr="004D0DE2">
        <w:rPr>
          <w:rFonts w:ascii="Calibri" w:hAnsi="Calibri"/>
          <w:color w:val="000000"/>
        </w:rPr>
        <w:t xml:space="preserve"> </w:t>
      </w:r>
      <w:r w:rsidRPr="004D0DE2">
        <w:rPr>
          <w:rFonts w:ascii="Calibri" w:hAnsi="Calibri"/>
          <w:color w:val="000000"/>
        </w:rPr>
        <w:br/>
      </w:r>
      <w:r w:rsidRPr="004D0DE2">
        <w:rPr>
          <w:rFonts w:ascii="Calibri" w:hAnsi="Calibri"/>
          <w:color w:val="000000"/>
          <w:lang w:bidi="ar-SA"/>
        </w:rPr>
        <w:t xml:space="preserve">            </w:t>
      </w:r>
      <w:r w:rsidRPr="004D0DE2">
        <w:t xml:space="preserve">Geographically, the Cyclades represent an archipelago in the temperate zone, bordered by three continents, situated in the Aegean Sea and connected via the Hellespont, Sea of Marmara, Bosporus, the Black Sea and the Danube.  The islands act as wind </w:t>
      </w:r>
      <w:r w:rsidRPr="004D0DE2">
        <w:rPr>
          <w:noProof/>
        </w:rPr>
        <w:t>funnels</w:t>
      </w:r>
      <w:r w:rsidRPr="004D0DE2">
        <w:t xml:space="preserve">—a low atmospheric pressure in Africa sucks in cold air from the North.  These winds, called </w:t>
      </w:r>
      <w:r w:rsidRPr="004D0DE2">
        <w:rPr>
          <w:i/>
          <w:noProof/>
        </w:rPr>
        <w:t>meltemia</w:t>
      </w:r>
      <w:r w:rsidRPr="004D0DE2">
        <w:t xml:space="preserve"> today, were referred to in antiquity as the Etesian winds.</w:t>
      </w:r>
      <w:r w:rsidRPr="004D0DE2">
        <w:rPr>
          <w:vertAlign w:val="superscript"/>
        </w:rPr>
        <w:footnoteReference w:id="1"/>
      </w:r>
      <w:r w:rsidRPr="004D0DE2">
        <w:t xml:space="preserve"> </w:t>
      </w:r>
      <w:r w:rsidRPr="004D0DE2">
        <w:lastRenderedPageBreak/>
        <w:t>Whatever the Cycladic islands may be lacking in sources of fresh water and arable land, they have made up for in other natural resources, such as marble and obsidian.  Referring to natural resources, the Cyclades can be categorized into marble-dominant, schist-dominant, and volcanic geologies.</w:t>
      </w:r>
      <w:r w:rsidRPr="004D0DE2">
        <w:rPr>
          <w:vertAlign w:val="superscript"/>
        </w:rPr>
        <w:footnoteReference w:id="2"/>
      </w:r>
      <w:r w:rsidRPr="004D0DE2">
        <w:t xml:space="preserve"> Most of the islands were good sources of marble, except for the volcanic islands of Thera and Melos.</w:t>
      </w:r>
      <w:r w:rsidRPr="004D0DE2">
        <w:rPr>
          <w:vertAlign w:val="superscript"/>
        </w:rPr>
        <w:footnoteReference w:id="3"/>
      </w:r>
      <w:r w:rsidRPr="004D0DE2">
        <w:t xml:space="preserve"> In antiquity, the islands of Naxos and Paros, in particular, were famous for their marble quarries while </w:t>
      </w:r>
      <w:r w:rsidRPr="004D0DE2">
        <w:rPr>
          <w:noProof/>
        </w:rPr>
        <w:t>emery</w:t>
      </w:r>
      <w:r w:rsidRPr="004D0DE2">
        <w:t xml:space="preserve"> was found only at Naxos.  These two islands were associated with the palest-firing clay,</w:t>
      </w:r>
      <w:r w:rsidRPr="004D0DE2">
        <w:rPr>
          <w:vertAlign w:val="superscript"/>
        </w:rPr>
        <w:footnoteReference w:id="4"/>
      </w:r>
      <w:r w:rsidRPr="004D0DE2">
        <w:t xml:space="preserve"> while Melos was the only source of obsidian in the entire Aegean.</w:t>
      </w:r>
      <w:r w:rsidRPr="004D0DE2">
        <w:rPr>
          <w:vertAlign w:val="superscript"/>
        </w:rPr>
        <w:footnoteReference w:id="5"/>
      </w:r>
      <w:r w:rsidRPr="004D0DE2">
        <w:t xml:space="preserve">  The source of copper, silver and lead for the Aegean was Lavrion, at the southern tip of Attica, and the island of Siphnos; in fact, there are very few lead or silver artifacts known from the Early Cycladic period.</w:t>
      </w:r>
      <w:r w:rsidRPr="004D0DE2">
        <w:rPr>
          <w:vertAlign w:val="superscript"/>
        </w:rPr>
        <w:footnoteReference w:id="6"/>
      </w:r>
      <w:r w:rsidRPr="004D0DE2">
        <w:t xml:space="preserve">  Kythera is also known as an important source of copper used to make the alloy bronze.</w:t>
      </w:r>
      <w:r w:rsidRPr="004D0DE2">
        <w:rPr>
          <w:vertAlign w:val="superscript"/>
        </w:rPr>
        <w:footnoteReference w:id="7"/>
      </w:r>
      <w:r w:rsidRPr="004D0DE2">
        <w:t xml:space="preserve">  True bronze is a copper-tin alloy, and appears only in the late Early Cycladic II period. The nearest access point for tin was probably Anatolia, where it was brought from Afghanistan.</w:t>
      </w:r>
      <w:r w:rsidRPr="004D0DE2">
        <w:rPr>
          <w:vertAlign w:val="superscript"/>
        </w:rPr>
        <w:footnoteReference w:id="8"/>
      </w:r>
    </w:p>
    <w:p w:rsidR="004D0DE2" w:rsidRPr="004D0DE2" w:rsidRDefault="004D0DE2" w:rsidP="004D0DE2">
      <w:pPr>
        <w:ind w:firstLine="720"/>
      </w:pPr>
      <w:r w:rsidRPr="004D0DE2">
        <w:t xml:space="preserve">There are two distinct groups of non-marble stone artifacts in the Cyclades. The first group is those made of a green jade-like </w:t>
      </w:r>
      <w:r w:rsidRPr="004D0DE2">
        <w:rPr>
          <w:noProof/>
        </w:rPr>
        <w:t>stone,</w:t>
      </w:r>
      <w:r w:rsidRPr="004D0DE2">
        <w:t xml:space="preserve"> and the other are those objects made </w:t>
      </w:r>
      <w:r w:rsidRPr="004D0DE2">
        <w:lastRenderedPageBreak/>
        <w:t>of “soapy” stones, like chlorite schist.</w:t>
      </w:r>
      <w:r w:rsidRPr="004D0DE2">
        <w:rPr>
          <w:vertAlign w:val="superscript"/>
        </w:rPr>
        <w:footnoteReference w:id="9"/>
      </w:r>
      <w:r w:rsidRPr="004D0DE2">
        <w:t xml:space="preserve">  Since the jade-like stone is found only in small pieces, the objects fashioned from it tend to be very small (see the amulet objects in the </w:t>
      </w:r>
      <w:r w:rsidRPr="004D0DE2">
        <w:rPr>
          <w:noProof/>
        </w:rPr>
        <w:t>appendix-catalog</w:t>
      </w:r>
      <w:r w:rsidRPr="004D0DE2">
        <w:t xml:space="preserve">.)  The colors range from a pale celadon to a rich dark green.  The lighter varieties are almost translucent in color (see object J9 in the </w:t>
      </w:r>
      <w:r w:rsidRPr="004D0DE2">
        <w:rPr>
          <w:noProof/>
        </w:rPr>
        <w:t>appendix-catalog</w:t>
      </w:r>
      <w:r w:rsidRPr="004D0DE2">
        <w:t>); but, overall the stone is “compact and fine-grained, durable, and takes a lustrous polish.”</w:t>
      </w:r>
      <w:r w:rsidRPr="004D0DE2">
        <w:rPr>
          <w:vertAlign w:val="superscript"/>
        </w:rPr>
        <w:footnoteReference w:id="10"/>
      </w:r>
    </w:p>
    <w:p w:rsidR="004D0DE2" w:rsidRPr="004D0DE2" w:rsidRDefault="004D0DE2" w:rsidP="004D0DE2">
      <w:pPr>
        <w:ind w:firstLine="720"/>
      </w:pPr>
      <w:r w:rsidRPr="004D0DE2">
        <w:t xml:space="preserve">The geographical placement, the natural resources of the islands, the technological and agricultural advances of the Neolithic Revolution and the mentality of a group of settlers to be set apart all conspired to create the perfect conditions for the blossoming of a unique civilization. Christos Doumas calls the island mentality a peculiar blend of both a conservative and liberal spirit. While the people of the Early Cycladic islands constantly struggled to survive and daily fought against the natural elements, their view of the sea as an open horizon led to enhancements which made them ripe for a flourishing culture. “These challenges broadened the early </w:t>
      </w:r>
      <w:r w:rsidRPr="004D0DE2">
        <w:rPr>
          <w:noProof/>
        </w:rPr>
        <w:t>mariners</w:t>
      </w:r>
      <w:r w:rsidRPr="004D0DE2">
        <w:t>’ minds, stimulating their rational conception and logical explanation of the cosmos, free from prejudice and superstition, making them the precursors of the Ionian philosophers.”</w:t>
      </w:r>
      <w:r w:rsidRPr="004D0DE2">
        <w:rPr>
          <w:vertAlign w:val="superscript"/>
        </w:rPr>
        <w:footnoteReference w:id="11"/>
      </w:r>
      <w:r w:rsidRPr="004D0DE2">
        <w:t xml:space="preserve">  </w:t>
      </w:r>
    </w:p>
    <w:p w:rsidR="004D0DE2" w:rsidRPr="004D0DE2" w:rsidRDefault="004D0DE2" w:rsidP="004D0DE2">
      <w:pPr>
        <w:rPr>
          <w:noProof/>
        </w:rPr>
      </w:pPr>
      <w:r w:rsidRPr="004D0DE2">
        <w:lastRenderedPageBreak/>
        <w:tab/>
        <w:t xml:space="preserve">Previously, the zoomorphic objects discussed here have </w:t>
      </w:r>
      <w:r w:rsidRPr="004D0DE2">
        <w:rPr>
          <w:noProof/>
        </w:rPr>
        <w:t>been studied</w:t>
      </w:r>
      <w:r w:rsidRPr="004D0DE2">
        <w:t xml:space="preserve"> considering the archaeological context of their discovery, as part of a chronological group or on an individual basis, and only for their aesthetic qualities.  However, by compiling them as an isolated corpus of objects into a catalog, and then arranging them chronologically, new ideas emerge, and when </w:t>
      </w:r>
      <w:r w:rsidRPr="004D0DE2">
        <w:rPr>
          <w:noProof/>
        </w:rPr>
        <w:t>combined with existing information known about the sites and settlements/cemeteries where they were excavated, established hypotheses about other artifacts (such as the marble figurines), and comparative data concerning cultures of contact, it is possible to arrive at new ideas concerning the role of zoomorphic objects in the Early Cycladic period.  I propose that the three-dimensional zoomorphic representations functioned as either votive figures or cult images, subordinate to the marble anthropomorphic images, and played noticeable roles in public and domestic rituals. Furthermore, because of the fractured geography of the islands, and the lack of a central administration which might oversee ritual activity, maritime trade is largely responsible for the diversity of the objects.  Each island had its own local culture with a few locations acting as major trading ports for import/export business which transferred an “international spirit.”  Though the islands are grouped together geographically and chronologically, I argue that they cannot be grouped together as one homogenous culture.</w:t>
      </w:r>
    </w:p>
    <w:p w:rsidR="004D0DE2" w:rsidRPr="004D0DE2" w:rsidRDefault="004D0DE2" w:rsidP="004D0DE2">
      <w:pPr>
        <w:rPr>
          <w:noProof/>
        </w:rPr>
      </w:pPr>
      <w:r w:rsidRPr="004D0DE2">
        <w:rPr>
          <w:noProof/>
        </w:rPr>
        <w:t xml:space="preserve">          To better define specific roles of the objects, I would like to refer to discussions on divine and cult images by Joannis Mylonopoulous in his article “Divine Images Versus Cult Images: An Endless Story about Theories, Methods, and Terminologies.”</w:t>
      </w:r>
      <w:r w:rsidRPr="004D0DE2">
        <w:rPr>
          <w:noProof/>
          <w:vertAlign w:val="superscript"/>
        </w:rPr>
        <w:footnoteReference w:id="12"/>
      </w:r>
      <w:r w:rsidRPr="004D0DE2">
        <w:rPr>
          <w:noProof/>
        </w:rPr>
        <w:t xml:space="preserve">  </w:t>
      </w:r>
      <w:r w:rsidRPr="004D0DE2">
        <w:rPr>
          <w:noProof/>
        </w:rPr>
        <w:lastRenderedPageBreak/>
        <w:t>According to the author, the Cycladic Bronze Age period is difficult to assess due to lack of written documentation, and functions and meanings of artifacts “are based on the archeological context and the formal and stylistic features.”</w:t>
      </w:r>
      <w:r w:rsidRPr="004D0DE2">
        <w:rPr>
          <w:noProof/>
          <w:vertAlign w:val="superscript"/>
        </w:rPr>
        <w:footnoteReference w:id="13"/>
      </w:r>
      <w:r w:rsidRPr="004D0DE2">
        <w:rPr>
          <w:noProof/>
        </w:rPr>
        <w:t xml:space="preserve"> Furthermore, he emphasizes the facts that animals and hybrid creatures inhabited scenes of a religious character but failed precisely to identify elements for making one figure or object divine. Therefore, it is obvious that in the “arts of Bronze Age Aegean, the attributes were polyvalent visual signs that could be used in different contexts with varying meanings.”</w:t>
      </w:r>
      <w:r w:rsidRPr="004D0DE2">
        <w:rPr>
          <w:noProof/>
          <w:vertAlign w:val="superscript"/>
        </w:rPr>
        <w:footnoteReference w:id="14"/>
      </w:r>
    </w:p>
    <w:p w:rsidR="004D0DE2" w:rsidRPr="004D0DE2" w:rsidRDefault="004D0DE2" w:rsidP="004D0DE2">
      <w:pPr>
        <w:rPr>
          <w:rFonts w:eastAsia="Calibri"/>
          <w:lang w:bidi="ar-SA"/>
        </w:rPr>
      </w:pPr>
      <w:r w:rsidRPr="004D0DE2">
        <w:rPr>
          <w:rFonts w:eastAsia="Calibri"/>
          <w:lang w:bidi="ar-SA"/>
        </w:rPr>
        <w:t xml:space="preserve">           In the case of the Cycladic zoomorphic objects, the situation is even more complex, since they </w:t>
      </w:r>
      <w:r w:rsidRPr="004D0DE2">
        <w:rPr>
          <w:rFonts w:eastAsia="Calibri"/>
          <w:noProof/>
          <w:lang w:bidi="ar-SA"/>
        </w:rPr>
        <w:t>were mostly poorly documented</w:t>
      </w:r>
      <w:r w:rsidRPr="004D0DE2">
        <w:rPr>
          <w:rFonts w:eastAsia="Calibri"/>
          <w:lang w:bidi="ar-SA"/>
        </w:rPr>
        <w:t xml:space="preserve"> when found, and also modern scholarship considers them less significant than the marble figurines. Perhaps the original purpose of these images was to take part as votive offerings in domestic or household cult rituals in which figurines had dominant roles. During these activities, </w:t>
      </w:r>
      <w:r w:rsidRPr="004D0DE2">
        <w:rPr>
          <w:rFonts w:eastAsia="Calibri"/>
          <w:noProof/>
          <w:lang w:bidi="ar-SA"/>
        </w:rPr>
        <w:t>islanders</w:t>
      </w:r>
      <w:r w:rsidRPr="004D0DE2">
        <w:rPr>
          <w:rFonts w:eastAsia="Calibri"/>
          <w:lang w:bidi="ar-SA"/>
        </w:rPr>
        <w:t xml:space="preserve"> give gifts to their gods in the shape and forms of animals, utilize cult images, perform libation rites, and even wear the marks of the</w:t>
      </w:r>
      <w:r w:rsidR="00B328CA">
        <w:rPr>
          <w:rFonts w:eastAsia="Calibri"/>
          <w:lang w:bidi="ar-SA"/>
        </w:rPr>
        <w:t>ir</w:t>
      </w:r>
      <w:r w:rsidRPr="004D0DE2">
        <w:rPr>
          <w:rFonts w:eastAsia="Calibri"/>
          <w:lang w:bidi="ar-SA"/>
        </w:rPr>
        <w:t xml:space="preserve"> divinities as ritual tattooing. One of the definitions of cult activity is that it “had to be repetitive,”</w:t>
      </w:r>
      <w:r w:rsidRPr="004D0DE2">
        <w:rPr>
          <w:rFonts w:eastAsia="Calibri"/>
          <w:vertAlign w:val="superscript"/>
          <w:lang w:bidi="ar-SA"/>
        </w:rPr>
        <w:footnoteReference w:id="15"/>
      </w:r>
      <w:r w:rsidRPr="004D0DE2">
        <w:rPr>
          <w:rFonts w:eastAsia="Calibri"/>
          <w:lang w:bidi="ar-SA"/>
        </w:rPr>
        <w:t xml:space="preserve"> thus requiring the </w:t>
      </w:r>
      <w:r w:rsidRPr="004D0DE2">
        <w:rPr>
          <w:rFonts w:eastAsia="Calibri"/>
          <w:noProof/>
          <w:lang w:bidi="ar-SA"/>
        </w:rPr>
        <w:t>constant</w:t>
      </w:r>
      <w:r w:rsidRPr="004D0DE2">
        <w:rPr>
          <w:rFonts w:eastAsia="Calibri"/>
          <w:lang w:bidi="ar-SA"/>
        </w:rPr>
        <w:t xml:space="preserve"> production of votives which, if real animals </w:t>
      </w:r>
      <w:r w:rsidRPr="004D0DE2">
        <w:rPr>
          <w:rFonts w:eastAsia="Calibri"/>
          <w:noProof/>
          <w:lang w:bidi="ar-SA"/>
        </w:rPr>
        <w:t>were considered</w:t>
      </w:r>
      <w:r w:rsidRPr="004D0DE2">
        <w:rPr>
          <w:rFonts w:eastAsia="Calibri"/>
          <w:lang w:bidi="ar-SA"/>
        </w:rPr>
        <w:t xml:space="preserve"> as options, the communities would have </w:t>
      </w:r>
      <w:r w:rsidR="00B328CA">
        <w:rPr>
          <w:rFonts w:eastAsia="Calibri"/>
          <w:lang w:bidi="ar-SA"/>
        </w:rPr>
        <w:t>depleted</w:t>
      </w:r>
      <w:r w:rsidRPr="004D0DE2">
        <w:rPr>
          <w:rFonts w:eastAsia="Calibri"/>
          <w:lang w:bidi="ar-SA"/>
        </w:rPr>
        <w:t xml:space="preserve"> their livestock. Therefore, predominately modest in scale and diverse in media, the zoomorphic objects became an </w:t>
      </w:r>
      <w:r w:rsidRPr="004D0DE2">
        <w:rPr>
          <w:rFonts w:eastAsia="Calibri"/>
          <w:noProof/>
          <w:lang w:bidi="ar-SA"/>
        </w:rPr>
        <w:t>economical</w:t>
      </w:r>
      <w:r w:rsidRPr="004D0DE2">
        <w:rPr>
          <w:rFonts w:eastAsia="Calibri"/>
          <w:lang w:bidi="ar-SA"/>
        </w:rPr>
        <w:t xml:space="preserve"> solution to pleasing their gods, while special attention remained focused </w:t>
      </w:r>
      <w:r w:rsidRPr="004D0DE2">
        <w:rPr>
          <w:rFonts w:eastAsia="Calibri"/>
          <w:noProof/>
          <w:lang w:bidi="ar-SA"/>
        </w:rPr>
        <w:t>on</w:t>
      </w:r>
      <w:r w:rsidRPr="004D0DE2">
        <w:rPr>
          <w:rFonts w:eastAsia="Calibri"/>
          <w:lang w:bidi="ar-SA"/>
        </w:rPr>
        <w:t xml:space="preserve"> </w:t>
      </w:r>
      <w:r w:rsidRPr="004D0DE2">
        <w:rPr>
          <w:rFonts w:eastAsia="Calibri"/>
          <w:noProof/>
          <w:lang w:bidi="ar-SA"/>
        </w:rPr>
        <w:t>production</w:t>
      </w:r>
      <w:r w:rsidRPr="004D0DE2">
        <w:rPr>
          <w:rFonts w:eastAsia="Calibri"/>
          <w:lang w:bidi="ar-SA"/>
        </w:rPr>
        <w:t xml:space="preserve"> of </w:t>
      </w:r>
      <w:r w:rsidRPr="004D0DE2">
        <w:rPr>
          <w:rFonts w:eastAsia="Calibri"/>
          <w:lang w:bidi="ar-SA"/>
        </w:rPr>
        <w:lastRenderedPageBreak/>
        <w:t xml:space="preserve">anthropomorphic figurines. Limited natural resources influenced the artistic production of the Aegean </w:t>
      </w:r>
      <w:r w:rsidR="00B328CA">
        <w:rPr>
          <w:rFonts w:eastAsia="Calibri"/>
          <w:lang w:bidi="ar-SA"/>
        </w:rPr>
        <w:t>artisans,</w:t>
      </w:r>
      <w:r w:rsidRPr="004D0DE2">
        <w:rPr>
          <w:rFonts w:eastAsia="Calibri"/>
          <w:lang w:bidi="ar-SA"/>
        </w:rPr>
        <w:t xml:space="preserve"> which is the subject of next segment.</w:t>
      </w:r>
    </w:p>
    <w:p w:rsidR="004D0DE2" w:rsidRPr="004D0DE2" w:rsidRDefault="004D0DE2" w:rsidP="0012758E">
      <w:pPr>
        <w:pStyle w:val="Heading2"/>
        <w:rPr>
          <w:rFonts w:eastAsia="Calibri"/>
          <w:lang w:bidi="ar-SA"/>
        </w:rPr>
      </w:pPr>
      <w:bookmarkStart w:id="14" w:name="_Toc481343481"/>
      <w:bookmarkStart w:id="15" w:name="_Toc482206670"/>
      <w:r w:rsidRPr="004D0DE2">
        <w:rPr>
          <w:rFonts w:eastAsia="Calibri"/>
          <w:lang w:bidi="ar-SA"/>
        </w:rPr>
        <w:t>Geographic and Environmental Background</w:t>
      </w:r>
      <w:bookmarkEnd w:id="14"/>
      <w:bookmarkEnd w:id="15"/>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t xml:space="preserve">The earliest evidence of habitation in Greece begins with the Paleolithic era. </w:t>
      </w:r>
      <w:r w:rsidRPr="004D0DE2">
        <w:rPr>
          <w:rFonts w:ascii="Times New Roman" w:eastAsia="Calibri" w:hAnsi="Times New Roman"/>
          <w:noProof/>
          <w:lang w:bidi="ar-SA"/>
        </w:rPr>
        <w:t>Deposits at Franchthi Cave, in the southeastern Argolid near the modern-day village of Koilada,</w:t>
      </w:r>
      <w:r w:rsidRPr="004D0DE2">
        <w:rPr>
          <w:rFonts w:ascii="Times New Roman" w:eastAsia="Calibri" w:hAnsi="Times New Roman"/>
          <w:noProof/>
          <w:vertAlign w:val="superscript"/>
          <w:lang w:bidi="ar-SA"/>
        </w:rPr>
        <w:footnoteReference w:id="16"/>
      </w:r>
      <w:r w:rsidRPr="004D0DE2">
        <w:rPr>
          <w:rFonts w:ascii="Times New Roman" w:eastAsia="Calibri" w:hAnsi="Times New Roman"/>
          <w:noProof/>
          <w:lang w:bidi="ar-SA"/>
        </w:rPr>
        <w:t xml:space="preserve"> show an unbroken human presence since 22,000 BCE (and possibly even earlier) through 3,000 BCE Other recent Paleolithic discoveries include Theopetra cave in Thessaly, Mesolithic discoveries at Klisoura Cave in the Northeast Peloponnese, and the Cave of the Cyclops in the Sporades Islands.</w:t>
      </w:r>
      <w:r w:rsidRPr="004D0DE2">
        <w:rPr>
          <w:rFonts w:ascii="Times New Roman" w:eastAsia="Calibri" w:hAnsi="Times New Roman"/>
          <w:vertAlign w:val="superscript"/>
          <w:lang w:bidi="ar-SA"/>
        </w:rPr>
        <w:footnoteReference w:id="17"/>
      </w:r>
      <w:r w:rsidRPr="004D0DE2">
        <w:rPr>
          <w:rFonts w:ascii="Times New Roman" w:eastAsia="Calibri" w:hAnsi="Times New Roman"/>
          <w:lang w:bidi="ar-SA"/>
        </w:rPr>
        <w:t xml:space="preserve">  However, continuous settlements didn’t begin until the Pre-pottery Neolithic, around the 7</w:t>
      </w:r>
      <w:r w:rsidRPr="004D0DE2">
        <w:rPr>
          <w:rFonts w:ascii="Times New Roman" w:eastAsia="Calibri" w:hAnsi="Times New Roman"/>
          <w:vertAlign w:val="superscript"/>
          <w:lang w:bidi="ar-SA"/>
        </w:rPr>
        <w:t>th</w:t>
      </w:r>
      <w:r w:rsidRPr="004D0DE2">
        <w:rPr>
          <w:rFonts w:ascii="Times New Roman" w:eastAsia="Calibri" w:hAnsi="Times New Roman"/>
          <w:lang w:bidi="ar-SA"/>
        </w:rPr>
        <w:t xml:space="preserve"> millennium BCE when in this </w:t>
      </w:r>
      <w:r w:rsidRPr="004D0DE2">
        <w:rPr>
          <w:rFonts w:ascii="Times New Roman" w:eastAsia="Calibri" w:hAnsi="Times New Roman"/>
          <w:noProof/>
          <w:lang w:bidi="ar-SA"/>
        </w:rPr>
        <w:t>aceramic</w:t>
      </w:r>
      <w:r w:rsidRPr="004D0DE2">
        <w:rPr>
          <w:rFonts w:ascii="Times New Roman" w:eastAsia="Calibri" w:hAnsi="Times New Roman"/>
          <w:lang w:bidi="ar-SA"/>
        </w:rPr>
        <w:t xml:space="preserve"> </w:t>
      </w:r>
      <w:r w:rsidRPr="004D0DE2">
        <w:rPr>
          <w:rFonts w:ascii="Times New Roman" w:eastAsia="Calibri" w:hAnsi="Times New Roman"/>
          <w:noProof/>
          <w:lang w:bidi="ar-SA"/>
        </w:rPr>
        <w:t>period,</w:t>
      </w:r>
      <w:r w:rsidRPr="004D0DE2">
        <w:rPr>
          <w:rFonts w:ascii="Times New Roman" w:eastAsia="Calibri" w:hAnsi="Times New Roman"/>
          <w:noProof/>
          <w:vertAlign w:val="superscript"/>
          <w:lang w:bidi="ar-SA"/>
        </w:rPr>
        <w:footnoteReference w:id="18"/>
      </w:r>
      <w:r w:rsidRPr="004D0DE2">
        <w:rPr>
          <w:rFonts w:ascii="Times New Roman" w:eastAsia="Calibri" w:hAnsi="Times New Roman"/>
          <w:lang w:bidi="ar-SA"/>
        </w:rPr>
        <w:t xml:space="preserve"> humans made the transition from hunter-gatherers to a sedentary lifestyle.  The first continuous settlements were primarily in </w:t>
      </w:r>
      <w:r w:rsidRPr="004D0DE2">
        <w:rPr>
          <w:rFonts w:ascii="Times New Roman" w:eastAsia="Calibri" w:hAnsi="Times New Roman"/>
          <w:noProof/>
          <w:lang w:bidi="ar-SA"/>
        </w:rPr>
        <w:t>Thessaly,</w:t>
      </w:r>
      <w:r w:rsidRPr="004D0DE2">
        <w:rPr>
          <w:rFonts w:ascii="Times New Roman" w:eastAsia="Calibri" w:hAnsi="Times New Roman"/>
          <w:lang w:bidi="ar-SA"/>
        </w:rPr>
        <w:t xml:space="preserve"> and the first to be investigated was Sesklo. Settlements spread north into Macedonia and South to Boeotia, </w:t>
      </w:r>
      <w:r w:rsidRPr="004D0DE2">
        <w:rPr>
          <w:rFonts w:ascii="Times New Roman" w:eastAsia="Calibri" w:hAnsi="Times New Roman"/>
          <w:noProof/>
          <w:lang w:bidi="ar-SA"/>
        </w:rPr>
        <w:t>Argolis,</w:t>
      </w:r>
      <w:r w:rsidRPr="004D0DE2">
        <w:rPr>
          <w:rFonts w:ascii="Times New Roman" w:eastAsia="Calibri" w:hAnsi="Times New Roman"/>
          <w:lang w:bidi="ar-SA"/>
        </w:rPr>
        <w:t xml:space="preserve"> and Messenia, and by the end of the </w:t>
      </w:r>
      <w:r w:rsidRPr="004D0DE2">
        <w:rPr>
          <w:rFonts w:ascii="Times New Roman" w:eastAsia="Calibri" w:hAnsi="Times New Roman"/>
          <w:noProof/>
          <w:lang w:bidi="ar-SA"/>
        </w:rPr>
        <w:t>7</w:t>
      </w:r>
      <w:r w:rsidRPr="004D0DE2">
        <w:rPr>
          <w:rFonts w:ascii="Times New Roman" w:eastAsia="Calibri" w:hAnsi="Times New Roman"/>
          <w:noProof/>
          <w:vertAlign w:val="superscript"/>
          <w:lang w:bidi="ar-SA"/>
        </w:rPr>
        <w:t>th</w:t>
      </w:r>
      <w:r w:rsidRPr="004D0DE2">
        <w:rPr>
          <w:rFonts w:ascii="Times New Roman" w:eastAsia="Calibri" w:hAnsi="Times New Roman"/>
          <w:noProof/>
          <w:lang w:bidi="ar-SA"/>
        </w:rPr>
        <w:t>-millennium,</w:t>
      </w:r>
      <w:r w:rsidRPr="004D0DE2">
        <w:rPr>
          <w:rFonts w:ascii="Times New Roman" w:eastAsia="Calibri" w:hAnsi="Times New Roman"/>
          <w:lang w:bidi="ar-SA"/>
        </w:rPr>
        <w:t xml:space="preserve"> people migrated to the island of Crete.</w:t>
      </w:r>
      <w:r w:rsidRPr="004D0DE2">
        <w:rPr>
          <w:rFonts w:ascii="Times New Roman" w:eastAsia="Calibri" w:hAnsi="Times New Roman"/>
          <w:vertAlign w:val="superscript"/>
          <w:lang w:bidi="ar-SA"/>
        </w:rPr>
        <w:t xml:space="preserve"> </w:t>
      </w:r>
      <w:r w:rsidRPr="004D0DE2">
        <w:rPr>
          <w:rFonts w:ascii="Times New Roman" w:eastAsia="Calibri" w:hAnsi="Times New Roman"/>
          <w:vertAlign w:val="superscript"/>
          <w:lang w:bidi="ar-SA"/>
        </w:rPr>
        <w:footnoteReference w:id="19"/>
      </w:r>
      <w:r w:rsidRPr="004D0DE2">
        <w:rPr>
          <w:rFonts w:ascii="Times New Roman" w:eastAsia="Calibri" w:hAnsi="Times New Roman"/>
          <w:lang w:bidi="ar-SA"/>
        </w:rPr>
        <w:t xml:space="preserve">   </w:t>
      </w:r>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lastRenderedPageBreak/>
        <w:t>According to the theory of the “East-West cultural drift</w:t>
      </w:r>
      <w:r w:rsidRPr="004D0DE2">
        <w:rPr>
          <w:rFonts w:ascii="Times New Roman" w:eastAsia="Calibri" w:hAnsi="Times New Roman"/>
          <w:noProof/>
          <w:lang w:bidi="ar-SA"/>
        </w:rPr>
        <w:t>,”</w:t>
      </w:r>
      <w:r w:rsidRPr="004D0DE2">
        <w:rPr>
          <w:rFonts w:ascii="Times New Roman" w:eastAsia="Calibri" w:hAnsi="Times New Roman"/>
          <w:noProof/>
          <w:vertAlign w:val="superscript"/>
          <w:lang w:bidi="ar-SA"/>
        </w:rPr>
        <w:t xml:space="preserve"> </w:t>
      </w:r>
      <w:r w:rsidRPr="004D0DE2">
        <w:rPr>
          <w:rFonts w:ascii="Times New Roman" w:eastAsia="Calibri" w:hAnsi="Times New Roman"/>
          <w:noProof/>
          <w:vertAlign w:val="superscript"/>
          <w:lang w:bidi="ar-SA"/>
        </w:rPr>
        <w:footnoteReference w:id="20"/>
      </w:r>
      <w:r w:rsidRPr="004D0DE2">
        <w:rPr>
          <w:rFonts w:ascii="Times New Roman" w:eastAsia="Calibri" w:hAnsi="Times New Roman"/>
          <w:lang w:bidi="ar-SA"/>
        </w:rPr>
        <w:t xml:space="preserve"> painted pottery, metallurgy, writing and agrarian culture originates from the Ancient Near East, and continued as </w:t>
      </w:r>
      <w:r w:rsidR="00B328CA">
        <w:rPr>
          <w:rFonts w:ascii="Times New Roman" w:eastAsia="Calibri" w:hAnsi="Times New Roman"/>
          <w:lang w:bidi="ar-SA"/>
        </w:rPr>
        <w:t>people</w:t>
      </w:r>
      <w:r w:rsidRPr="004D0DE2">
        <w:rPr>
          <w:rFonts w:ascii="Times New Roman" w:eastAsia="Calibri" w:hAnsi="Times New Roman"/>
          <w:lang w:bidi="ar-SA"/>
        </w:rPr>
        <w:t xml:space="preserve"> migrated west into Europe (barley, wheat, goats and sheep are not indigenous to Greece).  The origins of Neolithic culture </w:t>
      </w:r>
      <w:r w:rsidRPr="004D0DE2">
        <w:rPr>
          <w:rFonts w:ascii="Times New Roman" w:eastAsia="Calibri" w:hAnsi="Times New Roman"/>
          <w:noProof/>
          <w:lang w:bidi="ar-SA"/>
        </w:rPr>
        <w:t>lay</w:t>
      </w:r>
      <w:r w:rsidRPr="004D0DE2">
        <w:rPr>
          <w:rFonts w:ascii="Times New Roman" w:eastAsia="Calibri" w:hAnsi="Times New Roman"/>
          <w:lang w:bidi="ar-SA"/>
        </w:rPr>
        <w:t xml:space="preserve"> in the fertile crescent between Iran and </w:t>
      </w:r>
      <w:r w:rsidRPr="004D0DE2">
        <w:rPr>
          <w:rFonts w:ascii="Times New Roman" w:eastAsia="Calibri" w:hAnsi="Times New Roman"/>
          <w:noProof/>
          <w:lang w:bidi="ar-SA"/>
        </w:rPr>
        <w:t>Jericho</w:t>
      </w:r>
      <w:r w:rsidRPr="004D0DE2">
        <w:rPr>
          <w:rFonts w:ascii="Times New Roman" w:eastAsia="Calibri" w:hAnsi="Times New Roman"/>
          <w:lang w:bidi="ar-SA"/>
        </w:rPr>
        <w:t xml:space="preserve"> and diffused via Asia Minor.  The Sesklo culture points to similarities from Çatalhöyük and Hacilar in Anatolia, both of which date back to the 7</w:t>
      </w:r>
      <w:r w:rsidRPr="004D0DE2">
        <w:rPr>
          <w:rFonts w:ascii="Times New Roman" w:eastAsia="Calibri" w:hAnsi="Times New Roman"/>
          <w:vertAlign w:val="superscript"/>
          <w:lang w:bidi="ar-SA"/>
        </w:rPr>
        <w:t>th</w:t>
      </w:r>
      <w:r w:rsidRPr="004D0DE2">
        <w:rPr>
          <w:rFonts w:ascii="Times New Roman" w:eastAsia="Calibri" w:hAnsi="Times New Roman"/>
          <w:lang w:bidi="ar-SA"/>
        </w:rPr>
        <w:t xml:space="preserve"> and 8</w:t>
      </w:r>
      <w:r w:rsidRPr="004D0DE2">
        <w:rPr>
          <w:rFonts w:ascii="Times New Roman" w:eastAsia="Calibri" w:hAnsi="Times New Roman"/>
          <w:vertAlign w:val="superscript"/>
          <w:lang w:bidi="ar-SA"/>
        </w:rPr>
        <w:t>th</w:t>
      </w:r>
      <w:r w:rsidRPr="004D0DE2">
        <w:rPr>
          <w:rFonts w:ascii="Times New Roman" w:eastAsia="Calibri" w:hAnsi="Times New Roman"/>
          <w:lang w:bidi="ar-SA"/>
        </w:rPr>
        <w:t xml:space="preserve"> millennia BCE respectively.</w:t>
      </w:r>
      <w:r w:rsidRPr="004D0DE2">
        <w:rPr>
          <w:rFonts w:ascii="Times New Roman" w:eastAsia="Calibri" w:hAnsi="Times New Roman"/>
          <w:vertAlign w:val="superscript"/>
          <w:lang w:bidi="ar-SA"/>
        </w:rPr>
        <w:footnoteReference w:id="21"/>
      </w:r>
      <w:r w:rsidRPr="004D0DE2">
        <w:rPr>
          <w:rFonts w:ascii="Times New Roman" w:eastAsia="Calibri" w:hAnsi="Times New Roman"/>
          <w:lang w:bidi="ar-SA"/>
        </w:rPr>
        <w:t xml:space="preserve"> The Neolithic period in Greece spans approximately 3000 years without any severe interruptions.  Finds of Melian obsidian in the Mesolithic levels at Franchthi </w:t>
      </w:r>
      <w:r w:rsidRPr="004D0DE2">
        <w:rPr>
          <w:rFonts w:ascii="Times New Roman" w:eastAsia="Calibri" w:hAnsi="Times New Roman"/>
          <w:noProof/>
          <w:lang w:bidi="ar-SA"/>
        </w:rPr>
        <w:t>Cave</w:t>
      </w:r>
      <w:r w:rsidRPr="004D0DE2">
        <w:rPr>
          <w:rFonts w:ascii="Times New Roman" w:eastAsia="Calibri" w:hAnsi="Times New Roman"/>
          <w:lang w:bidi="ar-SA"/>
        </w:rPr>
        <w:t xml:space="preserve"> prove that the Cyclades </w:t>
      </w:r>
      <w:r w:rsidRPr="004D0DE2">
        <w:rPr>
          <w:rFonts w:ascii="Times New Roman" w:eastAsia="Calibri" w:hAnsi="Times New Roman"/>
          <w:noProof/>
          <w:lang w:bidi="ar-SA"/>
        </w:rPr>
        <w:t>were visited</w:t>
      </w:r>
      <w:r w:rsidRPr="004D0DE2">
        <w:rPr>
          <w:rFonts w:ascii="Times New Roman" w:eastAsia="Calibri" w:hAnsi="Times New Roman"/>
          <w:lang w:bidi="ar-SA"/>
        </w:rPr>
        <w:t xml:space="preserve"> since 7000 BCE.</w:t>
      </w:r>
      <w:r w:rsidRPr="004D0DE2">
        <w:rPr>
          <w:rFonts w:ascii="Times New Roman" w:eastAsia="Calibri" w:hAnsi="Times New Roman"/>
          <w:vertAlign w:val="superscript"/>
          <w:lang w:bidi="ar-SA"/>
        </w:rPr>
        <w:footnoteReference w:id="22"/>
      </w:r>
      <w:r w:rsidRPr="004D0DE2">
        <w:rPr>
          <w:rFonts w:ascii="Times New Roman" w:eastAsia="Calibri" w:hAnsi="Times New Roman"/>
          <w:lang w:bidi="ar-SA"/>
        </w:rPr>
        <w:t xml:space="preserve"> In the </w:t>
      </w:r>
      <w:r w:rsidRPr="004D0DE2">
        <w:rPr>
          <w:rFonts w:ascii="Times New Roman" w:eastAsia="Calibri" w:hAnsi="Times New Roman"/>
          <w:noProof/>
          <w:lang w:bidi="ar-SA"/>
        </w:rPr>
        <w:t>Cyclades,</w:t>
      </w:r>
      <w:r w:rsidRPr="004D0DE2">
        <w:rPr>
          <w:rFonts w:ascii="Times New Roman" w:eastAsia="Calibri" w:hAnsi="Times New Roman"/>
          <w:lang w:bidi="ar-SA"/>
        </w:rPr>
        <w:t xml:space="preserve"> there are two distinct Neolithic cultures: Saliagos and Kephala.</w:t>
      </w:r>
      <w:r w:rsidRPr="004D0DE2">
        <w:rPr>
          <w:rFonts w:ascii="Times New Roman" w:eastAsia="Calibri" w:hAnsi="Times New Roman"/>
          <w:vertAlign w:val="superscript"/>
          <w:lang w:bidi="ar-SA"/>
        </w:rPr>
        <w:footnoteReference w:id="23"/>
      </w:r>
      <w:r w:rsidRPr="004D0DE2">
        <w:rPr>
          <w:rFonts w:ascii="Times New Roman" w:eastAsia="Calibri" w:hAnsi="Times New Roman"/>
          <w:lang w:bidi="ar-SA"/>
        </w:rPr>
        <w:t xml:space="preserve">  </w:t>
      </w:r>
      <w:r w:rsidRPr="004D0DE2">
        <w:rPr>
          <w:rFonts w:ascii="Times New Roman" w:eastAsia="Calibri" w:hAnsi="Times New Roman"/>
          <w:noProof/>
          <w:lang w:bidi="ar-SA"/>
        </w:rPr>
        <w:t>The Late Neolithic Saliagos culture, named for the small islet located between Paros and Antiparos which dates from around 5000/4800 BCE-3700 BCE,</w:t>
      </w:r>
      <w:r w:rsidRPr="004D0DE2">
        <w:rPr>
          <w:rFonts w:ascii="Times New Roman" w:eastAsia="Calibri" w:hAnsi="Times New Roman"/>
          <w:noProof/>
          <w:vertAlign w:val="superscript"/>
          <w:lang w:bidi="ar-SA"/>
        </w:rPr>
        <w:footnoteReference w:id="24"/>
      </w:r>
      <w:r w:rsidRPr="004D0DE2">
        <w:rPr>
          <w:rFonts w:ascii="Times New Roman" w:eastAsia="Calibri" w:hAnsi="Times New Roman"/>
          <w:noProof/>
          <w:lang w:bidi="ar-SA"/>
        </w:rPr>
        <w:t xml:space="preserve"> produced marble figurines of the seated steatopygous type</w:t>
      </w:r>
      <w:r w:rsidRPr="004D0DE2">
        <w:rPr>
          <w:rFonts w:ascii="Times New Roman" w:eastAsia="Calibri" w:hAnsi="Times New Roman"/>
          <w:noProof/>
          <w:vertAlign w:val="superscript"/>
          <w:lang w:bidi="ar-SA"/>
        </w:rPr>
        <w:footnoteReference w:id="25"/>
      </w:r>
      <w:r w:rsidRPr="004D0DE2">
        <w:rPr>
          <w:rFonts w:ascii="Times New Roman" w:eastAsia="Calibri" w:hAnsi="Times New Roman"/>
          <w:noProof/>
          <w:lang w:bidi="ar-SA"/>
        </w:rPr>
        <w:t xml:space="preserve"> and standing variety well-</w:t>
      </w:r>
      <w:r w:rsidRPr="004D0DE2">
        <w:rPr>
          <w:rFonts w:ascii="Times New Roman" w:eastAsia="Calibri" w:hAnsi="Times New Roman"/>
          <w:noProof/>
          <w:lang w:bidi="ar-SA"/>
        </w:rPr>
        <w:lastRenderedPageBreak/>
        <w:t>known from the Mainland and Crete (Doumas describes them as the direct descendants of the style of figurines found in the Early Neolithic areas of Thessaly and Macedonia).</w:t>
      </w:r>
      <w:r w:rsidRPr="004D0DE2">
        <w:rPr>
          <w:rFonts w:ascii="Times New Roman" w:eastAsia="Calibri" w:hAnsi="Times New Roman"/>
          <w:lang w:bidi="ar-SA"/>
        </w:rPr>
        <w:t xml:space="preserve">  Similarly, from </w:t>
      </w:r>
      <w:r w:rsidRPr="004D0DE2">
        <w:rPr>
          <w:rFonts w:ascii="Times New Roman" w:eastAsia="Calibri" w:hAnsi="Times New Roman"/>
          <w:noProof/>
          <w:lang w:bidi="ar-SA"/>
        </w:rPr>
        <w:t>Saliagos</w:t>
      </w:r>
      <w:r w:rsidRPr="004D0DE2">
        <w:rPr>
          <w:rFonts w:ascii="Times New Roman" w:eastAsia="Calibri" w:hAnsi="Times New Roman"/>
          <w:lang w:bidi="ar-SA"/>
        </w:rPr>
        <w:t xml:space="preserve"> </w:t>
      </w:r>
      <w:r w:rsidRPr="004D0DE2">
        <w:rPr>
          <w:rFonts w:ascii="Times New Roman" w:eastAsia="Calibri" w:hAnsi="Times New Roman"/>
          <w:noProof/>
          <w:lang w:bidi="ar-SA"/>
        </w:rPr>
        <w:t>comes</w:t>
      </w:r>
      <w:r w:rsidRPr="004D0DE2">
        <w:rPr>
          <w:rFonts w:ascii="Times New Roman" w:eastAsia="Calibri" w:hAnsi="Times New Roman"/>
          <w:lang w:bidi="ar-SA"/>
        </w:rPr>
        <w:t xml:space="preserve"> the so-called Brettidole-style figurines-- a schematic violin-shaped figurine with a minimum of </w:t>
      </w:r>
      <w:r w:rsidRPr="004D0DE2">
        <w:rPr>
          <w:rFonts w:ascii="Times New Roman" w:eastAsia="Calibri" w:hAnsi="Times New Roman"/>
          <w:noProof/>
          <w:lang w:bidi="ar-SA"/>
        </w:rPr>
        <w:t>modeling</w:t>
      </w:r>
      <w:r w:rsidRPr="004D0DE2">
        <w:rPr>
          <w:rFonts w:ascii="Times New Roman" w:eastAsia="Calibri" w:hAnsi="Times New Roman"/>
          <w:lang w:bidi="ar-SA"/>
        </w:rPr>
        <w:t>, recognizable in schematic figures in the Early Bronze Age nearly 2000 years later.</w:t>
      </w:r>
      <w:r w:rsidRPr="004D0DE2">
        <w:rPr>
          <w:rFonts w:ascii="Times New Roman" w:eastAsia="Calibri" w:hAnsi="Times New Roman"/>
          <w:vertAlign w:val="superscript"/>
          <w:lang w:bidi="ar-SA"/>
        </w:rPr>
        <w:footnoteReference w:id="26"/>
      </w:r>
      <w:r w:rsidRPr="004D0DE2">
        <w:rPr>
          <w:rFonts w:ascii="Times New Roman" w:eastAsia="Calibri" w:hAnsi="Times New Roman"/>
          <w:lang w:bidi="ar-SA"/>
        </w:rPr>
        <w:t xml:space="preserve">  To avoid the logical assumption that the more abstract schematic figurine was a precursor to the more </w:t>
      </w:r>
      <w:r w:rsidRPr="004D0DE2">
        <w:rPr>
          <w:rFonts w:ascii="Times New Roman" w:eastAsia="Calibri" w:hAnsi="Times New Roman"/>
          <w:noProof/>
          <w:lang w:bidi="ar-SA"/>
        </w:rPr>
        <w:t>modeled</w:t>
      </w:r>
      <w:r w:rsidRPr="004D0DE2">
        <w:rPr>
          <w:rFonts w:ascii="Times New Roman" w:eastAsia="Calibri" w:hAnsi="Times New Roman"/>
          <w:lang w:bidi="ar-SA"/>
        </w:rPr>
        <w:t xml:space="preserve">, seated figures, it is important to note that, just as in the later Early Cycladic period, both the representational and the stylized style of figurines existed and </w:t>
      </w:r>
      <w:r w:rsidRPr="004D0DE2">
        <w:rPr>
          <w:rFonts w:ascii="Times New Roman" w:eastAsia="Calibri" w:hAnsi="Times New Roman"/>
          <w:noProof/>
          <w:lang w:bidi="ar-SA"/>
        </w:rPr>
        <w:t>were manufactured</w:t>
      </w:r>
      <w:r w:rsidRPr="004D0DE2">
        <w:rPr>
          <w:rFonts w:ascii="Times New Roman" w:eastAsia="Calibri" w:hAnsi="Times New Roman"/>
          <w:lang w:bidi="ar-SA"/>
        </w:rPr>
        <w:t xml:space="preserve"> contemporaneously.  </w:t>
      </w:r>
      <w:r w:rsidR="0012758E" w:rsidRPr="004D0DE2">
        <w:rPr>
          <w:rFonts w:ascii="Times New Roman" w:eastAsia="Calibri" w:hAnsi="Times New Roman"/>
          <w:lang w:bidi="ar-SA"/>
        </w:rPr>
        <w:t>Ironically, the</w:t>
      </w:r>
      <w:r w:rsidRPr="004D0DE2">
        <w:rPr>
          <w:rFonts w:ascii="Times New Roman" w:eastAsia="Calibri" w:hAnsi="Times New Roman"/>
          <w:lang w:bidi="ar-SA"/>
        </w:rPr>
        <w:t xml:space="preserve"> relatively short-lived Kephala culture, named for the site on the island of Kea</w:t>
      </w:r>
      <w:r w:rsidRPr="004D0DE2">
        <w:rPr>
          <w:rFonts w:ascii="Times New Roman" w:eastAsia="Calibri" w:hAnsi="Times New Roman"/>
          <w:vertAlign w:val="superscript"/>
          <w:lang w:bidi="ar-SA"/>
        </w:rPr>
        <w:footnoteReference w:id="27"/>
      </w:r>
      <w:r w:rsidRPr="004D0DE2">
        <w:rPr>
          <w:rFonts w:ascii="Times New Roman" w:eastAsia="Calibri" w:hAnsi="Times New Roman"/>
          <w:lang w:bidi="ar-SA"/>
        </w:rPr>
        <w:t xml:space="preserve"> which dates from the Final Neolithic period (around 3300 BCE-3200 BCE) produced no known marble sculptures.</w:t>
      </w:r>
      <w:r w:rsidRPr="004D0DE2">
        <w:rPr>
          <w:rFonts w:ascii="Times New Roman" w:eastAsia="Calibri" w:hAnsi="Times New Roman"/>
          <w:vertAlign w:val="superscript"/>
          <w:lang w:bidi="ar-SA"/>
        </w:rPr>
        <w:footnoteReference w:id="28"/>
      </w:r>
      <w:r w:rsidRPr="004D0DE2">
        <w:rPr>
          <w:rFonts w:ascii="Times New Roman" w:eastAsia="Calibri" w:hAnsi="Times New Roman"/>
          <w:lang w:bidi="ar-SA"/>
        </w:rPr>
        <w:t xml:space="preserve">  The Kephala culture </w:t>
      </w:r>
      <w:r w:rsidRPr="004D0DE2">
        <w:rPr>
          <w:rFonts w:ascii="Times New Roman" w:eastAsia="Calibri" w:hAnsi="Times New Roman"/>
          <w:noProof/>
          <w:lang w:bidi="ar-SA"/>
        </w:rPr>
        <w:t>is also associated</w:t>
      </w:r>
      <w:r w:rsidRPr="004D0DE2">
        <w:rPr>
          <w:rFonts w:ascii="Times New Roman" w:eastAsia="Calibri" w:hAnsi="Times New Roman"/>
          <w:lang w:bidi="ar-SA"/>
        </w:rPr>
        <w:t xml:space="preserve"> with Athens, Thorikos and the Kitsos Cave in Attica, as well as Kolon</w:t>
      </w:r>
      <w:r w:rsidR="00B328CA">
        <w:rPr>
          <w:rFonts w:ascii="Times New Roman" w:eastAsia="Calibri" w:hAnsi="Times New Roman"/>
          <w:lang w:bidi="ar-SA"/>
        </w:rPr>
        <w:t>na on Aegina,</w:t>
      </w:r>
      <w:r w:rsidRPr="004D0DE2">
        <w:rPr>
          <w:rFonts w:ascii="Times New Roman" w:eastAsia="Calibri" w:hAnsi="Times New Roman"/>
          <w:lang w:bidi="ar-SA"/>
        </w:rPr>
        <w:t xml:space="preserve"> (Fig. 3)</w:t>
      </w:r>
      <w:r w:rsidR="00B328CA">
        <w:rPr>
          <w:rFonts w:ascii="Times New Roman" w:eastAsia="Calibri" w:hAnsi="Times New Roman"/>
          <w:lang w:bidi="ar-SA"/>
        </w:rPr>
        <w:t>.</w:t>
      </w:r>
      <w:r w:rsidR="00B328CA" w:rsidRPr="00B328CA">
        <w:rPr>
          <w:rFonts w:ascii="Times New Roman" w:eastAsia="Calibri" w:hAnsi="Times New Roman"/>
          <w:vertAlign w:val="superscript"/>
          <w:lang w:bidi="ar-SA"/>
        </w:rPr>
        <w:t xml:space="preserve"> </w:t>
      </w:r>
      <w:r w:rsidR="00B328CA" w:rsidRPr="004D0DE2">
        <w:rPr>
          <w:rFonts w:ascii="Times New Roman" w:eastAsia="Calibri" w:hAnsi="Times New Roman"/>
          <w:vertAlign w:val="superscript"/>
          <w:lang w:bidi="ar-SA"/>
        </w:rPr>
        <w:footnoteReference w:id="29"/>
      </w:r>
      <w:r w:rsidR="00B328CA" w:rsidRPr="004D0DE2">
        <w:rPr>
          <w:rFonts w:ascii="Times New Roman" w:eastAsia="Calibri" w:hAnsi="Times New Roman"/>
          <w:lang w:bidi="ar-SA"/>
        </w:rPr>
        <w:t xml:space="preserve"> </w:t>
      </w:r>
      <w:r w:rsidRPr="004D0DE2">
        <w:rPr>
          <w:rFonts w:ascii="Times New Roman" w:eastAsia="Calibri" w:hAnsi="Times New Roman"/>
          <w:lang w:bidi="ar-SA"/>
        </w:rPr>
        <w:t xml:space="preserve"> While the Saliagos Culture </w:t>
      </w:r>
      <w:r w:rsidRPr="004D0DE2">
        <w:rPr>
          <w:rFonts w:ascii="Times New Roman" w:eastAsia="Calibri" w:hAnsi="Times New Roman"/>
          <w:noProof/>
          <w:lang w:bidi="ar-SA"/>
        </w:rPr>
        <w:t>spread</w:t>
      </w:r>
      <w:r w:rsidRPr="004D0DE2">
        <w:rPr>
          <w:rFonts w:ascii="Times New Roman" w:eastAsia="Calibri" w:hAnsi="Times New Roman"/>
          <w:lang w:bidi="ar-SA"/>
        </w:rPr>
        <w:t xml:space="preserve"> across several sites on different islands, and the Kephala Culture </w:t>
      </w:r>
      <w:r w:rsidRPr="004D0DE2">
        <w:rPr>
          <w:rFonts w:ascii="Times New Roman" w:eastAsia="Calibri" w:hAnsi="Times New Roman"/>
          <w:noProof/>
          <w:lang w:bidi="ar-SA"/>
        </w:rPr>
        <w:t>was concentrated</w:t>
      </w:r>
      <w:r w:rsidRPr="004D0DE2">
        <w:rPr>
          <w:rFonts w:ascii="Times New Roman" w:eastAsia="Calibri" w:hAnsi="Times New Roman"/>
          <w:lang w:bidi="ar-SA"/>
        </w:rPr>
        <w:t xml:space="preserve"> to several locations on the island of Kea, none of the communities could have survived without mutual contacts.</w:t>
      </w:r>
      <w:r w:rsidRPr="004D0DE2">
        <w:rPr>
          <w:rFonts w:ascii="Times New Roman" w:eastAsia="Calibri" w:hAnsi="Times New Roman"/>
          <w:vertAlign w:val="superscript"/>
          <w:lang w:bidi="ar-SA"/>
        </w:rPr>
        <w:t xml:space="preserve"> </w:t>
      </w:r>
      <w:r w:rsidRPr="004D0DE2">
        <w:rPr>
          <w:rFonts w:ascii="Times New Roman" w:eastAsia="Calibri" w:hAnsi="Times New Roman"/>
          <w:vertAlign w:val="superscript"/>
          <w:lang w:bidi="ar-SA"/>
        </w:rPr>
        <w:footnoteReference w:id="30"/>
      </w:r>
      <w:r w:rsidRPr="004D0DE2">
        <w:rPr>
          <w:rFonts w:ascii="Times New Roman" w:eastAsia="Calibri" w:hAnsi="Times New Roman"/>
          <w:lang w:bidi="ar-SA"/>
        </w:rPr>
        <w:t xml:space="preserve">  With the typical settlement consisting of only 50-150 occupants, exogamous marriages were </w:t>
      </w:r>
      <w:r w:rsidRPr="004D0DE2">
        <w:rPr>
          <w:rFonts w:ascii="Times New Roman" w:eastAsia="Calibri" w:hAnsi="Times New Roman"/>
          <w:lang w:bidi="ar-SA"/>
        </w:rPr>
        <w:lastRenderedPageBreak/>
        <w:t xml:space="preserve">necessary for viable demography. John Bintliff even goes on to suggest that one must imagine the existence of venues for communal social gatherings between settlements, though no evidence to suggest this has yet </w:t>
      </w:r>
      <w:r w:rsidRPr="004D0DE2">
        <w:rPr>
          <w:rFonts w:ascii="Times New Roman" w:eastAsia="Calibri" w:hAnsi="Times New Roman"/>
          <w:noProof/>
          <w:lang w:bidi="ar-SA"/>
        </w:rPr>
        <w:t>been found</w:t>
      </w:r>
      <w:r w:rsidRPr="004D0DE2">
        <w:rPr>
          <w:rFonts w:ascii="Times New Roman" w:eastAsia="Calibri" w:hAnsi="Times New Roman"/>
          <w:lang w:bidi="ar-SA"/>
        </w:rPr>
        <w:t>.</w:t>
      </w:r>
      <w:r w:rsidRPr="004D0DE2">
        <w:rPr>
          <w:rFonts w:ascii="Times New Roman" w:eastAsia="Calibri" w:hAnsi="Times New Roman"/>
          <w:vertAlign w:val="superscript"/>
          <w:lang w:bidi="ar-SA"/>
        </w:rPr>
        <w:footnoteReference w:id="31"/>
      </w:r>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t xml:space="preserve">Life in the Cyclades at this early stage had both advantages and disadvantages.  As previously discussed, the geographical fragmentation of the islands and the scarcity of natural resources for subsistence inevitably posed many issues for the initial settlers.  However, Doumas points out that </w:t>
      </w:r>
      <w:r w:rsidRPr="004D0DE2">
        <w:rPr>
          <w:rFonts w:ascii="Times New Roman" w:eastAsia="Calibri" w:hAnsi="Times New Roman"/>
          <w:noProof/>
          <w:lang w:bidi="ar-SA"/>
        </w:rPr>
        <w:t>these same disadvantages were used by the islanders</w:t>
      </w:r>
      <w:r w:rsidRPr="004D0DE2">
        <w:rPr>
          <w:rFonts w:ascii="Times New Roman" w:eastAsia="Calibri" w:hAnsi="Times New Roman"/>
          <w:lang w:bidi="ar-SA"/>
        </w:rPr>
        <w:t xml:space="preserve"> to their benefit.  The fragmentation led to autonomy, which is the hallmark of the Early Cycladic period and frugality of their means of subsistence led to a maximum exploitation of island resources, and inventiveness (especially in the realm of artistic production and innovations).  Additionally, the dependence of the </w:t>
      </w:r>
      <w:r w:rsidRPr="004D0DE2">
        <w:rPr>
          <w:rFonts w:ascii="Times New Roman" w:eastAsia="Calibri" w:hAnsi="Times New Roman"/>
          <w:noProof/>
          <w:lang w:bidi="ar-SA"/>
        </w:rPr>
        <w:t>islanders</w:t>
      </w:r>
      <w:r w:rsidRPr="004D0DE2">
        <w:rPr>
          <w:rFonts w:ascii="Times New Roman" w:eastAsia="Calibri" w:hAnsi="Times New Roman"/>
          <w:lang w:bidi="ar-SA"/>
        </w:rPr>
        <w:t xml:space="preserve"> on nearby landmasses led to the </w:t>
      </w:r>
      <w:r w:rsidRPr="004D0DE2">
        <w:rPr>
          <w:rFonts w:ascii="Times New Roman" w:eastAsia="Calibri" w:hAnsi="Times New Roman"/>
          <w:noProof/>
          <w:lang w:bidi="ar-SA"/>
        </w:rPr>
        <w:t>continued</w:t>
      </w:r>
      <w:r w:rsidRPr="004D0DE2">
        <w:rPr>
          <w:rFonts w:ascii="Times New Roman" w:eastAsia="Calibri" w:hAnsi="Times New Roman"/>
          <w:lang w:bidi="ar-SA"/>
        </w:rPr>
        <w:t xml:space="preserve"> development in seafaring, and inevitably, to a thriving sea trade.</w:t>
      </w:r>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t xml:space="preserve">Likewise, the sea had </w:t>
      </w:r>
      <w:r w:rsidR="00BD614F">
        <w:rPr>
          <w:rFonts w:ascii="Times New Roman" w:eastAsia="Calibri" w:hAnsi="Times New Roman"/>
          <w:noProof/>
          <w:lang w:bidi="ar-SA"/>
        </w:rPr>
        <w:t>this same</w:t>
      </w:r>
      <w:r w:rsidRPr="004D0DE2">
        <w:rPr>
          <w:rFonts w:ascii="Times New Roman" w:eastAsia="Calibri" w:hAnsi="Times New Roman"/>
          <w:noProof/>
          <w:lang w:bidi="ar-SA"/>
        </w:rPr>
        <w:t xml:space="preserve"> </w:t>
      </w:r>
      <w:r w:rsidRPr="004D0DE2">
        <w:rPr>
          <w:rFonts w:ascii="Times New Roman" w:eastAsia="Calibri" w:hAnsi="Times New Roman"/>
          <w:lang w:bidi="ar-SA"/>
        </w:rPr>
        <w:t xml:space="preserve">duality.  It protected external invasions and hostile interventions from foreign aggressors, as well as prevented an influx of unsupportable populations. The location of the islands in the Aegean Sea became an island-hopping bridge for seafarers and encouraged communication with other communities from different areas of the Mediterranean: </w:t>
      </w:r>
    </w:p>
    <w:p w:rsidR="004D0DE2" w:rsidRPr="004D0DE2" w:rsidRDefault="004D0DE2" w:rsidP="004D0DE2">
      <w:pPr>
        <w:spacing w:after="240" w:line="240" w:lineRule="auto"/>
        <w:ind w:left="720"/>
        <w:rPr>
          <w:rFonts w:eastAsia="Calibri"/>
          <w:lang w:bidi="ar-SA"/>
        </w:rPr>
      </w:pPr>
      <w:r w:rsidRPr="004D0DE2">
        <w:rPr>
          <w:rFonts w:eastAsia="Calibri"/>
          <w:lang w:bidi="ar-SA"/>
        </w:rPr>
        <w:t xml:space="preserve">In a way communication was the </w:t>
      </w:r>
      <w:r w:rsidRPr="004D0DE2">
        <w:rPr>
          <w:rFonts w:eastAsia="Calibri"/>
          <w:noProof/>
          <w:lang w:bidi="ar-SA"/>
        </w:rPr>
        <w:t>islanders</w:t>
      </w:r>
      <w:r w:rsidRPr="004D0DE2">
        <w:rPr>
          <w:rFonts w:eastAsia="Calibri"/>
          <w:lang w:bidi="ar-SA"/>
        </w:rPr>
        <w:t xml:space="preserve">’ prerogative, enabling them to select or reject not only material goods but also ideas brought from elsewhere. Both were quickly adopted and adapted to the </w:t>
      </w:r>
      <w:r w:rsidRPr="004D0DE2">
        <w:rPr>
          <w:rFonts w:eastAsia="Calibri"/>
          <w:noProof/>
          <w:lang w:bidi="ar-SA"/>
        </w:rPr>
        <w:t>islanders</w:t>
      </w:r>
      <w:r w:rsidRPr="004D0DE2">
        <w:rPr>
          <w:rFonts w:eastAsia="Calibri"/>
          <w:lang w:bidi="ar-SA"/>
        </w:rPr>
        <w:t xml:space="preserve">’ </w:t>
      </w:r>
      <w:r w:rsidRPr="004D0DE2">
        <w:rPr>
          <w:rFonts w:eastAsia="Calibri"/>
          <w:noProof/>
          <w:lang w:bidi="ar-SA"/>
        </w:rPr>
        <w:t>needs, their</w:t>
      </w:r>
      <w:r w:rsidRPr="004D0DE2">
        <w:rPr>
          <w:rFonts w:eastAsia="Calibri"/>
          <w:lang w:bidi="ar-SA"/>
        </w:rPr>
        <w:t xml:space="preserve"> foreign character annulled as they </w:t>
      </w:r>
      <w:r w:rsidRPr="004D0DE2">
        <w:rPr>
          <w:rFonts w:eastAsia="Calibri"/>
          <w:noProof/>
          <w:lang w:bidi="ar-SA"/>
        </w:rPr>
        <w:t>were assimilated</w:t>
      </w:r>
      <w:r w:rsidRPr="004D0DE2">
        <w:rPr>
          <w:rFonts w:eastAsia="Calibri"/>
          <w:lang w:bidi="ar-SA"/>
        </w:rPr>
        <w:t xml:space="preserve"> into the recipient culture.</w:t>
      </w:r>
      <w:r w:rsidRPr="004D0DE2">
        <w:rPr>
          <w:rFonts w:eastAsia="Calibri"/>
          <w:vertAlign w:val="superscript"/>
          <w:lang w:bidi="ar-SA"/>
        </w:rPr>
        <w:footnoteReference w:id="32"/>
      </w:r>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lastRenderedPageBreak/>
        <w:t>Neolithic Cycladic settlements</w:t>
      </w:r>
      <w:r w:rsidRPr="004D0DE2">
        <w:rPr>
          <w:rFonts w:ascii="Times New Roman" w:eastAsia="Calibri" w:hAnsi="Times New Roman"/>
          <w:noProof/>
          <w:lang w:bidi="ar-SA"/>
        </w:rPr>
        <w:t>, situated</w:t>
      </w:r>
      <w:r w:rsidRPr="004D0DE2">
        <w:rPr>
          <w:rFonts w:ascii="Times New Roman" w:eastAsia="Calibri" w:hAnsi="Times New Roman"/>
          <w:lang w:bidi="ar-SA"/>
        </w:rPr>
        <w:t xml:space="preserve"> on coastal sites and low hills near the sea, were naturally well-defended.  The architecture at both Saliagos and Kephala consists of buildings with one or two, small rectangular rooms. Inhabitants cultivated cereals, tended domesticated animals (sheep, goats, and few bovine), hunted birds and small island deer, and gathered wild lentils, peas, figs, </w:t>
      </w:r>
      <w:r w:rsidRPr="004D0DE2">
        <w:rPr>
          <w:rFonts w:ascii="Times New Roman" w:eastAsia="Calibri" w:hAnsi="Times New Roman"/>
          <w:noProof/>
          <w:lang w:bidi="ar-SA"/>
        </w:rPr>
        <w:t>plums,</w:t>
      </w:r>
      <w:r w:rsidRPr="004D0DE2">
        <w:rPr>
          <w:rFonts w:ascii="Times New Roman" w:eastAsia="Calibri" w:hAnsi="Times New Roman"/>
          <w:lang w:bidi="ar-SA"/>
        </w:rPr>
        <w:t xml:space="preserve"> and grapes.</w:t>
      </w:r>
      <w:r w:rsidRPr="004D0DE2">
        <w:rPr>
          <w:rFonts w:ascii="Times New Roman" w:eastAsia="Calibri" w:hAnsi="Times New Roman"/>
          <w:vertAlign w:val="superscript"/>
          <w:lang w:bidi="ar-SA"/>
        </w:rPr>
        <w:footnoteReference w:id="33"/>
      </w:r>
      <w:r w:rsidRPr="004D0DE2">
        <w:rPr>
          <w:rFonts w:ascii="Times New Roman" w:eastAsia="Calibri" w:hAnsi="Times New Roman"/>
          <w:lang w:bidi="ar-SA"/>
        </w:rPr>
        <w:t xml:space="preserve">  Evidence of pottery, basket-making, weaving, jewelry and metallurgy </w:t>
      </w:r>
      <w:r w:rsidRPr="004D0DE2">
        <w:rPr>
          <w:rFonts w:ascii="Times New Roman" w:eastAsia="Calibri" w:hAnsi="Times New Roman"/>
          <w:noProof/>
          <w:lang w:bidi="ar-SA"/>
        </w:rPr>
        <w:t>are found</w:t>
      </w:r>
      <w:r w:rsidRPr="004D0DE2">
        <w:rPr>
          <w:rFonts w:ascii="Times New Roman" w:eastAsia="Calibri" w:hAnsi="Times New Roman"/>
          <w:lang w:bidi="ar-SA"/>
        </w:rPr>
        <w:t xml:space="preserve"> among the various sites of both cultures.  At Kephala, copper slag </w:t>
      </w:r>
      <w:r w:rsidRPr="004D0DE2">
        <w:rPr>
          <w:rFonts w:ascii="Times New Roman" w:eastAsia="Calibri" w:hAnsi="Times New Roman"/>
          <w:noProof/>
          <w:lang w:bidi="ar-SA"/>
        </w:rPr>
        <w:t>was found</w:t>
      </w:r>
      <w:r w:rsidRPr="004D0DE2">
        <w:rPr>
          <w:rFonts w:ascii="Times New Roman" w:eastAsia="Calibri" w:hAnsi="Times New Roman"/>
          <w:lang w:bidi="ar-SA"/>
        </w:rPr>
        <w:t xml:space="preserve"> in crucibles with metal finds consisting of bronze weapons and tools: axes, daggers, spatulas, chisels, awls, needles, pins and tweezers. Jewelry materials were clay, shells, copper and stone. The pottery of Saliagos is dark-surfaced both with unburnished and burnished technique</w:t>
      </w:r>
      <w:r w:rsidRPr="004D0DE2">
        <w:rPr>
          <w:rFonts w:ascii="Times New Roman" w:eastAsia="Calibri" w:hAnsi="Times New Roman"/>
          <w:vertAlign w:val="superscript"/>
          <w:lang w:bidi="ar-SA"/>
        </w:rPr>
        <w:footnoteReference w:id="34"/>
      </w:r>
      <w:r w:rsidRPr="004D0DE2">
        <w:rPr>
          <w:rFonts w:ascii="Times New Roman" w:eastAsia="Calibri" w:hAnsi="Times New Roman"/>
          <w:lang w:bidi="ar-SA"/>
        </w:rPr>
        <w:t xml:space="preserve">. Characteristic shapes include open bowls on high pedestaled feet with geometric, both rectilinear and curvilinear designs, in a </w:t>
      </w:r>
      <w:r w:rsidRPr="004D0DE2">
        <w:rPr>
          <w:rFonts w:ascii="Times New Roman" w:eastAsia="Calibri" w:hAnsi="Times New Roman"/>
          <w:noProof/>
          <w:lang w:bidi="ar-SA"/>
        </w:rPr>
        <w:t>white</w:t>
      </w:r>
      <w:r w:rsidRPr="004D0DE2">
        <w:rPr>
          <w:rFonts w:ascii="Times New Roman" w:eastAsia="Calibri" w:hAnsi="Times New Roman"/>
          <w:lang w:bidi="ar-SA"/>
        </w:rPr>
        <w:t xml:space="preserve"> </w:t>
      </w:r>
      <w:r w:rsidRPr="004D0DE2">
        <w:rPr>
          <w:rFonts w:ascii="Times New Roman" w:eastAsia="Calibri" w:hAnsi="Times New Roman"/>
          <w:noProof/>
          <w:lang w:bidi="ar-SA"/>
        </w:rPr>
        <w:t>matte</w:t>
      </w:r>
      <w:r w:rsidRPr="004D0DE2">
        <w:rPr>
          <w:rFonts w:ascii="Times New Roman" w:eastAsia="Calibri" w:hAnsi="Times New Roman"/>
          <w:lang w:bidi="ar-SA"/>
        </w:rPr>
        <w:t xml:space="preserve">.  Chipped stone is exclusively obsidian, probably arrowheads; blades are rare. Conversely, at Kephala among the chipped obsidian were six examples of imported flint/chert while a larger portion of the locally-worked </w:t>
      </w:r>
      <w:r w:rsidRPr="004D0DE2">
        <w:rPr>
          <w:rFonts w:ascii="Times New Roman" w:eastAsia="Calibri" w:hAnsi="Times New Roman"/>
          <w:noProof/>
          <w:lang w:bidi="ar-SA"/>
        </w:rPr>
        <w:t>obsidian</w:t>
      </w:r>
      <w:r w:rsidRPr="004D0DE2">
        <w:rPr>
          <w:rFonts w:ascii="Times New Roman" w:eastAsia="Calibri" w:hAnsi="Times New Roman"/>
          <w:lang w:bidi="ar-SA"/>
        </w:rPr>
        <w:t xml:space="preserve"> consists of blades than at Saliagos. Pottery shapes are bowls, </w:t>
      </w:r>
      <w:r w:rsidRPr="004D0DE2">
        <w:rPr>
          <w:rFonts w:ascii="Times New Roman" w:eastAsia="Calibri" w:hAnsi="Times New Roman"/>
          <w:noProof/>
          <w:lang w:bidi="ar-SA"/>
        </w:rPr>
        <w:t>jars,</w:t>
      </w:r>
      <w:r w:rsidRPr="004D0DE2">
        <w:rPr>
          <w:rFonts w:ascii="Times New Roman" w:eastAsia="Calibri" w:hAnsi="Times New Roman"/>
          <w:lang w:bidi="ar-SA"/>
        </w:rPr>
        <w:t xml:space="preserve"> and scoops.  Impressions left on sherds show woven mats and cloth.  </w:t>
      </w:r>
      <w:r w:rsidRPr="004D0DE2">
        <w:rPr>
          <w:rFonts w:ascii="Times New Roman" w:eastAsia="Calibri" w:hAnsi="Times New Roman"/>
          <w:noProof/>
          <w:lang w:bidi="ar-SA"/>
        </w:rPr>
        <w:t>The decoration</w:t>
      </w:r>
      <w:r w:rsidRPr="004D0DE2">
        <w:rPr>
          <w:rFonts w:ascii="Times New Roman" w:eastAsia="Calibri" w:hAnsi="Times New Roman"/>
          <w:lang w:bidi="ar-SA"/>
        </w:rPr>
        <w:t xml:space="preserve"> consists of </w:t>
      </w:r>
      <w:r w:rsidRPr="004D0DE2">
        <w:rPr>
          <w:rFonts w:ascii="Times New Roman" w:eastAsia="Calibri" w:hAnsi="Times New Roman"/>
          <w:noProof/>
          <w:lang w:bidi="ar-SA"/>
        </w:rPr>
        <w:t>mostly incised,</w:t>
      </w:r>
      <w:r w:rsidRPr="004D0DE2">
        <w:rPr>
          <w:rFonts w:ascii="Times New Roman" w:eastAsia="Calibri" w:hAnsi="Times New Roman"/>
          <w:lang w:bidi="ar-SA"/>
        </w:rPr>
        <w:t xml:space="preserve"> and pattern-burnishing or red/white paint applied </w:t>
      </w:r>
      <w:r w:rsidRPr="004D0DE2">
        <w:rPr>
          <w:rFonts w:ascii="Times New Roman" w:eastAsia="Calibri" w:hAnsi="Times New Roman"/>
          <w:lang w:bidi="ar-SA"/>
        </w:rPr>
        <w:lastRenderedPageBreak/>
        <w:t>after firing.</w:t>
      </w:r>
      <w:r w:rsidRPr="004D0DE2">
        <w:rPr>
          <w:rFonts w:ascii="Times New Roman" w:eastAsia="Calibri" w:hAnsi="Times New Roman"/>
          <w:vertAlign w:val="superscript"/>
          <w:lang w:bidi="ar-SA"/>
        </w:rPr>
        <w:footnoteReference w:id="35"/>
      </w:r>
      <w:r w:rsidRPr="004D0DE2">
        <w:rPr>
          <w:rFonts w:ascii="Times New Roman" w:eastAsia="Calibri" w:hAnsi="Times New Roman"/>
          <w:lang w:bidi="ar-SA"/>
        </w:rPr>
        <w:t xml:space="preserve">  In both cultures, many similarities can </w:t>
      </w:r>
      <w:r w:rsidRPr="004D0DE2">
        <w:rPr>
          <w:rFonts w:ascii="Times New Roman" w:eastAsia="Calibri" w:hAnsi="Times New Roman"/>
          <w:noProof/>
          <w:lang w:bidi="ar-SA"/>
        </w:rPr>
        <w:t>be found</w:t>
      </w:r>
      <w:r w:rsidRPr="004D0DE2">
        <w:rPr>
          <w:rFonts w:ascii="Times New Roman" w:eastAsia="Calibri" w:hAnsi="Times New Roman"/>
          <w:lang w:bidi="ar-SA"/>
        </w:rPr>
        <w:t xml:space="preserve"> in connection with the subsequent EC I period (Grotta-</w:t>
      </w:r>
      <w:r w:rsidRPr="004D0DE2">
        <w:rPr>
          <w:rFonts w:ascii="Times New Roman" w:eastAsia="Calibri" w:hAnsi="Times New Roman"/>
          <w:noProof/>
          <w:lang w:bidi="ar-SA"/>
        </w:rPr>
        <w:t>Pelos</w:t>
      </w:r>
      <w:r w:rsidRPr="004D0DE2">
        <w:rPr>
          <w:rFonts w:ascii="Times New Roman" w:eastAsia="Calibri" w:hAnsi="Times New Roman"/>
          <w:lang w:bidi="ar-SA"/>
        </w:rPr>
        <w:t>), to suggest a continuation of culture.</w:t>
      </w:r>
      <w:r w:rsidRPr="004D0DE2">
        <w:rPr>
          <w:rFonts w:ascii="Times New Roman" w:eastAsia="Calibri" w:hAnsi="Times New Roman"/>
          <w:vertAlign w:val="superscript"/>
          <w:lang w:bidi="ar-SA"/>
        </w:rPr>
        <w:footnoteReference w:id="36"/>
      </w:r>
      <w:r w:rsidRPr="004D0DE2">
        <w:rPr>
          <w:rFonts w:ascii="Times New Roman" w:eastAsia="Calibri" w:hAnsi="Times New Roman"/>
          <w:lang w:bidi="ar-SA"/>
        </w:rPr>
        <w:t xml:space="preserve">  </w:t>
      </w:r>
    </w:p>
    <w:p w:rsidR="004D0DE2" w:rsidRPr="004D0DE2" w:rsidRDefault="004D0DE2" w:rsidP="0012758E">
      <w:pPr>
        <w:pStyle w:val="Heading2"/>
      </w:pPr>
      <w:bookmarkStart w:id="19" w:name="_Toc481343482"/>
      <w:bookmarkStart w:id="20" w:name="_Toc482206671"/>
      <w:r w:rsidRPr="004D0DE2">
        <w:t>Animals in Cycladic Culture</w:t>
      </w:r>
      <w:bookmarkEnd w:id="19"/>
      <w:bookmarkEnd w:id="20"/>
    </w:p>
    <w:p w:rsidR="004D0DE2" w:rsidRPr="004D0DE2" w:rsidRDefault="004D0DE2" w:rsidP="004D0DE2">
      <w:pPr>
        <w:spacing w:after="160"/>
        <w:ind w:firstLine="720"/>
      </w:pPr>
      <w:r w:rsidRPr="004D0DE2">
        <w:t xml:space="preserve">In attempting to determine the symbolism behind the zoomorphic representations and the use of the objects, it is </w:t>
      </w:r>
      <w:r w:rsidR="00BD614F">
        <w:t>important</w:t>
      </w:r>
      <w:r w:rsidRPr="004D0DE2">
        <w:t xml:space="preserve"> to first examine the role animals played in th</w:t>
      </w:r>
      <w:r w:rsidR="00BD614F">
        <w:t>e lives of the early islanders, and the types of animals that existed during this time.</w:t>
      </w:r>
      <w:r w:rsidRPr="004D0DE2">
        <w:t xml:space="preserve">  Based on a report from 2008, in a study of the economy of the Late Neolithic site Ftelia, Mykonos, found that all fauna found on the islands, whether wild or domestic, would have been transported by people.  They are all mainland </w:t>
      </w:r>
      <w:r w:rsidRPr="004D0DE2">
        <w:rPr>
          <w:noProof/>
        </w:rPr>
        <w:t>types,</w:t>
      </w:r>
      <w:r w:rsidRPr="004D0DE2">
        <w:t xml:space="preserve"> and furthermore, the endemic fauna had become extinct before the end of the Pleistocene era.</w:t>
      </w:r>
      <w:r w:rsidRPr="004D0DE2">
        <w:rPr>
          <w:vertAlign w:val="superscript"/>
        </w:rPr>
        <w:footnoteReference w:id="37"/>
      </w:r>
      <w:r w:rsidRPr="004D0DE2">
        <w:t xml:space="preserve"> At the Late Neolithic settlement of Ftelia, located today at Ftelia Beach on the large northern inlet of Mykonos, the faunal remains are strongly dominated by ovicaprids (sheep and goats), making up 85% of the assemblage, while pigs </w:t>
      </w:r>
      <w:r w:rsidR="00BD614F">
        <w:t>were</w:t>
      </w:r>
      <w:r w:rsidRPr="004D0DE2">
        <w:t xml:space="preserve"> rare at only </w:t>
      </w:r>
      <w:r w:rsidRPr="004D0DE2">
        <w:rPr>
          <w:noProof/>
        </w:rPr>
        <w:t>12%,</w:t>
      </w:r>
      <w:r w:rsidRPr="004D0DE2">
        <w:t xml:space="preserve"> and cattle represent 3%.</w:t>
      </w:r>
      <w:r w:rsidRPr="004D0DE2">
        <w:rPr>
          <w:vertAlign w:val="superscript"/>
        </w:rPr>
        <w:footnoteReference w:id="38"/>
      </w:r>
      <w:r w:rsidR="00BD614F">
        <w:t xml:space="preserve">  F</w:t>
      </w:r>
      <w:r w:rsidRPr="004D0DE2">
        <w:t xml:space="preserve">aunal remains found on Saliagos at the Late Neolithic level, </w:t>
      </w:r>
      <w:r w:rsidR="00BD614F">
        <w:t>included</w:t>
      </w:r>
      <w:r w:rsidRPr="004D0DE2">
        <w:t xml:space="preserve"> sheep and goat (83.5%), pig (12.1%), and cattle (3.5%).  Marine faunal remains were largely fish bones, 97% of which </w:t>
      </w:r>
      <w:r w:rsidRPr="004D0DE2">
        <w:rPr>
          <w:noProof/>
        </w:rPr>
        <w:t>were identified</w:t>
      </w:r>
      <w:r w:rsidRPr="004D0DE2">
        <w:t xml:space="preserve"> as very large tuna, and at least 35 different species of shellfish.</w:t>
      </w:r>
      <w:r w:rsidRPr="004D0DE2">
        <w:rPr>
          <w:vertAlign w:val="superscript"/>
        </w:rPr>
        <w:footnoteReference w:id="39"/>
      </w:r>
      <w:r w:rsidRPr="004D0DE2">
        <w:t xml:space="preserve">  </w:t>
      </w:r>
    </w:p>
    <w:p w:rsidR="004D0DE2" w:rsidRPr="004D0DE2" w:rsidRDefault="004D0DE2" w:rsidP="004D0DE2">
      <w:pPr>
        <w:spacing w:after="160"/>
        <w:ind w:firstLine="720"/>
      </w:pPr>
      <w:r w:rsidRPr="004D0DE2">
        <w:lastRenderedPageBreak/>
        <w:t xml:space="preserve">Ovicaprids were brought to and raised in the Cyclades for their suitability to the environment.  Sheep </w:t>
      </w:r>
      <w:r w:rsidRPr="004D0DE2">
        <w:rPr>
          <w:noProof/>
        </w:rPr>
        <w:t>are better adapted</w:t>
      </w:r>
      <w:r w:rsidRPr="004D0DE2">
        <w:t xml:space="preserve"> to the drier climate, and goats </w:t>
      </w:r>
      <w:r w:rsidRPr="004D0DE2">
        <w:rPr>
          <w:noProof/>
        </w:rPr>
        <w:t>are better adapted</w:t>
      </w:r>
      <w:r w:rsidRPr="004D0DE2">
        <w:t xml:space="preserve"> to rockier environments. The scarcity of pigs and cattle are </w:t>
      </w:r>
      <w:r w:rsidR="00BD614F">
        <w:rPr>
          <w:noProof/>
        </w:rPr>
        <w:t xml:space="preserve">due to the fact that </w:t>
      </w:r>
      <w:r w:rsidRPr="004D0DE2">
        <w:t>the Cyclades do not have sufficient pastures for raising these animals. Based on the available natural resources</w:t>
      </w:r>
      <w:r w:rsidR="00BD614F">
        <w:t>,</w:t>
      </w:r>
      <w:r w:rsidRPr="004D0DE2">
        <w:t xml:space="preserve"> the </w:t>
      </w:r>
      <w:r w:rsidRPr="004D0DE2">
        <w:rPr>
          <w:noProof/>
        </w:rPr>
        <w:t>islanders</w:t>
      </w:r>
      <w:r w:rsidRPr="004D0DE2">
        <w:t xml:space="preserve"> did not attempt to transport mainland economy to the islands, but rather </w:t>
      </w:r>
      <w:r w:rsidR="00BD614F">
        <w:t xml:space="preserve">they </w:t>
      </w:r>
      <w:r w:rsidRPr="004D0DE2">
        <w:t xml:space="preserve">made selective and deliberate decisions to modify the existing model of the mainland economy to the specific conditions of the islands.  Furthermore, it </w:t>
      </w:r>
      <w:r w:rsidRPr="004D0DE2">
        <w:rPr>
          <w:noProof/>
        </w:rPr>
        <w:t>is suggested</w:t>
      </w:r>
      <w:r w:rsidRPr="004D0DE2">
        <w:t xml:space="preserve"> t</w:t>
      </w:r>
      <w:r w:rsidR="00BD614F">
        <w:t>hat rarity of certain animals</w:t>
      </w:r>
      <w:r w:rsidRPr="004D0DE2">
        <w:t xml:space="preserve"> points to a strictly exploitive use, </w:t>
      </w:r>
      <w:r w:rsidR="00BD614F">
        <w:t>including</w:t>
      </w:r>
      <w:r w:rsidRPr="004D0DE2">
        <w:t xml:space="preserve"> possibly feasting or </w:t>
      </w:r>
      <w:r w:rsidR="00BD614F">
        <w:t xml:space="preserve">a </w:t>
      </w:r>
      <w:r w:rsidRPr="004D0DE2">
        <w:t>ritualistic</w:t>
      </w:r>
      <w:r w:rsidR="00BD614F">
        <w:t xml:space="preserve"> function</w:t>
      </w:r>
      <w:r w:rsidRPr="004D0DE2">
        <w:t xml:space="preserve">. Phoca-Cosmetatou reports that almost half of all cattle remains at Ftelia come from enclosed areas, possibly related to cult practices since 34% of cattle bone deposits </w:t>
      </w:r>
      <w:r w:rsidRPr="004D0DE2">
        <w:rPr>
          <w:noProof/>
        </w:rPr>
        <w:t>are reported</w:t>
      </w:r>
      <w:r w:rsidRPr="004D0DE2">
        <w:t xml:space="preserve"> as burnt.</w:t>
      </w:r>
      <w:r w:rsidRPr="004D0DE2">
        <w:rPr>
          <w:vertAlign w:val="superscript"/>
        </w:rPr>
        <w:footnoteReference w:id="40"/>
      </w:r>
    </w:p>
    <w:p w:rsidR="004D0DE2" w:rsidRPr="004D0DE2" w:rsidRDefault="004D0DE2" w:rsidP="004D0DE2">
      <w:pPr>
        <w:spacing w:after="160"/>
        <w:ind w:firstLine="720"/>
      </w:pPr>
      <w:r w:rsidRPr="004D0DE2">
        <w:t>Foxes and Beech Martens were introduced during the Late Neolithic period or later, perhaps to exterminate “commensal animals</w:t>
      </w:r>
      <w:r w:rsidRPr="004D0DE2">
        <w:rPr>
          <w:noProof/>
        </w:rPr>
        <w:t>.”</w:t>
      </w:r>
      <w:r w:rsidRPr="004D0DE2">
        <w:rPr>
          <w:vertAlign w:val="superscript"/>
        </w:rPr>
        <w:footnoteReference w:id="41"/>
      </w:r>
      <w:r w:rsidRPr="004D0DE2">
        <w:t xml:space="preserve">  There is no evidence of cervids (deer) living in the Cyclades, but the few remains point to islanders bringing them for exploitive purposes. The presence of suids (pigs) is open for speculation since the slaughter pattern of mainly young pigs (six months old or less) may suggest domestication or a small breed of wild boar.</w:t>
      </w:r>
      <w:r w:rsidRPr="004D0DE2">
        <w:rPr>
          <w:vertAlign w:val="superscript"/>
        </w:rPr>
        <w:footnoteReference w:id="42"/>
      </w:r>
    </w:p>
    <w:p w:rsidR="004D0DE2" w:rsidRPr="004D0DE2" w:rsidRDefault="004D0DE2" w:rsidP="004D0DE2">
      <w:pPr>
        <w:spacing w:after="160"/>
        <w:ind w:firstLine="720"/>
      </w:pPr>
      <w:r w:rsidRPr="004D0DE2">
        <w:t xml:space="preserve">Comparison of the </w:t>
      </w:r>
      <w:r w:rsidRPr="004D0DE2">
        <w:rPr>
          <w:noProof/>
        </w:rPr>
        <w:t>faunal</w:t>
      </w:r>
      <w:r w:rsidRPr="004D0DE2">
        <w:t xml:space="preserve"> remains of three major Early Cycladic sites reveals similar statistics.  At Dhaskalio on Keros, sheep and goat bones comprise 98-99% of all </w:t>
      </w:r>
      <w:r w:rsidRPr="004D0DE2">
        <w:lastRenderedPageBreak/>
        <w:t xml:space="preserve">faunal remains, with goats outnumbering sheep. Similarly, comparative results from Markiani on Amorgos and Akrotiri on Thera show 85% and 95% respectively.  Other animal remains represented, in order of quantity of remains, </w:t>
      </w:r>
      <w:r w:rsidRPr="004D0DE2">
        <w:rPr>
          <w:noProof/>
        </w:rPr>
        <w:t>are</w:t>
      </w:r>
      <w:r w:rsidRPr="004D0DE2">
        <w:t xml:space="preserve"> </w:t>
      </w:r>
      <w:r w:rsidRPr="004D0DE2">
        <w:rPr>
          <w:noProof/>
        </w:rPr>
        <w:t>pig</w:t>
      </w:r>
      <w:r w:rsidRPr="004D0DE2">
        <w:t xml:space="preserve"> (</w:t>
      </w:r>
      <w:r w:rsidRPr="004D0DE2">
        <w:rPr>
          <w:i/>
        </w:rPr>
        <w:t xml:space="preserve">Sus </w:t>
      </w:r>
      <w:r w:rsidRPr="004D0DE2">
        <w:rPr>
          <w:i/>
          <w:noProof/>
        </w:rPr>
        <w:t>domesticus</w:t>
      </w:r>
      <w:r w:rsidRPr="004D0DE2">
        <w:t>), cattle (</w:t>
      </w:r>
      <w:r w:rsidRPr="004D0DE2">
        <w:rPr>
          <w:i/>
        </w:rPr>
        <w:t>Bos taurus</w:t>
      </w:r>
      <w:r w:rsidRPr="004D0DE2">
        <w:t>), red deer (</w:t>
      </w:r>
      <w:r w:rsidRPr="004D0DE2">
        <w:rPr>
          <w:i/>
        </w:rPr>
        <w:t>Cervus elaphus</w:t>
      </w:r>
      <w:r w:rsidRPr="004D0DE2">
        <w:t>), dog (</w:t>
      </w:r>
      <w:r w:rsidRPr="004D0DE2">
        <w:rPr>
          <w:i/>
        </w:rPr>
        <w:t>Canis familiaris</w:t>
      </w:r>
      <w:r w:rsidRPr="004D0DE2">
        <w:t>), hare (</w:t>
      </w:r>
      <w:r w:rsidRPr="004D0DE2">
        <w:rPr>
          <w:i/>
        </w:rPr>
        <w:t>Lepus europaeus</w:t>
      </w:r>
      <w:r w:rsidRPr="004D0DE2">
        <w:t>), and mustelid (</w:t>
      </w:r>
      <w:r w:rsidRPr="004D0DE2">
        <w:rPr>
          <w:i/>
        </w:rPr>
        <w:t>Mustelidae</w:t>
      </w:r>
      <w:r w:rsidRPr="004D0DE2">
        <w:t xml:space="preserve">).  Very few bird bones </w:t>
      </w:r>
      <w:r w:rsidRPr="004D0DE2">
        <w:rPr>
          <w:noProof/>
        </w:rPr>
        <w:t>were recovered</w:t>
      </w:r>
      <w:r w:rsidRPr="004D0DE2">
        <w:t xml:space="preserve">, and it is not clear if they were uneconomical to catch, or if their consumption did not feature into </w:t>
      </w:r>
      <w:r w:rsidRPr="004D0DE2">
        <w:rPr>
          <w:noProof/>
        </w:rPr>
        <w:t>Early</w:t>
      </w:r>
      <w:r w:rsidRPr="004D0DE2">
        <w:t xml:space="preserve"> Cycladic culture.</w:t>
      </w:r>
      <w:r w:rsidRPr="004D0DE2">
        <w:rPr>
          <w:vertAlign w:val="superscript"/>
        </w:rPr>
        <w:footnoteReference w:id="43"/>
      </w:r>
      <w:r w:rsidRPr="004D0DE2">
        <w:t xml:space="preserve">  It is important to note that sheep, goats, </w:t>
      </w:r>
      <w:r w:rsidRPr="004D0DE2">
        <w:rPr>
          <w:noProof/>
        </w:rPr>
        <w:t>pigs,</w:t>
      </w:r>
      <w:r w:rsidRPr="004D0DE2">
        <w:t xml:space="preserve"> and cattle are the only animals consistently found at all three sites, while the remaining mammal bones mentioned comprise a very small portion of faunal remains and </w:t>
      </w:r>
      <w:r w:rsidRPr="004D0DE2">
        <w:rPr>
          <w:noProof/>
        </w:rPr>
        <w:t>are not consistently found</w:t>
      </w:r>
      <w:r w:rsidRPr="004D0DE2">
        <w:t xml:space="preserve"> throughout.</w:t>
      </w:r>
      <w:r w:rsidRPr="004D0DE2">
        <w:rPr>
          <w:vertAlign w:val="superscript"/>
        </w:rPr>
        <w:footnoteReference w:id="44"/>
      </w:r>
      <w:r w:rsidRPr="004D0DE2">
        <w:t xml:space="preserve">  Bones come mainly from fill </w:t>
      </w:r>
      <w:r w:rsidRPr="004D0DE2">
        <w:rPr>
          <w:noProof/>
        </w:rPr>
        <w:t>deposits</w:t>
      </w:r>
      <w:r w:rsidRPr="004D0DE2">
        <w:t xml:space="preserve"> and do not seem to have any discernable relation to the building </w:t>
      </w:r>
      <w:r w:rsidRPr="004D0DE2">
        <w:rPr>
          <w:noProof/>
        </w:rPr>
        <w:t>with</w:t>
      </w:r>
      <w:r w:rsidRPr="004D0DE2">
        <w:t xml:space="preserve"> which they </w:t>
      </w:r>
      <w:r w:rsidRPr="004D0DE2">
        <w:rPr>
          <w:noProof/>
        </w:rPr>
        <w:t>are associated</w:t>
      </w:r>
      <w:r w:rsidRPr="004D0DE2">
        <w:t xml:space="preserve">.  Therefore, no conclusions can </w:t>
      </w:r>
      <w:r w:rsidRPr="004D0DE2">
        <w:rPr>
          <w:noProof/>
        </w:rPr>
        <w:t>be drawn</w:t>
      </w:r>
      <w:r w:rsidRPr="004D0DE2">
        <w:t xml:space="preserve"> about their use </w:t>
      </w:r>
      <w:r w:rsidRPr="004D0DE2">
        <w:rPr>
          <w:noProof/>
        </w:rPr>
        <w:t>regarding</w:t>
      </w:r>
      <w:r w:rsidRPr="004D0DE2">
        <w:t xml:space="preserve"> ritual activities and cult practices.</w:t>
      </w:r>
      <w:r w:rsidRPr="004D0DE2">
        <w:rPr>
          <w:vertAlign w:val="superscript"/>
        </w:rPr>
        <w:footnoteReference w:id="45"/>
      </w:r>
      <w:r w:rsidRPr="004D0DE2">
        <w:t xml:space="preserve">  However, Katerina Trantalidou does point out that in the latter phases of the settlement, the concentration is higher at the summit of the site, which is also the case with </w:t>
      </w:r>
      <w:r w:rsidRPr="004D0DE2">
        <w:rPr>
          <w:noProof/>
        </w:rPr>
        <w:t>Markiani</w:t>
      </w:r>
      <w:r w:rsidRPr="004D0DE2">
        <w:t xml:space="preserve"> and at Ayios Georgios on Kythera.  </w:t>
      </w:r>
    </w:p>
    <w:p w:rsidR="004D0DE2" w:rsidRPr="004D0DE2" w:rsidRDefault="004D0DE2" w:rsidP="004D0DE2">
      <w:pPr>
        <w:spacing w:after="160"/>
        <w:ind w:firstLine="720"/>
      </w:pPr>
      <w:r w:rsidRPr="004D0DE2">
        <w:t xml:space="preserve">Other archaeological analyses of the bone deposits do not find any evidence for preference of age or gender of the animals consumed, though most animals are shown to </w:t>
      </w:r>
      <w:r w:rsidRPr="004D0DE2">
        <w:rPr>
          <w:noProof/>
        </w:rPr>
        <w:t>be butchered</w:t>
      </w:r>
      <w:r w:rsidRPr="004D0DE2">
        <w:t xml:space="preserve"> at young ages, 1-3 years.  Since there is also no contextual evidence showing ritual deposits, communal meals, or social distinction of animal consumption, </w:t>
      </w:r>
      <w:r w:rsidRPr="004D0DE2">
        <w:lastRenderedPageBreak/>
        <w:t>no conclusions other than domestic use/consumption can be drawn based on the faunal remains.</w:t>
      </w:r>
      <w:r w:rsidRPr="004D0DE2">
        <w:rPr>
          <w:vertAlign w:val="superscript"/>
        </w:rPr>
        <w:footnoteReference w:id="46"/>
      </w:r>
      <w:r w:rsidRPr="004D0DE2">
        <w:t xml:space="preserve"> </w:t>
      </w:r>
    </w:p>
    <w:p w:rsidR="004D0DE2" w:rsidRPr="004D0DE2" w:rsidRDefault="004D0DE2" w:rsidP="0012758E">
      <w:pPr>
        <w:pStyle w:val="Heading2"/>
      </w:pPr>
      <w:bookmarkStart w:id="22" w:name="_Toc481343483"/>
      <w:bookmarkStart w:id="23" w:name="_Toc482206672"/>
      <w:r w:rsidRPr="004D0DE2">
        <w:t>Bronze Age Chronology</w:t>
      </w:r>
      <w:bookmarkEnd w:id="22"/>
      <w:bookmarkEnd w:id="23"/>
    </w:p>
    <w:p w:rsidR="004D0DE2" w:rsidRPr="004D0DE2" w:rsidRDefault="004D0DE2" w:rsidP="004D0DE2">
      <w:bookmarkStart w:id="24" w:name="_Toc479976285"/>
      <w:r w:rsidRPr="004D0DE2">
        <w:t>Chronology (Simplified Sequence):</w:t>
      </w:r>
      <w:r w:rsidRPr="004D0DE2">
        <w:rPr>
          <w:vertAlign w:val="superscript"/>
        </w:rPr>
        <w:t xml:space="preserve"> </w:t>
      </w:r>
      <w:r w:rsidRPr="004D0DE2">
        <w:rPr>
          <w:vertAlign w:val="superscript"/>
        </w:rPr>
        <w:footnoteReference w:id="47"/>
      </w:r>
      <w:bookmarkEnd w:id="24"/>
    </w:p>
    <w:p w:rsidR="004D0DE2" w:rsidRPr="004D0DE2" w:rsidRDefault="004D0DE2" w:rsidP="004D0DE2">
      <w:pPr>
        <w:spacing w:after="160" w:line="240" w:lineRule="auto"/>
        <w:ind w:firstLine="720"/>
      </w:pPr>
      <w:r w:rsidRPr="004D0DE2">
        <w:t>Early Cycladic: 3200 BCE-2000 BCE</w:t>
      </w:r>
    </w:p>
    <w:p w:rsidR="004D0DE2" w:rsidRPr="004D0DE2" w:rsidRDefault="004D0DE2" w:rsidP="004D0DE2">
      <w:pPr>
        <w:spacing w:after="160" w:line="240" w:lineRule="auto"/>
        <w:ind w:firstLine="720"/>
      </w:pPr>
      <w:r w:rsidRPr="004D0DE2">
        <w:t>Early Cycladic I: 3200 BCE-2800/2700 BCE</w:t>
      </w:r>
    </w:p>
    <w:p w:rsidR="004D0DE2" w:rsidRPr="004D0DE2" w:rsidRDefault="004D0DE2" w:rsidP="004D0DE2">
      <w:pPr>
        <w:spacing w:after="160" w:line="240" w:lineRule="auto"/>
        <w:ind w:firstLine="720"/>
      </w:pPr>
      <w:r w:rsidRPr="004D0DE2">
        <w:t>Early Cycladic II: 2800/2700 BCE-2400/2300 BCE</w:t>
      </w:r>
    </w:p>
    <w:p w:rsidR="004D0DE2" w:rsidRPr="004D0DE2" w:rsidRDefault="004D0DE2" w:rsidP="004D0DE2">
      <w:pPr>
        <w:spacing w:after="160" w:line="240" w:lineRule="auto"/>
        <w:ind w:firstLine="720"/>
      </w:pPr>
      <w:r w:rsidRPr="004D0DE2">
        <w:t>Early Cycladic III: 2400/2300 BCE-2000 BCE</w:t>
      </w:r>
    </w:p>
    <w:p w:rsidR="004D0DE2" w:rsidRPr="004D0DE2" w:rsidRDefault="004D0DE2" w:rsidP="004D0DE2">
      <w:pPr>
        <w:spacing w:after="160" w:line="240" w:lineRule="auto"/>
        <w:ind w:firstLine="720"/>
      </w:pPr>
      <w:r w:rsidRPr="004D0DE2">
        <w:t>Middle Cycladic: 2000 BCE-1600 BCE (Minoan Domination)</w:t>
      </w:r>
    </w:p>
    <w:p w:rsidR="004D0DE2" w:rsidRPr="004D0DE2" w:rsidRDefault="004D0DE2" w:rsidP="004D0DE2">
      <w:pPr>
        <w:spacing w:after="160"/>
        <w:ind w:firstLine="720"/>
      </w:pPr>
      <w:r w:rsidRPr="004D0DE2">
        <w:t>Late Cycladic: 1600 BCE-1200/1100 BCE (Mycenaean Domination)</w:t>
      </w:r>
    </w:p>
    <w:p w:rsidR="004D0DE2" w:rsidRPr="004D0DE2" w:rsidRDefault="004D0DE2" w:rsidP="004D0DE2">
      <w:pPr>
        <w:spacing w:after="160"/>
        <w:ind w:firstLine="720"/>
      </w:pPr>
      <w:r w:rsidRPr="004D0DE2">
        <w:t>A discussion of the chronology of the Aegean Bronze Age</w:t>
      </w:r>
      <w:r w:rsidRPr="004D0DE2">
        <w:rPr>
          <w:vertAlign w:val="superscript"/>
        </w:rPr>
        <w:footnoteReference w:id="48"/>
      </w:r>
      <w:r w:rsidRPr="004D0DE2">
        <w:t xml:space="preserve"> is a complex and on-going process. Numerous scholars of Aegean archaeology have attempted to introduce new systems of relative chronology,</w:t>
      </w:r>
      <w:r w:rsidRPr="004D0DE2">
        <w:rPr>
          <w:vertAlign w:val="superscript"/>
        </w:rPr>
        <w:footnoteReference w:id="49"/>
      </w:r>
      <w:r w:rsidRPr="004D0DE2">
        <w:t xml:space="preserve">  in addition to the fact that calibrated radiocarbon dates shift the absolute chronology.</w:t>
      </w:r>
      <w:r w:rsidRPr="004D0DE2">
        <w:rPr>
          <w:vertAlign w:val="superscript"/>
        </w:rPr>
        <w:footnoteReference w:id="50"/>
      </w:r>
      <w:r w:rsidRPr="004D0DE2">
        <w:t xml:space="preserve">  Doumas reveals that </w:t>
      </w:r>
      <w:r w:rsidRPr="004D0DE2">
        <w:rPr>
          <w:noProof/>
        </w:rPr>
        <w:t>to</w:t>
      </w:r>
      <w:r w:rsidRPr="004D0DE2">
        <w:t xml:space="preserve"> situate objects and events into a relative chronology, and to define the beginning, middle and end, methods have been “devised and agreed upon</w:t>
      </w:r>
      <w:r w:rsidR="00BD614F">
        <w:t>,</w:t>
      </w:r>
      <w:r w:rsidRPr="004D0DE2">
        <w:t>” which include stratigraphy and typology.</w:t>
      </w:r>
      <w:r w:rsidRPr="004D0DE2">
        <w:rPr>
          <w:vertAlign w:val="superscript"/>
        </w:rPr>
        <w:t xml:space="preserve"> </w:t>
      </w:r>
      <w:r w:rsidRPr="004D0DE2">
        <w:rPr>
          <w:vertAlign w:val="superscript"/>
        </w:rPr>
        <w:footnoteReference w:id="51"/>
      </w:r>
      <w:r w:rsidRPr="004D0DE2">
        <w:t xml:space="preserve">   A discussion of the chronology is important to this thesis because </w:t>
      </w:r>
      <w:r w:rsidR="00BD614F">
        <w:t>during</w:t>
      </w:r>
      <w:r w:rsidRPr="004D0DE2">
        <w:t xml:space="preserve"> </w:t>
      </w:r>
      <w:r w:rsidRPr="004D0DE2">
        <w:lastRenderedPageBreak/>
        <w:t xml:space="preserve">the approximate </w:t>
      </w:r>
      <w:r w:rsidR="0012758E" w:rsidRPr="004D0DE2">
        <w:t>1,200-year</w:t>
      </w:r>
      <w:r w:rsidRPr="004D0DE2">
        <w:t xml:space="preserve"> period of the Early Cycladic period</w:t>
      </w:r>
      <w:r w:rsidR="00BD614F">
        <w:t>,</w:t>
      </w:r>
      <w:r w:rsidRPr="004D0DE2">
        <w:t xml:space="preserve"> many stylistic changes occurred in the production of objects</w:t>
      </w:r>
      <w:r w:rsidR="00BD614F">
        <w:t>,</w:t>
      </w:r>
      <w:r w:rsidRPr="004D0DE2">
        <w:t xml:space="preserve"> making it necessary to arrange the objects chronologically. </w:t>
      </w:r>
    </w:p>
    <w:p w:rsidR="004D0DE2" w:rsidRPr="004D0DE2" w:rsidRDefault="004D0DE2" w:rsidP="004D0DE2">
      <w:pPr>
        <w:spacing w:after="160"/>
        <w:ind w:firstLine="720"/>
      </w:pPr>
      <w:r w:rsidRPr="004D0DE2">
        <w:t>The tripartite relative chronology of the Aegean Bronze Age was first established by Sir Arthur Evans during his excavations on Crete at the beginning of 1900.</w:t>
      </w:r>
      <w:r w:rsidRPr="004D0DE2">
        <w:rPr>
          <w:vertAlign w:val="superscript"/>
        </w:rPr>
        <w:footnoteReference w:id="52"/>
      </w:r>
      <w:r w:rsidRPr="004D0DE2">
        <w:t xml:space="preserve">  Based on the Three Ages chronological system, he established a timeline which divided the civilization into an early, middle and late period. By 1918, A.J.B. Wace and C.W. Blegen applied the same system to the Greek mainland and the Cyclades.</w:t>
      </w:r>
      <w:r w:rsidRPr="004D0DE2">
        <w:rPr>
          <w:vertAlign w:val="superscript"/>
        </w:rPr>
        <w:footnoteReference w:id="53"/>
      </w:r>
      <w:r w:rsidRPr="004D0DE2">
        <w:t xml:space="preserve">  Later on, the phases </w:t>
      </w:r>
      <w:r w:rsidRPr="004D0DE2">
        <w:rPr>
          <w:noProof/>
        </w:rPr>
        <w:t>are combined</w:t>
      </w:r>
      <w:r w:rsidRPr="004D0DE2">
        <w:t xml:space="preserve"> with cultural labels: Minoan (Crete), Helladic (Greek mainland) and Cycladic (Cycladic Islands) and this system </w:t>
      </w:r>
      <w:r w:rsidRPr="004D0DE2">
        <w:rPr>
          <w:noProof/>
        </w:rPr>
        <w:t>was</w:t>
      </w:r>
      <w:r w:rsidRPr="004D0DE2">
        <w:t xml:space="preserve"> also used to establish sub-phases within each period using Roman numerals.</w:t>
      </w:r>
      <w:r w:rsidRPr="004D0DE2">
        <w:rPr>
          <w:vertAlign w:val="superscript"/>
        </w:rPr>
        <w:t xml:space="preserve"> </w:t>
      </w:r>
      <w:r w:rsidRPr="004D0DE2">
        <w:rPr>
          <w:vertAlign w:val="superscript"/>
        </w:rPr>
        <w:footnoteReference w:id="54"/>
      </w:r>
      <w:r w:rsidRPr="004D0DE2">
        <w:t xml:space="preserve">   </w:t>
      </w:r>
    </w:p>
    <w:p w:rsidR="004D0DE2" w:rsidRPr="004D0DE2" w:rsidRDefault="004D0DE2" w:rsidP="004D0DE2">
      <w:pPr>
        <w:spacing w:after="160"/>
        <w:ind w:firstLine="720"/>
      </w:pPr>
      <w:r w:rsidRPr="004D0DE2">
        <w:t xml:space="preserve">Unfortunately, the system is not perfect and archaeological finds do not always fit neatly into these categories.  Often, objects are re-dated to an earlier or later </w:t>
      </w:r>
      <w:r w:rsidRPr="004D0DE2">
        <w:rPr>
          <w:noProof/>
        </w:rPr>
        <w:t>period,</w:t>
      </w:r>
      <w:r w:rsidRPr="004D0DE2">
        <w:t xml:space="preserve"> and in 1965, Renfrew attempted to replace the relative chronology system with a cultural seque</w:t>
      </w:r>
      <w:r w:rsidR="00BD614F">
        <w:t>nce for the assemblages instead, named for the</w:t>
      </w:r>
      <w:r w:rsidR="00DD71BF">
        <w:t xml:space="preserve"> main locations of finds:</w:t>
      </w:r>
      <w:r w:rsidRPr="004D0DE2">
        <w:rPr>
          <w:vertAlign w:val="superscript"/>
        </w:rPr>
        <w:footnoteReference w:id="55"/>
      </w:r>
      <w:r w:rsidRPr="004D0DE2">
        <w:t xml:space="preserve"> </w:t>
      </w:r>
      <w:r w:rsidRPr="004D0DE2">
        <w:lastRenderedPageBreak/>
        <w:t>Grotta-Pelos, Keros-Syros, Phylakopi</w:t>
      </w:r>
      <w:r w:rsidR="00B328CA">
        <w:t>,</w:t>
      </w:r>
      <w:r w:rsidRPr="004D0DE2">
        <w:t xml:space="preserve"> (Fig. 4)</w:t>
      </w:r>
      <w:r w:rsidR="00B328CA">
        <w:t>.</w:t>
      </w:r>
      <w:r w:rsidR="00B328CA" w:rsidRPr="00B328CA">
        <w:rPr>
          <w:vertAlign w:val="superscript"/>
        </w:rPr>
        <w:t xml:space="preserve"> </w:t>
      </w:r>
      <w:r w:rsidR="00B328CA" w:rsidRPr="004D0DE2">
        <w:rPr>
          <w:vertAlign w:val="superscript"/>
        </w:rPr>
        <w:footnoteReference w:id="56"/>
      </w:r>
      <w:r w:rsidRPr="004D0DE2">
        <w:t xml:space="preserve"> The Grotta-Pelos culture is known primarily from the cemeteries of the pre-city level at Phylakopi (Phylakopi O) on Melos, Grotta on Naxos, and from other sites on Melos, Naxos, Amorgos, Siphnos and smaller islands.</w:t>
      </w:r>
      <w:r w:rsidRPr="004D0DE2">
        <w:rPr>
          <w:vertAlign w:val="superscript"/>
        </w:rPr>
        <w:footnoteReference w:id="57"/>
      </w:r>
      <w:r w:rsidRPr="004D0DE2">
        <w:t xml:space="preserve"> Most notably the Keros-Syros culture is known from Dhaskalio on Keros and Chalandriani cemetery on Syros, where the bulk of the objects </w:t>
      </w:r>
      <w:r w:rsidRPr="004D0DE2">
        <w:rPr>
          <w:noProof/>
        </w:rPr>
        <w:t>are found</w:t>
      </w:r>
      <w:r w:rsidRPr="004D0DE2">
        <w:t xml:space="preserve">, but also Mt. Kythnos on Delos, Naxos, Amorgos, </w:t>
      </w:r>
      <w:r w:rsidRPr="004D0DE2">
        <w:rPr>
          <w:noProof/>
        </w:rPr>
        <w:t>Ios,</w:t>
      </w:r>
      <w:r w:rsidRPr="004D0DE2">
        <w:t xml:space="preserve"> and Thera. The Phylakopi I </w:t>
      </w:r>
      <w:r w:rsidRPr="004D0DE2">
        <w:rPr>
          <w:noProof/>
        </w:rPr>
        <w:t>culture refers</w:t>
      </w:r>
      <w:r w:rsidRPr="004D0DE2">
        <w:t xml:space="preserve"> to the First City level at the settlement of Phylakopi on Melos, while other finds attributed to this cultural period come from </w:t>
      </w:r>
      <w:r w:rsidRPr="004D0DE2">
        <w:rPr>
          <w:noProof/>
        </w:rPr>
        <w:t>Paroikia</w:t>
      </w:r>
      <w:r w:rsidRPr="004D0DE2">
        <w:t xml:space="preserve"> on Paros.</w:t>
      </w:r>
      <w:r w:rsidRPr="004D0DE2">
        <w:rPr>
          <w:vertAlign w:val="superscript"/>
        </w:rPr>
        <w:footnoteReference w:id="58"/>
      </w:r>
      <w:r w:rsidRPr="004D0DE2">
        <w:t xml:space="preserve">  </w:t>
      </w:r>
    </w:p>
    <w:p w:rsidR="004D0DE2" w:rsidRPr="004D0DE2" w:rsidRDefault="004D0DE2" w:rsidP="004D0DE2">
      <w:pPr>
        <w:spacing w:after="160"/>
        <w:ind w:firstLine="720"/>
      </w:pPr>
      <w:r w:rsidRPr="004D0DE2">
        <w:t xml:space="preserve">In addition to the cultural sequence, there are also various “groups” or “types” which define a more localized culture contemporary with the larger cultural sequences but not included in them.  Some of these groups, named for the locations, are Plastiras, </w:t>
      </w:r>
      <w:r w:rsidRPr="004D0DE2">
        <w:rPr>
          <w:noProof/>
        </w:rPr>
        <w:t>Kampos</w:t>
      </w:r>
      <w:r w:rsidRPr="004D0DE2">
        <w:t xml:space="preserve">, Kastri, Amorgos, and Christiana. These labels and groupings attempt to define the </w:t>
      </w:r>
      <w:r w:rsidRPr="004D0DE2">
        <w:rPr>
          <w:noProof/>
        </w:rPr>
        <w:t>diversity</w:t>
      </w:r>
      <w:r w:rsidRPr="004D0DE2">
        <w:t xml:space="preserve"> of material culture of the Cycladic Islands, whereas the tripartite system gives the illusion of cultural uniformity.</w:t>
      </w:r>
      <w:r w:rsidRPr="004D0DE2">
        <w:rPr>
          <w:vertAlign w:val="superscript"/>
        </w:rPr>
        <w:footnoteReference w:id="59"/>
      </w:r>
      <w:r w:rsidRPr="004D0DE2">
        <w:t xml:space="preserve">  Renfrew criticizes the simplified sequence, saying that alone it “fails to observe the basic principle of archaeological classification, </w:t>
      </w:r>
      <w:r w:rsidRPr="004D0DE2">
        <w:lastRenderedPageBreak/>
        <w:t xml:space="preserve">that archaeological cultures represent assemblages of </w:t>
      </w:r>
      <w:r w:rsidRPr="004D0DE2">
        <w:rPr>
          <w:noProof/>
        </w:rPr>
        <w:t>artefacts</w:t>
      </w:r>
      <w:r w:rsidRPr="004D0DE2">
        <w:t>, having extension in space as well as in time.”</w:t>
      </w:r>
      <w:r w:rsidRPr="004D0DE2">
        <w:rPr>
          <w:vertAlign w:val="superscript"/>
        </w:rPr>
        <w:footnoteReference w:id="60"/>
      </w:r>
    </w:p>
    <w:p w:rsidR="004D0DE2" w:rsidRPr="004D0DE2" w:rsidRDefault="004D0DE2" w:rsidP="004D0DE2">
      <w:pPr>
        <w:spacing w:after="160"/>
        <w:ind w:firstLine="720"/>
      </w:pPr>
      <w:r w:rsidRPr="004D0DE2">
        <w:t xml:space="preserve">It is </w:t>
      </w:r>
      <w:r w:rsidRPr="004D0DE2">
        <w:rPr>
          <w:noProof/>
        </w:rPr>
        <w:t>obvious</w:t>
      </w:r>
      <w:r w:rsidRPr="004D0DE2">
        <w:t xml:space="preserve"> that this system has failed to completely replace the tripartite system as there are no chronological dates assigned to the groups.  However, Renfrew suggests not a replacement of the simplified sequence, but to use the cultural terminology </w:t>
      </w:r>
      <w:r w:rsidRPr="004D0DE2">
        <w:rPr>
          <w:noProof/>
        </w:rPr>
        <w:t>in reference to</w:t>
      </w:r>
      <w:r w:rsidRPr="004D0DE2">
        <w:t xml:space="preserve"> finds and assemblages and the simplified sequence </w:t>
      </w:r>
      <w:r w:rsidRPr="004D0DE2">
        <w:rPr>
          <w:noProof/>
        </w:rPr>
        <w:t>in reference to</w:t>
      </w:r>
      <w:r w:rsidRPr="004D0DE2">
        <w:t xml:space="preserve"> chronology.</w:t>
      </w:r>
      <w:r w:rsidRPr="004D0DE2">
        <w:rPr>
          <w:vertAlign w:val="superscript"/>
        </w:rPr>
        <w:footnoteReference w:id="61"/>
      </w:r>
      <w:r w:rsidRPr="004D0DE2">
        <w:t xml:space="preserve"> Still, that proves too </w:t>
      </w:r>
      <w:r w:rsidRPr="004D0DE2">
        <w:rPr>
          <w:noProof/>
        </w:rPr>
        <w:t>complicated; however,</w:t>
      </w:r>
      <w:r w:rsidRPr="004D0DE2">
        <w:t xml:space="preserve"> Renfrew’s </w:t>
      </w:r>
      <w:r w:rsidRPr="004D0DE2">
        <w:rPr>
          <w:i/>
        </w:rPr>
        <w:t>The Emergence of Civilization</w:t>
      </w:r>
      <w:r w:rsidRPr="004D0DE2">
        <w:t xml:space="preserve"> does remain the classic study of Early Cycladic civilization.  The author has described Cycladic culture as being not one dominant region, but consisting of a group of autonomous areas, “each with something to contribute to the international spirit of the time.”</w:t>
      </w:r>
      <w:r w:rsidRPr="004D0DE2">
        <w:rPr>
          <w:vertAlign w:val="superscript"/>
        </w:rPr>
        <w:footnoteReference w:id="62"/>
      </w:r>
      <w:r w:rsidRPr="004D0DE2">
        <w:t xml:space="preserve"> To complicate matters more, scholars tend to use both the tripartite system and Renfrew’s cultural system interchangeably.  </w:t>
      </w:r>
      <w:r w:rsidRPr="004D0DE2">
        <w:rPr>
          <w:noProof/>
        </w:rPr>
        <w:t>This</w:t>
      </w:r>
      <w:r w:rsidRPr="004D0DE2">
        <w:t xml:space="preserve"> has led to the Grotta-Pelos culture </w:t>
      </w:r>
      <w:r w:rsidRPr="004D0DE2">
        <w:rPr>
          <w:noProof/>
        </w:rPr>
        <w:t>being associated</w:t>
      </w:r>
      <w:r w:rsidRPr="004D0DE2">
        <w:t xml:space="preserve"> with EC I, Keros-Syros culture </w:t>
      </w:r>
      <w:r w:rsidRPr="004D0DE2">
        <w:rPr>
          <w:noProof/>
        </w:rPr>
        <w:t>being associated</w:t>
      </w:r>
      <w:r w:rsidRPr="004D0DE2">
        <w:t xml:space="preserve"> with EC II, and Phylakopi </w:t>
      </w:r>
      <w:r w:rsidRPr="004D0DE2">
        <w:rPr>
          <w:noProof/>
        </w:rPr>
        <w:t>being associated</w:t>
      </w:r>
      <w:r w:rsidRPr="004D0DE2">
        <w:t xml:space="preserve"> with EC III.  In theory, it appears one terminology is the equivalent of the other, when in reality Renfrew’s cultural system does not follow the strictures of the tripartite chronologic</w:t>
      </w:r>
      <w:r w:rsidR="00B328CA">
        <w:t xml:space="preserve">al dating and overlaps do </w:t>
      </w:r>
      <w:r w:rsidR="0012758E">
        <w:t>exist,</w:t>
      </w:r>
      <w:r w:rsidR="0012758E" w:rsidRPr="004D0DE2">
        <w:t xml:space="preserve"> (</w:t>
      </w:r>
      <w:r w:rsidRPr="004D0DE2">
        <w:t>Fig. 4)</w:t>
      </w:r>
      <w:r w:rsidR="00B328CA">
        <w:t>.</w:t>
      </w:r>
    </w:p>
    <w:p w:rsidR="004D0DE2" w:rsidRPr="004D0DE2" w:rsidRDefault="004D0DE2" w:rsidP="004D0DE2">
      <w:pPr>
        <w:spacing w:after="160"/>
        <w:ind w:firstLine="720"/>
      </w:pPr>
      <w:r w:rsidRPr="004D0DE2">
        <w:t xml:space="preserve">The three cultures are very different from each </w:t>
      </w:r>
      <w:r w:rsidRPr="004D0DE2">
        <w:rPr>
          <w:noProof/>
        </w:rPr>
        <w:t>other</w:t>
      </w:r>
      <w:r w:rsidRPr="004D0DE2">
        <w:t xml:space="preserve"> and do not replace each other throughout the Cyclades at the same time. For instance, it is clear that the Keros-</w:t>
      </w:r>
      <w:r w:rsidRPr="004D0DE2">
        <w:lastRenderedPageBreak/>
        <w:t xml:space="preserve">Syros culture continues to flourish on Syros (in the form of the late Kastri group of the culture) while the Phylakopi I culture is underway in the south, and on </w:t>
      </w:r>
      <w:r w:rsidRPr="004D0DE2">
        <w:rPr>
          <w:noProof/>
        </w:rPr>
        <w:t>Paros,</w:t>
      </w:r>
      <w:r w:rsidRPr="004D0DE2">
        <w:t xml:space="preserve"> the Keros-Syros culture </w:t>
      </w:r>
      <w:r w:rsidRPr="004D0DE2">
        <w:rPr>
          <w:noProof/>
        </w:rPr>
        <w:t>is not yet documented</w:t>
      </w:r>
      <w:r w:rsidRPr="004D0DE2">
        <w:t>.  On Syros, there is as yet no evidence of the Grotta-Pelos culture, and it is possible that the Keros-Syros culture had other antecedents.</w:t>
      </w:r>
      <w:r w:rsidRPr="004D0DE2">
        <w:rPr>
          <w:vertAlign w:val="superscript"/>
        </w:rPr>
        <w:footnoteReference w:id="63"/>
      </w:r>
      <w:r w:rsidRPr="004D0DE2">
        <w:t xml:space="preserve"> While both the tripartite chronology and the cultural sequences have proponents and detractors in the Aegean archaeological community,</w:t>
      </w:r>
      <w:r w:rsidRPr="004D0DE2">
        <w:rPr>
          <w:vertAlign w:val="superscript"/>
        </w:rPr>
        <w:footnoteReference w:id="64"/>
      </w:r>
      <w:r w:rsidRPr="004D0DE2">
        <w:t xml:space="preserve"> </w:t>
      </w:r>
      <w:r w:rsidRPr="004D0DE2">
        <w:rPr>
          <w:noProof/>
        </w:rPr>
        <w:t>for the purposes of</w:t>
      </w:r>
      <w:r w:rsidRPr="004D0DE2">
        <w:t xml:space="preserve"> my thesis, the universally accepted tripartite chronology will </w:t>
      </w:r>
      <w:r w:rsidRPr="004D0DE2">
        <w:rPr>
          <w:noProof/>
        </w:rPr>
        <w:t>be primarily employed</w:t>
      </w:r>
      <w:r w:rsidRPr="004D0DE2">
        <w:t xml:space="preserve">, and the cultural sequence will be referred to when appropriate. </w:t>
      </w:r>
    </w:p>
    <w:p w:rsidR="004D0DE2" w:rsidRPr="004D0DE2" w:rsidRDefault="004D0DE2" w:rsidP="004D0DE2">
      <w:pPr>
        <w:spacing w:after="160"/>
        <w:ind w:firstLine="720"/>
      </w:pPr>
      <w:r w:rsidRPr="004D0DE2">
        <w:t>In this earliest period of the Bronze Age in the Cycladic islands (EC I), our knowledge is restricted totally to the cemeteries due to the lack of any preserved architectural remains of settlements.</w:t>
      </w:r>
      <w:r w:rsidRPr="004D0DE2">
        <w:rPr>
          <w:vertAlign w:val="superscript"/>
        </w:rPr>
        <w:footnoteReference w:id="65"/>
      </w:r>
      <w:r w:rsidRPr="004D0DE2">
        <w:t xml:space="preserve">  One theory for the lack of architectural remains is that settlements </w:t>
      </w:r>
      <w:r w:rsidRPr="004D0DE2">
        <w:rPr>
          <w:noProof/>
        </w:rPr>
        <w:t>were built</w:t>
      </w:r>
      <w:r w:rsidRPr="004D0DE2">
        <w:t xml:space="preserve"> of perishable materials.</w:t>
      </w:r>
      <w:r w:rsidRPr="004D0DE2">
        <w:rPr>
          <w:vertAlign w:val="superscript"/>
        </w:rPr>
        <w:footnoteReference w:id="66"/>
      </w:r>
      <w:r w:rsidRPr="004D0DE2">
        <w:t xml:space="preserve">  </w:t>
      </w:r>
      <w:r w:rsidRPr="004D0DE2">
        <w:rPr>
          <w:noProof/>
        </w:rPr>
        <w:t>This</w:t>
      </w:r>
      <w:r w:rsidRPr="004D0DE2">
        <w:t xml:space="preserve"> is unlikely, given the fact </w:t>
      </w:r>
      <w:r w:rsidRPr="004D0DE2">
        <w:rPr>
          <w:noProof/>
        </w:rPr>
        <w:t>islanders</w:t>
      </w:r>
      <w:r w:rsidRPr="004D0DE2">
        <w:t xml:space="preserve"> had access to stronger, permanent building materials, and </w:t>
      </w:r>
      <w:r w:rsidRPr="004D0DE2">
        <w:rPr>
          <w:noProof/>
        </w:rPr>
        <w:t>that previous Neolithic settlements</w:t>
      </w:r>
      <w:r w:rsidRPr="004D0DE2">
        <w:t xml:space="preserve"> were built of stone. An alternate hypothesis suggests that if each cemetery served one extended family for many generations, then only one or two lone structures would be associated with the site, not a full settlement.  It would be difficult for a single structure to survive or </w:t>
      </w:r>
      <w:r w:rsidRPr="004D0DE2">
        <w:rPr>
          <w:noProof/>
        </w:rPr>
        <w:t>be detected</w:t>
      </w:r>
      <w:r w:rsidRPr="004D0DE2">
        <w:t xml:space="preserve"> with intense erosion over millennia. Another consideration which supports this theory is the wide geographical distribution, especially on larger islands such as Naxos or Paros.</w:t>
      </w:r>
      <w:r w:rsidRPr="004D0DE2">
        <w:rPr>
          <w:vertAlign w:val="superscript"/>
        </w:rPr>
        <w:footnoteReference w:id="67"/>
      </w:r>
      <w:r w:rsidRPr="004D0DE2">
        <w:t xml:space="preserve"> </w:t>
      </w:r>
    </w:p>
    <w:p w:rsidR="004D0DE2" w:rsidRPr="004D0DE2" w:rsidRDefault="004D0DE2" w:rsidP="004D0DE2">
      <w:pPr>
        <w:spacing w:after="160"/>
        <w:ind w:firstLine="720"/>
      </w:pPr>
      <w:r w:rsidRPr="004D0DE2">
        <w:lastRenderedPageBreak/>
        <w:t xml:space="preserve">The cemeteries of this phase </w:t>
      </w:r>
      <w:r w:rsidRPr="004D0DE2">
        <w:rPr>
          <w:noProof/>
        </w:rPr>
        <w:t>are located</w:t>
      </w:r>
      <w:r w:rsidRPr="004D0DE2">
        <w:t xml:space="preserve"> on gentle slopes, oriented toward the downward incline, in small clusters of about 10-15 graves. </w:t>
      </w:r>
      <w:r w:rsidRPr="004D0DE2">
        <w:rPr>
          <w:vertAlign w:val="superscript"/>
        </w:rPr>
        <w:footnoteReference w:id="68"/>
      </w:r>
      <w:r w:rsidRPr="004D0DE2">
        <w:t xml:space="preserve">  Each grave holds a single inhumation, lying on its right side and highly contracted—knees are flexed to the abdomen—bound with twine or bands, nearly identical to the single, primary inhumations of Neolithic Çatalhöyük.</w:t>
      </w:r>
      <w:r w:rsidRPr="004D0DE2">
        <w:rPr>
          <w:vertAlign w:val="superscript"/>
        </w:rPr>
        <w:footnoteReference w:id="69"/>
      </w:r>
      <w:r w:rsidRPr="004D0DE2">
        <w:t xml:space="preserve">  Grave goods consisting of what may be presumed to be personal property (jewelry, vessels, tools), but not communal property (querns, storage jars, and cooking pots); children </w:t>
      </w:r>
      <w:r w:rsidRPr="004D0DE2">
        <w:rPr>
          <w:noProof/>
        </w:rPr>
        <w:t>were buried</w:t>
      </w:r>
      <w:r w:rsidRPr="004D0DE2">
        <w:t xml:space="preserve"> without offerings.  Platforms located adjacent to the cemetery, made of stones </w:t>
      </w:r>
      <w:r w:rsidRPr="004D0DE2">
        <w:rPr>
          <w:noProof/>
        </w:rPr>
        <w:t>and/or</w:t>
      </w:r>
      <w:r w:rsidRPr="004D0DE2">
        <w:t xml:space="preserve"> sea pebbles </w:t>
      </w:r>
      <w:r w:rsidRPr="004D0DE2">
        <w:rPr>
          <w:noProof/>
        </w:rPr>
        <w:t>were possibly associated</w:t>
      </w:r>
      <w:r w:rsidRPr="004D0DE2">
        <w:t xml:space="preserve"> with funerary rites.  Each cemetery probably serviced the burial needs of extended families for three to four centuries of the EC I period.</w:t>
      </w:r>
      <w:r w:rsidRPr="004D0DE2">
        <w:rPr>
          <w:vertAlign w:val="superscript"/>
        </w:rPr>
        <w:footnoteReference w:id="70"/>
      </w:r>
    </w:p>
    <w:p w:rsidR="004D0DE2" w:rsidRPr="004D0DE2" w:rsidRDefault="004D0DE2" w:rsidP="004D0DE2">
      <w:pPr>
        <w:spacing w:after="160"/>
        <w:ind w:firstLine="720"/>
      </w:pPr>
      <w:r w:rsidRPr="004D0DE2">
        <w:t xml:space="preserve">This middle period of the Early Cycladic culture (EC II) is considered to be the climax of the cultural and economic power.  The number of known settlements multiplies substantially, as do evidence of fortifications. Whereas in the proceeding period, settlements were known to </w:t>
      </w:r>
      <w:r w:rsidRPr="004D0DE2">
        <w:rPr>
          <w:noProof/>
        </w:rPr>
        <w:t>be located</w:t>
      </w:r>
      <w:r w:rsidRPr="004D0DE2">
        <w:t xml:space="preserve"> at coastal sites (for defense purposes), now settlements are found to be in all areas of a given island: coastal, inland, on low hills and promontories. In this period, many variations occur in each settlement, both in architecture and burial customs. Although there is more architectural evidence present than EC I, it is difficult to isolate characteristic features. Each settlement </w:t>
      </w:r>
      <w:r w:rsidRPr="004D0DE2">
        <w:rPr>
          <w:noProof/>
        </w:rPr>
        <w:t>is influenced</w:t>
      </w:r>
      <w:r w:rsidRPr="004D0DE2">
        <w:t xml:space="preserve"> by local conditions, </w:t>
      </w:r>
      <w:r w:rsidRPr="004D0DE2">
        <w:rPr>
          <w:noProof/>
        </w:rPr>
        <w:t>materials,</w:t>
      </w:r>
      <w:r w:rsidRPr="004D0DE2">
        <w:t xml:space="preserve"> and culture.</w:t>
      </w:r>
      <w:r w:rsidRPr="004D0DE2">
        <w:rPr>
          <w:vertAlign w:val="superscript"/>
        </w:rPr>
        <w:footnoteReference w:id="71"/>
      </w:r>
      <w:r w:rsidRPr="004D0DE2">
        <w:t xml:space="preserve"> At Kastri on Syros, excavations have </w:t>
      </w:r>
      <w:r w:rsidRPr="004D0DE2">
        <w:lastRenderedPageBreak/>
        <w:t>revealed courtyards existed among the houses with entrances to separate buildings located within the courtyard.  The structures themselves had flat roofs, either of branches, clay or large schist slabs supported by timber beams.  Floors were either earthen, paved with flagstones or bedrock.</w:t>
      </w:r>
      <w:r w:rsidRPr="004D0DE2">
        <w:rPr>
          <w:vertAlign w:val="superscript"/>
        </w:rPr>
        <w:footnoteReference w:id="72"/>
      </w:r>
      <w:r w:rsidRPr="004D0DE2">
        <w:t xml:space="preserve">  Walls were of unworked schist slabs and mortar. </w:t>
      </w:r>
      <w:r w:rsidRPr="004D0DE2">
        <w:rPr>
          <w:noProof/>
        </w:rPr>
        <w:t>Doumas suggests that the design of house models and hut pyxides found could suggest that structures had gabled roofs, probably covered with a kind of thatch since no tiles have been found, such as at the House of the Tiles at Lerna (Lerna III, Early Helladic II, ca. 2750 BCE-2200 BCE)</w:t>
      </w:r>
      <w:r w:rsidRPr="004D0DE2">
        <w:rPr>
          <w:noProof/>
          <w:vertAlign w:val="superscript"/>
        </w:rPr>
        <w:footnoteReference w:id="73"/>
      </w:r>
      <w:r w:rsidRPr="004D0DE2">
        <w:rPr>
          <w:noProof/>
        </w:rPr>
        <w:t>on the mainland.</w:t>
      </w:r>
      <w:r w:rsidRPr="004D0DE2">
        <w:rPr>
          <w:vertAlign w:val="superscript"/>
        </w:rPr>
        <w:footnoteReference w:id="74"/>
      </w:r>
      <w:r w:rsidRPr="004D0DE2">
        <w:t xml:space="preserve">  </w:t>
      </w:r>
    </w:p>
    <w:p w:rsidR="004D0DE2" w:rsidRPr="004D0DE2" w:rsidRDefault="004D0DE2" w:rsidP="004D0DE2">
      <w:pPr>
        <w:spacing w:after="160"/>
        <w:ind w:firstLine="720"/>
      </w:pPr>
      <w:r w:rsidRPr="004D0DE2">
        <w:t xml:space="preserve">The cemetery of Chalandriani on Syros is an interesting exception to the other Cycladic cemeteries of </w:t>
      </w:r>
      <w:r w:rsidRPr="004D0DE2">
        <w:rPr>
          <w:noProof/>
        </w:rPr>
        <w:t>EC II</w:t>
      </w:r>
      <w:r w:rsidRPr="004D0DE2">
        <w:t>, organized in clusters, like in EC I, more than 600 “beehive-shaped” graves exist.  They are small rock-cut tombs in the hillside, lined with corbelled dry-stone masonry.</w:t>
      </w:r>
      <w:r w:rsidRPr="004D0DE2">
        <w:rPr>
          <w:vertAlign w:val="superscript"/>
        </w:rPr>
        <w:footnoteReference w:id="75"/>
      </w:r>
      <w:r w:rsidRPr="004D0DE2">
        <w:t xml:space="preserve">  Many of the tombs have niches in the walls where the grave goods </w:t>
      </w:r>
      <w:r w:rsidRPr="004D0DE2">
        <w:rPr>
          <w:noProof/>
        </w:rPr>
        <w:t>are placed</w:t>
      </w:r>
      <w:r w:rsidRPr="004D0DE2">
        <w:t>,</w:t>
      </w:r>
      <w:r w:rsidRPr="004D0DE2">
        <w:rPr>
          <w:vertAlign w:val="superscript"/>
        </w:rPr>
        <w:footnoteReference w:id="76"/>
      </w:r>
      <w:r w:rsidRPr="004D0DE2">
        <w:t xml:space="preserve"> which can account for the quality of preservation of the objects </w:t>
      </w:r>
      <w:r w:rsidRPr="004D0DE2">
        <w:rPr>
          <w:noProof/>
        </w:rPr>
        <w:t>in relation to</w:t>
      </w:r>
      <w:r w:rsidRPr="004D0DE2">
        <w:t xml:space="preserve"> others found throughout the islands. </w:t>
      </w:r>
      <w:r w:rsidRPr="004D0DE2">
        <w:rPr>
          <w:noProof/>
        </w:rPr>
        <w:t>This</w:t>
      </w:r>
      <w:r w:rsidRPr="004D0DE2">
        <w:t xml:space="preserve"> has also </w:t>
      </w:r>
      <w:r w:rsidRPr="004D0DE2">
        <w:rPr>
          <w:noProof/>
        </w:rPr>
        <w:t>been noted</w:t>
      </w:r>
      <w:r w:rsidRPr="004D0DE2">
        <w:t xml:space="preserve"> at </w:t>
      </w:r>
      <w:r w:rsidRPr="004D0DE2">
        <w:rPr>
          <w:noProof/>
        </w:rPr>
        <w:t>Louros</w:t>
      </w:r>
      <w:r w:rsidRPr="004D0DE2">
        <w:t xml:space="preserve"> on Naxos, where marble figurines were found standing upright in a niche.</w:t>
      </w:r>
      <w:r w:rsidRPr="004D0DE2">
        <w:rPr>
          <w:vertAlign w:val="superscript"/>
        </w:rPr>
        <w:footnoteReference w:id="77"/>
      </w:r>
    </w:p>
    <w:p w:rsidR="004D0DE2" w:rsidRPr="004D0DE2" w:rsidRDefault="004D0DE2" w:rsidP="004D0DE2">
      <w:pPr>
        <w:spacing w:after="160"/>
        <w:ind w:firstLine="720"/>
      </w:pPr>
      <w:r w:rsidRPr="004D0DE2">
        <w:t xml:space="preserve">The evidence of more sophisticated settlement plans and denser cemeteries with multiple inhumations in the same grave points to population growth in concentrated areas.  One suggestion is that the EC I farmsteads were being abandoned gradually for </w:t>
      </w:r>
      <w:r w:rsidRPr="004D0DE2">
        <w:lastRenderedPageBreak/>
        <w:t>urban living.</w:t>
      </w:r>
      <w:r w:rsidRPr="004D0DE2">
        <w:rPr>
          <w:vertAlign w:val="superscript"/>
        </w:rPr>
        <w:footnoteReference w:id="78"/>
      </w:r>
      <w:r w:rsidRPr="004D0DE2">
        <w:t xml:space="preserve"> Dense settlement populations demanded occupations such as metalworking, shipbuilding, sailing, and similar activities. </w:t>
      </w:r>
      <w:r w:rsidRPr="004D0DE2">
        <w:rPr>
          <w:noProof/>
        </w:rPr>
        <w:t>This</w:t>
      </w:r>
      <w:r w:rsidRPr="004D0DE2">
        <w:t xml:space="preserve"> paved the way for </w:t>
      </w:r>
      <w:r w:rsidRPr="004D0DE2">
        <w:rPr>
          <w:noProof/>
        </w:rPr>
        <w:t>fully-fledged</w:t>
      </w:r>
      <w:r w:rsidRPr="004D0DE2">
        <w:t xml:space="preserve"> urbanization </w:t>
      </w:r>
      <w:r w:rsidRPr="004D0DE2">
        <w:rPr>
          <w:noProof/>
        </w:rPr>
        <w:t>seen</w:t>
      </w:r>
      <w:r w:rsidRPr="004D0DE2">
        <w:t xml:space="preserve"> in the subsequent EC III period.</w:t>
      </w:r>
      <w:r w:rsidRPr="004D0DE2">
        <w:rPr>
          <w:vertAlign w:val="superscript"/>
        </w:rPr>
        <w:footnoteReference w:id="79"/>
      </w:r>
      <w:r w:rsidRPr="004D0DE2">
        <w:t xml:space="preserve">  Advances in agriculture and metallurgy </w:t>
      </w:r>
      <w:r w:rsidRPr="004D0DE2">
        <w:rPr>
          <w:noProof/>
        </w:rPr>
        <w:t>accompany</w:t>
      </w:r>
      <w:r w:rsidRPr="004D0DE2">
        <w:t xml:space="preserve"> increased evidence, in weapons and defenses, for occurrences of conflict and warfare.  Given the dependence on maritime activity, one suggestion is the emergence of piracy.</w:t>
      </w:r>
      <w:r w:rsidRPr="004D0DE2">
        <w:rPr>
          <w:vertAlign w:val="superscript"/>
        </w:rPr>
        <w:footnoteReference w:id="80"/>
      </w:r>
      <w:r w:rsidRPr="004D0DE2">
        <w:t xml:space="preserve"> </w:t>
      </w:r>
    </w:p>
    <w:p w:rsidR="004D0DE2" w:rsidRPr="004D0DE2" w:rsidRDefault="004D0DE2" w:rsidP="004D0DE2">
      <w:pPr>
        <w:spacing w:after="160"/>
        <w:ind w:firstLine="720"/>
      </w:pPr>
      <w:r w:rsidRPr="004D0DE2">
        <w:t xml:space="preserve">Inexplicably, in the EC III period, there is a drastic decrease in the number of sites which can </w:t>
      </w:r>
      <w:r w:rsidRPr="004D0DE2">
        <w:rPr>
          <w:noProof/>
        </w:rPr>
        <w:t>be attributed</w:t>
      </w:r>
      <w:r w:rsidRPr="004D0DE2">
        <w:t xml:space="preserve"> to this period.  Most of what is known </w:t>
      </w:r>
      <w:r w:rsidRPr="004D0DE2">
        <w:rPr>
          <w:noProof/>
        </w:rPr>
        <w:t>comes</w:t>
      </w:r>
      <w:r w:rsidRPr="004D0DE2">
        <w:t xml:space="preserve"> from Phylakopi on Melos, the so-called First City phase, and is the first which can be called a town. The structures featured straight plastered walls with right-angled corners situated on compact blocks on narrow streets.</w:t>
      </w:r>
      <w:r w:rsidRPr="004D0DE2">
        <w:rPr>
          <w:vertAlign w:val="superscript"/>
        </w:rPr>
        <w:footnoteReference w:id="81"/>
      </w:r>
      <w:r w:rsidRPr="004D0DE2">
        <w:t xml:space="preserve">  The consistency of the city plan is a marked contrast to the informal settlement plans of EC II.  Coastal sites which remain become ports in EC III and later harbor towns in the succeeding Minoan period of the Middle Bronze Age.</w:t>
      </w:r>
      <w:r w:rsidRPr="004D0DE2">
        <w:rPr>
          <w:vertAlign w:val="superscript"/>
        </w:rPr>
        <w:footnoteReference w:id="82"/>
      </w:r>
      <w:r w:rsidRPr="004D0DE2">
        <w:t xml:space="preserve"> All known settlements except Phylakopi and Dhaskalio (which continues through EC III) </w:t>
      </w:r>
      <w:r w:rsidRPr="004D0DE2">
        <w:rPr>
          <w:noProof/>
        </w:rPr>
        <w:t>are abandoned</w:t>
      </w:r>
      <w:r w:rsidRPr="004D0DE2">
        <w:t xml:space="preserve"> within the first part of EC III. </w:t>
      </w:r>
      <w:r w:rsidRPr="004D0DE2">
        <w:rPr>
          <w:vertAlign w:val="superscript"/>
        </w:rPr>
        <w:footnoteReference w:id="83"/>
      </w:r>
    </w:p>
    <w:p w:rsidR="004D0DE2" w:rsidRPr="004D0DE2" w:rsidRDefault="004D0DE2" w:rsidP="004D0DE2">
      <w:pPr>
        <w:spacing w:after="160"/>
        <w:ind w:firstLine="720"/>
      </w:pPr>
      <w:r w:rsidRPr="004D0DE2">
        <w:t xml:space="preserve">Contact with other sites </w:t>
      </w:r>
      <w:r w:rsidRPr="004D0DE2">
        <w:rPr>
          <w:noProof/>
        </w:rPr>
        <w:t>is dated</w:t>
      </w:r>
      <w:r w:rsidRPr="004D0DE2">
        <w:t xml:space="preserve"> to this phase by a particular form of pottery known as the ‘duck </w:t>
      </w:r>
      <w:r w:rsidRPr="004D0DE2">
        <w:rPr>
          <w:noProof/>
        </w:rPr>
        <w:t>askos.'</w:t>
      </w:r>
      <w:r w:rsidRPr="004D0DE2">
        <w:t xml:space="preserve">  However, problems exist at the site of Phylakopi.  The cemetery was looted </w:t>
      </w:r>
      <w:r w:rsidRPr="004D0DE2">
        <w:rPr>
          <w:noProof/>
        </w:rPr>
        <w:t>before</w:t>
      </w:r>
      <w:r w:rsidRPr="004D0DE2">
        <w:t xml:space="preserve"> systematic excavations by Atkinson in 1904.  It is probable that metallurgy continued to </w:t>
      </w:r>
      <w:r w:rsidRPr="004D0DE2">
        <w:rPr>
          <w:noProof/>
        </w:rPr>
        <w:t>be practiced</w:t>
      </w:r>
      <w:r w:rsidRPr="004D0DE2">
        <w:t xml:space="preserve"> at this site, but no finds support </w:t>
      </w:r>
      <w:r w:rsidRPr="004D0DE2">
        <w:rPr>
          <w:noProof/>
        </w:rPr>
        <w:t>this,</w:t>
      </w:r>
      <w:r w:rsidRPr="004D0DE2">
        <w:t xml:space="preserve"> and there </w:t>
      </w:r>
      <w:r w:rsidRPr="004D0DE2">
        <w:lastRenderedPageBreak/>
        <w:t xml:space="preserve">are no major works of art, as in the Keros-Syros phase, but it </w:t>
      </w:r>
      <w:r w:rsidRPr="004D0DE2">
        <w:rPr>
          <w:noProof/>
        </w:rPr>
        <w:t>is believed</w:t>
      </w:r>
      <w:r w:rsidRPr="004D0DE2">
        <w:t xml:space="preserve"> that folded-arm figurines continued, as do schematic figurines of the Phylakopi I type.</w:t>
      </w:r>
      <w:r w:rsidRPr="004D0DE2">
        <w:rPr>
          <w:vertAlign w:val="superscript"/>
        </w:rPr>
        <w:footnoteReference w:id="84"/>
      </w:r>
      <w:r w:rsidRPr="004D0DE2">
        <w:t xml:space="preserve">  Only a few graves in proximity to Phylakopi can </w:t>
      </w:r>
      <w:r w:rsidRPr="004D0DE2">
        <w:rPr>
          <w:noProof/>
        </w:rPr>
        <w:t>be assigned</w:t>
      </w:r>
      <w:r w:rsidRPr="004D0DE2">
        <w:t xml:space="preserve"> to this period, but burials of children occur in </w:t>
      </w:r>
      <w:r w:rsidRPr="004D0DE2">
        <w:rPr>
          <w:noProof/>
        </w:rPr>
        <w:t>pithoi</w:t>
      </w:r>
      <w:r w:rsidRPr="004D0DE2">
        <w:t xml:space="preserve"> intramurally.</w:t>
      </w:r>
      <w:r w:rsidRPr="004D0DE2">
        <w:rPr>
          <w:vertAlign w:val="superscript"/>
        </w:rPr>
        <w:footnoteReference w:id="85"/>
      </w:r>
    </w:p>
    <w:p w:rsidR="004D0DE2" w:rsidRPr="004D0DE2" w:rsidRDefault="004D0DE2" w:rsidP="0012758E">
      <w:pPr>
        <w:pStyle w:val="Heading2"/>
      </w:pPr>
      <w:bookmarkStart w:id="27" w:name="_Toc481343484"/>
      <w:bookmarkStart w:id="28" w:name="_Toc482206673"/>
      <w:r w:rsidRPr="004D0DE2">
        <w:t>Methodology</w:t>
      </w:r>
      <w:bookmarkEnd w:id="27"/>
      <w:bookmarkEnd w:id="28"/>
    </w:p>
    <w:p w:rsidR="004D0DE2" w:rsidRPr="004D0DE2" w:rsidRDefault="004D0DE2" w:rsidP="004D0DE2">
      <w:pPr>
        <w:rPr>
          <w:rFonts w:ascii="Times New Roman" w:hAnsi="Times New Roman"/>
        </w:rPr>
      </w:pPr>
      <w:r w:rsidRPr="004D0DE2">
        <w:rPr>
          <w:rFonts w:ascii="Times New Roman" w:hAnsi="Times New Roman"/>
        </w:rPr>
        <w:tab/>
        <w:t xml:space="preserve">Several methods </w:t>
      </w:r>
      <w:r w:rsidRPr="004D0DE2">
        <w:rPr>
          <w:rFonts w:ascii="Times New Roman" w:hAnsi="Times New Roman"/>
          <w:noProof/>
        </w:rPr>
        <w:t>were employed</w:t>
      </w:r>
      <w:r w:rsidRPr="004D0DE2">
        <w:rPr>
          <w:rFonts w:ascii="Times New Roman" w:hAnsi="Times New Roman"/>
        </w:rPr>
        <w:t xml:space="preserve"> in interpreting the function and me</w:t>
      </w:r>
      <w:r w:rsidR="00DD71BF">
        <w:rPr>
          <w:rFonts w:ascii="Times New Roman" w:hAnsi="Times New Roman"/>
        </w:rPr>
        <w:t>aning of the Cycladic artifacts, including</w:t>
      </w:r>
      <w:r w:rsidRPr="004D0DE2">
        <w:rPr>
          <w:rFonts w:ascii="Times New Roman" w:hAnsi="Times New Roman"/>
        </w:rPr>
        <w:t xml:space="preserve"> historiography, formalism, </w:t>
      </w:r>
      <w:r w:rsidRPr="004D0DE2">
        <w:rPr>
          <w:rFonts w:ascii="Times New Roman" w:hAnsi="Times New Roman"/>
          <w:noProof/>
        </w:rPr>
        <w:t>iconology,</w:t>
      </w:r>
      <w:r w:rsidRPr="004D0DE2">
        <w:rPr>
          <w:rFonts w:ascii="Times New Roman" w:hAnsi="Times New Roman"/>
        </w:rPr>
        <w:t xml:space="preserve"> and semiotics.  Historiography is important to develop hypothetical theories of the function of the objects.  Familiarity with existing theories of votive images and cult practices in the Bronze Age Aegean enable me to propose my contribution to interpretations of the Cycladic zoomorphic works. </w:t>
      </w:r>
    </w:p>
    <w:p w:rsidR="004D0DE2" w:rsidRPr="004D0DE2" w:rsidRDefault="004D0DE2" w:rsidP="004D0DE2">
      <w:pPr>
        <w:rPr>
          <w:rFonts w:ascii="Times New Roman" w:hAnsi="Times New Roman"/>
        </w:rPr>
      </w:pPr>
      <w:r w:rsidRPr="004D0DE2">
        <w:rPr>
          <w:rFonts w:ascii="Times New Roman" w:hAnsi="Times New Roman"/>
        </w:rPr>
        <w:tab/>
        <w:t xml:space="preserve">Formal analysis is an essential for creating the </w:t>
      </w:r>
      <w:r w:rsidRPr="004D0DE2">
        <w:rPr>
          <w:rFonts w:ascii="Times New Roman" w:hAnsi="Times New Roman"/>
          <w:noProof/>
        </w:rPr>
        <w:t>catalog</w:t>
      </w:r>
      <w:r w:rsidRPr="004D0DE2">
        <w:rPr>
          <w:rFonts w:ascii="Times New Roman" w:hAnsi="Times New Roman"/>
        </w:rPr>
        <w:t xml:space="preserve">, as a visual description accompanies each object, thus describing formal elements of line, shape, space, color, light and dark where applicable, including media.  Iconography is crucial for identifying specific species of the animal </w:t>
      </w:r>
      <w:r w:rsidRPr="004D0DE2">
        <w:rPr>
          <w:rFonts w:ascii="Times New Roman" w:hAnsi="Times New Roman"/>
          <w:noProof/>
        </w:rPr>
        <w:t>being represented</w:t>
      </w:r>
      <w:r w:rsidRPr="004D0DE2">
        <w:rPr>
          <w:rFonts w:ascii="Times New Roman" w:hAnsi="Times New Roman"/>
        </w:rPr>
        <w:t xml:space="preserve"> (i.e. hedgehog, pig, sheep/ram, dove, frog, etc.) </w:t>
      </w:r>
      <w:r w:rsidR="00DD71BF">
        <w:rPr>
          <w:rFonts w:ascii="Times New Roman" w:hAnsi="Times New Roman"/>
        </w:rPr>
        <w:t>that can help determine function</w:t>
      </w:r>
      <w:r w:rsidRPr="004D0DE2">
        <w:rPr>
          <w:rFonts w:ascii="Times New Roman" w:hAnsi="Times New Roman"/>
        </w:rPr>
        <w:t xml:space="preserve"> and meaning behind each object.  Disagreements do exist between scholars regarding the appearances of some. A very good example</w:t>
      </w:r>
      <w:r w:rsidR="00DD71BF">
        <w:rPr>
          <w:rFonts w:ascii="Times New Roman" w:hAnsi="Times New Roman"/>
        </w:rPr>
        <w:t xml:space="preserve"> of this</w:t>
      </w:r>
      <w:r w:rsidRPr="004D0DE2">
        <w:rPr>
          <w:rFonts w:ascii="Times New Roman" w:hAnsi="Times New Roman"/>
        </w:rPr>
        <w:t xml:space="preserve"> is a terracotta vessel from the Chalandriani cemetery in Syros which dates to Early Cycladic II (c. 2800-2300 BC, Keros-Syros period) (V11 in the </w:t>
      </w:r>
      <w:r w:rsidRPr="004D0DE2">
        <w:rPr>
          <w:rFonts w:ascii="Times New Roman" w:hAnsi="Times New Roman"/>
          <w:noProof/>
        </w:rPr>
        <w:t>appendix-catalog</w:t>
      </w:r>
      <w:r w:rsidRPr="004D0DE2">
        <w:rPr>
          <w:rFonts w:ascii="Times New Roman" w:hAnsi="Times New Roman"/>
        </w:rPr>
        <w:t>) that Marija Gimbutas classifies as a bear,</w:t>
      </w:r>
      <w:r w:rsidRPr="004D0DE2">
        <w:rPr>
          <w:rFonts w:ascii="Times New Roman" w:hAnsi="Times New Roman"/>
          <w:vertAlign w:val="superscript"/>
        </w:rPr>
        <w:footnoteReference w:id="86"/>
      </w:r>
      <w:r w:rsidRPr="004D0DE2">
        <w:rPr>
          <w:rFonts w:ascii="Times New Roman" w:hAnsi="Times New Roman"/>
        </w:rPr>
        <w:t xml:space="preserve"> while Pat Getz-Gentle </w:t>
      </w:r>
      <w:r w:rsidRPr="004D0DE2">
        <w:rPr>
          <w:rFonts w:ascii="Times New Roman" w:hAnsi="Times New Roman"/>
        </w:rPr>
        <w:lastRenderedPageBreak/>
        <w:t>refers to the same object as a hedgehog.</w:t>
      </w:r>
      <w:r w:rsidRPr="004D0DE2">
        <w:rPr>
          <w:rFonts w:ascii="Times New Roman" w:hAnsi="Times New Roman"/>
          <w:vertAlign w:val="superscript"/>
        </w:rPr>
        <w:footnoteReference w:id="87"/>
      </w:r>
      <w:r w:rsidRPr="004D0DE2">
        <w:rPr>
          <w:rFonts w:ascii="Times New Roman" w:hAnsi="Times New Roman"/>
        </w:rPr>
        <w:t xml:space="preserve"> Lastly, some of the zoomorphic objects have either painted or incised decorative elements (or perhaps did have at one time, which may be evidenced by traces). Semiotics help in determining the symbolism of these elements such as in the case of a</w:t>
      </w:r>
      <w:r w:rsidRPr="004D0DE2">
        <w:rPr>
          <w:rFonts w:ascii="Times New Roman" w:hAnsi="Times New Roman"/>
          <w:noProof/>
        </w:rPr>
        <w:t>forementioned vessel</w:t>
      </w:r>
      <w:r w:rsidRPr="004D0DE2">
        <w:rPr>
          <w:rFonts w:ascii="Times New Roman" w:hAnsi="Times New Roman"/>
        </w:rPr>
        <w:t xml:space="preserve"> (V11) where the animal has a painted </w:t>
      </w:r>
      <w:r w:rsidRPr="004D0DE2">
        <w:rPr>
          <w:rFonts w:ascii="Times New Roman" w:hAnsi="Times New Roman"/>
          <w:noProof/>
        </w:rPr>
        <w:t>cross-hatching</w:t>
      </w:r>
      <w:r w:rsidRPr="004D0DE2">
        <w:rPr>
          <w:rFonts w:ascii="Times New Roman" w:hAnsi="Times New Roman"/>
        </w:rPr>
        <w:t xml:space="preserve"> or “net” pattern on its back, while on its belly, </w:t>
      </w:r>
      <w:r w:rsidRPr="004D0DE2">
        <w:rPr>
          <w:rFonts w:ascii="Times New Roman" w:hAnsi="Times New Roman"/>
          <w:noProof/>
        </w:rPr>
        <w:t>legs</w:t>
      </w:r>
      <w:r w:rsidRPr="004D0DE2">
        <w:rPr>
          <w:rFonts w:ascii="Times New Roman" w:hAnsi="Times New Roman"/>
        </w:rPr>
        <w:t xml:space="preserve"> and paws a series of parallel, horizontal lines </w:t>
      </w:r>
      <w:r w:rsidRPr="004D0DE2">
        <w:rPr>
          <w:rFonts w:ascii="Times New Roman" w:hAnsi="Times New Roman"/>
          <w:noProof/>
        </w:rPr>
        <w:t>are painted</w:t>
      </w:r>
      <w:r w:rsidRPr="004D0DE2">
        <w:rPr>
          <w:rFonts w:ascii="Times New Roman" w:hAnsi="Times New Roman"/>
        </w:rPr>
        <w:t>.  The lines on the animal’s back could signify the rows of spines on a hedgehog, especially since the animal appears to be in a ‘hunched’ position at the shoulders. Similarly, the horizontal lines on the abdomen may signify the motion of the hedgehog when it rolls itself into its characteristic ball shape. Since the methodology of semiotics and iconography are closely linked, it is important to mention here that Gimbutas interprets the horizontal lines, or what she calls “tri-lines” as being associated with “becoming” or “beginning”—in other words, fertility.</w:t>
      </w:r>
      <w:r w:rsidRPr="004D0DE2">
        <w:rPr>
          <w:rFonts w:ascii="Times New Roman" w:hAnsi="Times New Roman"/>
          <w:vertAlign w:val="superscript"/>
        </w:rPr>
        <w:footnoteReference w:id="88"/>
      </w:r>
      <w:r w:rsidRPr="004D0DE2">
        <w:rPr>
          <w:rFonts w:ascii="Times New Roman" w:hAnsi="Times New Roman"/>
        </w:rPr>
        <w:t xml:space="preserve">  </w:t>
      </w:r>
      <w:r w:rsidR="00DD71BF">
        <w:rPr>
          <w:rFonts w:ascii="Times New Roman" w:hAnsi="Times New Roman"/>
        </w:rPr>
        <w:t>These ideas all inform my interpretations of these animals.</w:t>
      </w:r>
    </w:p>
    <w:p w:rsidR="004D0DE2" w:rsidRPr="004D0DE2" w:rsidRDefault="004D0DE2" w:rsidP="004D0DE2"/>
    <w:p w:rsidR="00643E1B" w:rsidRDefault="00643E1B" w:rsidP="004D0DE2">
      <w:pPr>
        <w:jc w:val="center"/>
        <w:outlineLvl w:val="0"/>
        <w:rPr>
          <w:rFonts w:asciiTheme="majorHAnsi" w:hAnsiTheme="majorHAnsi"/>
          <w:b/>
          <w:bCs/>
          <w:sz w:val="28"/>
          <w:szCs w:val="32"/>
        </w:rPr>
      </w:pPr>
      <w:bookmarkStart w:id="31" w:name="_Toc481343485"/>
    </w:p>
    <w:p w:rsidR="00643E1B" w:rsidRDefault="00643E1B" w:rsidP="004D0DE2">
      <w:pPr>
        <w:jc w:val="center"/>
        <w:outlineLvl w:val="0"/>
        <w:rPr>
          <w:rFonts w:asciiTheme="majorHAnsi" w:hAnsiTheme="majorHAnsi"/>
          <w:b/>
          <w:bCs/>
          <w:sz w:val="28"/>
          <w:szCs w:val="32"/>
        </w:rPr>
      </w:pPr>
    </w:p>
    <w:p w:rsidR="00643E1B" w:rsidRDefault="00643E1B" w:rsidP="004D0DE2">
      <w:pPr>
        <w:jc w:val="center"/>
        <w:outlineLvl w:val="0"/>
        <w:rPr>
          <w:rFonts w:asciiTheme="majorHAnsi" w:hAnsiTheme="majorHAnsi"/>
          <w:b/>
          <w:bCs/>
          <w:sz w:val="28"/>
          <w:szCs w:val="32"/>
        </w:rPr>
      </w:pPr>
    </w:p>
    <w:p w:rsidR="00643E1B" w:rsidRDefault="00643E1B" w:rsidP="004D0DE2">
      <w:pPr>
        <w:jc w:val="center"/>
        <w:outlineLvl w:val="0"/>
        <w:rPr>
          <w:rFonts w:asciiTheme="majorHAnsi" w:hAnsiTheme="majorHAnsi"/>
          <w:b/>
          <w:bCs/>
          <w:sz w:val="28"/>
          <w:szCs w:val="32"/>
        </w:rPr>
      </w:pPr>
    </w:p>
    <w:p w:rsidR="00643E1B" w:rsidRDefault="00643E1B" w:rsidP="004D0DE2">
      <w:pPr>
        <w:jc w:val="center"/>
        <w:outlineLvl w:val="0"/>
        <w:rPr>
          <w:rFonts w:asciiTheme="majorHAnsi" w:hAnsiTheme="majorHAnsi"/>
          <w:b/>
          <w:bCs/>
          <w:sz w:val="28"/>
          <w:szCs w:val="32"/>
        </w:rPr>
      </w:pPr>
    </w:p>
    <w:p w:rsidR="00643E1B" w:rsidRDefault="00643E1B" w:rsidP="004D0DE2">
      <w:pPr>
        <w:jc w:val="center"/>
        <w:outlineLvl w:val="0"/>
        <w:rPr>
          <w:rFonts w:asciiTheme="majorHAnsi" w:hAnsiTheme="majorHAnsi"/>
          <w:b/>
          <w:bCs/>
          <w:sz w:val="28"/>
          <w:szCs w:val="32"/>
        </w:rPr>
      </w:pPr>
    </w:p>
    <w:p w:rsidR="004D0DE2" w:rsidRPr="004D0DE2" w:rsidRDefault="00630017" w:rsidP="004D0DE2">
      <w:pPr>
        <w:jc w:val="center"/>
        <w:outlineLvl w:val="0"/>
        <w:rPr>
          <w:rFonts w:asciiTheme="majorHAnsi" w:hAnsiTheme="majorHAnsi"/>
          <w:b/>
          <w:bCs/>
          <w:sz w:val="28"/>
          <w:szCs w:val="32"/>
        </w:rPr>
      </w:pPr>
      <w:bookmarkStart w:id="32" w:name="_Toc482206674"/>
      <w:r>
        <w:rPr>
          <w:rFonts w:asciiTheme="majorHAnsi" w:hAnsiTheme="majorHAnsi"/>
          <w:b/>
          <w:bCs/>
          <w:sz w:val="28"/>
          <w:szCs w:val="32"/>
        </w:rPr>
        <w:lastRenderedPageBreak/>
        <w:t>Chapter 2</w:t>
      </w:r>
      <w:r w:rsidR="004D0DE2" w:rsidRPr="004D0DE2">
        <w:rPr>
          <w:rFonts w:asciiTheme="majorHAnsi" w:hAnsiTheme="majorHAnsi"/>
          <w:b/>
          <w:bCs/>
          <w:sz w:val="28"/>
          <w:szCs w:val="32"/>
        </w:rPr>
        <w:t>: Literature Review</w:t>
      </w:r>
      <w:bookmarkEnd w:id="31"/>
      <w:bookmarkEnd w:id="32"/>
    </w:p>
    <w:p w:rsidR="004D0DE2" w:rsidRPr="004D0DE2" w:rsidRDefault="004D0DE2" w:rsidP="004D0DE2">
      <w:pPr>
        <w:ind w:firstLine="720"/>
      </w:pPr>
      <w:r w:rsidRPr="004D0DE2">
        <w:t xml:space="preserve">Examining existing printed and online sources initiated my interest </w:t>
      </w:r>
      <w:r w:rsidR="00DD71BF">
        <w:t>in compiling</w:t>
      </w:r>
      <w:r w:rsidRPr="004D0DE2">
        <w:t xml:space="preserve"> </w:t>
      </w:r>
      <w:r w:rsidR="00DD71BF">
        <w:t>a</w:t>
      </w:r>
      <w:r w:rsidRPr="004D0DE2">
        <w:t xml:space="preserve"> catalog of objects with references to</w:t>
      </w:r>
      <w:r w:rsidR="00DD71BF">
        <w:t xml:space="preserve"> their iconography and function</w:t>
      </w:r>
      <w:r w:rsidRPr="004D0DE2">
        <w:t xml:space="preserve">.  These materials include general surveys of the Aegean Bronze Age, catalogs of Aegean and Cycladic artifacts, museum publications, excavation reports, and individual monographs.  Recently, Cynthia Shelmerdine and Eric Cline have each edited similar volumes covering the entire Aegean Bronze Age, including the Cycladic, Minoan, and Mycenean civilizations (c. 3000 BCE-1000 BCE).  As a general survey of prehistoric Greece, both volumes have contributions by leading archaeological </w:t>
      </w:r>
      <w:r w:rsidRPr="004D0DE2">
        <w:rPr>
          <w:noProof/>
        </w:rPr>
        <w:t>scholars</w:t>
      </w:r>
      <w:r w:rsidRPr="004D0DE2">
        <w:t xml:space="preserve"> and include </w:t>
      </w:r>
      <w:r w:rsidRPr="004D0DE2">
        <w:rPr>
          <w:noProof/>
        </w:rPr>
        <w:t>chronology</w:t>
      </w:r>
      <w:r w:rsidRPr="004D0DE2">
        <w:t xml:space="preserve">, history, material culture, and thematic topics. </w:t>
      </w:r>
    </w:p>
    <w:p w:rsidR="004D0DE2" w:rsidRPr="004D0DE2" w:rsidRDefault="004D0DE2" w:rsidP="004D0DE2">
      <w:pPr>
        <w:ind w:firstLine="720"/>
      </w:pPr>
      <w:r w:rsidRPr="004D0DE2">
        <w:t>The catalogs written by Pat Getz-Gentle (also published under Pat Getz-Preziosi) are indispensable in both compiling the animal artifacts and in her analyses, especially her most groundbreaking work which was the identification of fifteen individual Cycladic masters and a painstaking examination of marble figures which she attributes to the work of each master.</w:t>
      </w:r>
      <w:r w:rsidRPr="004D0DE2">
        <w:rPr>
          <w:vertAlign w:val="superscript"/>
        </w:rPr>
        <w:footnoteReference w:id="89"/>
      </w:r>
      <w:r w:rsidRPr="004D0DE2">
        <w:t xml:space="preserve"> </w:t>
      </w:r>
      <w:r w:rsidRPr="004D0DE2">
        <w:rPr>
          <w:noProof/>
        </w:rPr>
        <w:t>This</w:t>
      </w:r>
      <w:r w:rsidRPr="004D0DE2">
        <w:t xml:space="preserve"> is the first time, to my knowledge, that any definitive attempt was made to identify objects made by individual craftsmen, with the implication being the separation of occupations within the communities, rather than craftwork created strictly in domestic settings.  </w:t>
      </w:r>
    </w:p>
    <w:p w:rsidR="004D0DE2" w:rsidRPr="004D0DE2" w:rsidRDefault="004D0DE2" w:rsidP="004D0DE2">
      <w:pPr>
        <w:ind w:firstLine="720"/>
      </w:pPr>
      <w:r w:rsidRPr="004D0DE2">
        <w:t xml:space="preserve">In </w:t>
      </w:r>
      <w:bookmarkStart w:id="33" w:name="_Hlk480538359"/>
      <w:r w:rsidRPr="004D0DE2">
        <w:rPr>
          <w:i/>
        </w:rPr>
        <w:t>Stone Vessels of the Cyclades in the Early Bronze Age</w:t>
      </w:r>
      <w:bookmarkEnd w:id="33"/>
      <w:r w:rsidRPr="004D0DE2">
        <w:t xml:space="preserve">, Getz-Gentle continues her studies on Early Cycladic sculpture, this time focusing on receptive forms rather </w:t>
      </w:r>
      <w:r w:rsidRPr="004D0DE2">
        <w:lastRenderedPageBreak/>
        <w:t>than the figurative forms.</w:t>
      </w:r>
      <w:r w:rsidRPr="004D0DE2">
        <w:rPr>
          <w:vertAlign w:val="superscript"/>
        </w:rPr>
        <w:footnoteReference w:id="90"/>
      </w:r>
      <w:r w:rsidRPr="004D0DE2">
        <w:t xml:space="preserve"> Focusing on the EC I and EC II periods, she examines each vessel form and material, providing art historical analysis of decoration and use.  Though not considered a catalog, with “roughly eight hundred reasonably well-preserved Cycladic stone receptacles,”</w:t>
      </w:r>
      <w:r w:rsidRPr="004D0DE2">
        <w:rPr>
          <w:vertAlign w:val="superscript"/>
        </w:rPr>
        <w:footnoteReference w:id="91"/>
      </w:r>
      <w:r w:rsidRPr="004D0DE2">
        <w:t xml:space="preserve"> in existence, it is a comprehensive study in typology like her previous studies with the marble figures.  A short and concise study of both the vessels and the figurative sculptures was published earlier in association with the J. Paul Getty Museum, </w:t>
      </w:r>
      <w:r w:rsidRPr="004D0DE2">
        <w:rPr>
          <w:i/>
        </w:rPr>
        <w:t>Early Cycladic Sculpture</w:t>
      </w:r>
      <w:r w:rsidRPr="004D0DE2">
        <w:t>.</w:t>
      </w:r>
      <w:r w:rsidRPr="004D0DE2">
        <w:rPr>
          <w:vertAlign w:val="superscript"/>
        </w:rPr>
        <w:footnoteReference w:id="92"/>
      </w:r>
    </w:p>
    <w:p w:rsidR="004D0DE2" w:rsidRPr="004D0DE2" w:rsidRDefault="004D0DE2" w:rsidP="004D0DE2">
      <w:r w:rsidRPr="004D0DE2">
        <w:tab/>
        <w:t xml:space="preserve">In 1977, Getz-Gentle provided the English translation of the important catalog, </w:t>
      </w:r>
      <w:r w:rsidRPr="004D0DE2">
        <w:rPr>
          <w:i/>
          <w:noProof/>
        </w:rPr>
        <w:t>Art</w:t>
      </w:r>
      <w:r w:rsidRPr="004D0DE2">
        <w:rPr>
          <w:i/>
        </w:rPr>
        <w:t xml:space="preserve"> and Culture of the Cyclades in the Third Millennium, B. C.</w:t>
      </w:r>
      <w:r w:rsidRPr="004D0DE2">
        <w:t xml:space="preserve">, edited by Jürgen Thimme.  The catalog was the result of an ambitious exhibition held at the Badisches Landesmuseum in Karlsruhe, Germany.  The museum, already the holders of an impressive collection of Early Cycladic art, </w:t>
      </w:r>
      <w:r w:rsidRPr="004D0DE2">
        <w:rPr>
          <w:noProof/>
        </w:rPr>
        <w:t>assembled</w:t>
      </w:r>
      <w:r w:rsidRPr="004D0DE2">
        <w:t xml:space="preserve"> works from over eighty museums and private collections worldwide, including more than six hundred objects.  The catalog goes even further in its discussion, including some important works which could not </w:t>
      </w:r>
      <w:r w:rsidRPr="004D0DE2">
        <w:rPr>
          <w:noProof/>
        </w:rPr>
        <w:t>be borrowed</w:t>
      </w:r>
      <w:r w:rsidRPr="004D0DE2">
        <w:t xml:space="preserve"> for the exhibition.  In 1987, Getz-Gentle co-authored a catalog for a similar exhibition at the Virginia Museum of Fine Art, which was the first exhibition devoted entirely to Early Cycladic art held only in North American collections.</w:t>
      </w:r>
      <w:r w:rsidRPr="004D0DE2">
        <w:rPr>
          <w:vertAlign w:val="superscript"/>
        </w:rPr>
        <w:footnoteReference w:id="93"/>
      </w:r>
      <w:r w:rsidRPr="004D0DE2">
        <w:t xml:space="preserve"> </w:t>
      </w:r>
    </w:p>
    <w:p w:rsidR="004D0DE2" w:rsidRPr="004D0DE2" w:rsidRDefault="004D0DE2" w:rsidP="004D0DE2">
      <w:pPr>
        <w:ind w:firstLine="720"/>
      </w:pPr>
      <w:r w:rsidRPr="004D0DE2">
        <w:lastRenderedPageBreak/>
        <w:t xml:space="preserve">As to function and symbolism of the objects, archaeologist Marija Gimbutas is the major source for my thesis.  She has authored a series of groundbreaking texts concerning cult practices of “Old Europe” and conducted decades of in-depth, vital research regarding prehistoric iconography in Europe, including her controversial approach in </w:t>
      </w:r>
      <w:r w:rsidRPr="004D0DE2">
        <w:rPr>
          <w:noProof/>
        </w:rPr>
        <w:t>archaeomythogy</w:t>
      </w:r>
      <w:r w:rsidRPr="004D0DE2">
        <w:t xml:space="preserve"> and the Kurgan Hypothesis.  However, her feminist approach to the study of prehistoric Europe is still as valuable today, as when her studies began at Harvard more than sixty years ago. In </w:t>
      </w:r>
      <w:r w:rsidRPr="004D0DE2">
        <w:rPr>
          <w:i/>
        </w:rPr>
        <w:t>The Goddesses and Gods of Old Europe</w:t>
      </w:r>
      <w:r w:rsidRPr="004D0DE2">
        <w:t xml:space="preserve">, Gimbutas discusses stereotypical religious figures which continually appear in each prehistoric </w:t>
      </w:r>
      <w:r w:rsidRPr="004D0DE2">
        <w:rPr>
          <w:noProof/>
        </w:rPr>
        <w:t>culture</w:t>
      </w:r>
      <w:r w:rsidRPr="004D0DE2">
        <w:t xml:space="preserve"> and finds that there are no representations of a Father-god until after a migration/invasion of peoples from the Pontic steppes.  In </w:t>
      </w:r>
      <w:r w:rsidRPr="004D0DE2">
        <w:rPr>
          <w:i/>
        </w:rPr>
        <w:t>The Language of the Goddess</w:t>
      </w:r>
      <w:r w:rsidRPr="004D0DE2">
        <w:t xml:space="preserve">, Gimbutas analyzes the recurring motifs and artistic themes in the artifacts of the European prehistoric cultures, which point to similarities of cult practices to the same stereotypical goddesses of European prehistory.   Finally, in </w:t>
      </w:r>
      <w:r w:rsidRPr="004D0DE2">
        <w:rPr>
          <w:i/>
        </w:rPr>
        <w:t>Civilization of the Goddess</w:t>
      </w:r>
      <w:r w:rsidRPr="004D0DE2">
        <w:t>, she discusses the settlements patterns, social structures, religion and art and lifestyle of Neolithic cultures of Europe.</w:t>
      </w:r>
      <w:r w:rsidRPr="004D0DE2">
        <w:rPr>
          <w:vertAlign w:val="superscript"/>
        </w:rPr>
        <w:footnoteReference w:id="94"/>
      </w:r>
      <w:r w:rsidRPr="004D0DE2">
        <w:t xml:space="preserve">  </w:t>
      </w:r>
    </w:p>
    <w:p w:rsidR="004D0DE2" w:rsidRPr="004D0DE2" w:rsidRDefault="004D0DE2" w:rsidP="004D0DE2">
      <w:pPr>
        <w:ind w:firstLine="720"/>
      </w:pPr>
      <w:r w:rsidRPr="004D0DE2">
        <w:t xml:space="preserve">British archaeologist Colin Renfrew remains one of the fathers of modern Cycladic archaeology, along with Christos Doumas.  With more than one hundred forty publications on archaeology, archaeological theory, and European prehistory, particularly in the Aegean, his 1972 major work </w:t>
      </w:r>
      <w:r w:rsidRPr="004D0DE2">
        <w:rPr>
          <w:rFonts w:ascii="Times New Roman" w:hAnsi="Times New Roman"/>
          <w:i/>
        </w:rPr>
        <w:t>The Emergence of Civilization: The Cyclades and the Aegean in the Third Millennium B.C.</w:t>
      </w:r>
      <w:r w:rsidRPr="004D0DE2">
        <w:rPr>
          <w:rFonts w:ascii="Times New Roman" w:hAnsi="Times New Roman"/>
        </w:rPr>
        <w:t xml:space="preserve"> </w:t>
      </w:r>
      <w:r w:rsidRPr="004D0DE2">
        <w:rPr>
          <w:rFonts w:ascii="Times New Roman" w:hAnsi="Times New Roman"/>
          <w:noProof/>
        </w:rPr>
        <w:t>remains</w:t>
      </w:r>
      <w:r w:rsidRPr="004D0DE2">
        <w:rPr>
          <w:rFonts w:ascii="Times New Roman" w:hAnsi="Times New Roman"/>
        </w:rPr>
        <w:t xml:space="preserve"> the seminal publication </w:t>
      </w:r>
      <w:r w:rsidRPr="004D0DE2">
        <w:rPr>
          <w:rFonts w:ascii="Times New Roman" w:hAnsi="Times New Roman"/>
        </w:rPr>
        <w:lastRenderedPageBreak/>
        <w:t>on Early Cycladic culture.</w:t>
      </w:r>
      <w:r w:rsidRPr="004D0DE2">
        <w:rPr>
          <w:rFonts w:ascii="Times New Roman" w:hAnsi="Times New Roman"/>
          <w:vertAlign w:val="superscript"/>
        </w:rPr>
        <w:footnoteReference w:id="95"/>
      </w:r>
      <w:r w:rsidRPr="004D0DE2">
        <w:t xml:space="preserve">  The book is a comprehensive study of each period of the Early Cycladic culture, and more importantly introduces his theory of a cultural chronology, rather than an absolute chronology.</w:t>
      </w:r>
    </w:p>
    <w:p w:rsidR="004D0DE2" w:rsidRPr="004D0DE2" w:rsidRDefault="004D0DE2" w:rsidP="004D0DE2">
      <w:pPr>
        <w:ind w:firstLine="720"/>
      </w:pPr>
      <w:r w:rsidRPr="004D0DE2">
        <w:t>Modern advances in archaeology (post-processual) have enabled scholars to hone research to very specific areas important to this thesis, such as zooarchaeology, studies in agricultural archaeology, migratory archaeology (migrationism and diffusionism).  The studies of Marco Masseti have provided the zooarchaeological research necessary, especially his identification of endemic and non-endemic species through art.</w:t>
      </w:r>
      <w:r w:rsidR="0012758E">
        <w:t xml:space="preserve"> Cyprian Broodbank and John F. </w:t>
      </w:r>
      <w:r w:rsidRPr="004D0DE2">
        <w:t xml:space="preserve">Cherry have contributed much to the discourse of migration and maritime activity, which enabled me to discuss external cultural influences contributing to the artistic productions during the </w:t>
      </w:r>
      <w:r w:rsidRPr="004D0DE2">
        <w:rPr>
          <w:noProof/>
        </w:rPr>
        <w:t>early</w:t>
      </w:r>
      <w:r w:rsidRPr="004D0DE2">
        <w:t xml:space="preserve"> Cycladic period. </w:t>
      </w:r>
    </w:p>
    <w:p w:rsidR="004D0DE2" w:rsidRPr="004D0DE2" w:rsidRDefault="004D0DE2" w:rsidP="002C2FDF">
      <w:pPr>
        <w:pStyle w:val="Heading2"/>
        <w:rPr>
          <w:rFonts w:eastAsia="Calibri"/>
          <w:lang w:bidi="ar-SA"/>
        </w:rPr>
      </w:pPr>
      <w:bookmarkStart w:id="35" w:name="_Toc481343486"/>
      <w:bookmarkStart w:id="36" w:name="_Toc482206675"/>
      <w:r w:rsidRPr="004D0DE2">
        <w:rPr>
          <w:rFonts w:eastAsia="Calibri"/>
          <w:lang w:bidi="ar-SA"/>
        </w:rPr>
        <w:t>Role of Migration in Cultural Exchange</w:t>
      </w:r>
      <w:bookmarkEnd w:id="35"/>
      <w:bookmarkEnd w:id="36"/>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t>A recent genome project used DNA analysis to confirm theories that Neolithic farmers migrated into Europe approximately 9,000 years ago by island hopping from the Near East to</w:t>
      </w:r>
      <w:r w:rsidR="00B328CA">
        <w:rPr>
          <w:rFonts w:ascii="Times New Roman" w:eastAsia="Calibri" w:hAnsi="Times New Roman"/>
          <w:lang w:bidi="ar-SA"/>
        </w:rPr>
        <w:t xml:space="preserve"> Anatolia and across the Aegean,</w:t>
      </w:r>
      <w:r w:rsidRPr="004D0DE2">
        <w:rPr>
          <w:rFonts w:ascii="Times New Roman" w:eastAsia="Calibri" w:hAnsi="Times New Roman"/>
          <w:lang w:bidi="ar-SA"/>
        </w:rPr>
        <w:t xml:space="preserve"> (Fig. 2)</w:t>
      </w:r>
      <w:r w:rsidR="00B328CA">
        <w:rPr>
          <w:rFonts w:ascii="Times New Roman" w:eastAsia="Calibri" w:hAnsi="Times New Roman"/>
          <w:lang w:bidi="ar-SA"/>
        </w:rPr>
        <w:t>.</w:t>
      </w:r>
      <w:r w:rsidR="00B328CA" w:rsidRPr="00B328CA">
        <w:rPr>
          <w:rFonts w:ascii="Times New Roman" w:eastAsia="Calibri" w:hAnsi="Times New Roman"/>
          <w:vertAlign w:val="superscript"/>
          <w:lang w:bidi="ar-SA"/>
        </w:rPr>
        <w:t xml:space="preserve"> </w:t>
      </w:r>
      <w:r w:rsidR="00B328CA" w:rsidRPr="004D0DE2">
        <w:rPr>
          <w:rFonts w:ascii="Times New Roman" w:eastAsia="Calibri" w:hAnsi="Times New Roman"/>
          <w:vertAlign w:val="superscript"/>
          <w:lang w:bidi="ar-SA"/>
        </w:rPr>
        <w:footnoteReference w:id="96"/>
      </w:r>
      <w:r w:rsidR="00B328CA" w:rsidRPr="004D0DE2">
        <w:rPr>
          <w:rFonts w:ascii="Times New Roman" w:eastAsia="Calibri" w:hAnsi="Times New Roman"/>
          <w:lang w:bidi="ar-SA"/>
        </w:rPr>
        <w:t xml:space="preserve"> </w:t>
      </w:r>
      <w:r w:rsidRPr="004D0DE2">
        <w:rPr>
          <w:rFonts w:ascii="Times New Roman" w:eastAsia="Calibri" w:hAnsi="Times New Roman"/>
          <w:lang w:bidi="ar-SA"/>
        </w:rPr>
        <w:t xml:space="preserve"> The study proposed three possible routes by which Neolithic man could have crossed into Southern Europe via the Levantine Corridor. The first proposed route was </w:t>
      </w:r>
      <w:r w:rsidRPr="004D0DE2">
        <w:rPr>
          <w:rFonts w:ascii="Times New Roman" w:eastAsia="Calibri" w:hAnsi="Times New Roman"/>
          <w:noProof/>
          <w:lang w:bidi="ar-SA"/>
        </w:rPr>
        <w:t>overland</w:t>
      </w:r>
      <w:r w:rsidRPr="004D0DE2">
        <w:rPr>
          <w:rFonts w:ascii="Times New Roman" w:eastAsia="Calibri" w:hAnsi="Times New Roman"/>
          <w:lang w:bidi="ar-SA"/>
        </w:rPr>
        <w:t xml:space="preserve"> north into Anatolia, then across the Dardanelles and the Bosporus, into Thrace and Macedonia and south into Greece. The second was a maritime route from the Aegean coast of Anatolia to the </w:t>
      </w:r>
      <w:r w:rsidRPr="004D0DE2">
        <w:rPr>
          <w:rFonts w:ascii="Times New Roman" w:eastAsia="Calibri" w:hAnsi="Times New Roman"/>
          <w:lang w:bidi="ar-SA"/>
        </w:rPr>
        <w:lastRenderedPageBreak/>
        <w:t xml:space="preserve">Mediterranean islands and into Greece and Southern Europe.  A maritime course from the Levantine coast into the Mediterranean islands and Greece was the third proposed route.  By analyzing “genome-wide autosomal single nucleotide polymorphisms (SNPs) from a dataset of 32 populations”, the scholars found that their data was consistent with the hypothesis that “a maritime route connecting Anatolia and Southern Europe through Dodecanese and Crete was the main route used by the Neolithic migrants to reach Europe.”  </w:t>
      </w:r>
    </w:p>
    <w:p w:rsidR="004D0DE2" w:rsidRPr="004D0DE2" w:rsidRDefault="004D0DE2" w:rsidP="004D0DE2">
      <w:pPr>
        <w:spacing w:after="160"/>
        <w:ind w:firstLine="720"/>
        <w:rPr>
          <w:rFonts w:ascii="Times New Roman" w:eastAsia="Calibri" w:hAnsi="Times New Roman"/>
          <w:lang w:bidi="ar-SA"/>
        </w:rPr>
      </w:pPr>
      <w:r w:rsidRPr="004D0DE2">
        <w:rPr>
          <w:rFonts w:ascii="Times New Roman" w:eastAsia="Calibri" w:hAnsi="Times New Roman"/>
          <w:lang w:bidi="ar-SA"/>
        </w:rPr>
        <w:t xml:space="preserve">This idea has </w:t>
      </w:r>
      <w:r w:rsidRPr="004D0DE2">
        <w:rPr>
          <w:rFonts w:ascii="Times New Roman" w:eastAsia="Calibri" w:hAnsi="Times New Roman"/>
          <w:noProof/>
          <w:lang w:bidi="ar-SA"/>
        </w:rPr>
        <w:t>been long theorized</w:t>
      </w:r>
      <w:r w:rsidRPr="004D0DE2">
        <w:rPr>
          <w:rFonts w:ascii="Times New Roman" w:eastAsia="Calibri" w:hAnsi="Times New Roman"/>
          <w:lang w:bidi="ar-SA"/>
        </w:rPr>
        <w:t xml:space="preserve"> by archaeologists such as Renfrew, Broodbank, Davison, Perlès, and Cherry.  For example, a Neolithic review </w:t>
      </w:r>
      <w:r w:rsidRPr="004D0DE2">
        <w:rPr>
          <w:rFonts w:ascii="Times New Roman" w:eastAsia="Calibri" w:hAnsi="Times New Roman"/>
          <w:noProof/>
          <w:lang w:bidi="ar-SA"/>
        </w:rPr>
        <w:t>written</w:t>
      </w:r>
      <w:r w:rsidRPr="004D0DE2">
        <w:rPr>
          <w:rFonts w:ascii="Times New Roman" w:eastAsia="Calibri" w:hAnsi="Times New Roman"/>
          <w:lang w:bidi="ar-SA"/>
        </w:rPr>
        <w:t xml:space="preserve"> by Jean-Paul Demoule and Catherine Perlès in 1993 states that while the precise origins of the Neolithic groups of Thessaly cannot </w:t>
      </w:r>
      <w:r w:rsidRPr="004D0DE2">
        <w:rPr>
          <w:rFonts w:ascii="Times New Roman" w:eastAsia="Calibri" w:hAnsi="Times New Roman"/>
          <w:noProof/>
          <w:lang w:bidi="ar-SA"/>
        </w:rPr>
        <w:t>be traced</w:t>
      </w:r>
      <w:r w:rsidRPr="004D0DE2">
        <w:rPr>
          <w:rFonts w:ascii="Times New Roman" w:eastAsia="Calibri" w:hAnsi="Times New Roman"/>
          <w:lang w:bidi="ar-SA"/>
        </w:rPr>
        <w:t>, the absence of Early Neolithic sites in Greek Thrace and Macedonia (compared to Early Neolithic sites in Turkish Thrace) supports the island-hopping migration theory.</w:t>
      </w:r>
      <w:r w:rsidRPr="004D0DE2">
        <w:rPr>
          <w:rFonts w:ascii="Times New Roman" w:eastAsia="Calibri" w:hAnsi="Times New Roman"/>
          <w:vertAlign w:val="superscript"/>
          <w:lang w:bidi="ar-SA"/>
        </w:rPr>
        <w:footnoteReference w:id="97"/>
      </w:r>
      <w:r w:rsidRPr="004D0DE2">
        <w:rPr>
          <w:rFonts w:ascii="Times New Roman" w:eastAsia="Calibri" w:hAnsi="Times New Roman"/>
          <w:lang w:bidi="ar-SA"/>
        </w:rPr>
        <w:t xml:space="preserve">  The authors state that maritime activity has been known in Greece since the Pleistocene era and </w:t>
      </w:r>
      <w:r w:rsidRPr="004D0DE2">
        <w:rPr>
          <w:rFonts w:ascii="Times New Roman" w:eastAsia="Calibri" w:hAnsi="Times New Roman"/>
          <w:noProof/>
          <w:lang w:bidi="ar-SA"/>
        </w:rPr>
        <w:t>is supported</w:t>
      </w:r>
      <w:r w:rsidRPr="004D0DE2">
        <w:rPr>
          <w:rFonts w:ascii="Times New Roman" w:eastAsia="Calibri" w:hAnsi="Times New Roman"/>
          <w:lang w:bidi="ar-SA"/>
        </w:rPr>
        <w:t xml:space="preserve"> by the scattering of Early Neolithic sites across the Mediterranean (Crete, </w:t>
      </w:r>
      <w:r w:rsidRPr="004D0DE2">
        <w:rPr>
          <w:rFonts w:ascii="Times New Roman" w:eastAsia="Calibri" w:hAnsi="Times New Roman"/>
          <w:noProof/>
          <w:lang w:bidi="ar-SA"/>
        </w:rPr>
        <w:t>Cyprus,</w:t>
      </w:r>
      <w:r w:rsidRPr="004D0DE2">
        <w:rPr>
          <w:rFonts w:ascii="Times New Roman" w:eastAsia="Calibri" w:hAnsi="Times New Roman"/>
          <w:lang w:bidi="ar-SA"/>
        </w:rPr>
        <w:t xml:space="preserve"> and Corsica).  Demoule and Perlès, however, capitulate that “the extensive </w:t>
      </w:r>
      <w:r w:rsidRPr="004D0DE2">
        <w:rPr>
          <w:rFonts w:ascii="Times New Roman" w:eastAsia="Calibri" w:hAnsi="Times New Roman"/>
          <w:noProof/>
          <w:lang w:bidi="ar-SA"/>
        </w:rPr>
        <w:t>alluviation</w:t>
      </w:r>
      <w:r w:rsidRPr="004D0DE2">
        <w:rPr>
          <w:rFonts w:ascii="Times New Roman" w:eastAsia="Calibri" w:hAnsi="Times New Roman"/>
          <w:lang w:bidi="ar-SA"/>
        </w:rPr>
        <w:t xml:space="preserve"> may also have hidden Early Neolithic sites in northern Greece, especially if they were short-term occupations.”</w:t>
      </w:r>
      <w:r w:rsidRPr="004D0DE2">
        <w:rPr>
          <w:rFonts w:ascii="Times New Roman" w:eastAsia="Calibri" w:hAnsi="Times New Roman"/>
          <w:vertAlign w:val="superscript"/>
          <w:lang w:bidi="ar-SA"/>
        </w:rPr>
        <w:footnoteReference w:id="98"/>
      </w:r>
      <w:r w:rsidRPr="004D0DE2">
        <w:rPr>
          <w:rFonts w:ascii="Times New Roman" w:eastAsia="Calibri" w:hAnsi="Times New Roman"/>
          <w:lang w:bidi="ar-SA"/>
        </w:rPr>
        <w:t xml:space="preserve"> The genome study concluded that the overland route </w:t>
      </w:r>
      <w:r w:rsidRPr="004D0DE2">
        <w:rPr>
          <w:rFonts w:ascii="Times New Roman" w:eastAsia="Calibri" w:hAnsi="Times New Roman"/>
          <w:noProof/>
          <w:lang w:bidi="ar-SA"/>
        </w:rPr>
        <w:t>was less likely given</w:t>
      </w:r>
      <w:r w:rsidRPr="004D0DE2">
        <w:rPr>
          <w:rFonts w:ascii="Times New Roman" w:eastAsia="Calibri" w:hAnsi="Times New Roman"/>
          <w:lang w:bidi="ar-SA"/>
        </w:rPr>
        <w:t xml:space="preserve"> that C-14 dating of archaeological finds suggests that Neolithic sites in mainland Greece (Thessaly, </w:t>
      </w:r>
      <w:r w:rsidRPr="004D0DE2">
        <w:rPr>
          <w:rFonts w:ascii="Times New Roman" w:eastAsia="Calibri" w:hAnsi="Times New Roman"/>
          <w:noProof/>
          <w:lang w:bidi="ar-SA"/>
        </w:rPr>
        <w:t>Argolid,</w:t>
      </w:r>
      <w:r w:rsidRPr="004D0DE2">
        <w:rPr>
          <w:rFonts w:ascii="Times New Roman" w:eastAsia="Calibri" w:hAnsi="Times New Roman"/>
          <w:lang w:bidi="ar-SA"/>
        </w:rPr>
        <w:t xml:space="preserve"> and Peloponnese) are older than those of Thrace and </w:t>
      </w:r>
      <w:r w:rsidRPr="004D0DE2">
        <w:rPr>
          <w:rFonts w:ascii="Times New Roman" w:eastAsia="Calibri" w:hAnsi="Times New Roman"/>
          <w:lang w:bidi="ar-SA"/>
        </w:rPr>
        <w:lastRenderedPageBreak/>
        <w:t xml:space="preserve">Macedonia.  </w:t>
      </w:r>
      <w:r w:rsidRPr="004D0DE2">
        <w:rPr>
          <w:rFonts w:ascii="Times New Roman" w:eastAsia="Calibri" w:hAnsi="Times New Roman"/>
          <w:noProof/>
          <w:lang w:bidi="ar-SA"/>
        </w:rPr>
        <w:t>Of the remaining two options for maritime routes, the Anatolian route, rather than the Levantine route, was more plausible given distances and archaeological finds connecting the Aegean to Anatolia.</w:t>
      </w:r>
      <w:r w:rsidRPr="004D0DE2">
        <w:rPr>
          <w:rFonts w:ascii="Times New Roman" w:eastAsia="Calibri" w:hAnsi="Times New Roman"/>
          <w:vertAlign w:val="superscript"/>
          <w:lang w:bidi="ar-SA"/>
        </w:rPr>
        <w:footnoteReference w:id="99"/>
      </w:r>
      <w:r w:rsidRPr="004D0DE2">
        <w:rPr>
          <w:rFonts w:ascii="Times New Roman" w:eastAsia="Calibri" w:hAnsi="Times New Roman"/>
          <w:lang w:bidi="ar-SA"/>
        </w:rPr>
        <w:t xml:space="preserve">  In the same way that new modes of scientific analysis were used to re-examine migration patterns, I believe new technology, or long existing technology not traditionally used in archaeology, can be used to re-examine the corpus of animal figurines, possibly arriving at new conclusions.</w:t>
      </w:r>
      <w:r w:rsidRPr="004D0DE2">
        <w:rPr>
          <w:rFonts w:ascii="Times New Roman" w:eastAsia="Calibri" w:hAnsi="Times New Roman"/>
          <w:vertAlign w:val="superscript"/>
          <w:lang w:bidi="ar-SA"/>
        </w:rPr>
        <w:footnoteReference w:id="100"/>
      </w:r>
      <w:r w:rsidRPr="004D0DE2">
        <w:rPr>
          <w:rFonts w:ascii="Times New Roman" w:eastAsia="Calibri" w:hAnsi="Times New Roman"/>
          <w:lang w:bidi="ar-SA"/>
        </w:rPr>
        <w:t xml:space="preserve">  </w:t>
      </w:r>
    </w:p>
    <w:p w:rsidR="004D0DE2" w:rsidRPr="004D0DE2" w:rsidRDefault="004D0DE2" w:rsidP="004D0DE2">
      <w:pPr>
        <w:spacing w:after="160"/>
      </w:pPr>
      <w:r w:rsidRPr="004D0DE2">
        <w:rPr>
          <w:rFonts w:ascii="Times New Roman" w:eastAsia="Calibri" w:hAnsi="Times New Roman"/>
          <w:lang w:bidi="ar-SA"/>
        </w:rPr>
        <w:tab/>
        <w:t xml:space="preserve">Jeremy B. Rutter suggests that the inhabitation of the Cyclades may have </w:t>
      </w:r>
      <w:r w:rsidRPr="004D0DE2">
        <w:rPr>
          <w:rFonts w:ascii="Times New Roman" w:eastAsia="Calibri" w:hAnsi="Times New Roman"/>
          <w:noProof/>
          <w:lang w:bidi="ar-SA"/>
        </w:rPr>
        <w:t>been associated</w:t>
      </w:r>
      <w:r w:rsidRPr="004D0DE2">
        <w:rPr>
          <w:rFonts w:ascii="Times New Roman" w:eastAsia="Calibri" w:hAnsi="Times New Roman"/>
          <w:lang w:bidi="ar-SA"/>
        </w:rPr>
        <w:t xml:space="preserve"> with exploitation of the tuna runs rather than with exploitation of the major source of the Cyclades which was obsidian from Melos.  As he points out, Melian obsidian had </w:t>
      </w:r>
      <w:r w:rsidRPr="004D0DE2">
        <w:rPr>
          <w:rFonts w:ascii="Times New Roman" w:eastAsia="Calibri" w:hAnsi="Times New Roman"/>
          <w:noProof/>
          <w:lang w:bidi="ar-SA"/>
        </w:rPr>
        <w:t>been mined</w:t>
      </w:r>
      <w:r w:rsidRPr="004D0DE2">
        <w:rPr>
          <w:rFonts w:ascii="Times New Roman" w:eastAsia="Calibri" w:hAnsi="Times New Roman"/>
          <w:lang w:bidi="ar-SA"/>
        </w:rPr>
        <w:t xml:space="preserve"> from the island at least 6,000 years </w:t>
      </w:r>
      <w:r w:rsidRPr="004D0DE2">
        <w:rPr>
          <w:rFonts w:ascii="Times New Roman" w:eastAsia="Calibri" w:hAnsi="Times New Roman"/>
          <w:noProof/>
          <w:lang w:bidi="ar-SA"/>
        </w:rPr>
        <w:t>before</w:t>
      </w:r>
      <w:r w:rsidRPr="004D0DE2">
        <w:rPr>
          <w:rFonts w:ascii="Times New Roman" w:eastAsia="Calibri" w:hAnsi="Times New Roman"/>
          <w:lang w:bidi="ar-SA"/>
        </w:rPr>
        <w:t xml:space="preserve"> Saliagos.</w:t>
      </w:r>
      <w:r w:rsidRPr="004D0DE2">
        <w:rPr>
          <w:rFonts w:ascii="Times New Roman" w:eastAsia="Calibri" w:hAnsi="Times New Roman"/>
          <w:vertAlign w:val="superscript"/>
          <w:lang w:bidi="ar-SA"/>
        </w:rPr>
        <w:footnoteReference w:id="101"/>
      </w:r>
      <w:r w:rsidRPr="004D0DE2">
        <w:rPr>
          <w:rFonts w:ascii="Times New Roman" w:eastAsia="Calibri" w:hAnsi="Times New Roman"/>
          <w:lang w:bidi="ar-SA"/>
        </w:rPr>
        <w:t xml:space="preserve"> Since the first settlements </w:t>
      </w:r>
      <w:r w:rsidRPr="004D0DE2">
        <w:rPr>
          <w:rFonts w:ascii="Times New Roman" w:eastAsia="Calibri" w:hAnsi="Times New Roman"/>
          <w:noProof/>
          <w:lang w:bidi="ar-SA"/>
        </w:rPr>
        <w:t>are found</w:t>
      </w:r>
      <w:r w:rsidRPr="004D0DE2">
        <w:rPr>
          <w:rFonts w:ascii="Times New Roman" w:eastAsia="Calibri" w:hAnsi="Times New Roman"/>
          <w:lang w:bidi="ar-SA"/>
        </w:rPr>
        <w:t xml:space="preserve"> near deep bays, this acted not only as a storm shelter, but as a necessary marine resource since boats were beached, rather than anchored, and marine life was a vital requirement to the Bronze Age diet.</w:t>
      </w:r>
      <w:r w:rsidRPr="004D0DE2">
        <w:rPr>
          <w:rFonts w:ascii="Times New Roman" w:eastAsia="Calibri" w:hAnsi="Times New Roman"/>
          <w:vertAlign w:val="superscript"/>
          <w:lang w:bidi="ar-SA"/>
        </w:rPr>
        <w:footnoteReference w:id="102"/>
      </w:r>
      <w:r w:rsidRPr="004D0DE2">
        <w:rPr>
          <w:rFonts w:ascii="Times New Roman" w:eastAsia="Calibri" w:hAnsi="Times New Roman"/>
          <w:lang w:bidi="ar-SA"/>
        </w:rPr>
        <w:t xml:space="preserve">  John Bintliff proposes that the advent of the </w:t>
      </w:r>
      <w:r w:rsidRPr="004D0DE2">
        <w:rPr>
          <w:rFonts w:ascii="Times New Roman" w:eastAsia="Calibri" w:hAnsi="Times New Roman"/>
          <w:noProof/>
          <w:lang w:bidi="ar-SA"/>
        </w:rPr>
        <w:t>ard</w:t>
      </w:r>
      <w:r w:rsidRPr="004D0DE2">
        <w:rPr>
          <w:rFonts w:ascii="Times New Roman" w:eastAsia="Calibri" w:hAnsi="Times New Roman"/>
          <w:lang w:bidi="ar-SA"/>
        </w:rPr>
        <w:t xml:space="preserve"> </w:t>
      </w:r>
      <w:r w:rsidRPr="004D0DE2">
        <w:rPr>
          <w:rFonts w:ascii="Times New Roman" w:eastAsia="Calibri" w:hAnsi="Times New Roman"/>
          <w:noProof/>
          <w:lang w:bidi="ar-SA"/>
        </w:rPr>
        <w:t>plow</w:t>
      </w:r>
      <w:r w:rsidRPr="004D0DE2">
        <w:rPr>
          <w:rFonts w:ascii="Times New Roman" w:eastAsia="Calibri" w:hAnsi="Times New Roman"/>
          <w:lang w:bidi="ar-SA"/>
        </w:rPr>
        <w:t xml:space="preserve"> in the 6</w:t>
      </w:r>
      <w:r w:rsidRPr="004D0DE2">
        <w:rPr>
          <w:rFonts w:ascii="Times New Roman" w:eastAsia="Calibri" w:hAnsi="Times New Roman"/>
          <w:vertAlign w:val="superscript"/>
          <w:lang w:bidi="ar-SA"/>
        </w:rPr>
        <w:t>th</w:t>
      </w:r>
      <w:r w:rsidRPr="004D0DE2">
        <w:rPr>
          <w:rFonts w:ascii="Times New Roman" w:eastAsia="Calibri" w:hAnsi="Times New Roman"/>
          <w:lang w:bidi="ar-SA"/>
        </w:rPr>
        <w:t xml:space="preserve"> millennium and secondary products from animal domestication were key stimuli for the occupation of the less “attractive” environments of the Cyclades.</w:t>
      </w:r>
      <w:r w:rsidRPr="004D0DE2">
        <w:rPr>
          <w:rFonts w:ascii="Times New Roman" w:eastAsia="Calibri" w:hAnsi="Times New Roman"/>
          <w:vertAlign w:val="superscript"/>
          <w:lang w:bidi="ar-SA"/>
        </w:rPr>
        <w:footnoteReference w:id="103"/>
      </w:r>
      <w:r w:rsidRPr="004D0DE2">
        <w:rPr>
          <w:rFonts w:ascii="Times New Roman" w:eastAsia="Calibri" w:hAnsi="Times New Roman"/>
          <w:lang w:bidi="ar-SA"/>
        </w:rPr>
        <w:t xml:space="preserve"> However, Cyprian Broodbank disputes this, arguing that the ox-drawn plow would have held little relevance to agriculture in the Cyclades </w:t>
      </w:r>
      <w:r w:rsidRPr="004D0DE2">
        <w:rPr>
          <w:rFonts w:ascii="Times New Roman" w:eastAsia="Calibri" w:hAnsi="Times New Roman"/>
          <w:lang w:bidi="ar-SA"/>
        </w:rPr>
        <w:lastRenderedPageBreak/>
        <w:t xml:space="preserve">due to the limited availability of arable land and the high grazing demands of draft animals. He goes on to state that island agriculture probably took the form of “small intensively </w:t>
      </w:r>
      <w:r w:rsidRPr="004D0DE2">
        <w:rPr>
          <w:rFonts w:ascii="Times New Roman" w:eastAsia="Calibri" w:hAnsi="Times New Roman"/>
          <w:noProof/>
          <w:lang w:bidi="ar-SA"/>
        </w:rPr>
        <w:t>hoed</w:t>
      </w:r>
      <w:r w:rsidRPr="004D0DE2">
        <w:rPr>
          <w:rFonts w:ascii="Times New Roman" w:eastAsia="Calibri" w:hAnsi="Times New Roman"/>
          <w:lang w:bidi="ar-SA"/>
        </w:rPr>
        <w:t xml:space="preserve"> fields throughout the Neolithic and Early Bronze Age.”</w:t>
      </w:r>
      <w:r w:rsidRPr="004D0DE2">
        <w:rPr>
          <w:rFonts w:ascii="Times New Roman" w:eastAsia="Calibri" w:hAnsi="Times New Roman"/>
          <w:vertAlign w:val="superscript"/>
          <w:lang w:bidi="ar-SA"/>
        </w:rPr>
        <w:footnoteReference w:id="104"/>
      </w:r>
      <w:r w:rsidRPr="004D0DE2">
        <w:rPr>
          <w:rFonts w:ascii="Times New Roman" w:eastAsia="Calibri" w:hAnsi="Times New Roman"/>
          <w:lang w:bidi="ar-SA"/>
        </w:rPr>
        <w:t xml:space="preserve">  In analyzing factors influencing migration to the Cyclades, it must </w:t>
      </w:r>
      <w:r w:rsidRPr="004D0DE2">
        <w:rPr>
          <w:rFonts w:ascii="Times New Roman" w:eastAsia="Calibri" w:hAnsi="Times New Roman"/>
          <w:noProof/>
          <w:lang w:bidi="ar-SA"/>
        </w:rPr>
        <w:t>be noted</w:t>
      </w:r>
      <w:r w:rsidRPr="004D0DE2">
        <w:rPr>
          <w:rFonts w:ascii="Times New Roman" w:eastAsia="Calibri" w:hAnsi="Times New Roman"/>
          <w:lang w:bidi="ar-SA"/>
        </w:rPr>
        <w:t>, however elementary it seems, that migration was deliberate.</w:t>
      </w:r>
      <w:r w:rsidRPr="004D0DE2">
        <w:rPr>
          <w:rFonts w:ascii="Times New Roman" w:eastAsia="Calibri" w:hAnsi="Times New Roman"/>
          <w:vertAlign w:val="superscript"/>
          <w:lang w:bidi="ar-SA"/>
        </w:rPr>
        <w:footnoteReference w:id="105"/>
      </w:r>
      <w:r w:rsidRPr="004D0DE2">
        <w:rPr>
          <w:rFonts w:ascii="Times New Roman" w:eastAsia="Calibri" w:hAnsi="Times New Roman"/>
          <w:lang w:bidi="ar-SA"/>
        </w:rPr>
        <w:t xml:space="preserve">  Island settlers faced many logistical problems, </w:t>
      </w:r>
      <w:r w:rsidRPr="004D0DE2">
        <w:rPr>
          <w:rFonts w:ascii="Times New Roman" w:eastAsia="Calibri" w:hAnsi="Times New Roman"/>
          <w:noProof/>
          <w:lang w:bidi="ar-SA"/>
        </w:rPr>
        <w:t>including,</w:t>
      </w:r>
      <w:r w:rsidRPr="004D0DE2">
        <w:rPr>
          <w:rFonts w:ascii="Times New Roman" w:eastAsia="Calibri" w:hAnsi="Times New Roman"/>
          <w:lang w:bidi="ar-SA"/>
        </w:rPr>
        <w:t xml:space="preserve"> for instance, bringing with them by boat viable breeding populations of domesticated animals, as well as aspects beyond their control like environmental and biogeographical factors. Other issues for their consideration included three aspects identified by John Cherry as area, </w:t>
      </w:r>
      <w:r w:rsidRPr="004D0DE2">
        <w:rPr>
          <w:rFonts w:ascii="Times New Roman" w:eastAsia="Calibri" w:hAnsi="Times New Roman"/>
          <w:noProof/>
          <w:lang w:bidi="ar-SA"/>
        </w:rPr>
        <w:t>distance,</w:t>
      </w:r>
      <w:r w:rsidRPr="004D0DE2">
        <w:rPr>
          <w:rFonts w:ascii="Times New Roman" w:eastAsia="Calibri" w:hAnsi="Times New Roman"/>
          <w:lang w:bidi="ar-SA"/>
        </w:rPr>
        <w:t xml:space="preserve"> and configuration.</w:t>
      </w:r>
      <w:r w:rsidRPr="004D0DE2">
        <w:rPr>
          <w:rFonts w:ascii="Times New Roman" w:eastAsia="Calibri" w:hAnsi="Times New Roman"/>
          <w:vertAlign w:val="superscript"/>
          <w:lang w:bidi="ar-SA"/>
        </w:rPr>
        <w:footnoteReference w:id="106"/>
      </w:r>
      <w:r w:rsidRPr="004D0DE2">
        <w:rPr>
          <w:rFonts w:ascii="Times New Roman" w:eastAsia="Calibri" w:hAnsi="Times New Roman"/>
          <w:lang w:bidi="ar-SA"/>
        </w:rPr>
        <w:t xml:space="preserve">  </w:t>
      </w:r>
      <w:r w:rsidRPr="004D0DE2">
        <w:rPr>
          <w:rFonts w:ascii="Times New Roman" w:eastAsia="Calibri" w:hAnsi="Times New Roman"/>
          <w:noProof/>
          <w:lang w:bidi="ar-SA"/>
        </w:rPr>
        <w:t>Area was the paramount factor where larger islands were more visible targets, but they also offered a large diversity of habitats and resources.</w:t>
      </w:r>
      <w:r w:rsidRPr="004D0DE2">
        <w:rPr>
          <w:rFonts w:ascii="Times New Roman" w:eastAsia="Calibri" w:hAnsi="Times New Roman"/>
          <w:lang w:bidi="ar-SA"/>
        </w:rPr>
        <w:t xml:space="preserve">  Cherry also points out that the “altitudinal zonation and landform variability have important implications for biotic diversity, which in turn affects the riskiness of island life and the likelihood of a population becoming extinct or choosing to abandon the island.”</w:t>
      </w:r>
      <w:r w:rsidRPr="004D0DE2">
        <w:rPr>
          <w:rFonts w:ascii="Times New Roman" w:eastAsia="Calibri" w:hAnsi="Times New Roman"/>
          <w:vertAlign w:val="superscript"/>
          <w:lang w:bidi="ar-SA"/>
        </w:rPr>
        <w:footnoteReference w:id="107"/>
      </w:r>
      <w:r w:rsidRPr="004D0DE2">
        <w:rPr>
          <w:rFonts w:ascii="Times New Roman" w:eastAsia="Calibri" w:hAnsi="Times New Roman"/>
          <w:lang w:bidi="ar-SA"/>
        </w:rPr>
        <w:t xml:space="preserve"> Distance, he writes, seems simple enough but encompasses more than the </w:t>
      </w:r>
      <w:r w:rsidRPr="004D0DE2">
        <w:rPr>
          <w:rFonts w:ascii="Times New Roman" w:eastAsia="Calibri" w:hAnsi="Times New Roman"/>
          <w:noProof/>
          <w:lang w:bidi="ar-SA"/>
        </w:rPr>
        <w:t>linear</w:t>
      </w:r>
      <w:r w:rsidRPr="004D0DE2">
        <w:rPr>
          <w:rFonts w:ascii="Times New Roman" w:eastAsia="Calibri" w:hAnsi="Times New Roman"/>
          <w:lang w:bidi="ar-SA"/>
        </w:rPr>
        <w:t xml:space="preserve"> distance from the nearest jumping off point.  Considerations such as the widest water barrier, wind and currents, navigational skills, and endurance of the colonists for the trip all played a part.  Lastly, </w:t>
      </w:r>
      <w:r w:rsidRPr="004D0DE2">
        <w:rPr>
          <w:rFonts w:ascii="Times New Roman" w:eastAsia="Calibri" w:hAnsi="Times New Roman"/>
          <w:lang w:bidi="ar-SA"/>
        </w:rPr>
        <w:lastRenderedPageBreak/>
        <w:t>island configuration refers to an island’s relation to other land masses: whether it is isolated or part of a cluster or chain.</w:t>
      </w:r>
      <w:r w:rsidRPr="004D0DE2">
        <w:rPr>
          <w:rFonts w:ascii="Times New Roman" w:eastAsia="Calibri" w:hAnsi="Times New Roman"/>
          <w:vertAlign w:val="superscript"/>
          <w:lang w:bidi="ar-SA"/>
        </w:rPr>
        <w:footnoteReference w:id="108"/>
      </w:r>
      <w:r w:rsidRPr="004D0DE2">
        <w:rPr>
          <w:rFonts w:ascii="Times New Roman" w:eastAsia="Calibri" w:hAnsi="Times New Roman"/>
          <w:lang w:bidi="ar-SA"/>
        </w:rPr>
        <w:t xml:space="preserve"> </w:t>
      </w:r>
      <w:bookmarkStart w:id="37" w:name="_Toc310579469"/>
      <w:bookmarkStart w:id="38" w:name="_Toc315681365"/>
    </w:p>
    <w:p w:rsidR="004D0DE2" w:rsidRPr="004D0DE2" w:rsidRDefault="004D0DE2" w:rsidP="002C2FDF">
      <w:pPr>
        <w:pStyle w:val="Heading2"/>
      </w:pPr>
      <w:bookmarkStart w:id="39" w:name="_Toc481343487"/>
      <w:bookmarkStart w:id="40" w:name="_Toc482206676"/>
      <w:r w:rsidRPr="004D0DE2">
        <w:t>Maritime Trade in Early Bronze Age Aegean</w:t>
      </w:r>
      <w:bookmarkEnd w:id="39"/>
      <w:bookmarkEnd w:id="40"/>
    </w:p>
    <w:p w:rsidR="004D0DE2" w:rsidRPr="004D0DE2" w:rsidRDefault="004D0DE2" w:rsidP="004D0DE2">
      <w:pPr>
        <w:spacing w:after="160"/>
        <w:ind w:firstLine="720"/>
      </w:pPr>
      <w:r w:rsidRPr="004D0DE2">
        <w:t xml:space="preserve">The fact that the Early Cycladic islanders had seafaring technology has already </w:t>
      </w:r>
      <w:r w:rsidRPr="004D0DE2">
        <w:rPr>
          <w:noProof/>
        </w:rPr>
        <w:t>been established</w:t>
      </w:r>
      <w:r w:rsidRPr="004D0DE2">
        <w:t xml:space="preserve"> through the discussion of their migration to the islands.  In this section, I will discuss scholarship on how maritime trade contributed to the island economy and therefore further cultural and artistic exchange across Europe and Mediterranean.  By the end of EC I, contacts with places beyond the Cyclades began to intensify with the zenith occurring in the EC II period.</w:t>
      </w:r>
      <w:r w:rsidRPr="004D0DE2">
        <w:rPr>
          <w:vertAlign w:val="superscript"/>
        </w:rPr>
        <w:footnoteReference w:id="109"/>
      </w:r>
      <w:r w:rsidRPr="004D0DE2">
        <w:t xml:space="preserve">  </w:t>
      </w:r>
      <w:r w:rsidRPr="004D0DE2">
        <w:rPr>
          <w:noProof/>
        </w:rPr>
        <w:t>Similarities in the pottery of both the Cyclades and the mainland, as well as in jewelry with the North Aegean and the Balkans, can attest to contact with these regions and artifacts with Cycladic origins, or in the style of Cycladic objects, are found in Attica, Euboea, the northern coast of Crete, the Eastern Aegean islands and the west coast of Asia Minor.</w:t>
      </w:r>
      <w:r w:rsidRPr="004D0DE2">
        <w:rPr>
          <w:vertAlign w:val="superscript"/>
        </w:rPr>
        <w:footnoteReference w:id="110"/>
      </w:r>
      <w:r w:rsidRPr="004D0DE2">
        <w:t xml:space="preserve">  These places also had an influence on the Cycladic islanders, for instance, the so-called sauceboat pottery shape is believed to be a mainland convention, and the </w:t>
      </w:r>
      <w:r w:rsidRPr="004D0DE2">
        <w:rPr>
          <w:noProof/>
        </w:rPr>
        <w:t>depas</w:t>
      </w:r>
      <w:r w:rsidRPr="004D0DE2">
        <w:t xml:space="preserve"> cup shape originates in Anatolia.  This time of </w:t>
      </w:r>
      <w:r w:rsidRPr="004D0DE2">
        <w:rPr>
          <w:noProof/>
        </w:rPr>
        <w:t>exchange</w:t>
      </w:r>
      <w:r w:rsidRPr="004D0DE2">
        <w:t xml:space="preserve">, not only of </w:t>
      </w:r>
      <w:r w:rsidRPr="004D0DE2">
        <w:rPr>
          <w:noProof/>
        </w:rPr>
        <w:t>goods</w:t>
      </w:r>
      <w:r w:rsidRPr="004D0DE2">
        <w:t xml:space="preserve"> </w:t>
      </w:r>
      <w:r w:rsidRPr="004D0DE2">
        <w:rPr>
          <w:noProof/>
        </w:rPr>
        <w:t>but</w:t>
      </w:r>
      <w:r w:rsidRPr="004D0DE2">
        <w:t xml:space="preserve"> innovations and ideas, is what Colin Renfrew terms “the international spirit.”</w:t>
      </w:r>
      <w:r w:rsidRPr="004D0DE2">
        <w:rPr>
          <w:vertAlign w:val="superscript"/>
        </w:rPr>
        <w:footnoteReference w:id="111"/>
      </w:r>
    </w:p>
    <w:p w:rsidR="004D0DE2" w:rsidRPr="004D0DE2" w:rsidRDefault="004D0DE2" w:rsidP="004D0DE2">
      <w:pPr>
        <w:spacing w:after="160"/>
        <w:ind w:firstLine="720"/>
      </w:pPr>
      <w:r w:rsidRPr="004D0DE2">
        <w:lastRenderedPageBreak/>
        <w:t>An increase in maritime activity in EC II changes the social structure of the islands from fairly even communication between settlements to maritime movement ro</w:t>
      </w:r>
      <w:r w:rsidR="00B328CA">
        <w:t>uted through a few main centers,</w:t>
      </w:r>
      <w:r w:rsidRPr="004D0DE2">
        <w:t xml:space="preserve"> (Fig. 5)</w:t>
      </w:r>
      <w:r w:rsidR="00B328CA">
        <w:t>.</w:t>
      </w:r>
      <w:r w:rsidR="00B328CA" w:rsidRPr="00B328CA">
        <w:rPr>
          <w:vertAlign w:val="superscript"/>
        </w:rPr>
        <w:t xml:space="preserve"> </w:t>
      </w:r>
      <w:r w:rsidR="00B328CA" w:rsidRPr="004D0DE2">
        <w:rPr>
          <w:vertAlign w:val="superscript"/>
        </w:rPr>
        <w:footnoteReference w:id="112"/>
      </w:r>
      <w:r w:rsidR="00B328CA" w:rsidRPr="004D0DE2">
        <w:t xml:space="preserve"> </w:t>
      </w:r>
      <w:r w:rsidRPr="004D0DE2">
        <w:t xml:space="preserve">  Broodbank proposes a theory of four “trader sites</w:t>
      </w:r>
      <w:r w:rsidRPr="004D0DE2">
        <w:rPr>
          <w:noProof/>
        </w:rPr>
        <w:t>,”</w:t>
      </w:r>
      <w:r w:rsidRPr="004D0DE2">
        <w:t xml:space="preserve"> which dominated the EC II Keros-Syros period: Chalandriani on Syros, Ayia Irini on Kea, Dhaskalio-Kavos on Keros, and Phylakopi on Melos.</w:t>
      </w:r>
      <w:r w:rsidRPr="004D0DE2">
        <w:rPr>
          <w:vertAlign w:val="superscript"/>
        </w:rPr>
        <w:footnoteReference w:id="113"/>
      </w:r>
      <w:r w:rsidRPr="004D0DE2">
        <w:t xml:space="preserve">  He points to their relatively large size, </w:t>
      </w:r>
      <w:r w:rsidRPr="004D0DE2">
        <w:rPr>
          <w:noProof/>
        </w:rPr>
        <w:t>wealth</w:t>
      </w:r>
      <w:r w:rsidRPr="004D0DE2">
        <w:t xml:space="preserve"> of marble, pottery and metal object finds, and they “possess a quasi-monopoly in the uncommon Keros-Syros painted wares as well as in rare pieces of extra-Cycladic material.”</w:t>
      </w:r>
      <w:r w:rsidRPr="004D0DE2">
        <w:rPr>
          <w:vertAlign w:val="superscript"/>
        </w:rPr>
        <w:footnoteReference w:id="114"/>
      </w:r>
      <w:r w:rsidRPr="004D0DE2">
        <w:t xml:space="preserve">  This change creates a division, as well as an increase in maritime imagery and symbols reflecting “intensifying ideologies, cycles of competitive display and conspicuous consumption at the centers with traders, navigators or the others vying for ephemeral power.”</w:t>
      </w:r>
      <w:r w:rsidRPr="004D0DE2">
        <w:rPr>
          <w:vertAlign w:val="superscript"/>
        </w:rPr>
        <w:footnoteReference w:id="115"/>
      </w:r>
      <w:r w:rsidRPr="004D0DE2">
        <w:t xml:space="preserve">  Nothing which is known suggests control by hereditary leaders or ruled territories from which they might draw tribute, as is the case on the mainland and in Crete at this time.  Broodbank argues that the Cycladic Islands during the Early Bronze Age “may have remained ‘egalitarian’ insofar as it was free of institutional social hierarchies.”</w:t>
      </w:r>
      <w:r w:rsidRPr="004D0DE2">
        <w:rPr>
          <w:vertAlign w:val="superscript"/>
        </w:rPr>
        <w:footnoteReference w:id="116"/>
      </w:r>
      <w:r w:rsidRPr="004D0DE2">
        <w:t xml:space="preserve"> Instead, social power </w:t>
      </w:r>
      <w:r w:rsidRPr="004D0DE2">
        <w:rPr>
          <w:noProof/>
        </w:rPr>
        <w:t>is tied</w:t>
      </w:r>
      <w:r w:rsidRPr="004D0DE2">
        <w:t xml:space="preserve"> to maritime control.</w:t>
      </w:r>
      <w:r w:rsidRPr="004D0DE2">
        <w:rPr>
          <w:vertAlign w:val="superscript"/>
        </w:rPr>
        <w:footnoteReference w:id="117"/>
      </w:r>
      <w:r w:rsidRPr="004D0DE2">
        <w:t xml:space="preserve">  </w:t>
      </w:r>
    </w:p>
    <w:p w:rsidR="004D0DE2" w:rsidRPr="004D0DE2" w:rsidRDefault="004D0DE2" w:rsidP="004D0DE2">
      <w:pPr>
        <w:spacing w:after="160"/>
        <w:ind w:firstLine="720"/>
      </w:pPr>
      <w:r w:rsidRPr="004D0DE2">
        <w:rPr>
          <w:noProof/>
        </w:rPr>
        <w:t>Also</w:t>
      </w:r>
      <w:r w:rsidRPr="004D0DE2">
        <w:t xml:space="preserve">, the longboats </w:t>
      </w:r>
      <w:r w:rsidRPr="004D0DE2">
        <w:rPr>
          <w:noProof/>
        </w:rPr>
        <w:t>being used</w:t>
      </w:r>
      <w:r w:rsidRPr="004D0DE2">
        <w:t xml:space="preserve"> by the EC II period needed larger crews, which mean coordinating long-distance voyages with the agricultural calendar </w:t>
      </w:r>
      <w:r w:rsidRPr="004D0DE2">
        <w:rPr>
          <w:noProof/>
        </w:rPr>
        <w:t>to</w:t>
      </w:r>
      <w:r w:rsidRPr="004D0DE2">
        <w:t xml:space="preserve"> secure labor. </w:t>
      </w:r>
      <w:r w:rsidRPr="004D0DE2">
        <w:lastRenderedPageBreak/>
        <w:t>Since settlements were small, it is not reasonable to believe that separate labor forces for agriculture and maritime activity existed; the farmers were also the sailors.  Initial successes probably attracted others wishing to capitalize, which in turn inspired competition for more ambitious voyages and raids on smaller communities (evidenced by the increased number of fortifications built at settlements during the EC II).</w:t>
      </w:r>
      <w:r w:rsidRPr="004D0DE2">
        <w:rPr>
          <w:vertAlign w:val="superscript"/>
        </w:rPr>
        <w:footnoteReference w:id="118"/>
      </w:r>
      <w:r w:rsidRPr="004D0DE2">
        <w:t xml:space="preserve">  </w:t>
      </w:r>
    </w:p>
    <w:p w:rsidR="004D0DE2" w:rsidRPr="004D0DE2" w:rsidRDefault="004D0DE2" w:rsidP="004D0DE2">
      <w:pPr>
        <w:spacing w:after="160"/>
        <w:ind w:firstLine="720"/>
      </w:pPr>
      <w:r w:rsidRPr="004D0DE2">
        <w:t xml:space="preserve">Indeed, a striking feature of this period is the large amounts of exports leaving the Cyclades (attested to by archaeological finds outside the islands) compared to the very little amount of imports.  Broodbank suggests that one reason for this may be that the commodities for which the islanders traded were perishable and consumable.  But a more intriguing theory is that they received knowledge rather than objects from more “exotic” centers like Troy, </w:t>
      </w:r>
      <w:r w:rsidRPr="004D0DE2">
        <w:rPr>
          <w:noProof/>
        </w:rPr>
        <w:t>Lerna,</w:t>
      </w:r>
      <w:r w:rsidRPr="004D0DE2">
        <w:t xml:space="preserve"> and Knossos.</w:t>
      </w:r>
      <w:r w:rsidRPr="004D0DE2">
        <w:rPr>
          <w:vertAlign w:val="superscript"/>
        </w:rPr>
        <w:footnoteReference w:id="119"/>
      </w:r>
      <w:r w:rsidRPr="004D0DE2">
        <w:t xml:space="preserve"> “For an emphasis on customs learned rather than objects obtained would certainly help to explain the inflow of exotic social practices, witnessed in the drinking and pouring shapes of the Greek mainland and Anatolian styles made from local fabrics within the islands.”</w:t>
      </w:r>
      <w:r w:rsidRPr="004D0DE2">
        <w:rPr>
          <w:vertAlign w:val="superscript"/>
        </w:rPr>
        <w:footnoteReference w:id="120"/>
      </w:r>
      <w:r w:rsidRPr="004D0DE2">
        <w:t xml:space="preserve">  I suggest that this theory of “goods for knowledge” may explain why zoomorphic representations are infrequent in the 1200 years of the Early Cycladic Bronze Age, and yet, they are much more prevalent in the cultures of the surrounding regions.  Of the sixty-nine objects </w:t>
      </w:r>
      <w:r w:rsidRPr="004D0DE2">
        <w:rPr>
          <w:noProof/>
        </w:rPr>
        <w:t>cataloged</w:t>
      </w:r>
      <w:r w:rsidRPr="004D0DE2">
        <w:t xml:space="preserve"> here, </w:t>
      </w:r>
      <w:r w:rsidRPr="004D0DE2">
        <w:rPr>
          <w:noProof/>
        </w:rPr>
        <w:t>fifty-eight</w:t>
      </w:r>
      <w:r w:rsidRPr="004D0DE2">
        <w:t xml:space="preserve"> (84%) are from the EC II period.  Of those, thirty-nine (67%) are known or thought to originate from these “</w:t>
      </w:r>
      <w:r w:rsidRPr="004D0DE2">
        <w:rPr>
          <w:noProof/>
        </w:rPr>
        <w:t>trader</w:t>
      </w:r>
      <w:r w:rsidRPr="004D0DE2">
        <w:t xml:space="preserve"> sites” per Broodbank. Furthermore, </w:t>
      </w:r>
      <w:r w:rsidRPr="004D0DE2">
        <w:lastRenderedPageBreak/>
        <w:t xml:space="preserve">the familiarity and influx of the figures from other cultures, </w:t>
      </w:r>
      <w:r w:rsidRPr="004D0DE2">
        <w:rPr>
          <w:noProof/>
        </w:rPr>
        <w:t>and/or</w:t>
      </w:r>
      <w:r w:rsidRPr="004D0DE2">
        <w:t xml:space="preserve"> the application of them in rituals originates from this “international spirit.” </w:t>
      </w:r>
      <w:r w:rsidRPr="004D0DE2">
        <w:rPr>
          <w:noProof/>
        </w:rPr>
        <w:t>This</w:t>
      </w:r>
      <w:r w:rsidRPr="004D0DE2">
        <w:t xml:space="preserve"> will hopefully become apparent when the figures and their comparanda </w:t>
      </w:r>
      <w:r w:rsidRPr="004D0DE2">
        <w:rPr>
          <w:noProof/>
        </w:rPr>
        <w:t>are examined</w:t>
      </w:r>
      <w:r w:rsidRPr="004D0DE2">
        <w:t>.</w:t>
      </w:r>
    </w:p>
    <w:p w:rsidR="004D0DE2" w:rsidRPr="004D0DE2" w:rsidRDefault="004D0DE2" w:rsidP="002C2FDF">
      <w:pPr>
        <w:pStyle w:val="Heading2"/>
      </w:pPr>
      <w:bookmarkStart w:id="43" w:name="_Toc481343488"/>
      <w:bookmarkStart w:id="44" w:name="_Toc482206677"/>
      <w:r w:rsidRPr="004D0DE2">
        <w:t>Religion and Funeral Rites</w:t>
      </w:r>
      <w:bookmarkEnd w:id="43"/>
      <w:bookmarkEnd w:id="44"/>
    </w:p>
    <w:p w:rsidR="004D0DE2" w:rsidRPr="004D0DE2" w:rsidRDefault="004D0DE2" w:rsidP="004D0DE2">
      <w:r w:rsidRPr="004D0DE2">
        <w:tab/>
        <w:t xml:space="preserve">Before a discussion begins on the zoomorphic figurines, the role and function of the marble figures </w:t>
      </w:r>
      <w:r w:rsidRPr="004D0DE2">
        <w:rPr>
          <w:noProof/>
        </w:rPr>
        <w:t>needs</w:t>
      </w:r>
      <w:r w:rsidRPr="004D0DE2">
        <w:t xml:space="preserve"> to </w:t>
      </w:r>
      <w:r w:rsidRPr="004D0DE2">
        <w:rPr>
          <w:noProof/>
        </w:rPr>
        <w:t>be discussed</w:t>
      </w:r>
      <w:r w:rsidRPr="004D0DE2">
        <w:t xml:space="preserve"> briefly.  It has </w:t>
      </w:r>
      <w:r w:rsidRPr="004D0DE2">
        <w:rPr>
          <w:noProof/>
        </w:rPr>
        <w:t>been mentioned</w:t>
      </w:r>
      <w:r w:rsidRPr="004D0DE2">
        <w:t xml:space="preserve"> that the zoomorphic representations </w:t>
      </w:r>
      <w:r w:rsidRPr="004D0DE2">
        <w:rPr>
          <w:noProof/>
        </w:rPr>
        <w:t>were interconnected</w:t>
      </w:r>
      <w:r w:rsidRPr="004D0DE2">
        <w:t xml:space="preserve"> in function with the marble figurines and sometimes the animal objects were found together or </w:t>
      </w:r>
      <w:r w:rsidRPr="004D0DE2">
        <w:rPr>
          <w:noProof/>
        </w:rPr>
        <w:t>in proximity to</w:t>
      </w:r>
      <w:r w:rsidRPr="004D0DE2">
        <w:t xml:space="preserve"> each other. The figurines fall into two categories: naturalistic and stylized.  Though the stylized examples look more “primitive” in rendering, both occur at the same time throughout the Early Cycladic period. Neither does it refer to any lack of ability or experience on the part of the craftsman.  The style is intentional and what may </w:t>
      </w:r>
      <w:r w:rsidRPr="004D0DE2">
        <w:rPr>
          <w:noProof/>
        </w:rPr>
        <w:t>be referred</w:t>
      </w:r>
      <w:r w:rsidRPr="004D0DE2">
        <w:t xml:space="preserve"> to as a different manner of expression; and, both the stylized and the naturalistic examples can </w:t>
      </w:r>
      <w:r w:rsidRPr="004D0DE2">
        <w:rPr>
          <w:noProof/>
        </w:rPr>
        <w:t>be further divided</w:t>
      </w:r>
      <w:r w:rsidRPr="004D0DE2">
        <w:t xml:space="preserve"> into many </w:t>
      </w:r>
      <w:r w:rsidR="00B328CA">
        <w:rPr>
          <w:noProof/>
        </w:rPr>
        <w:t>‘sub-types,</w:t>
      </w:r>
      <w:r w:rsidRPr="004D0DE2">
        <w:rPr>
          <w:noProof/>
        </w:rPr>
        <w:t>'</w:t>
      </w:r>
      <w:r w:rsidRPr="004D0DE2">
        <w:t xml:space="preserve"> (Fig. 6)</w:t>
      </w:r>
      <w:r w:rsidR="00B328CA">
        <w:t>.</w:t>
      </w:r>
      <w:r w:rsidR="00B328CA" w:rsidRPr="00B328CA">
        <w:rPr>
          <w:vertAlign w:val="superscript"/>
        </w:rPr>
        <w:t xml:space="preserve"> </w:t>
      </w:r>
      <w:r w:rsidR="00B328CA" w:rsidRPr="004D0DE2">
        <w:rPr>
          <w:vertAlign w:val="superscript"/>
        </w:rPr>
        <w:footnoteReference w:id="121"/>
      </w:r>
    </w:p>
    <w:p w:rsidR="004D0DE2" w:rsidRPr="004D0DE2" w:rsidRDefault="004D0DE2" w:rsidP="004D0DE2">
      <w:r w:rsidRPr="004D0DE2">
        <w:tab/>
        <w:t xml:space="preserve">The overwhelming majority of the marble figurines are female.  The few known males </w:t>
      </w:r>
      <w:r w:rsidRPr="004D0DE2">
        <w:rPr>
          <w:noProof/>
        </w:rPr>
        <w:t>are usually depicted</w:t>
      </w:r>
      <w:r w:rsidRPr="004D0DE2">
        <w:t xml:space="preserve"> in a </w:t>
      </w:r>
      <w:r w:rsidRPr="004D0DE2">
        <w:rPr>
          <w:noProof/>
        </w:rPr>
        <w:t>professional</w:t>
      </w:r>
      <w:r w:rsidRPr="004D0DE2">
        <w:t xml:space="preserve"> activity: warrior/hunter, musician, </w:t>
      </w:r>
      <w:r w:rsidRPr="004D0DE2">
        <w:rPr>
          <w:noProof/>
        </w:rPr>
        <w:t>cupbearer.</w:t>
      </w:r>
      <w:r w:rsidRPr="004D0DE2">
        <w:t xml:space="preserve">  It is my belief that these male figures are votaries, or “servants” of the female figurines, which I believe represent a goddess. Marija Gimbutas, in her studies of prehistoric religions in Europe, refers to this type as “Stiff White Lady.” It is a stereotypical style found in many cultures with common features: nude, folded or extended arms, a “supernatural” vulva (represented in Cycladic art as a pubic triangle), </w:t>
      </w:r>
      <w:r w:rsidRPr="004D0DE2">
        <w:lastRenderedPageBreak/>
        <w:t>long neck, faceless or masked.</w:t>
      </w:r>
      <w:r w:rsidRPr="004D0DE2">
        <w:rPr>
          <w:vertAlign w:val="superscript"/>
        </w:rPr>
        <w:footnoteReference w:id="122"/>
      </w:r>
      <w:r w:rsidRPr="004D0DE2">
        <w:t xml:space="preserve">  She is simultaneously a symbol of birth, </w:t>
      </w:r>
      <w:r w:rsidRPr="004D0DE2">
        <w:rPr>
          <w:noProof/>
        </w:rPr>
        <w:t>rebirth,</w:t>
      </w:r>
      <w:r w:rsidRPr="004D0DE2">
        <w:t xml:space="preserve"> and death; she is a life-giver and a death-wielder.</w:t>
      </w:r>
      <w:r w:rsidRPr="004D0DE2">
        <w:rPr>
          <w:vertAlign w:val="superscript"/>
        </w:rPr>
        <w:footnoteReference w:id="123"/>
      </w:r>
      <w:r w:rsidRPr="004D0DE2">
        <w:t xml:space="preserve">  Instead of many gods and goddess, like the much later Ancient Greeks, this goddess has many variants in one.  In her main existence as the Great </w:t>
      </w:r>
      <w:r w:rsidRPr="004D0DE2">
        <w:rPr>
          <w:noProof/>
        </w:rPr>
        <w:t>Goddess</w:t>
      </w:r>
      <w:r w:rsidRPr="004D0DE2">
        <w:t xml:space="preserve"> or Goddess Creatrix, she functions in different aspects: Bird Goddess, Snake Goddess, Mistress of Animals, Death, and more. Ideologically, all of her many aspects can be summed up in three main concepts—birth, renewal/regeneration, and fertility.  Even death did not signify an ultimate </w:t>
      </w:r>
      <w:r w:rsidRPr="004D0DE2">
        <w:rPr>
          <w:noProof/>
        </w:rPr>
        <w:t>end,</w:t>
      </w:r>
      <w:r w:rsidRPr="004D0DE2">
        <w:t xml:space="preserve"> but it was part of nature’s cycle and immediately coupled with regeneration.  Burial was analogous to planting seeds in a field.  </w:t>
      </w:r>
    </w:p>
    <w:p w:rsidR="004D0DE2" w:rsidRPr="004D0DE2" w:rsidRDefault="004D0DE2" w:rsidP="004D0DE2">
      <w:pPr>
        <w:spacing w:after="160"/>
        <w:ind w:firstLine="720"/>
      </w:pPr>
      <w:r w:rsidRPr="004D0DE2">
        <w:t>Colin Renfrew lays out an argument of thirteen points concerning the use of figurines in the Cyclades.</w:t>
      </w:r>
      <w:r w:rsidRPr="004D0DE2">
        <w:rPr>
          <w:vertAlign w:val="superscript"/>
        </w:rPr>
        <w:footnoteReference w:id="124"/>
      </w:r>
      <w:r w:rsidRPr="004D0DE2">
        <w:t xml:space="preserve">  While not excluding the theory of the female marble figurines representing the ‘Great Goddess,’ he discusses that there is not sufficient evidence to fully accept this conclusion.  The author argues that to attempt to define the comprehensive meaning of the objects is premature.  Rather, he argues that it is a more valuable effort to determine their use.  He limits his argument to the obvious fact that “without exception, our only good contexts for these sculptures or ‘figurines’ are from graves.”</w:t>
      </w:r>
      <w:r w:rsidRPr="004D0DE2">
        <w:rPr>
          <w:vertAlign w:val="superscript"/>
        </w:rPr>
        <w:footnoteReference w:id="125"/>
      </w:r>
      <w:r w:rsidRPr="004D0DE2">
        <w:t xml:space="preserve">  Based on this basic criterion of provenance, he begins his hypothesis on the functions of the figurines connected with specific reasons for the grave goods.  Renfrew lists four reasons for the inclusion of </w:t>
      </w:r>
      <w:r w:rsidRPr="004D0DE2">
        <w:rPr>
          <w:noProof/>
        </w:rPr>
        <w:t>grave goods</w:t>
      </w:r>
      <w:r w:rsidRPr="004D0DE2">
        <w:t xml:space="preserve"> in a burial, first, as personal objects of the </w:t>
      </w:r>
      <w:r w:rsidRPr="004D0DE2">
        <w:rPr>
          <w:noProof/>
        </w:rPr>
        <w:t>deceased,</w:t>
      </w:r>
      <w:r w:rsidRPr="004D0DE2">
        <w:t xml:space="preserve"> it is appropriate to believe items would </w:t>
      </w:r>
      <w:r w:rsidRPr="004D0DE2">
        <w:rPr>
          <w:noProof/>
        </w:rPr>
        <w:t>be included</w:t>
      </w:r>
      <w:r w:rsidRPr="004D0DE2">
        <w:t xml:space="preserve">.  In this category </w:t>
      </w:r>
      <w:r w:rsidRPr="004D0DE2">
        <w:lastRenderedPageBreak/>
        <w:t>might be included tool-kits, items of personal adornment, or any other object associated with the deceased in life.  He suggests “in some cases, because ownership of the property of a deceased person could be thought to carry risks to the living who might retain it.”</w:t>
      </w:r>
      <w:r w:rsidRPr="004D0DE2">
        <w:rPr>
          <w:vertAlign w:val="superscript"/>
        </w:rPr>
        <w:footnoteReference w:id="126"/>
      </w:r>
      <w:r w:rsidRPr="004D0DE2">
        <w:t xml:space="preserve"> This statement is indicative of a spiritual component related to the afterlife.  </w:t>
      </w:r>
    </w:p>
    <w:p w:rsidR="004D0DE2" w:rsidRPr="004D0DE2" w:rsidRDefault="004D0DE2" w:rsidP="004D0DE2">
      <w:pPr>
        <w:spacing w:after="160"/>
        <w:ind w:firstLine="720"/>
      </w:pPr>
      <w:r w:rsidRPr="004D0DE2">
        <w:t xml:space="preserve">Secondly, objects might be included (or not) in graves as an expression of social status, either in life or at the time of death.  </w:t>
      </w:r>
      <w:r w:rsidRPr="004D0DE2">
        <w:rPr>
          <w:noProof/>
        </w:rPr>
        <w:t>Whereas wealthy graves might be a reflection of wealth in life, high social rank, or honors for an age grade (i.e. an elder); conversely, graves with little-to- no grave goods could be a reflection of poverty, low social standing or a less than honorable manner of death (i.e. suicide, executed captive, etc.)</w:t>
      </w:r>
      <w:r w:rsidRPr="004D0DE2">
        <w:rPr>
          <w:vertAlign w:val="superscript"/>
        </w:rPr>
        <w:footnoteReference w:id="127"/>
      </w:r>
      <w:r w:rsidRPr="004D0DE2">
        <w:t xml:space="preserve">  Included objects could be those </w:t>
      </w:r>
      <w:r w:rsidRPr="004D0DE2">
        <w:rPr>
          <w:noProof/>
        </w:rPr>
        <w:t>which</w:t>
      </w:r>
      <w:r w:rsidRPr="004D0DE2">
        <w:t xml:space="preserve"> would pose useful to the deceased in the afterlife: foodstuffs, concubines, musicians for entertainment, and the like. </w:t>
      </w:r>
      <w:r w:rsidRPr="004D0DE2">
        <w:rPr>
          <w:noProof/>
        </w:rPr>
        <w:t>And lastly, an object might accompany the deceased but be intended to serve some other supernatural purpose: to serve a deity, offerings of respect to garner favor in the afterlife, or as in the case of later Greek mythology, a coin for Charon, the ferryman who escorts souls across the Styx river into Hades.</w:t>
      </w:r>
      <w:r w:rsidRPr="004D0DE2">
        <w:rPr>
          <w:vertAlign w:val="superscript"/>
        </w:rPr>
        <w:footnoteReference w:id="128"/>
      </w:r>
    </w:p>
    <w:p w:rsidR="004D0DE2" w:rsidRPr="004D0DE2" w:rsidRDefault="004D0DE2" w:rsidP="004D0DE2">
      <w:pPr>
        <w:spacing w:after="160"/>
        <w:ind w:firstLine="720"/>
      </w:pPr>
      <w:r w:rsidRPr="004D0DE2">
        <w:t xml:space="preserve">Some grave goods also occur in settlements, which suggests their use in life.  Renfrew points out that settlement finds at both Phylakopi and Ayia Irini, mainly figurines which also occur in graves, are sufficiently numerous to suggest that these are not stray pieces leftover from workshops. Rather, they must have had a purpose within the settlement. The suggestion that these objects were toys can </w:t>
      </w:r>
      <w:r w:rsidRPr="004D0DE2">
        <w:rPr>
          <w:noProof/>
        </w:rPr>
        <w:t>be rejected</w:t>
      </w:r>
      <w:r w:rsidRPr="004D0DE2">
        <w:t xml:space="preserve"> on two </w:t>
      </w:r>
      <w:r w:rsidRPr="004D0DE2">
        <w:lastRenderedPageBreak/>
        <w:t xml:space="preserve">points.  First, children were predominantly buried in pithoi with no grave goods, and second, that while age and gender information of cist grave interments may be insufficiently studied, it </w:t>
      </w:r>
      <w:r w:rsidRPr="004D0DE2">
        <w:rPr>
          <w:noProof/>
        </w:rPr>
        <w:t>is accepted</w:t>
      </w:r>
      <w:r w:rsidRPr="004D0DE2">
        <w:t xml:space="preserve"> that these represent adult burials.  Additionally, the intrinsic value of the objects, particularly in labor to create them, and the varying scale of some of the objects makes the </w:t>
      </w:r>
      <w:r w:rsidRPr="004D0DE2">
        <w:rPr>
          <w:noProof/>
        </w:rPr>
        <w:t>toy-use</w:t>
      </w:r>
      <w:r w:rsidRPr="004D0DE2">
        <w:t xml:space="preserve"> theory unlikely.</w:t>
      </w:r>
      <w:r w:rsidRPr="004D0DE2">
        <w:rPr>
          <w:vertAlign w:val="superscript"/>
        </w:rPr>
        <w:footnoteReference w:id="129"/>
      </w:r>
      <w:r w:rsidRPr="004D0DE2">
        <w:t xml:space="preserve">  </w:t>
      </w:r>
    </w:p>
    <w:p w:rsidR="004D0DE2" w:rsidRPr="004D0DE2" w:rsidRDefault="004D0DE2" w:rsidP="004D0DE2">
      <w:pPr>
        <w:spacing w:after="160"/>
        <w:ind w:firstLine="720"/>
      </w:pPr>
      <w:r w:rsidRPr="004D0DE2">
        <w:t xml:space="preserve">There is sufficient evidence to show that not all damages of the objects can </w:t>
      </w:r>
      <w:r w:rsidRPr="004D0DE2">
        <w:rPr>
          <w:noProof/>
        </w:rPr>
        <w:t>be ascribed</w:t>
      </w:r>
      <w:r w:rsidRPr="004D0DE2">
        <w:t xml:space="preserve"> to burial (whether ritualistic or otherwise).  Pat Getz-Preziosi discussed this point extensively, specifically the folded-arm figurines showing evidence of repair </w:t>
      </w:r>
      <w:r w:rsidRPr="004D0DE2">
        <w:rPr>
          <w:noProof/>
        </w:rPr>
        <w:t>prior to</w:t>
      </w:r>
      <w:r w:rsidRPr="004D0DE2">
        <w:t xml:space="preserve"> burial.</w:t>
      </w:r>
      <w:r w:rsidRPr="004D0DE2">
        <w:rPr>
          <w:vertAlign w:val="superscript"/>
        </w:rPr>
        <w:footnoteReference w:id="130"/>
      </w:r>
      <w:r w:rsidRPr="004D0DE2">
        <w:t xml:space="preserve"> In fact, the only figurine thought for sure to be broken deliberately at burial is the life-sized folded-arm figurine from the National Archaeological Museum </w:t>
      </w:r>
      <w:r w:rsidRPr="004D0DE2">
        <w:rPr>
          <w:noProof/>
        </w:rPr>
        <w:t>in</w:t>
      </w:r>
      <w:r w:rsidRPr="004D0DE2">
        <w:t xml:space="preserve"> Athens (#3978)</w:t>
      </w:r>
      <w:r w:rsidRPr="004D0DE2">
        <w:rPr>
          <w:vertAlign w:val="superscript"/>
        </w:rPr>
        <w:footnoteReference w:id="131"/>
      </w:r>
      <w:r w:rsidRPr="004D0DE2">
        <w:t xml:space="preserve">, which had to </w:t>
      </w:r>
      <w:r w:rsidRPr="004D0DE2">
        <w:rPr>
          <w:noProof/>
        </w:rPr>
        <w:t>be broken</w:t>
      </w:r>
      <w:r w:rsidRPr="004D0DE2">
        <w:t xml:space="preserve"> </w:t>
      </w:r>
      <w:r w:rsidRPr="004D0DE2">
        <w:rPr>
          <w:noProof/>
        </w:rPr>
        <w:t>to</w:t>
      </w:r>
      <w:r w:rsidRPr="004D0DE2">
        <w:t xml:space="preserve"> fit the grave.  The evidence concerning whether or not a practice of deliberate ritualistic breakage of objects occurred at burial is uncertain.  While some figurines show evidence of repair, many are broken and exhibit no repair.  Conversely, others have </w:t>
      </w:r>
      <w:r w:rsidRPr="004D0DE2">
        <w:rPr>
          <w:noProof/>
        </w:rPr>
        <w:t>been found</w:t>
      </w:r>
      <w:r w:rsidRPr="004D0DE2">
        <w:t xml:space="preserve"> in their entirety in graves.  One theory is that while some effort was made to repair broken objects while being used in the settlement, some were broken while being used in the settlement but not repaired before being deposited in the grave (and therefore, not ritually broken).</w:t>
      </w:r>
      <w:r w:rsidRPr="004D0DE2">
        <w:rPr>
          <w:vertAlign w:val="superscript"/>
        </w:rPr>
        <w:footnoteReference w:id="132"/>
      </w:r>
      <w:r w:rsidRPr="004D0DE2">
        <w:t xml:space="preserve">  </w:t>
      </w:r>
    </w:p>
    <w:p w:rsidR="004D0DE2" w:rsidRPr="004D0DE2" w:rsidRDefault="004D0DE2" w:rsidP="004D0DE2">
      <w:pPr>
        <w:spacing w:after="160"/>
        <w:ind w:firstLine="720"/>
      </w:pPr>
      <w:r w:rsidRPr="004D0DE2">
        <w:lastRenderedPageBreak/>
        <w:t xml:space="preserve">Associations of grave goods with the gender of the interred is a difficult issue.  There is a lack of data concerning skeletal remains and accompanying objects.  While </w:t>
      </w:r>
      <w:r w:rsidRPr="004D0DE2">
        <w:rPr>
          <w:noProof/>
        </w:rPr>
        <w:t>on the one hand</w:t>
      </w:r>
      <w:r w:rsidRPr="004D0DE2">
        <w:t xml:space="preserve">, it might be considered ‘safe’ to conclude </w:t>
      </w:r>
      <w:r w:rsidRPr="004D0DE2">
        <w:rPr>
          <w:i/>
        </w:rPr>
        <w:t>a priori</w:t>
      </w:r>
      <w:r w:rsidRPr="004D0DE2">
        <w:t xml:space="preserve"> that tools and weaponry would accompany a male burial, it is difficult to assume what objects would be considered typical to accompany a female burial.  Therefore, one cannot conclude that figurines belong either to a male or female grave.</w:t>
      </w:r>
      <w:r w:rsidRPr="004D0DE2">
        <w:rPr>
          <w:vertAlign w:val="superscript"/>
        </w:rPr>
        <w:footnoteReference w:id="133"/>
      </w:r>
      <w:r w:rsidRPr="004D0DE2">
        <w:t xml:space="preserve">  </w:t>
      </w:r>
      <w:r w:rsidRPr="004D0DE2">
        <w:rPr>
          <w:noProof/>
        </w:rPr>
        <w:t>Also</w:t>
      </w:r>
      <w:r w:rsidRPr="004D0DE2">
        <w:t xml:space="preserve">, there are problems with the </w:t>
      </w:r>
      <w:r w:rsidRPr="004D0DE2">
        <w:rPr>
          <w:noProof/>
        </w:rPr>
        <w:t>provenance</w:t>
      </w:r>
      <w:r w:rsidRPr="004D0DE2">
        <w:t xml:space="preserve"> of found objects (not knowing if they originated from either </w:t>
      </w:r>
      <w:r w:rsidRPr="004D0DE2">
        <w:rPr>
          <w:noProof/>
        </w:rPr>
        <w:t>graves</w:t>
      </w:r>
      <w:r w:rsidRPr="004D0DE2">
        <w:t xml:space="preserve"> or settlements through systematic excavations).  Unfortunately, a large portion of all Cycladic art (the </w:t>
      </w:r>
      <w:r w:rsidRPr="004D0DE2">
        <w:rPr>
          <w:i/>
        </w:rPr>
        <w:t>majority</w:t>
      </w:r>
      <w:r w:rsidRPr="004D0DE2">
        <w:t xml:space="preserve"> of all Early Cycladic art) has no certain provenance—either originating from illicit excavations or early legitimate excavations which did not document context to the extent that </w:t>
      </w:r>
      <w:r w:rsidRPr="004D0DE2">
        <w:rPr>
          <w:noProof/>
        </w:rPr>
        <w:t>is expected</w:t>
      </w:r>
      <w:r w:rsidRPr="004D0DE2">
        <w:t xml:space="preserve"> today.  Crucial information </w:t>
      </w:r>
      <w:r w:rsidRPr="004D0DE2">
        <w:rPr>
          <w:noProof/>
        </w:rPr>
        <w:t>is lost</w:t>
      </w:r>
      <w:r w:rsidRPr="004D0DE2">
        <w:t xml:space="preserve"> when objects </w:t>
      </w:r>
      <w:r w:rsidRPr="004D0DE2">
        <w:rPr>
          <w:noProof/>
        </w:rPr>
        <w:t>are removed</w:t>
      </w:r>
      <w:r w:rsidRPr="004D0DE2">
        <w:t xml:space="preserve"> without documentation: location of objects within the grave, </w:t>
      </w:r>
      <w:r w:rsidRPr="004D0DE2">
        <w:rPr>
          <w:noProof/>
        </w:rPr>
        <w:t>relation</w:t>
      </w:r>
      <w:r w:rsidRPr="004D0DE2">
        <w:t xml:space="preserve"> of objects to each other </w:t>
      </w:r>
      <w:r w:rsidRPr="004D0DE2">
        <w:rPr>
          <w:noProof/>
        </w:rPr>
        <w:t>and</w:t>
      </w:r>
      <w:r w:rsidRPr="004D0DE2">
        <w:t xml:space="preserve"> the body, location of the grave </w:t>
      </w:r>
      <w:r w:rsidRPr="004D0DE2">
        <w:rPr>
          <w:noProof/>
        </w:rPr>
        <w:t>in relation to</w:t>
      </w:r>
      <w:r w:rsidRPr="004D0DE2">
        <w:t xml:space="preserve"> other graves and the knowledge of their objects, and much more. Without this information, which can never </w:t>
      </w:r>
      <w:r w:rsidRPr="004D0DE2">
        <w:rPr>
          <w:noProof/>
        </w:rPr>
        <w:t>be recovered</w:t>
      </w:r>
      <w:r w:rsidRPr="004D0DE2">
        <w:t xml:space="preserve">, nothing can ever </w:t>
      </w:r>
      <w:r w:rsidRPr="004D0DE2">
        <w:rPr>
          <w:noProof/>
        </w:rPr>
        <w:t>be certainly determined</w:t>
      </w:r>
      <w:r w:rsidRPr="004D0DE2">
        <w:t xml:space="preserve"> about use or meaning.  It should </w:t>
      </w:r>
      <w:r w:rsidRPr="004D0DE2">
        <w:rPr>
          <w:noProof/>
        </w:rPr>
        <w:t>be noted</w:t>
      </w:r>
      <w:r w:rsidRPr="004D0DE2">
        <w:t xml:space="preserve"> however that most graves from the Early Cycladic period of the Bronze Age contain nothing at all in the way of grave goods.  Therefore, it cannot </w:t>
      </w:r>
      <w:r w:rsidRPr="004D0DE2">
        <w:rPr>
          <w:noProof/>
        </w:rPr>
        <w:t>be assumed</w:t>
      </w:r>
      <w:r w:rsidRPr="004D0DE2">
        <w:t xml:space="preserve"> that finding grave goods relates to the wealth of the </w:t>
      </w:r>
      <w:r w:rsidRPr="004D0DE2">
        <w:rPr>
          <w:noProof/>
        </w:rPr>
        <w:t>deceased</w:t>
      </w:r>
      <w:r w:rsidRPr="004D0DE2">
        <w:t xml:space="preserve"> but must have some other relevance which is not yet discernable.</w:t>
      </w:r>
      <w:r w:rsidRPr="004D0DE2">
        <w:rPr>
          <w:vertAlign w:val="superscript"/>
        </w:rPr>
        <w:footnoteReference w:id="134"/>
      </w:r>
    </w:p>
    <w:p w:rsidR="004D0DE2" w:rsidRPr="004D0DE2" w:rsidRDefault="004D0DE2" w:rsidP="004D0DE2">
      <w:pPr>
        <w:spacing w:after="160"/>
        <w:ind w:firstLine="720"/>
      </w:pPr>
      <w:r w:rsidRPr="004D0DE2">
        <w:lastRenderedPageBreak/>
        <w:t xml:space="preserve">Renfrew points out that regarding quantities of figurines found in graves, there does appear to be some conventions, but defining the conventions proves problematic.  As he discusses, excavations have shown that the upper limit of </w:t>
      </w:r>
      <w:r w:rsidRPr="004D0DE2">
        <w:rPr>
          <w:noProof/>
        </w:rPr>
        <w:t>the number</w:t>
      </w:r>
      <w:r w:rsidRPr="004D0DE2">
        <w:t xml:space="preserve"> of canonical folded-arm figurines seems to be two in a single grave.  However, stylized figurines are known to occur in larger numbers.  The supposed conventions, which may perhaps reflect an aspect of a belief system, are difficult to define.  There is no evidence that even a single figurine was a requirement, and in </w:t>
      </w:r>
      <w:r w:rsidRPr="004D0DE2">
        <w:rPr>
          <w:noProof/>
        </w:rPr>
        <w:t>fact,</w:t>
      </w:r>
      <w:r w:rsidRPr="004D0DE2">
        <w:t xml:space="preserve"> they occur in only a small percentage of graves overall.</w:t>
      </w:r>
      <w:r w:rsidRPr="004D0DE2">
        <w:rPr>
          <w:vertAlign w:val="superscript"/>
        </w:rPr>
        <w:footnoteReference w:id="135"/>
      </w:r>
    </w:p>
    <w:p w:rsidR="004D0DE2" w:rsidRPr="004D0DE2" w:rsidRDefault="004D0DE2" w:rsidP="004D0DE2">
      <w:pPr>
        <w:spacing w:after="160"/>
        <w:ind w:firstLine="720"/>
      </w:pPr>
      <w:r w:rsidRPr="004D0DE2">
        <w:t xml:space="preserve">The </w:t>
      </w:r>
      <w:r w:rsidRPr="004D0DE2">
        <w:rPr>
          <w:noProof/>
        </w:rPr>
        <w:t>preceding</w:t>
      </w:r>
      <w:r w:rsidRPr="004D0DE2">
        <w:t xml:space="preserve"> discussion leads Renfrew to the following conclusions.  Figurines were probably not an indication of status, and certainly not made especially for the purpose of burial.  Any function they might have provided in an afterlife must be a reflection of use in life too, especially relating to a religious or ritual role. Renfrew suggests the figurines had a place in cult practices, possibly a signification of sodality, and their presence in graves most likely relates to personal possession by the deceased </w:t>
      </w:r>
      <w:r w:rsidRPr="004D0DE2">
        <w:rPr>
          <w:noProof/>
        </w:rPr>
        <w:t>and/or</w:t>
      </w:r>
      <w:r w:rsidRPr="004D0DE2">
        <w:t xml:space="preserve"> accompaniment for supernatural agency.  The author points out that the burial of cult figures in graves was not necessarily a common practice in prehistoric communities, although there is some evidence to suggest this is the case at the Chalcolithic cemetery in Varna, and later in Mycenaean chamber tombs with Phi and Psi forms.</w:t>
      </w:r>
      <w:r w:rsidRPr="004D0DE2">
        <w:rPr>
          <w:vertAlign w:val="superscript"/>
        </w:rPr>
        <w:footnoteReference w:id="136"/>
      </w:r>
      <w:r w:rsidRPr="004D0DE2">
        <w:t xml:space="preserve"> Once establishing the theory of cult practice, the author further </w:t>
      </w:r>
      <w:r w:rsidRPr="004D0DE2">
        <w:lastRenderedPageBreak/>
        <w:t xml:space="preserve">hypothesizes that the association with the deceased and cult practice was on a personal level related to a domestic or household cult.  </w:t>
      </w:r>
    </w:p>
    <w:p w:rsidR="004D0DE2" w:rsidRPr="004D0DE2" w:rsidRDefault="004D0DE2" w:rsidP="004D0DE2">
      <w:pPr>
        <w:spacing w:after="160"/>
        <w:ind w:firstLine="720"/>
      </w:pPr>
      <w:r w:rsidRPr="004D0DE2">
        <w:t xml:space="preserve">It is important to note, as Renfrew does, that there is no evidence of shrines at this time.  Given the small size of settlements, it is not likely that any will </w:t>
      </w:r>
      <w:r w:rsidRPr="004D0DE2">
        <w:rPr>
          <w:noProof/>
        </w:rPr>
        <w:t>be found</w:t>
      </w:r>
      <w:r w:rsidRPr="004D0DE2">
        <w:t xml:space="preserve">.  While some researchers point to the so-called </w:t>
      </w:r>
      <w:r w:rsidRPr="004D0DE2">
        <w:rPr>
          <w:noProof/>
        </w:rPr>
        <w:t>hut</w:t>
      </w:r>
      <w:r w:rsidRPr="004D0DE2">
        <w:t xml:space="preserve"> pyxis found at Melos to suggest the presence of sanctuaries, as well as the research of Christos Tsountas at Kato Akrotiri on Amorgos, and the rock art at Korphi t’Aroniou, there were no other findings of objects to support the theory of ritual association at these sites.</w:t>
      </w:r>
      <w:r w:rsidRPr="004D0DE2">
        <w:rPr>
          <w:vertAlign w:val="superscript"/>
        </w:rPr>
        <w:footnoteReference w:id="137"/>
      </w:r>
      <w:r w:rsidRPr="004D0DE2">
        <w:t xml:space="preserve">  </w:t>
      </w:r>
    </w:p>
    <w:p w:rsidR="004D0DE2" w:rsidRPr="004D0DE2" w:rsidRDefault="004D0DE2" w:rsidP="004D0DE2">
      <w:pPr>
        <w:spacing w:after="160"/>
        <w:ind w:firstLine="720"/>
      </w:pPr>
      <w:r w:rsidRPr="004D0DE2">
        <w:rPr>
          <w:noProof/>
        </w:rPr>
        <w:t>To</w:t>
      </w:r>
      <w:r w:rsidRPr="004D0DE2">
        <w:t xml:space="preserve"> consider the hypothesis of domestic or household cults, one must consider other finds and grave goods which might have ritual significance such </w:t>
      </w:r>
      <w:r w:rsidRPr="004D0DE2">
        <w:rPr>
          <w:noProof/>
        </w:rPr>
        <w:t>as marble</w:t>
      </w:r>
      <w:r w:rsidRPr="004D0DE2">
        <w:t xml:space="preserve"> vessels, residues of pigments, amulets, and pottery, the so-called “frying pans</w:t>
      </w:r>
      <w:r w:rsidRPr="004D0DE2">
        <w:rPr>
          <w:noProof/>
        </w:rPr>
        <w:t>,”</w:t>
      </w:r>
      <w:r w:rsidRPr="004D0DE2">
        <w:t xml:space="preserve"> in addition to the zoomorphic forms of these objects.  Renfrew proposes that evidence for domestic </w:t>
      </w:r>
      <w:r w:rsidRPr="004D0DE2">
        <w:rPr>
          <w:noProof/>
        </w:rPr>
        <w:t>cults</w:t>
      </w:r>
      <w:r w:rsidRPr="004D0DE2">
        <w:t xml:space="preserve"> will be widespread throughout a settlement given that households would have had their </w:t>
      </w:r>
      <w:r w:rsidRPr="004D0DE2">
        <w:rPr>
          <w:noProof/>
        </w:rPr>
        <w:t>own</w:t>
      </w:r>
      <w:r w:rsidRPr="004D0DE2">
        <w:t xml:space="preserve"> rituals, using objects specific to those rituals.  Furthermore, he suggests that Ayia Irini and Phylakopi might be prime areas to support this given the distribution of figurine fragments; however, at the time of publishing more study was still needed </w:t>
      </w:r>
      <w:r w:rsidRPr="004D0DE2">
        <w:rPr>
          <w:noProof/>
        </w:rPr>
        <w:t>to</w:t>
      </w:r>
      <w:r w:rsidRPr="004D0DE2">
        <w:t xml:space="preserve"> support the hypothesis.</w:t>
      </w:r>
      <w:r w:rsidRPr="004D0DE2">
        <w:rPr>
          <w:vertAlign w:val="superscript"/>
        </w:rPr>
        <w:footnoteReference w:id="138"/>
      </w:r>
      <w:r w:rsidRPr="004D0DE2">
        <w:t xml:space="preserve">  It is not clear if those studies were ever carried out. I believe Renfrew’s theory of domestic cults is convincing, especially when one considers that the islands were not as homogenous and cohesive as is </w:t>
      </w:r>
      <w:r w:rsidRPr="004D0DE2">
        <w:rPr>
          <w:noProof/>
        </w:rPr>
        <w:t>generally</w:t>
      </w:r>
      <w:r w:rsidRPr="004D0DE2">
        <w:t xml:space="preserve"> thought.  As discussed in the “Chronology” portion of this thesis, there were many local cultures </w:t>
      </w:r>
      <w:r w:rsidRPr="004D0DE2">
        <w:lastRenderedPageBreak/>
        <w:t xml:space="preserve">within the wider classifications.  Additionally, there is no evidence for central administration, as with the succeeding Minoan and Mycenaean civilizations.  In fact, it could </w:t>
      </w:r>
      <w:r w:rsidRPr="004D0DE2">
        <w:rPr>
          <w:noProof/>
        </w:rPr>
        <w:t>be argued</w:t>
      </w:r>
      <w:r w:rsidRPr="004D0DE2">
        <w:t xml:space="preserve"> that daily life among the Cycladic islanders more closely resembles that of Çatalhöyük three millennia earlier than of the succeeding cultures.    </w:t>
      </w:r>
    </w:p>
    <w:p w:rsidR="004D0DE2" w:rsidRPr="004D0DE2" w:rsidRDefault="004D0DE2" w:rsidP="004D0DE2">
      <w:pPr>
        <w:spacing w:after="160"/>
        <w:ind w:firstLine="720"/>
      </w:pPr>
      <w:r w:rsidRPr="004D0DE2">
        <w:t xml:space="preserve">When considering the theory of domestic cults, it must </w:t>
      </w:r>
      <w:r w:rsidRPr="004D0DE2">
        <w:rPr>
          <w:noProof/>
        </w:rPr>
        <w:t>be asked</w:t>
      </w:r>
      <w:r w:rsidRPr="004D0DE2">
        <w:t xml:space="preserve"> what features one would expect to find in a shrine or sanctuary.  Renfrew does lay o</w:t>
      </w:r>
      <w:r w:rsidR="00DD71BF">
        <w:t>ut criteria for a ritual center</w:t>
      </w:r>
      <w:r w:rsidRPr="004D0DE2">
        <w:t xml:space="preserve"> to </w:t>
      </w:r>
      <w:r w:rsidRPr="004D0DE2">
        <w:rPr>
          <w:noProof/>
        </w:rPr>
        <w:t>be used</w:t>
      </w:r>
      <w:r w:rsidRPr="004D0DE2">
        <w:t xml:space="preserve"> by a portion of the population, such as a building set aside for cult purposes.  </w:t>
      </w:r>
      <w:r w:rsidRPr="004D0DE2">
        <w:rPr>
          <w:noProof/>
        </w:rPr>
        <w:t>Also</w:t>
      </w:r>
      <w:r w:rsidRPr="004D0DE2">
        <w:t>, one might expect to find a concentration of art</w:t>
      </w:r>
      <w:r w:rsidR="00DD71BF">
        <w:t>ifacts in a variety of contexts, such as</w:t>
      </w:r>
      <w:r w:rsidRPr="004D0DE2">
        <w:t xml:space="preserve"> funerary, a workshop, a distribution point, ritual discard as an offering, ritual middens in the processes of cleaning a sanctuary area.</w:t>
      </w:r>
      <w:r w:rsidRPr="004D0DE2">
        <w:rPr>
          <w:vertAlign w:val="superscript"/>
        </w:rPr>
        <w:footnoteReference w:id="139"/>
      </w:r>
      <w:r w:rsidRPr="004D0DE2">
        <w:t xml:space="preserve">  However, it seems that this point in his hypothesis is more applicable to a central ritual cult and not the domestic household cults for which he argues.  Would one expect to find this for individual household shrines?  It may be that shrines and sanctuary areas were not inside the settlements, but set apart deliberately.  It has </w:t>
      </w:r>
      <w:r w:rsidRPr="004D0DE2">
        <w:rPr>
          <w:noProof/>
        </w:rPr>
        <w:t>been suggested</w:t>
      </w:r>
      <w:r w:rsidRPr="004D0DE2">
        <w:t xml:space="preserve"> that Keros and Amorgos were two such ritual centers. </w:t>
      </w:r>
    </w:p>
    <w:p w:rsidR="004D0DE2" w:rsidRPr="004D0DE2" w:rsidRDefault="004D0DE2" w:rsidP="004D0DE2">
      <w:pPr>
        <w:spacing w:after="160"/>
        <w:ind w:firstLine="720"/>
      </w:pPr>
      <w:r w:rsidRPr="004D0DE2">
        <w:t>With his hypothesis, which is limited to the anthropomorphic figures, Renfrew defines three distinct categories for these objects: votaries, votives, and cult images.</w:t>
      </w:r>
      <w:r w:rsidRPr="004D0DE2">
        <w:rPr>
          <w:vertAlign w:val="superscript"/>
        </w:rPr>
        <w:footnoteReference w:id="140"/>
      </w:r>
      <w:r w:rsidRPr="004D0DE2">
        <w:t xml:space="preserve">  Votaries are representative of those bound to a religious life, or some form of worship and rituals.  As in the case of the musician figurines, for instance, he proposes that they </w:t>
      </w:r>
      <w:r w:rsidRPr="004D0DE2">
        <w:rPr>
          <w:noProof/>
        </w:rPr>
        <w:t>are dedicated</w:t>
      </w:r>
      <w:r w:rsidRPr="004D0DE2">
        <w:t xml:space="preserve"> to the service of a deity.  Votives are a gift or offering in themselves to a </w:t>
      </w:r>
      <w:r w:rsidRPr="004D0DE2">
        <w:lastRenderedPageBreak/>
        <w:t xml:space="preserve">deity, in the form of </w:t>
      </w:r>
      <w:r w:rsidRPr="004D0DE2">
        <w:rPr>
          <w:noProof/>
        </w:rPr>
        <w:t>effigy</w:t>
      </w:r>
      <w:r w:rsidRPr="004D0DE2">
        <w:t xml:space="preserve">.  An example would be the contemporary </w:t>
      </w:r>
      <w:r w:rsidRPr="004D0DE2">
        <w:rPr>
          <w:noProof/>
        </w:rPr>
        <w:t>Sumerian</w:t>
      </w:r>
      <w:r w:rsidRPr="004D0DE2">
        <w:t xml:space="preserve"> votive figures, from the Early Dynastic I-II period (ca. 2900–2350 BCE), from the Square Temple in Eshnunna, Mesopotamia (which is present day Tell Asmar, Iraq).</w:t>
      </w:r>
      <w:r w:rsidRPr="004D0DE2">
        <w:rPr>
          <w:vertAlign w:val="superscript"/>
        </w:rPr>
        <w:footnoteReference w:id="141"/>
      </w:r>
      <w:r w:rsidRPr="004D0DE2">
        <w:t xml:space="preserve"> Cult images are objects of worship, representing a deity or the symbolic representation of the divine nature/character.</w:t>
      </w:r>
      <w:r w:rsidRPr="004D0DE2">
        <w:rPr>
          <w:vertAlign w:val="superscript"/>
        </w:rPr>
        <w:footnoteReference w:id="142"/>
      </w:r>
      <w:r w:rsidRPr="004D0DE2">
        <w:t xml:space="preserve">  I </w:t>
      </w:r>
      <w:r w:rsidR="00DD71BF">
        <w:t>argue that</w:t>
      </w:r>
      <w:r w:rsidRPr="004D0DE2">
        <w:t xml:space="preserve"> by applying Renfrew’s terminology the zoomorphic figures represented </w:t>
      </w:r>
      <w:r w:rsidR="00DD71BF">
        <w:t>here</w:t>
      </w:r>
      <w:r w:rsidRPr="004D0DE2">
        <w:t xml:space="preserve"> are in the categories of votives and cult images used in </w:t>
      </w:r>
      <w:r w:rsidRPr="004D0DE2">
        <w:rPr>
          <w:noProof/>
        </w:rPr>
        <w:t>domestic</w:t>
      </w:r>
      <w:r w:rsidRPr="004D0DE2">
        <w:t xml:space="preserve"> cult activity.</w:t>
      </w:r>
      <w:r w:rsidRPr="004D0DE2">
        <w:rPr>
          <w:vertAlign w:val="superscript"/>
        </w:rPr>
        <w:footnoteReference w:id="143"/>
      </w:r>
    </w:p>
    <w:p w:rsidR="00643E1B" w:rsidRDefault="00643E1B" w:rsidP="004D0DE2">
      <w:pPr>
        <w:jc w:val="center"/>
        <w:outlineLvl w:val="0"/>
        <w:rPr>
          <w:rFonts w:asciiTheme="majorHAnsi" w:hAnsiTheme="majorHAnsi"/>
          <w:b/>
          <w:bCs/>
          <w:sz w:val="28"/>
          <w:szCs w:val="32"/>
        </w:rPr>
      </w:pPr>
      <w:bookmarkStart w:id="46" w:name="_Toc481343489"/>
    </w:p>
    <w:p w:rsidR="00643E1B" w:rsidRDefault="00643E1B" w:rsidP="004D0DE2">
      <w:pPr>
        <w:jc w:val="center"/>
        <w:outlineLvl w:val="0"/>
        <w:rPr>
          <w:rFonts w:asciiTheme="majorHAnsi" w:hAnsiTheme="majorHAnsi"/>
          <w:b/>
          <w:bCs/>
          <w:sz w:val="28"/>
          <w:szCs w:val="32"/>
        </w:rPr>
      </w:pPr>
    </w:p>
    <w:p w:rsidR="00643E1B" w:rsidRDefault="00643E1B"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bookmarkStart w:id="47" w:name="_Toc482206678"/>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r w:rsidRPr="004D0DE2">
        <w:rPr>
          <w:rFonts w:asciiTheme="majorHAnsi" w:hAnsiTheme="majorHAnsi"/>
          <w:b/>
          <w:bCs/>
          <w:sz w:val="28"/>
          <w:szCs w:val="32"/>
        </w:rPr>
        <w:lastRenderedPageBreak/>
        <w:t>Chapter 3: Animal Presentations in Cycladic Art</w:t>
      </w:r>
      <w:bookmarkEnd w:id="46"/>
      <w:bookmarkEnd w:id="47"/>
    </w:p>
    <w:p w:rsidR="000921DE" w:rsidRPr="004D0DE2" w:rsidRDefault="000921DE" w:rsidP="000921DE">
      <w:pPr>
        <w:spacing w:after="160"/>
        <w:ind w:firstLine="720"/>
      </w:pPr>
      <w:r w:rsidRPr="004D0DE2">
        <w:t xml:space="preserve">In </w:t>
      </w:r>
      <w:r>
        <w:t>this</w:t>
      </w:r>
      <w:r w:rsidRPr="004D0DE2">
        <w:t xml:space="preserve"> chapter, I will discuss the representations of the animals, which have </w:t>
      </w:r>
      <w:r w:rsidRPr="004D0DE2">
        <w:rPr>
          <w:noProof/>
        </w:rPr>
        <w:t>been included</w:t>
      </w:r>
      <w:r w:rsidRPr="004D0DE2">
        <w:t xml:space="preserve"> in the appendix. References to the objects in the catalog will be made by the numbers I have assigned them.  In the catalog, objects have </w:t>
      </w:r>
      <w:r w:rsidRPr="004D0DE2">
        <w:rPr>
          <w:noProof/>
        </w:rPr>
        <w:t>been labeled</w:t>
      </w:r>
      <w:r w:rsidRPr="004D0DE2">
        <w:t xml:space="preserve"> with the common animal species name except in cases where the identification is uncertain, or there is not enough supporting scholarly theories to make a hypothesis.  In such cases, the objects have simply been labeled “zoomorphic.”   </w:t>
      </w:r>
    </w:p>
    <w:p w:rsidR="004D0DE2" w:rsidRPr="004D0DE2" w:rsidRDefault="004D0DE2" w:rsidP="004D0DE2">
      <w:pPr>
        <w:spacing w:after="160"/>
        <w:ind w:firstLine="720"/>
      </w:pPr>
      <w:r w:rsidRPr="004D0DE2">
        <w:t xml:space="preserve">The oldest known art in the Cyclades is the rock art represented at the Final Neolithic stage at Strofilas on </w:t>
      </w:r>
      <w:r w:rsidRPr="004D0DE2">
        <w:rPr>
          <w:noProof/>
        </w:rPr>
        <w:t xml:space="preserve">Andros, </w:t>
      </w:r>
      <w:r w:rsidRPr="004D0DE2">
        <w:t>and the Cycladic rock art is also the earliest examples of monumental rock art in the Aegean. Andros is the second largest island in the Cyclades (an area of about 380 km</w:t>
      </w:r>
      <w:r w:rsidRPr="004D0DE2">
        <w:rPr>
          <w:vertAlign w:val="superscript"/>
        </w:rPr>
        <w:t>2)</w:t>
      </w:r>
      <w:r w:rsidRPr="004D0DE2">
        <w:t>, Naxos being the largest (an area of about 429 km</w:t>
      </w:r>
      <w:r w:rsidRPr="004D0DE2">
        <w:rPr>
          <w:vertAlign w:val="superscript"/>
        </w:rPr>
        <w:t>2</w:t>
      </w:r>
      <w:r w:rsidRPr="004D0DE2">
        <w:t xml:space="preserve">).  Archaeologists excavated the remains of an impressive wall, which is the earliest example in the entire Aegean of an indisputable fortification. The rock art, covering an area of approximately 200 m², represents stone-pecked or engraved pictorials with both a narrative, naturalistic character and schematic, symbolic nature. In a very large composition, depictions of animals, animal husbandry, hunting (deer, wolves, jackals), and maritime activity with one ship depicting animal </w:t>
      </w:r>
      <w:r w:rsidRPr="004D0DE2">
        <w:rPr>
          <w:noProof/>
        </w:rPr>
        <w:t>cargo are</w:t>
      </w:r>
      <w:r w:rsidRPr="004D0DE2">
        <w:t xml:space="preserve"> the first known zoomorphic </w:t>
      </w:r>
      <w:r w:rsidR="00BD614F">
        <w:t>representations in the Cyclades,</w:t>
      </w:r>
      <w:r w:rsidRPr="004D0DE2">
        <w:rPr>
          <w:vertAlign w:val="superscript"/>
        </w:rPr>
        <w:t xml:space="preserve"> </w:t>
      </w:r>
      <w:r w:rsidRPr="004D0DE2">
        <w:t>(Figs. 7, 8)</w:t>
      </w:r>
      <w:r w:rsidR="00BD614F">
        <w:t>.</w:t>
      </w:r>
      <w:r w:rsidR="00BD614F" w:rsidRPr="00BD614F">
        <w:rPr>
          <w:vertAlign w:val="superscript"/>
        </w:rPr>
        <w:t xml:space="preserve"> </w:t>
      </w:r>
      <w:r w:rsidR="00BD614F" w:rsidRPr="004D0DE2">
        <w:rPr>
          <w:vertAlign w:val="superscript"/>
        </w:rPr>
        <w:footnoteReference w:id="144"/>
      </w:r>
    </w:p>
    <w:p w:rsidR="004D0DE2" w:rsidRPr="004D0DE2" w:rsidRDefault="004D0DE2" w:rsidP="004D0DE2">
      <w:pPr>
        <w:spacing w:after="160"/>
        <w:ind w:firstLine="720"/>
      </w:pPr>
      <w:r w:rsidRPr="004D0DE2">
        <w:t xml:space="preserve">In addition to the zoomorphic </w:t>
      </w:r>
      <w:r w:rsidRPr="004D0DE2">
        <w:rPr>
          <w:noProof/>
        </w:rPr>
        <w:t>representations,</w:t>
      </w:r>
      <w:r w:rsidRPr="004D0DE2">
        <w:t xml:space="preserve"> there are ring-shaped motifs, repeated over forty times across the large composition.  Televantou reports that this </w:t>
      </w:r>
      <w:r w:rsidRPr="004D0DE2">
        <w:lastRenderedPageBreak/>
        <w:t xml:space="preserve">depiction is a well-known Neolithic symbol and is a very significant connection in that it belongs to an international communication code of the period, occurring over a geographical area from the Peloponnese to the Balkans and Varna.  It is known from </w:t>
      </w:r>
      <w:r w:rsidRPr="004D0DE2">
        <w:rPr>
          <w:noProof/>
        </w:rPr>
        <w:t>Dimini</w:t>
      </w:r>
      <w:r w:rsidRPr="004D0DE2">
        <w:t>, on the mainland, in the pottery, and in stone, clay, silver and gold pendants from other regions.</w:t>
      </w:r>
      <w:r w:rsidRPr="004D0DE2">
        <w:rPr>
          <w:vertAlign w:val="superscript"/>
        </w:rPr>
        <w:footnoteReference w:id="145"/>
      </w:r>
      <w:r w:rsidRPr="004D0DE2">
        <w:t xml:space="preserve">  Most likely the symbol represents a schematic human form, perhaps female, and is considered religious in nature, possibly of a deity.</w:t>
      </w:r>
      <w:r w:rsidRPr="004D0DE2">
        <w:rPr>
          <w:vertAlign w:val="superscript"/>
        </w:rPr>
        <w:footnoteReference w:id="146"/>
      </w:r>
      <w:r w:rsidRPr="004D0DE2">
        <w:t xml:space="preserve">  The location, a supposed hall, in which the composition </w:t>
      </w:r>
      <w:r w:rsidRPr="004D0DE2">
        <w:rPr>
          <w:noProof/>
        </w:rPr>
        <w:t>is found</w:t>
      </w:r>
      <w:r w:rsidRPr="004D0DE2">
        <w:t xml:space="preserve"> suggests a ritual purpose.  “Here cult and religious practices would also be connected to the supreme power represented mainly in the domain of one element, i.e. water, and most certainly the sea, which played a pivotal role in the life of the settlement’s population.” Finds of stone-pecked pictorial representations of rock art at </w:t>
      </w:r>
      <w:r w:rsidRPr="004D0DE2">
        <w:rPr>
          <w:noProof/>
        </w:rPr>
        <w:t>Korphi</w:t>
      </w:r>
      <w:r w:rsidRPr="004D0DE2">
        <w:t xml:space="preserve"> t’Aroniou on Naxos, dated to EC II, shows that this artistic practice continued into the Early Bronze Age.</w:t>
      </w:r>
      <w:r w:rsidRPr="004D0DE2">
        <w:rPr>
          <w:vertAlign w:val="superscript"/>
        </w:rPr>
        <w:footnoteReference w:id="147"/>
      </w:r>
    </w:p>
    <w:p w:rsidR="004D0DE2" w:rsidRPr="004D0DE2" w:rsidRDefault="004D0DE2" w:rsidP="004D0DE2">
      <w:r w:rsidRPr="004D0DE2">
        <w:tab/>
        <w:t>George Toufexis extensively studied animal figurines from Neolithic Thessaly, mapping them on a classification dendrogram and based on morphological, functional and semiotic criteria.</w:t>
      </w:r>
      <w:r w:rsidRPr="004D0DE2">
        <w:rPr>
          <w:vertAlign w:val="superscript"/>
        </w:rPr>
        <w:footnoteReference w:id="148"/>
      </w:r>
      <w:r w:rsidRPr="004D0DE2">
        <w:t xml:space="preserve">  In his studies, he finds that almost all animal figurines were of baked clay, with only a few examples of </w:t>
      </w:r>
      <w:r w:rsidRPr="004D0DE2">
        <w:rPr>
          <w:noProof/>
        </w:rPr>
        <w:t>stone</w:t>
      </w:r>
      <w:r w:rsidRPr="004D0DE2">
        <w:t xml:space="preserve"> and very rare representations made of </w:t>
      </w:r>
      <w:r w:rsidRPr="004D0DE2">
        <w:rPr>
          <w:noProof/>
        </w:rPr>
        <w:t>shell</w:t>
      </w:r>
      <w:r w:rsidRPr="004D0DE2">
        <w:t>.  They vary in size, from about 4-10 centimeters on average with the bodies</w:t>
      </w:r>
      <w:r w:rsidRPr="004D0DE2">
        <w:rPr>
          <w:noProof/>
        </w:rPr>
        <w:t xml:space="preserve"> mostly </w:t>
      </w:r>
      <w:r w:rsidRPr="004D0DE2">
        <w:rPr>
          <w:noProof/>
        </w:rPr>
        <w:lastRenderedPageBreak/>
        <w:t>shaped</w:t>
      </w:r>
      <w:r w:rsidRPr="004D0DE2">
        <w:t xml:space="preserve"> from a solid mass, with the separately shaped extremities and other protrusions.</w:t>
      </w:r>
      <w:r w:rsidRPr="004D0DE2">
        <w:rPr>
          <w:vertAlign w:val="superscript"/>
        </w:rPr>
        <w:footnoteReference w:id="149"/>
      </w:r>
      <w:r w:rsidRPr="004D0DE2">
        <w:t xml:space="preserve">  The author notes that the overwhelming majority of animal figurines from Neolithic Greece are of domesticated species, with wild animal representations being much scarcer.  </w:t>
      </w:r>
      <w:r w:rsidRPr="004D0DE2">
        <w:rPr>
          <w:noProof/>
        </w:rPr>
        <w:t>Examining the one hundred eighty Thessalian animal figurines from private collections alone</w:t>
      </w:r>
      <w:r w:rsidRPr="004D0DE2">
        <w:t xml:space="preserve">, 62% </w:t>
      </w:r>
      <w:r w:rsidRPr="004D0DE2">
        <w:rPr>
          <w:noProof/>
        </w:rPr>
        <w:t>are domesticates</w:t>
      </w:r>
      <w:r w:rsidRPr="004D0DE2">
        <w:t xml:space="preserve">, while only 9% are wild animals (the percentage of the remainder could not </w:t>
      </w:r>
      <w:r w:rsidRPr="004D0DE2">
        <w:rPr>
          <w:noProof/>
        </w:rPr>
        <w:t>be identified</w:t>
      </w:r>
      <w:r w:rsidRPr="004D0DE2">
        <w:t xml:space="preserve">).  In comparison to the catalog included in the appendix here, animal representations of the Early Cycladic appear to be about equal: 45% wild animals, 46% </w:t>
      </w:r>
      <w:r w:rsidRPr="004D0DE2">
        <w:rPr>
          <w:noProof/>
        </w:rPr>
        <w:t>domesticates</w:t>
      </w:r>
      <w:r w:rsidRPr="004D0DE2">
        <w:t xml:space="preserve"> and 9% undetermined. Toufexis does concede that identification should be considered subjective due to highly schematic rendering and poor preservation.  These are similar issues encountered when interpreting Early Cycladic art. </w:t>
      </w:r>
    </w:p>
    <w:p w:rsidR="004D0DE2" w:rsidRPr="004D0DE2" w:rsidRDefault="004D0DE2" w:rsidP="004D0DE2">
      <w:pPr>
        <w:ind w:firstLine="720"/>
      </w:pPr>
      <w:r w:rsidRPr="004D0DE2">
        <w:t xml:space="preserve">Another dramatic difference between the animal representations on the mainland and those of the Cyclades is the presence of theriomorphic masked figurines (humans with animal masks).  Toufexis argues that half-human and half-animal representations may </w:t>
      </w:r>
      <w:r w:rsidRPr="004D0DE2">
        <w:rPr>
          <w:noProof/>
        </w:rPr>
        <w:t>indicate</w:t>
      </w:r>
      <w:r w:rsidRPr="004D0DE2">
        <w:t xml:space="preserve"> the “existence…of a liminal zone between the animal and human world, where ‘dramatic’ practices of uncertain content may have taken place.” Additionally, the mainland features animal representations which </w:t>
      </w:r>
      <w:r w:rsidRPr="004D0DE2">
        <w:rPr>
          <w:noProof/>
        </w:rPr>
        <w:t>are not found</w:t>
      </w:r>
      <w:r w:rsidRPr="004D0DE2">
        <w:t xml:space="preserve"> in the Cyclades, such as bears, for example.  Numerous examples from the Late and Final Neolithic </w:t>
      </w:r>
      <w:r w:rsidRPr="004D0DE2">
        <w:rPr>
          <w:noProof/>
        </w:rPr>
        <w:t>are found</w:t>
      </w:r>
      <w:r w:rsidRPr="004D0DE2">
        <w:t xml:space="preserve"> in eastern Macedonia.  A shell pendant in the form of a bear from the Late Neolithic </w:t>
      </w:r>
      <w:r w:rsidRPr="004D0DE2">
        <w:rPr>
          <w:noProof/>
        </w:rPr>
        <w:t>was found</w:t>
      </w:r>
      <w:r w:rsidRPr="004D0DE2">
        <w:t xml:space="preserve"> at </w:t>
      </w:r>
      <w:r w:rsidRPr="004D0DE2">
        <w:rPr>
          <w:noProof/>
        </w:rPr>
        <w:t>Kitsos</w:t>
      </w:r>
      <w:r w:rsidRPr="004D0DE2">
        <w:t xml:space="preserve"> Cave in Attica, and an Early/Middle </w:t>
      </w:r>
      <w:r w:rsidRPr="004D0DE2">
        <w:rPr>
          <w:noProof/>
        </w:rPr>
        <w:t>Neolithic</w:t>
      </w:r>
      <w:r w:rsidRPr="004D0DE2">
        <w:t xml:space="preserve"> example of a bear </w:t>
      </w:r>
      <w:r w:rsidRPr="004D0DE2">
        <w:rPr>
          <w:noProof/>
        </w:rPr>
        <w:t>is known</w:t>
      </w:r>
      <w:r w:rsidRPr="004D0DE2">
        <w:t xml:space="preserve"> from Nea Nikomedeia in Central Macedonia. Also, differing from the Cyclades, </w:t>
      </w:r>
      <w:r w:rsidRPr="004D0DE2">
        <w:lastRenderedPageBreak/>
        <w:t xml:space="preserve">is the representation of possibly dead/slaughtered animals, based on </w:t>
      </w:r>
      <w:r w:rsidRPr="004D0DE2">
        <w:rPr>
          <w:noProof/>
        </w:rPr>
        <w:t>protomes</w:t>
      </w:r>
      <w:r w:rsidRPr="004D0DE2">
        <w:t xml:space="preserve"> from the mainland have incisions/gashes on the head or protruding tongues in a manner which recalls dead animals. </w:t>
      </w:r>
      <w:r w:rsidRPr="004D0DE2">
        <w:rPr>
          <w:noProof/>
        </w:rPr>
        <w:t>This</w:t>
      </w:r>
      <w:r w:rsidRPr="004D0DE2">
        <w:t xml:space="preserve"> may point to the growing dependence on domestic animals in the procurement of meat.</w:t>
      </w:r>
      <w:r w:rsidRPr="004D0DE2">
        <w:rPr>
          <w:vertAlign w:val="superscript"/>
        </w:rPr>
        <w:footnoteReference w:id="150"/>
      </w:r>
    </w:p>
    <w:p w:rsidR="004D0DE2" w:rsidRPr="004D0DE2" w:rsidRDefault="004D0DE2" w:rsidP="004D0DE2">
      <w:pPr>
        <w:ind w:firstLine="720"/>
      </w:pPr>
      <w:r w:rsidRPr="004D0DE2">
        <w:t xml:space="preserve">Interestingly, Toufexis points out that few </w:t>
      </w:r>
      <w:r w:rsidRPr="004D0DE2">
        <w:rPr>
          <w:noProof/>
        </w:rPr>
        <w:t>probable</w:t>
      </w:r>
      <w:r w:rsidRPr="004D0DE2">
        <w:t xml:space="preserve"> sheep </w:t>
      </w:r>
      <w:r w:rsidRPr="004D0DE2">
        <w:rPr>
          <w:noProof/>
        </w:rPr>
        <w:t>are identified</w:t>
      </w:r>
      <w:r w:rsidRPr="004D0DE2">
        <w:t xml:space="preserve"> among the figurines. The percentages of identified domesticates are as follows: cattle, 58%; sheep/goats, 16%; pigs, 12%; and dogs, 14%.</w:t>
      </w:r>
      <w:r w:rsidRPr="004D0DE2">
        <w:rPr>
          <w:vertAlign w:val="superscript"/>
        </w:rPr>
        <w:footnoteReference w:id="151"/>
      </w:r>
      <w:r w:rsidRPr="004D0DE2">
        <w:t xml:space="preserve"> Among the wild </w:t>
      </w:r>
      <w:r w:rsidRPr="004D0DE2">
        <w:rPr>
          <w:noProof/>
        </w:rPr>
        <w:t>fauna,</w:t>
      </w:r>
      <w:r w:rsidRPr="004D0DE2">
        <w:t xml:space="preserve"> birds </w:t>
      </w:r>
      <w:r w:rsidRPr="004D0DE2">
        <w:rPr>
          <w:noProof/>
        </w:rPr>
        <w:t>dominate,</w:t>
      </w:r>
      <w:r w:rsidRPr="004D0DE2">
        <w:t xml:space="preserve"> but their identification may </w:t>
      </w:r>
      <w:r w:rsidRPr="004D0DE2">
        <w:rPr>
          <w:noProof/>
        </w:rPr>
        <w:t>be overstated</w:t>
      </w:r>
      <w:r w:rsidRPr="004D0DE2">
        <w:t xml:space="preserve"> </w:t>
      </w:r>
      <w:r w:rsidRPr="004D0DE2">
        <w:rPr>
          <w:noProof/>
        </w:rPr>
        <w:t>in relation to</w:t>
      </w:r>
      <w:r w:rsidRPr="004D0DE2">
        <w:t xml:space="preserve"> others because of they are relatively easy to recognize. The percentages of wild fauna represented are as follows: birds, 59%; snakes, 24%; and rarely boar, bears, frogs, hedgehogs, monkeys, lizards, fishes, caterpillars, </w:t>
      </w:r>
      <w:r w:rsidRPr="004D0DE2">
        <w:rPr>
          <w:noProof/>
        </w:rPr>
        <w:t>beetles,</w:t>
      </w:r>
      <w:r w:rsidRPr="004D0DE2">
        <w:t xml:space="preserve"> and worms. Conspicuously missing is the deer. Faunal evidence suggests that the deer </w:t>
      </w:r>
      <w:r w:rsidRPr="004D0DE2">
        <w:rPr>
          <w:noProof/>
        </w:rPr>
        <w:t>was commonly hunted</w:t>
      </w:r>
      <w:r w:rsidRPr="004D0DE2">
        <w:t xml:space="preserve"> in Neolithic Greece.</w:t>
      </w:r>
    </w:p>
    <w:p w:rsidR="004D0DE2" w:rsidRPr="004D0DE2" w:rsidRDefault="004D0DE2" w:rsidP="004D0DE2">
      <w:pPr>
        <w:ind w:firstLine="720"/>
      </w:pPr>
      <w:r w:rsidRPr="004D0DE2">
        <w:t xml:space="preserve">The appearance of animal figurines in the Late/Final Neolithic in Thessaly and other northern areas of Greece can </w:t>
      </w:r>
      <w:r w:rsidRPr="004D0DE2">
        <w:rPr>
          <w:noProof/>
        </w:rPr>
        <w:t>be attributed</w:t>
      </w:r>
      <w:r w:rsidRPr="004D0DE2">
        <w:t xml:space="preserve"> to a greater reliance on the </w:t>
      </w:r>
      <w:r w:rsidRPr="004D0DE2">
        <w:rPr>
          <w:noProof/>
        </w:rPr>
        <w:t>domestication</w:t>
      </w:r>
      <w:r w:rsidRPr="004D0DE2">
        <w:t xml:space="preserve"> of animals and </w:t>
      </w:r>
      <w:r w:rsidRPr="004D0DE2">
        <w:rPr>
          <w:noProof/>
        </w:rPr>
        <w:t>small-scale</w:t>
      </w:r>
      <w:r w:rsidRPr="004D0DE2">
        <w:t xml:space="preserve"> farming at established settlements.  </w:t>
      </w:r>
      <w:r w:rsidRPr="004D0DE2">
        <w:rPr>
          <w:noProof/>
        </w:rPr>
        <w:t>While the appearance of animal figurines in the Late/Final Neolithic in Southern Greece and the Peloponnese can be attributed to transhumance and nomadic pastoralism.</w:t>
      </w:r>
      <w:r w:rsidRPr="004D0DE2">
        <w:rPr>
          <w:vertAlign w:val="superscript"/>
        </w:rPr>
        <w:footnoteReference w:id="152"/>
      </w:r>
      <w:r w:rsidRPr="004D0DE2">
        <w:t xml:space="preserve">  </w:t>
      </w:r>
    </w:p>
    <w:p w:rsidR="004D0DE2" w:rsidRPr="004D0DE2" w:rsidRDefault="004D0DE2" w:rsidP="004D0DE2">
      <w:pPr>
        <w:spacing w:after="160"/>
        <w:ind w:firstLine="720"/>
      </w:pPr>
      <w:r w:rsidRPr="004D0DE2">
        <w:t xml:space="preserve">In the study of prehistoric cultures where no textual sources exist, such as the Early Cycladic period, the material culture becomes crucial in attempting to decipher “past systems of thought, values, and perception, to qualitative aspects of peoples’ </w:t>
      </w:r>
      <w:r w:rsidRPr="004D0DE2">
        <w:lastRenderedPageBreak/>
        <w:t>lives.”</w:t>
      </w:r>
      <w:r w:rsidRPr="004D0DE2">
        <w:rPr>
          <w:vertAlign w:val="superscript"/>
        </w:rPr>
        <w:footnoteReference w:id="153"/>
      </w:r>
      <w:r w:rsidRPr="004D0DE2">
        <w:t xml:space="preserve">  Animal representations in prehistoric art is a seemingly simple concept, but with complex implications. Howard Morphy argues that the complexity in animal representations does not lie in the fact that people were trying to represent the natural world around them, but rather encode it; furthermore, he argues that encoding involves culture. Using a window as a metaphor, we are not simply looking into another world since the world </w:t>
      </w:r>
      <w:r w:rsidRPr="004D0DE2">
        <w:rPr>
          <w:noProof/>
        </w:rPr>
        <w:t>is distorted</w:t>
      </w:r>
      <w:r w:rsidRPr="004D0DE2">
        <w:t xml:space="preserve"> by the </w:t>
      </w:r>
      <w:r w:rsidRPr="004D0DE2">
        <w:rPr>
          <w:noProof/>
        </w:rPr>
        <w:t>glass</w:t>
      </w:r>
      <w:r w:rsidRPr="004D0DE2">
        <w:t xml:space="preserve"> with intricate patterns that we must learn to see through. In learning how to see through the intricacies of the glass (as </w:t>
      </w:r>
      <w:r w:rsidRPr="004D0DE2">
        <w:rPr>
          <w:noProof/>
        </w:rPr>
        <w:t>culture</w:t>
      </w:r>
      <w:r w:rsidRPr="004D0DE2">
        <w:t>), we learn about the structure of the cultural system responsible for the images.</w:t>
      </w:r>
      <w:r w:rsidRPr="004D0DE2">
        <w:rPr>
          <w:vertAlign w:val="superscript"/>
        </w:rPr>
        <w:footnoteReference w:id="154"/>
      </w:r>
      <w:r w:rsidRPr="004D0DE2">
        <w:t xml:space="preserve">  </w:t>
      </w:r>
    </w:p>
    <w:p w:rsidR="004D0DE2" w:rsidRPr="004D0DE2" w:rsidRDefault="004D0DE2" w:rsidP="004D0DE2">
      <w:pPr>
        <w:spacing w:after="160" w:line="240" w:lineRule="auto"/>
        <w:ind w:left="720"/>
      </w:pPr>
      <w:r w:rsidRPr="004D0DE2">
        <w:t>Encoding the meaning ‘horse’ in a geometric sign, in a highly schematic figure, or in a detailed and elaborated figurative representation involves encoding meaning within quite different systems, with different conditions of interpretation, the potential for producing different messages, and with different aesthetic effects.</w:t>
      </w:r>
      <w:r w:rsidRPr="004D0DE2">
        <w:rPr>
          <w:vertAlign w:val="superscript"/>
        </w:rPr>
        <w:footnoteReference w:id="155"/>
      </w:r>
    </w:p>
    <w:p w:rsidR="004D0DE2" w:rsidRPr="004D0DE2" w:rsidRDefault="004D0DE2" w:rsidP="004D0DE2">
      <w:pPr>
        <w:spacing w:after="160"/>
      </w:pPr>
      <w:r w:rsidRPr="004D0DE2">
        <w:rPr>
          <w:noProof/>
        </w:rPr>
        <w:t>Since it has been established that actual animals were probably not frequently used in a ritual activities or cult practices, and that the marble anthropomorphic figurines were probably used in domestic and household cults, it may be concluded then that animal representations (votive figures and cult images) held a specially encoded significance, for example as a proxy for animal offerings or as talismans, as in the case of the various amulets, which will become clear in the following discussion.</w:t>
      </w:r>
      <w:r w:rsidRPr="004D0DE2">
        <w:t xml:space="preserve">  </w:t>
      </w:r>
      <w:r w:rsidRPr="004D0DE2">
        <w:rPr>
          <w:noProof/>
        </w:rPr>
        <w:t xml:space="preserve">In the art of the Early Cycladic period, the significance and encoding for which Morphy argues was variable from island to island, due to the geographical fragmentation, the influences received </w:t>
      </w:r>
      <w:r w:rsidRPr="004D0DE2">
        <w:rPr>
          <w:noProof/>
        </w:rPr>
        <w:lastRenderedPageBreak/>
        <w:t>from outside sources (which also may have differed from island to island), and the amalgamation of the settlers, coming from both the mainland Greece and the Near East.</w:t>
      </w:r>
      <w:r w:rsidRPr="004D0DE2">
        <w:t xml:space="preserve"> </w:t>
      </w:r>
    </w:p>
    <w:p w:rsidR="004D0DE2" w:rsidRPr="004D0DE2" w:rsidRDefault="004D0DE2" w:rsidP="004D0DE2">
      <w:pPr>
        <w:spacing w:after="160"/>
        <w:ind w:firstLine="720"/>
      </w:pPr>
      <w:r w:rsidRPr="004D0DE2">
        <w:t xml:space="preserve">Morphy sets forth a model of five stages in interpreting prehistoric art. While these steps largely apply to parietal </w:t>
      </w:r>
      <w:r w:rsidRPr="004D0DE2">
        <w:rPr>
          <w:noProof/>
        </w:rPr>
        <w:t>art</w:t>
      </w:r>
      <w:r w:rsidRPr="004D0DE2">
        <w:t xml:space="preserve"> or other two-dimensional compositions, there is some usefulness in applying these steps to three-dimensional objects. Furthermore, the steps are the same basic method for interpreting any work of art from any period, the difference being access to textual sources.  The first step, according to Morphy, is determining what the object/image is and locating them in time and space.  Secondly, one must determine how it encodes meaning, or as Morphy states, how it represents.  The next step involves examining the relationships between images and considering composition. Then, discover what the image and its components mean, and lastly, interpreting the image and compositions as part of a wider cultural system.</w:t>
      </w:r>
      <w:r w:rsidRPr="004D0DE2">
        <w:rPr>
          <w:vertAlign w:val="superscript"/>
        </w:rPr>
        <w:footnoteReference w:id="156"/>
      </w:r>
      <w:r w:rsidRPr="004D0DE2">
        <w:t xml:space="preserve"> In applying this method to the three-dimensional animal </w:t>
      </w:r>
      <w:r w:rsidRPr="004D0DE2">
        <w:rPr>
          <w:noProof/>
        </w:rPr>
        <w:t>representations,</w:t>
      </w:r>
      <w:r w:rsidRPr="004D0DE2">
        <w:t xml:space="preserve"> I will determine what the object is, i.e. the type of animal and the period to which it belongs.  The typology and other features such as body position and decoration, and the relationship between these features, will determine how meaning is encoded.  By using what </w:t>
      </w:r>
      <w:r w:rsidRPr="004D0DE2">
        <w:rPr>
          <w:noProof/>
        </w:rPr>
        <w:t>is already known</w:t>
      </w:r>
      <w:r w:rsidRPr="004D0DE2">
        <w:t xml:space="preserve"> about burial, grave goods, symbolism present in other EC artifacts and comparisons with contemporary cultures I will interpret the meaning of the symbolism and then be able to place the zoomorphic objects within the wider cultural framework. </w:t>
      </w:r>
    </w:p>
    <w:p w:rsidR="004D0DE2" w:rsidRPr="004D0DE2" w:rsidRDefault="004D0DE2" w:rsidP="004D0DE2">
      <w:pPr>
        <w:spacing w:after="160"/>
        <w:ind w:firstLine="720"/>
      </w:pPr>
      <w:r w:rsidRPr="004D0DE2">
        <w:t xml:space="preserve">In the Ancient Near East, a study of animal representations reveals many of the same qualities seen in the Early Cycladic period.  </w:t>
      </w:r>
      <w:r w:rsidRPr="004D0DE2">
        <w:rPr>
          <w:noProof/>
        </w:rPr>
        <w:t>This</w:t>
      </w:r>
      <w:r w:rsidRPr="004D0DE2">
        <w:t xml:space="preserve"> is not surprising since it </w:t>
      </w:r>
      <w:r w:rsidRPr="004D0DE2">
        <w:rPr>
          <w:noProof/>
        </w:rPr>
        <w:t xml:space="preserve">is </w:t>
      </w:r>
      <w:r w:rsidRPr="004D0DE2">
        <w:rPr>
          <w:noProof/>
        </w:rPr>
        <w:lastRenderedPageBreak/>
        <w:t>believed</w:t>
      </w:r>
      <w:r w:rsidRPr="004D0DE2">
        <w:t xml:space="preserve"> the Cycladic islanders were </w:t>
      </w:r>
      <w:r w:rsidRPr="004D0DE2">
        <w:rPr>
          <w:rFonts w:cstheme="minorHAnsi"/>
        </w:rPr>
        <w:t>é</w:t>
      </w:r>
      <w:r w:rsidRPr="004D0DE2">
        <w:t>migr</w:t>
      </w:r>
      <w:r w:rsidRPr="004D0DE2">
        <w:rPr>
          <w:rFonts w:cstheme="minorHAnsi"/>
        </w:rPr>
        <w:t>é</w:t>
      </w:r>
      <w:r w:rsidRPr="004D0DE2">
        <w:t xml:space="preserve">s from the Near East. Representations of wild animals were those that they considered dangerous or powerful, with certain animals </w:t>
      </w:r>
      <w:r w:rsidRPr="004D0DE2">
        <w:rPr>
          <w:noProof/>
        </w:rPr>
        <w:t>being linked</w:t>
      </w:r>
      <w:r w:rsidRPr="004D0DE2">
        <w:t xml:space="preserve"> to the characteristics of gods. However, although their gods had animal associations, they are not </w:t>
      </w:r>
      <w:r w:rsidRPr="004D0DE2">
        <w:rPr>
          <w:noProof/>
        </w:rPr>
        <w:t>generally</w:t>
      </w:r>
      <w:r w:rsidRPr="004D0DE2">
        <w:t xml:space="preserve"> depicted as appearing with animal features.  Representations of animal skins and masks were expressions of power for a hero, god, or demon, as well as metaphors for kingship.  Domesticated animal representations were used to communicate ideas about fertility: mothers nursing their young, </w:t>
      </w:r>
      <w:r w:rsidRPr="004D0DE2">
        <w:rPr>
          <w:noProof/>
        </w:rPr>
        <w:t>feeding on</w:t>
      </w:r>
      <w:r w:rsidRPr="004D0DE2">
        <w:t xml:space="preserve"> lush vegetation, and male-female pairs alluding to sexual reproduction.  Ritual activity </w:t>
      </w:r>
      <w:r w:rsidRPr="004D0DE2">
        <w:rPr>
          <w:noProof/>
        </w:rPr>
        <w:t>was associated</w:t>
      </w:r>
      <w:r w:rsidRPr="004D0DE2">
        <w:t xml:space="preserve"> with animal depictions, including sacrifice, ceremonial hunts, decoration on sacred objects and luxurious vessels as votives.</w:t>
      </w:r>
      <w:r w:rsidRPr="004D0DE2">
        <w:rPr>
          <w:vertAlign w:val="superscript"/>
        </w:rPr>
        <w:footnoteReference w:id="157"/>
      </w:r>
      <w:r w:rsidRPr="004D0DE2">
        <w:t xml:space="preserve"> </w:t>
      </w:r>
    </w:p>
    <w:p w:rsidR="004D0DE2" w:rsidRPr="004D0DE2" w:rsidRDefault="004D0DE2" w:rsidP="004D0DE2">
      <w:pPr>
        <w:spacing w:after="160"/>
        <w:ind w:firstLine="720"/>
      </w:pPr>
      <w:r w:rsidRPr="004D0DE2">
        <w:t>Marija Gimbutas, in her lifetime studies of prehistoric cultures, refers to “Old Europe</w:t>
      </w:r>
      <w:r w:rsidRPr="004D0DE2">
        <w:rPr>
          <w:noProof/>
        </w:rPr>
        <w:t>.”</w:t>
      </w:r>
      <w:r w:rsidRPr="004D0DE2">
        <w:t xml:space="preserve"> </w:t>
      </w:r>
      <w:r w:rsidRPr="004D0DE2">
        <w:rPr>
          <w:noProof/>
        </w:rPr>
        <w:t>This</w:t>
      </w:r>
      <w:r w:rsidRPr="004D0DE2">
        <w:t xml:space="preserve"> is a term she applies to pre-Indo-European cultures of Europe. Gimbutas describes them as “matrifocal and probably matrilinear, agricultural and sedentary, egalitarian and peaceful” and worshiping a Goddess Creatrix in her many aspects: life-giving, fertility-giving, and birth-giving, for example. </w:t>
      </w:r>
      <w:r w:rsidRPr="004D0DE2">
        <w:rPr>
          <w:noProof/>
        </w:rPr>
        <w:t>This</w:t>
      </w:r>
      <w:r w:rsidRPr="004D0DE2">
        <w:t xml:space="preserve"> is a sharp contrast to the succeeding patriarchal cultures, which infiltrated Europe in three waves from the Russian steppe, between c. 4500 BCE and 2500 BCE. The female divinities </w:t>
      </w:r>
      <w:r w:rsidRPr="004D0DE2">
        <w:rPr>
          <w:noProof/>
        </w:rPr>
        <w:t>were replaced</w:t>
      </w:r>
      <w:r w:rsidRPr="004D0DE2">
        <w:t xml:space="preserve"> with male divinities, and after 2500 BCE a mélange of both mythic systems developed. Gimbutas argues that for more than 20,000 years, from the Upper Paleolithic to the Neolithic and beyond, Goddess worship persisted in Europe and is shown by “the </w:t>
      </w:r>
      <w:r w:rsidRPr="004D0DE2">
        <w:lastRenderedPageBreak/>
        <w:t>continuity of a variety of a series of conventionalized images.”</w:t>
      </w:r>
      <w:r w:rsidRPr="004D0DE2">
        <w:rPr>
          <w:vertAlign w:val="superscript"/>
        </w:rPr>
        <w:footnoteReference w:id="158"/>
      </w:r>
      <w:r w:rsidRPr="004D0DE2">
        <w:t xml:space="preserve">  Gimbutas acknowledges that each prehistoric European culture was </w:t>
      </w:r>
      <w:r w:rsidRPr="004D0DE2">
        <w:rPr>
          <w:noProof/>
        </w:rPr>
        <w:t>distinct; however,</w:t>
      </w:r>
      <w:r w:rsidRPr="004D0DE2">
        <w:t xml:space="preserve"> the diffusion into the Balkan Peninsula and Danubian regions was “a product of hybridization of Mediterranean and Temperate southeast-European peoples and cultures.”</w:t>
      </w:r>
      <w:r w:rsidRPr="004D0DE2">
        <w:rPr>
          <w:vertAlign w:val="superscript"/>
        </w:rPr>
        <w:footnoteReference w:id="159"/>
      </w:r>
    </w:p>
    <w:p w:rsidR="004D0DE2" w:rsidRPr="004D0DE2" w:rsidRDefault="004D0DE2" w:rsidP="004D0DE2">
      <w:pPr>
        <w:spacing w:after="160"/>
        <w:ind w:firstLine="720"/>
      </w:pPr>
      <w:r w:rsidRPr="004D0DE2">
        <w:t xml:space="preserve">Since it has </w:t>
      </w:r>
      <w:r w:rsidRPr="004D0DE2">
        <w:rPr>
          <w:noProof/>
        </w:rPr>
        <w:t>been established</w:t>
      </w:r>
      <w:r w:rsidRPr="004D0DE2">
        <w:t xml:space="preserve"> that migration into Europe occurred from the Near East (Anatolia, </w:t>
      </w:r>
      <w:r w:rsidRPr="004D0DE2">
        <w:rPr>
          <w:noProof/>
        </w:rPr>
        <w:t>Levant,</w:t>
      </w:r>
      <w:r w:rsidRPr="004D0DE2">
        <w:t xml:space="preserve"> and Mesopotamia) via the Aegean region, I believe it is appropriate to apply Gimbutas’s studies to the analyzation of Early Cycladic art.  Indeed, she makes many references to Early Cycladic art, and as an archaeologist participated in many excavations of prehistoric settlements, most notably at Sitagroi with Colin Renfrew.  </w:t>
      </w:r>
      <w:r w:rsidR="000921DE">
        <w:t>By looking at some of these animal types, we can re-evalutate some of their identifications and functions. Lost in most scholarship is an assessment of these actual animals, their character and function, in Bronze Age society.</w:t>
      </w:r>
    </w:p>
    <w:p w:rsidR="004D0DE2" w:rsidRPr="004D0DE2" w:rsidRDefault="004D0DE2" w:rsidP="002C2FDF">
      <w:pPr>
        <w:pStyle w:val="Heading2"/>
      </w:pPr>
      <w:bookmarkStart w:id="49" w:name="_Toc481343490"/>
      <w:bookmarkStart w:id="50" w:name="_Toc482206679"/>
      <w:r w:rsidRPr="004D0DE2">
        <w:t>Domesticates</w:t>
      </w:r>
      <w:bookmarkEnd w:id="49"/>
      <w:bookmarkEnd w:id="50"/>
    </w:p>
    <w:p w:rsidR="004D0DE2" w:rsidRPr="004D0DE2" w:rsidRDefault="004D0DE2" w:rsidP="002C2FDF">
      <w:pPr>
        <w:pStyle w:val="Heading3"/>
      </w:pPr>
      <w:bookmarkStart w:id="51" w:name="_Toc481343491"/>
      <w:bookmarkStart w:id="52" w:name="_Toc482206680"/>
      <w:r w:rsidRPr="004D0DE2">
        <w:t>Sheep/Rams</w:t>
      </w:r>
      <w:bookmarkEnd w:id="51"/>
      <w:bookmarkEnd w:id="52"/>
    </w:p>
    <w:p w:rsidR="004D0DE2" w:rsidRPr="004D0DE2" w:rsidRDefault="004D0DE2" w:rsidP="004D0DE2">
      <w:r w:rsidRPr="004D0DE2">
        <w:tab/>
        <w:t xml:space="preserve">According to Gimbutas, the </w:t>
      </w:r>
      <w:r w:rsidRPr="004D0DE2">
        <w:rPr>
          <w:noProof/>
        </w:rPr>
        <w:t>ram</w:t>
      </w:r>
      <w:r w:rsidRPr="004D0DE2">
        <w:t xml:space="preserve"> is considered to be the sacred animal of the Bird Goddess.  Given the importance of sheep/rams and goats to Neolithic subsistence since the advent of animal domestication, it is perhaps not surprising that this animal would emerge as a prevalent cult image.</w:t>
      </w:r>
      <w:r w:rsidRPr="004D0DE2">
        <w:rPr>
          <w:vertAlign w:val="superscript"/>
        </w:rPr>
        <w:footnoteReference w:id="160"/>
      </w:r>
      <w:r w:rsidRPr="004D0DE2">
        <w:t xml:space="preserve">  Ram imagery can also be traced to ancient Near Eastern Sumeria and </w:t>
      </w:r>
      <w:r w:rsidRPr="004D0DE2">
        <w:rPr>
          <w:noProof/>
        </w:rPr>
        <w:t>is also associated</w:t>
      </w:r>
      <w:r w:rsidRPr="004D0DE2">
        <w:t xml:space="preserve"> with several ancient Egyptian cults.  In </w:t>
      </w:r>
      <w:r w:rsidRPr="004D0DE2">
        <w:lastRenderedPageBreak/>
        <w:t xml:space="preserve">ancient Greece, the ram </w:t>
      </w:r>
      <w:r w:rsidRPr="004D0DE2">
        <w:rPr>
          <w:noProof/>
        </w:rPr>
        <w:t>is sacrificed</w:t>
      </w:r>
      <w:r w:rsidRPr="004D0DE2">
        <w:t xml:space="preserve"> to Cybele, the Mother-Goddess in a rite known as </w:t>
      </w:r>
      <w:r w:rsidRPr="004D0DE2">
        <w:rPr>
          <w:i/>
          <w:noProof/>
        </w:rPr>
        <w:t>criobolium</w:t>
      </w:r>
      <w:r w:rsidRPr="004D0DE2">
        <w:t xml:space="preserve">, and it is also sacred to Hermes.  </w:t>
      </w:r>
    </w:p>
    <w:p w:rsidR="004D0DE2" w:rsidRPr="004D0DE2" w:rsidRDefault="004D0DE2" w:rsidP="004D0DE2">
      <w:pPr>
        <w:ind w:firstLine="720"/>
      </w:pPr>
      <w:r w:rsidRPr="004D0DE2">
        <w:t xml:space="preserve">In the catalog, there are at least thirty objects (approximately 42%) thought to represent </w:t>
      </w:r>
      <w:r w:rsidRPr="004D0DE2">
        <w:rPr>
          <w:noProof/>
        </w:rPr>
        <w:t>rams</w:t>
      </w:r>
      <w:r w:rsidRPr="004D0DE2">
        <w:t xml:space="preserve"> or sheep. Specifically, in catalog </w:t>
      </w:r>
      <w:r w:rsidRPr="004D0DE2">
        <w:rPr>
          <w:noProof/>
        </w:rPr>
        <w:t>objects</w:t>
      </w:r>
      <w:r w:rsidRPr="004D0DE2">
        <w:t xml:space="preserve"> (V1) and (V2), the incised decoration on the surface of the body, which could be described as parallel chevrons, possibly representing fleece, could be the motif associated with the Bird Goddess.  Since the protomes and vessel fragments </w:t>
      </w:r>
      <w:r w:rsidRPr="004D0DE2">
        <w:rPr>
          <w:noProof/>
        </w:rPr>
        <w:t>are separated</w:t>
      </w:r>
      <w:r w:rsidRPr="004D0DE2">
        <w:t xml:space="preserve"> from the original vessel, we cannot know if painted or incised decoration on the original vessel also featured motifs associated with the Bird Goddess. However, some of them may have </w:t>
      </w:r>
      <w:r w:rsidRPr="004D0DE2">
        <w:rPr>
          <w:noProof/>
        </w:rPr>
        <w:t>been attached</w:t>
      </w:r>
      <w:r w:rsidRPr="004D0DE2">
        <w:t xml:space="preserve"> to the so-called sauceboat vessels.</w:t>
      </w:r>
      <w:r w:rsidRPr="004D0DE2">
        <w:rPr>
          <w:vertAlign w:val="superscript"/>
        </w:rPr>
        <w:footnoteReference w:id="161"/>
      </w:r>
      <w:r w:rsidRPr="004D0DE2">
        <w:t xml:space="preserve">  Gimbutas points out that these </w:t>
      </w:r>
      <w:r w:rsidRPr="004D0DE2">
        <w:rPr>
          <w:noProof/>
        </w:rPr>
        <w:t>were also found</w:t>
      </w:r>
      <w:r w:rsidRPr="004D0DE2">
        <w:t xml:space="preserve"> in Early Helladic II period.  The shape is characteristic of a water bird (duck?), </w:t>
      </w:r>
      <w:r w:rsidRPr="004D0DE2">
        <w:rPr>
          <w:noProof/>
        </w:rPr>
        <w:t>and</w:t>
      </w:r>
      <w:r w:rsidRPr="004D0DE2">
        <w:t xml:space="preserve"> the addition of the ram head with horns would suggest an association with the cult of the Bird Goddess.</w:t>
      </w:r>
      <w:r w:rsidRPr="004D0DE2">
        <w:rPr>
          <w:vertAlign w:val="superscript"/>
        </w:rPr>
        <w:footnoteReference w:id="162"/>
      </w:r>
      <w:r w:rsidRPr="004D0DE2">
        <w:t xml:space="preserve"> </w:t>
      </w:r>
    </w:p>
    <w:p w:rsidR="004D0DE2" w:rsidRPr="004D0DE2" w:rsidRDefault="004D0DE2" w:rsidP="002C2FDF">
      <w:pPr>
        <w:pStyle w:val="Heading3"/>
      </w:pPr>
      <w:bookmarkStart w:id="53" w:name="_Toc481343492"/>
      <w:bookmarkStart w:id="54" w:name="_Toc482206681"/>
      <w:r w:rsidRPr="004D0DE2">
        <w:t>Pigs</w:t>
      </w:r>
      <w:bookmarkEnd w:id="53"/>
      <w:bookmarkEnd w:id="54"/>
    </w:p>
    <w:p w:rsidR="004D0DE2" w:rsidRPr="004D0DE2" w:rsidRDefault="004D0DE2" w:rsidP="004D0DE2">
      <w:r w:rsidRPr="004D0DE2">
        <w:tab/>
        <w:t xml:space="preserve">The </w:t>
      </w:r>
      <w:r w:rsidR="00383C0A">
        <w:t xml:space="preserve">domesticated </w:t>
      </w:r>
      <w:r w:rsidRPr="004D0DE2">
        <w:t xml:space="preserve">pig, or </w:t>
      </w:r>
      <w:r w:rsidRPr="004D0DE2">
        <w:rPr>
          <w:noProof/>
        </w:rPr>
        <w:t>sow</w:t>
      </w:r>
      <w:r w:rsidRPr="004D0DE2">
        <w:t>, is the sacred animal of the Pregnant Goddess.</w:t>
      </w:r>
      <w:r w:rsidRPr="004D0DE2">
        <w:rPr>
          <w:vertAlign w:val="superscript"/>
        </w:rPr>
        <w:footnoteReference w:id="163"/>
      </w:r>
      <w:r w:rsidRPr="004D0DE2">
        <w:t xml:space="preserve">  Pigs have large litters, which lends to their fertility symbolism.</w:t>
      </w:r>
      <w:r w:rsidRPr="004D0DE2">
        <w:rPr>
          <w:vertAlign w:val="superscript"/>
        </w:rPr>
        <w:footnoteReference w:id="164"/>
      </w:r>
      <w:r w:rsidRPr="004D0DE2">
        <w:t xml:space="preserve"> Often in Vin</w:t>
      </w:r>
      <w:r w:rsidRPr="004D0DE2">
        <w:rPr>
          <w:rFonts w:cstheme="minorHAnsi"/>
        </w:rPr>
        <w:t>č</w:t>
      </w:r>
      <w:r w:rsidRPr="004D0DE2">
        <w:t xml:space="preserve">a and Karanovo cultures the Pregnant Goddess is marked with lozenge shapes (pig eyes) and wearing pig masks. Pigs grow into their rounded bodies quickly and </w:t>
      </w:r>
      <w:r w:rsidRPr="004D0DE2">
        <w:rPr>
          <w:noProof/>
        </w:rPr>
        <w:t>were probably seen</w:t>
      </w:r>
      <w:r w:rsidRPr="004D0DE2">
        <w:t xml:space="preserve"> </w:t>
      </w:r>
      <w:r w:rsidRPr="004D0DE2">
        <w:lastRenderedPageBreak/>
        <w:t>as allegories of seed and field fertility, regarded as “magically” influencing the crops.</w:t>
      </w:r>
      <w:r w:rsidRPr="004D0DE2">
        <w:rPr>
          <w:vertAlign w:val="superscript"/>
        </w:rPr>
        <w:footnoteReference w:id="165"/>
      </w:r>
      <w:r w:rsidRPr="004D0DE2">
        <w:t xml:space="preserve">  In the later ancient Greek civilization, pigs </w:t>
      </w:r>
      <w:r w:rsidRPr="004D0DE2">
        <w:rPr>
          <w:noProof/>
        </w:rPr>
        <w:t>were sacrificed</w:t>
      </w:r>
      <w:r w:rsidRPr="004D0DE2">
        <w:t xml:space="preserve"> at Thesmophoria, agrarian festivals dedicated to Demeter and terracotta pig votive figurines </w:t>
      </w:r>
      <w:r w:rsidRPr="004D0DE2">
        <w:rPr>
          <w:noProof/>
        </w:rPr>
        <w:t>are often found</w:t>
      </w:r>
      <w:r w:rsidRPr="004D0DE2">
        <w:t xml:space="preserve"> in shrines to Demeter,</w:t>
      </w:r>
      <w:r w:rsidRPr="004D0DE2">
        <w:rPr>
          <w:vertAlign w:val="superscript"/>
        </w:rPr>
        <w:footnoteReference w:id="166"/>
      </w:r>
      <w:r w:rsidRPr="004D0DE2">
        <w:t xml:space="preserve">  the goddess of corn and fertility and mother to Persephone.  In brief, the story involves Persephone </w:t>
      </w:r>
      <w:r w:rsidRPr="004D0DE2">
        <w:rPr>
          <w:noProof/>
        </w:rPr>
        <w:t>being kidnapped</w:t>
      </w:r>
      <w:r w:rsidRPr="004D0DE2">
        <w:t xml:space="preserve"> by Hades, god of the Underworld.  When he allows her to visit her mother for part of the year, the earth is verdant (Spring and Summer), but, when she returns to Hades, Demeter </w:t>
      </w:r>
      <w:r w:rsidRPr="004D0DE2">
        <w:rPr>
          <w:noProof/>
        </w:rPr>
        <w:t>grieves,</w:t>
      </w:r>
      <w:r w:rsidRPr="004D0DE2">
        <w:t xml:space="preserve"> and all fertility is gone from the earth (Autumn and Winter.)</w:t>
      </w:r>
      <w:r w:rsidRPr="004D0DE2">
        <w:rPr>
          <w:vertAlign w:val="superscript"/>
        </w:rPr>
        <w:footnoteReference w:id="167"/>
      </w:r>
      <w:r w:rsidRPr="004D0DE2">
        <w:t xml:space="preserve">  She is believed to be “descended” from much older earth goddesses worshiped for the </w:t>
      </w:r>
      <w:r w:rsidRPr="004D0DE2">
        <w:rPr>
          <w:noProof/>
        </w:rPr>
        <w:t>fertility</w:t>
      </w:r>
      <w:r w:rsidRPr="004D0DE2">
        <w:t xml:space="preserve"> of crops.</w:t>
      </w:r>
      <w:r w:rsidRPr="004D0DE2">
        <w:rPr>
          <w:vertAlign w:val="superscript"/>
        </w:rPr>
        <w:footnoteReference w:id="168"/>
      </w:r>
      <w:r w:rsidRPr="004D0DE2">
        <w:t xml:space="preserve"> In ancient Egyptian mythology, the pig is sacred to Isis as the Great Mother.</w:t>
      </w:r>
    </w:p>
    <w:p w:rsidR="004D0DE2" w:rsidRPr="004D0DE2" w:rsidRDefault="004D0DE2" w:rsidP="004D0DE2">
      <w:r w:rsidRPr="004D0DE2">
        <w:tab/>
        <w:t xml:space="preserve">The scarcity of pig imagery in </w:t>
      </w:r>
      <w:r w:rsidRPr="004D0DE2">
        <w:rPr>
          <w:noProof/>
        </w:rPr>
        <w:t>Early</w:t>
      </w:r>
      <w:r w:rsidRPr="004D0DE2">
        <w:t xml:space="preserve"> Cycladic art may be a reflection of the rarity with which the bones </w:t>
      </w:r>
      <w:r w:rsidRPr="004D0DE2">
        <w:rPr>
          <w:noProof/>
        </w:rPr>
        <w:t>are also found</w:t>
      </w:r>
      <w:r w:rsidRPr="004D0DE2">
        <w:t xml:space="preserve"> in settlements.  There was simply not enough </w:t>
      </w:r>
      <w:r w:rsidR="00383C0A">
        <w:t>space</w:t>
      </w:r>
      <w:r w:rsidRPr="004D0DE2">
        <w:t xml:space="preserve">, or resources to </w:t>
      </w:r>
      <w:r w:rsidR="00383C0A">
        <w:t>raise pigs and</w:t>
      </w:r>
      <w:r w:rsidRPr="004D0DE2">
        <w:t xml:space="preserve"> the terrain is too rocky.  Because of </w:t>
      </w:r>
      <w:r w:rsidR="00383C0A">
        <w:t xml:space="preserve">the </w:t>
      </w:r>
      <w:r w:rsidRPr="004D0DE2">
        <w:t>compacted spaces on the islands hygiene may</w:t>
      </w:r>
      <w:r w:rsidR="00383C0A">
        <w:t xml:space="preserve"> also have been an issue</w:t>
      </w:r>
      <w:r w:rsidRPr="004D0DE2">
        <w:t xml:space="preserve">.  Only the bones of young pigs </w:t>
      </w:r>
      <w:r w:rsidRPr="004D0DE2">
        <w:rPr>
          <w:noProof/>
        </w:rPr>
        <w:t>are typically found</w:t>
      </w:r>
      <w:r w:rsidRPr="004D0DE2">
        <w:t xml:space="preserve"> in settlements, which indicated they were imported at a certain age </w:t>
      </w:r>
      <w:r w:rsidR="00383C0A">
        <w:t xml:space="preserve">to be consumed, </w:t>
      </w:r>
      <w:r w:rsidRPr="004D0DE2">
        <w:t xml:space="preserve">but </w:t>
      </w:r>
      <w:r w:rsidR="00383C0A">
        <w:t xml:space="preserve">were not raised. </w:t>
      </w:r>
      <w:r w:rsidRPr="004D0DE2">
        <w:t xml:space="preserve"> </w:t>
      </w:r>
    </w:p>
    <w:p w:rsidR="004D0DE2" w:rsidRPr="004D0DE2" w:rsidRDefault="004D0DE2" w:rsidP="002C2FDF">
      <w:pPr>
        <w:pStyle w:val="Heading3"/>
      </w:pPr>
      <w:bookmarkStart w:id="55" w:name="_Toc481343493"/>
      <w:bookmarkStart w:id="56" w:name="_Toc482206682"/>
      <w:r w:rsidRPr="004D0DE2">
        <w:t>Bovines</w:t>
      </w:r>
      <w:bookmarkEnd w:id="55"/>
      <w:bookmarkEnd w:id="56"/>
    </w:p>
    <w:p w:rsidR="004D0DE2" w:rsidRPr="004D0DE2" w:rsidRDefault="004D0DE2" w:rsidP="004D0DE2">
      <w:r w:rsidRPr="004D0DE2">
        <w:tab/>
        <w:t xml:space="preserve">Bovines are only rarely represented in EC I-II, whereas in </w:t>
      </w:r>
      <w:r w:rsidRPr="004D0DE2">
        <w:rPr>
          <w:noProof/>
        </w:rPr>
        <w:t>contrast,</w:t>
      </w:r>
      <w:r w:rsidRPr="004D0DE2">
        <w:t xml:space="preserve"> they are the most popular animal represented in the North Aegean Early Bronze Age </w:t>
      </w:r>
      <w:r w:rsidRPr="004D0DE2">
        <w:rPr>
          <w:noProof/>
        </w:rPr>
        <w:t>and</w:t>
      </w:r>
      <w:r w:rsidRPr="004D0DE2">
        <w:t xml:space="preserve"> </w:t>
      </w:r>
      <w:r w:rsidRPr="004D0DE2">
        <w:rPr>
          <w:noProof/>
        </w:rPr>
        <w:t>Early</w:t>
      </w:r>
      <w:r w:rsidRPr="004D0DE2">
        <w:t xml:space="preserve"> </w:t>
      </w:r>
      <w:r w:rsidRPr="004D0DE2">
        <w:lastRenderedPageBreak/>
        <w:t>Helladic art.</w:t>
      </w:r>
      <w:r w:rsidRPr="004D0DE2">
        <w:rPr>
          <w:vertAlign w:val="superscript"/>
        </w:rPr>
        <w:footnoteReference w:id="169"/>
      </w:r>
      <w:r w:rsidRPr="004D0DE2">
        <w:t xml:space="preserve">  No doubt the increased popularity on the mainland is a reflection of the </w:t>
      </w:r>
      <w:r w:rsidRPr="004D0DE2">
        <w:rPr>
          <w:noProof/>
        </w:rPr>
        <w:t>ability</w:t>
      </w:r>
      <w:r w:rsidRPr="004D0DE2">
        <w:t xml:space="preserve"> to raise bovines there on spacious open plains.  The best representations possibly of bovines (ox/cow/bull) in the Early Cycladic period comes from the last phase, EC III (Phylakopi I), from the town of Phylakopi on Melos. The two examples are nearly identical, except for the incised decoration on the body. The example in Athens (V22) features parallel chevrons with a series of short vertical lines connecting the chevron above to the chevron below, while the Cambridge example (V21) appears to have incised vertical lines across the body. However, half of the body has </w:t>
      </w:r>
      <w:r w:rsidRPr="004D0DE2">
        <w:rPr>
          <w:noProof/>
        </w:rPr>
        <w:t>been reconstructed</w:t>
      </w:r>
      <w:r w:rsidRPr="004D0DE2">
        <w:t xml:space="preserve">, so that any other design motif is not discernable; on both examples, the head has been replaced by a spout. </w:t>
      </w:r>
    </w:p>
    <w:p w:rsidR="004D0DE2" w:rsidRPr="004D0DE2" w:rsidRDefault="004D0DE2" w:rsidP="004D0DE2">
      <w:r w:rsidRPr="004D0DE2">
        <w:t xml:space="preserve">           Bulls have a long connection with birth and regeneration.  For example, at Çatalhöyük, many examples of sculpted, uterine-shaped bucrania were found. The Egyptian hieroglyphic symbol for the uterus is a two-horned uterus of a cow.</w:t>
      </w:r>
      <w:r w:rsidRPr="004D0DE2">
        <w:rPr>
          <w:vertAlign w:val="superscript"/>
        </w:rPr>
        <w:footnoteReference w:id="170"/>
      </w:r>
      <w:r w:rsidRPr="004D0DE2">
        <w:t xml:space="preserve">  These animals are ubiquitous in Minoan iconography and the so-called ‘horns of consecration’ were originally interpreted by Sir Arthur Evans to be representations of real bull horns, representative of the sacred bull.  Since then many interpretations have followed including associations with the Egyptian hieroglyph for </w:t>
      </w:r>
      <w:r w:rsidRPr="004D0DE2">
        <w:rPr>
          <w:noProof/>
        </w:rPr>
        <w:t>‘mountain’</w:t>
      </w:r>
      <w:r w:rsidRPr="004D0DE2">
        <w:t xml:space="preserve"> and an astronomical symbol for the sun.</w:t>
      </w:r>
      <w:r w:rsidRPr="004D0DE2">
        <w:rPr>
          <w:vertAlign w:val="superscript"/>
        </w:rPr>
        <w:footnoteReference w:id="171"/>
      </w:r>
      <w:r w:rsidRPr="004D0DE2">
        <w:t xml:space="preserve"> </w:t>
      </w:r>
    </w:p>
    <w:p w:rsidR="004D0DE2" w:rsidRPr="004D0DE2" w:rsidRDefault="004D0DE2" w:rsidP="004D0DE2">
      <w:pPr>
        <w:ind w:firstLine="720"/>
      </w:pPr>
      <w:r w:rsidRPr="004D0DE2">
        <w:lastRenderedPageBreak/>
        <w:t xml:space="preserve">In Early Cycladic art, bull horns are motifs for amulets as in a necklace from </w:t>
      </w:r>
      <w:r w:rsidRPr="004D0DE2">
        <w:rPr>
          <w:noProof/>
        </w:rPr>
        <w:t>Despotiko,</w:t>
      </w:r>
      <w:r w:rsidRPr="004D0DE2">
        <w:t xml:space="preserve"> and from a grave on Ano Kouphonisi, a small cow or bull pendant was found together with phallic beads. Finally, from Melos, a pyxis which features a building model, has a motif above the door which may </w:t>
      </w:r>
      <w:r w:rsidRPr="004D0DE2">
        <w:rPr>
          <w:noProof/>
        </w:rPr>
        <w:t>be interpreted</w:t>
      </w:r>
      <w:r w:rsidRPr="004D0DE2">
        <w:t xml:space="preserve"> as an early form of ‘horns of </w:t>
      </w:r>
      <w:r w:rsidRPr="004D0DE2">
        <w:rPr>
          <w:noProof/>
        </w:rPr>
        <w:t>consecration.'</w:t>
      </w:r>
      <w:r w:rsidRPr="004D0DE2">
        <w:rPr>
          <w:vertAlign w:val="superscript"/>
        </w:rPr>
        <w:t xml:space="preserve"> </w:t>
      </w:r>
      <w:r w:rsidRPr="004D0DE2">
        <w:rPr>
          <w:vertAlign w:val="superscript"/>
        </w:rPr>
        <w:footnoteReference w:id="172"/>
      </w:r>
      <w:r w:rsidRPr="004D0DE2">
        <w:t xml:space="preserve">  In the vessels (V21, V22) I believe associate the bull with the waters of life.  The choice of using a vessel which holds liquid, the zig-zag and linear patterns on the body are representative of water or rivers, and the decision to replace the head with a spout from which the waters will flow support this. These vessels </w:t>
      </w:r>
      <w:r w:rsidRPr="004D0DE2">
        <w:rPr>
          <w:noProof/>
        </w:rPr>
        <w:t>were probably used</w:t>
      </w:r>
      <w:r w:rsidRPr="004D0DE2">
        <w:t xml:space="preserve"> in libation rituals.</w:t>
      </w:r>
    </w:p>
    <w:p w:rsidR="004D0DE2" w:rsidRPr="004D0DE2" w:rsidRDefault="004D0DE2" w:rsidP="002C2FDF">
      <w:pPr>
        <w:pStyle w:val="Heading2"/>
      </w:pPr>
      <w:bookmarkStart w:id="57" w:name="_Toc481343494"/>
      <w:bookmarkStart w:id="58" w:name="_Toc482206683"/>
      <w:r w:rsidRPr="004D0DE2">
        <w:t>Wild Animals</w:t>
      </w:r>
      <w:bookmarkEnd w:id="57"/>
      <w:bookmarkEnd w:id="58"/>
    </w:p>
    <w:p w:rsidR="004D0DE2" w:rsidRPr="004D0DE2" w:rsidRDefault="004D0DE2" w:rsidP="002C2FDF">
      <w:pPr>
        <w:pStyle w:val="Heading3"/>
      </w:pPr>
      <w:bookmarkStart w:id="59" w:name="_Toc481343495"/>
      <w:bookmarkStart w:id="60" w:name="_Toc482206684"/>
      <w:r w:rsidRPr="004D0DE2">
        <w:t>Hedgehogs</w:t>
      </w:r>
      <w:bookmarkEnd w:id="59"/>
      <w:bookmarkEnd w:id="60"/>
    </w:p>
    <w:p w:rsidR="004D0DE2" w:rsidRPr="004D0DE2" w:rsidRDefault="004D0DE2" w:rsidP="004D0DE2">
      <w:pPr>
        <w:ind w:firstLine="720"/>
      </w:pPr>
      <w:r w:rsidRPr="004D0DE2">
        <w:t xml:space="preserve">Hedgehogs </w:t>
      </w:r>
      <w:r w:rsidR="00383C0A">
        <w:t xml:space="preserve">were prevalent across the Aegean in the Bronze Age and still are today.  They </w:t>
      </w:r>
      <w:r w:rsidRPr="004D0DE2">
        <w:t xml:space="preserve">are nocturnal </w:t>
      </w:r>
      <w:r w:rsidRPr="004D0DE2">
        <w:rPr>
          <w:noProof/>
        </w:rPr>
        <w:t>animals</w:t>
      </w:r>
      <w:r w:rsidRPr="004D0DE2">
        <w:t xml:space="preserve"> and therefore have a lunar association.  Because they are known to hibernate, they </w:t>
      </w:r>
      <w:r w:rsidRPr="004D0DE2">
        <w:rPr>
          <w:noProof/>
        </w:rPr>
        <w:t>are associated</w:t>
      </w:r>
      <w:r w:rsidRPr="004D0DE2">
        <w:t xml:space="preserve"> with Death and Regeneration, which explains why they </w:t>
      </w:r>
      <w:r w:rsidRPr="004D0DE2">
        <w:rPr>
          <w:noProof/>
        </w:rPr>
        <w:t>are often found</w:t>
      </w:r>
      <w:r w:rsidRPr="004D0DE2">
        <w:t xml:space="preserve"> in cemeteries and tombs.  Ancient beliefs include the power to rejuvenate, beautify, have an influence over sexual activity, and ability to heal wounds (when the fat of the animal is applied).</w:t>
      </w:r>
      <w:r w:rsidRPr="004D0DE2">
        <w:rPr>
          <w:vertAlign w:val="superscript"/>
        </w:rPr>
        <w:footnoteReference w:id="173"/>
      </w:r>
      <w:r w:rsidRPr="004D0DE2">
        <w:t xml:space="preserve">  </w:t>
      </w:r>
    </w:p>
    <w:p w:rsidR="004D0DE2" w:rsidRPr="004D0DE2" w:rsidRDefault="004D0DE2" w:rsidP="004D0DE2">
      <w:pPr>
        <w:ind w:firstLine="720"/>
      </w:pPr>
      <w:r w:rsidRPr="004D0DE2">
        <w:rPr>
          <w:noProof/>
        </w:rPr>
        <w:t xml:space="preserve">The painted decorative motifs, which are the best-preserved example, seen on the Syros vessel (V11), are argued by Gimbutas to symbolize the net motif (cross-hatching on its back, presumably also representing its spiny quills), and the tri-line motif on its stomach (which can be seen as representations of the hedgehog rolling itself </w:t>
      </w:r>
      <w:r w:rsidRPr="004D0DE2">
        <w:rPr>
          <w:noProof/>
        </w:rPr>
        <w:lastRenderedPageBreak/>
        <w:t>into a protective ball).</w:t>
      </w:r>
      <w:r w:rsidRPr="004D0DE2">
        <w:t xml:space="preserve"> The net motif is associated as a symbol of becoming and often appears with complimentary symbols: egg, vulva, uterus, fish bladder forms, and plant leaves.  The implication is that the net </w:t>
      </w:r>
      <w:r w:rsidRPr="004D0DE2">
        <w:rPr>
          <w:noProof/>
        </w:rPr>
        <w:t>is connected</w:t>
      </w:r>
      <w:r w:rsidRPr="004D0DE2">
        <w:t xml:space="preserve"> to aqua-cosmogony—the life source, the </w:t>
      </w:r>
      <w:r w:rsidRPr="004D0DE2">
        <w:rPr>
          <w:noProof/>
        </w:rPr>
        <w:t>birth</w:t>
      </w:r>
      <w:r w:rsidRPr="004D0DE2">
        <w:t xml:space="preserve"> of humans, animals and plants—and therefore the Birth-Giving Goddess.</w:t>
      </w:r>
      <w:r w:rsidRPr="004D0DE2">
        <w:rPr>
          <w:vertAlign w:val="superscript"/>
        </w:rPr>
        <w:footnoteReference w:id="174"/>
      </w:r>
      <w:r w:rsidRPr="004D0DE2">
        <w:t xml:space="preserve">  Interestingly, in the cultures of Gimbutas’s Old Europe, the hedgehog is associated with the uterus.  The German word for a cow’s uterus, which after giving birth remains enlarged and covered in warts, is the word for hedgehog, “</w:t>
      </w:r>
      <w:r w:rsidRPr="004D0DE2">
        <w:rPr>
          <w:i/>
        </w:rPr>
        <w:t>Igel</w:t>
      </w:r>
      <w:r w:rsidRPr="004D0DE2">
        <w:rPr>
          <w:noProof/>
        </w:rPr>
        <w:t>.”</w:t>
      </w:r>
      <w:r w:rsidRPr="004D0DE2">
        <w:rPr>
          <w:vertAlign w:val="superscript"/>
        </w:rPr>
        <w:footnoteReference w:id="175"/>
      </w:r>
      <w:r w:rsidRPr="004D0DE2">
        <w:t xml:space="preserve">  The tri-line motif is known to appear concurrently with the net.</w:t>
      </w:r>
      <w:r w:rsidRPr="004D0DE2">
        <w:rPr>
          <w:vertAlign w:val="superscript"/>
        </w:rPr>
        <w:footnoteReference w:id="176"/>
      </w:r>
      <w:r w:rsidRPr="004D0DE2">
        <w:t xml:space="preserve">  </w:t>
      </w:r>
    </w:p>
    <w:p w:rsidR="004D0DE2" w:rsidRPr="004D0DE2" w:rsidRDefault="004D0DE2" w:rsidP="004D0DE2">
      <w:r w:rsidRPr="004D0DE2">
        <w:tab/>
        <w:t>Large, hollow animal figures, like these, are usually rhyta and known from children’s graves in Mycenaean or Geometric periods.</w:t>
      </w:r>
      <w:r w:rsidRPr="004D0DE2">
        <w:rPr>
          <w:vertAlign w:val="superscript"/>
        </w:rPr>
        <w:footnoteReference w:id="177"/>
      </w:r>
      <w:r w:rsidRPr="004D0DE2">
        <w:t xml:space="preserve"> Although the Syros vessel has </w:t>
      </w:r>
      <w:r w:rsidRPr="004D0DE2">
        <w:rPr>
          <w:noProof/>
        </w:rPr>
        <w:t>often been</w:t>
      </w:r>
      <w:r w:rsidRPr="004D0DE2">
        <w:t xml:space="preserve"> referred to as a bear, especially by earlier scholars, it is believed now to represent a hedgehog. I propose that the vessels, (V11-V15), which show an animal sitting upright on its hind legs and holding a bowl with its forepaws, represent hedgehogs.  This argument is a large departure from prevailing theories which identify (V12) and (V13) as pigs.  However, I believe this to be a misidentification, just as the Syros vessel was originally believed to be a bear.  </w:t>
      </w:r>
      <w:r w:rsidR="00383C0A">
        <w:t xml:space="preserve">We cannot always rely on visual appearance alone in these simplified animals, but </w:t>
      </w:r>
      <w:r w:rsidR="00F62475">
        <w:t xml:space="preserve">we can learn more by looking at their historical context.  </w:t>
      </w:r>
      <w:r w:rsidRPr="004D0DE2">
        <w:t xml:space="preserve">Referring specifically to the Syros hedgehog, </w:t>
      </w:r>
      <w:r w:rsidRPr="004D0DE2">
        <w:rPr>
          <w:noProof/>
        </w:rPr>
        <w:t>Thimme</w:t>
      </w:r>
      <w:r w:rsidRPr="004D0DE2">
        <w:t xml:space="preserve"> quotes J.L. </w:t>
      </w:r>
      <w:r w:rsidRPr="004D0DE2">
        <w:lastRenderedPageBreak/>
        <w:t xml:space="preserve">Caskey, the archaeologist responsible for original </w:t>
      </w:r>
      <w:r w:rsidRPr="004D0DE2">
        <w:rPr>
          <w:noProof/>
        </w:rPr>
        <w:t>excavations</w:t>
      </w:r>
      <w:r w:rsidRPr="004D0DE2">
        <w:t xml:space="preserve"> at Ayia Irini, where a hedgehog fragment </w:t>
      </w:r>
      <w:r w:rsidRPr="004D0DE2">
        <w:rPr>
          <w:noProof/>
        </w:rPr>
        <w:t>was found</w:t>
      </w:r>
      <w:r w:rsidRPr="004D0DE2">
        <w:t xml:space="preserve">: </w:t>
      </w:r>
    </w:p>
    <w:p w:rsidR="004D0DE2" w:rsidRPr="004D0DE2" w:rsidRDefault="004D0DE2" w:rsidP="004D0DE2">
      <w:pPr>
        <w:spacing w:line="240" w:lineRule="auto"/>
        <w:ind w:left="720"/>
      </w:pPr>
      <w:r w:rsidRPr="004D0DE2">
        <w:t xml:space="preserve">The animal is an example of Cycladic whimsy. There is no need to speculate about the species represented; in </w:t>
      </w:r>
      <w:r w:rsidRPr="004D0DE2">
        <w:rPr>
          <w:noProof/>
        </w:rPr>
        <w:t>spirit</w:t>
      </w:r>
      <w:r w:rsidRPr="004D0DE2">
        <w:t xml:space="preserve"> it is to be likened to one of our </w:t>
      </w:r>
      <w:r w:rsidRPr="004D0DE2">
        <w:rPr>
          <w:noProof/>
        </w:rPr>
        <w:t>own</w:t>
      </w:r>
      <w:r w:rsidRPr="004D0DE2">
        <w:t xml:space="preserve"> favorite toys, the Teddy-bear</w:t>
      </w:r>
      <w:r w:rsidRPr="004D0DE2">
        <w:rPr>
          <w:noProof/>
        </w:rPr>
        <w:t xml:space="preserve">…. </w:t>
      </w:r>
      <w:r w:rsidRPr="004D0DE2">
        <w:t>The evidence is sufficient, however</w:t>
      </w:r>
      <w:r w:rsidRPr="004D0DE2">
        <w:rPr>
          <w:noProof/>
        </w:rPr>
        <w:t>…</w:t>
      </w:r>
      <w:r w:rsidRPr="004D0DE2">
        <w:t>to identify the creature represented…as a hedgehog. The rendering is careful and naturalistic. The quills are indicated by a broad pattern of cross-hatching on the well-known example from Syros as well as on later Mycenaean, Assyrian and Egyptian representations of hedgehogs. As early as Neolithic times terracotta hedgehogs repeatedly occur in the Vin</w:t>
      </w:r>
      <w:r w:rsidRPr="004D0DE2">
        <w:rPr>
          <w:rFonts w:cstheme="minorHAnsi"/>
        </w:rPr>
        <w:t>č</w:t>
      </w:r>
      <w:r w:rsidRPr="004D0DE2">
        <w:t>a and Cucuteni cultures of the Balkans.</w:t>
      </w:r>
      <w:r w:rsidRPr="004D0DE2">
        <w:rPr>
          <w:vertAlign w:val="superscript"/>
        </w:rPr>
        <w:footnoteReference w:id="178"/>
      </w:r>
    </w:p>
    <w:p w:rsidR="004D0DE2" w:rsidRPr="004D0DE2" w:rsidRDefault="004D0DE2" w:rsidP="004D0DE2"/>
    <w:p w:rsidR="004D0DE2" w:rsidRPr="004D0DE2" w:rsidRDefault="004D0DE2" w:rsidP="004D0DE2">
      <w:pPr>
        <w:ind w:firstLine="720"/>
      </w:pPr>
      <w:r w:rsidRPr="004D0DE2">
        <w:t xml:space="preserve">I propose that the differences in aesthetics can </w:t>
      </w:r>
      <w:r w:rsidRPr="004D0DE2">
        <w:rPr>
          <w:noProof/>
        </w:rPr>
        <w:t>be attributed</w:t>
      </w:r>
      <w:r w:rsidRPr="004D0DE2">
        <w:t xml:space="preserve"> to local culture, which has </w:t>
      </w:r>
      <w:r w:rsidRPr="004D0DE2">
        <w:rPr>
          <w:noProof/>
        </w:rPr>
        <w:t>been established</w:t>
      </w:r>
      <w:r w:rsidRPr="004D0DE2">
        <w:t xml:space="preserve"> in the discussions on chronology and the maritime trade. “The selection of a stylized or exaggerated form is best understood as the craftsperson’s wish to emphasize a </w:t>
      </w:r>
      <w:r w:rsidRPr="004D0DE2">
        <w:rPr>
          <w:noProof/>
        </w:rPr>
        <w:t>particularly</w:t>
      </w:r>
      <w:r w:rsidRPr="004D0DE2">
        <w:t xml:space="preserve"> desirable or representative quality of the animal.”</w:t>
      </w:r>
      <w:r w:rsidRPr="004D0DE2">
        <w:rPr>
          <w:vertAlign w:val="superscript"/>
        </w:rPr>
        <w:footnoteReference w:id="179"/>
      </w:r>
      <w:r w:rsidRPr="004D0DE2">
        <w:t xml:space="preserve"> Because of the lack of central administration, community, or worship, it is not reasonable to think that the craftsmanship would be uniform or formulaic. These objects are wild animals represented with human qualities (sitting upright, holding a bowl), which may mean they represent a divinity in an animal </w:t>
      </w:r>
      <w:r w:rsidRPr="004D0DE2">
        <w:rPr>
          <w:noProof/>
        </w:rPr>
        <w:t>disguise</w:t>
      </w:r>
      <w:r w:rsidRPr="004D0DE2">
        <w:t xml:space="preserve"> or a sacred animal in service of a deity. The intriguing feature of these vessels, having only a single opening for pouring out liquids and no secondary opening for a person to pour the </w:t>
      </w:r>
      <w:r w:rsidRPr="004D0DE2">
        <w:rPr>
          <w:noProof/>
        </w:rPr>
        <w:t>liquid</w:t>
      </w:r>
      <w:r w:rsidRPr="004D0DE2">
        <w:t xml:space="preserve"> into the vessel, might be symbolic of the disguised deity symbolically pouring out of itself from </w:t>
      </w:r>
      <w:r w:rsidRPr="004D0DE2">
        <w:rPr>
          <w:noProof/>
        </w:rPr>
        <w:t>within</w:t>
      </w:r>
      <w:r w:rsidRPr="004D0DE2">
        <w:t xml:space="preserve">. Broodbank, </w:t>
      </w:r>
      <w:r w:rsidRPr="004D0DE2">
        <w:rPr>
          <w:noProof/>
        </w:rPr>
        <w:t>in reference to</w:t>
      </w:r>
      <w:r w:rsidRPr="004D0DE2">
        <w:t xml:space="preserve"> the Syros vessel, calls it a “drinking hedgehog </w:t>
      </w:r>
      <w:r w:rsidRPr="004D0DE2">
        <w:lastRenderedPageBreak/>
        <w:t>figurine.”</w:t>
      </w:r>
      <w:r w:rsidRPr="004D0DE2">
        <w:rPr>
          <w:vertAlign w:val="superscript"/>
        </w:rPr>
        <w:footnoteReference w:id="180"/>
      </w:r>
      <w:r w:rsidRPr="004D0DE2">
        <w:t xml:space="preserve">  I argue that the liquid was probably fresh water—a precious resource of life-giving liquid. This animal, chosen for representation because of certain qualities associated with </w:t>
      </w:r>
      <w:r w:rsidRPr="004D0DE2">
        <w:rPr>
          <w:noProof/>
        </w:rPr>
        <w:t>it,</w:t>
      </w:r>
      <w:r w:rsidRPr="004D0DE2">
        <w:t xml:space="preserve"> may be </w:t>
      </w:r>
      <w:r w:rsidRPr="004D0DE2">
        <w:rPr>
          <w:noProof/>
        </w:rPr>
        <w:t>modeling</w:t>
      </w:r>
      <w:r w:rsidRPr="004D0DE2">
        <w:t xml:space="preserve"> behavior for devotees. If we follow Renfrew’s theory of domestic cults, the hedgehogs would be considered cult images and used in household rituals.  They may even have </w:t>
      </w:r>
      <w:r w:rsidRPr="004D0DE2">
        <w:rPr>
          <w:noProof/>
        </w:rPr>
        <w:t>been manufactured</w:t>
      </w:r>
      <w:r w:rsidRPr="004D0DE2">
        <w:t xml:space="preserve"> at home, which would also explain the aesthetic differences. </w:t>
      </w:r>
    </w:p>
    <w:p w:rsidR="004D0DE2" w:rsidRPr="004D0DE2" w:rsidRDefault="004D0DE2" w:rsidP="002C2FDF">
      <w:pPr>
        <w:pStyle w:val="Heading3"/>
      </w:pPr>
      <w:bookmarkStart w:id="61" w:name="_Toc481343496"/>
      <w:bookmarkStart w:id="62" w:name="_Toc482206685"/>
      <w:r w:rsidRPr="004D0DE2">
        <w:t>Birds</w:t>
      </w:r>
      <w:bookmarkEnd w:id="61"/>
      <w:bookmarkEnd w:id="62"/>
      <w:r w:rsidRPr="004D0DE2">
        <w:t xml:space="preserve"> </w:t>
      </w:r>
    </w:p>
    <w:p w:rsidR="004D0DE2" w:rsidRPr="004D0DE2" w:rsidRDefault="004D0DE2" w:rsidP="004D0DE2">
      <w:r w:rsidRPr="004D0DE2">
        <w:tab/>
        <w:t xml:space="preserve">The popular notion of birds is that as a symbol of the soul, which relates largely to Christianity; however, the symbolism dates back much further.  The Egyptian </w:t>
      </w:r>
      <w:r w:rsidRPr="004D0DE2">
        <w:rPr>
          <w:i/>
          <w:noProof/>
        </w:rPr>
        <w:t>ba</w:t>
      </w:r>
      <w:r w:rsidRPr="004D0DE2">
        <w:t xml:space="preserve"> hovers over the mummy in tomb </w:t>
      </w:r>
      <w:r w:rsidRPr="004D0DE2">
        <w:rPr>
          <w:noProof/>
        </w:rPr>
        <w:t>paintings,</w:t>
      </w:r>
      <w:r w:rsidRPr="004D0DE2">
        <w:t xml:space="preserve"> and commonly, m</w:t>
      </w:r>
      <w:r w:rsidRPr="004D0DE2">
        <w:rPr>
          <w:noProof/>
        </w:rPr>
        <w:t>igration of birds may have been interpreted by ancient peoples</w:t>
      </w:r>
      <w:r w:rsidRPr="004D0DE2">
        <w:t xml:space="preserve"> as a “mysterious seasonal disappearance and reappearance” similar to that of hibernating animals, which symbolizes re-emergence and rebirth.  In both cases, spring brings new life, and water birds, like snake and frogs, have a special significance since they inhabit both land and water.  Gimbutas argues that their representation both in the form of vessels and as decoration on vessels connotes the life-giving power of liquids (specifically fresh water) poured as libation offerings.</w:t>
      </w:r>
      <w:r w:rsidRPr="004D0DE2">
        <w:rPr>
          <w:vertAlign w:val="superscript"/>
        </w:rPr>
        <w:footnoteReference w:id="181"/>
      </w:r>
    </w:p>
    <w:p w:rsidR="004D0DE2" w:rsidRPr="004D0DE2" w:rsidRDefault="004D0DE2" w:rsidP="004D0DE2">
      <w:pPr>
        <w:ind w:firstLine="720"/>
      </w:pPr>
      <w:r w:rsidRPr="004D0DE2">
        <w:t xml:space="preserve">Doves are the most commonly identified bird imagery in Early Cycladic art. “The choice of the dove as an ornament of ritual objects suggests that this bird was sacred to the great goddess of the Cyclades just as it was to her Mycenaean </w:t>
      </w:r>
      <w:r w:rsidRPr="004D0DE2">
        <w:lastRenderedPageBreak/>
        <w:t>successor.”</w:t>
      </w:r>
      <w:r w:rsidRPr="004D0DE2">
        <w:rPr>
          <w:vertAlign w:val="superscript"/>
        </w:rPr>
        <w:footnoteReference w:id="182"/>
      </w:r>
      <w:r w:rsidRPr="004D0DE2">
        <w:t xml:space="preserve">  Doves are sacred to both Aphrodite </w:t>
      </w:r>
      <w:r w:rsidRPr="004D0DE2">
        <w:rPr>
          <w:noProof/>
        </w:rPr>
        <w:t>and</w:t>
      </w:r>
      <w:r w:rsidRPr="004D0DE2">
        <w:t xml:space="preserve"> Zeus, bringing them ambrosia,</w:t>
      </w:r>
      <w:r w:rsidRPr="004D0DE2">
        <w:rPr>
          <w:vertAlign w:val="superscript"/>
        </w:rPr>
        <w:footnoteReference w:id="183"/>
      </w:r>
      <w:r w:rsidRPr="004D0DE2">
        <w:t xml:space="preserve"> while Athena and Hera both assumed the form of a dove in the writings of Homer.</w:t>
      </w:r>
      <w:r w:rsidRPr="004D0DE2">
        <w:rPr>
          <w:vertAlign w:val="superscript"/>
        </w:rPr>
        <w:footnoteReference w:id="184"/>
      </w:r>
      <w:r w:rsidRPr="004D0DE2">
        <w:t xml:space="preserve">  Doves are birds of spring and may </w:t>
      </w:r>
      <w:r w:rsidRPr="004D0DE2">
        <w:rPr>
          <w:noProof/>
        </w:rPr>
        <w:t>be associated</w:t>
      </w:r>
      <w:r w:rsidRPr="004D0DE2">
        <w:t xml:space="preserve"> with the </w:t>
      </w:r>
      <w:r w:rsidRPr="004D0DE2">
        <w:rPr>
          <w:noProof/>
        </w:rPr>
        <w:t>reincarnation</w:t>
      </w:r>
      <w:r w:rsidRPr="004D0DE2">
        <w:t xml:space="preserve"> of the soul and the prevalence of their occurrence in Early Cycladic art primarily at Keros, is one reason why Keros is thought to be a ritual center.  </w:t>
      </w:r>
      <w:r w:rsidRPr="004D0DE2">
        <w:rPr>
          <w:noProof/>
        </w:rPr>
        <w:t>This</w:t>
      </w:r>
      <w:r w:rsidRPr="004D0DE2">
        <w:t xml:space="preserve"> is especially true for the Dove Trays (V4 and V5, and the fragments F1-F3), which </w:t>
      </w:r>
      <w:r w:rsidRPr="004D0DE2">
        <w:rPr>
          <w:noProof/>
        </w:rPr>
        <w:t>are only found</w:t>
      </w:r>
      <w:r w:rsidRPr="004D0DE2">
        <w:t xml:space="preserve"> on Keros.  The shape is nearly identical to the enigmatic </w:t>
      </w:r>
      <w:r w:rsidRPr="004D0DE2">
        <w:rPr>
          <w:noProof/>
        </w:rPr>
        <w:t>‘frying-pan,'</w:t>
      </w:r>
      <w:r w:rsidRPr="004D0DE2">
        <w:t xml:space="preserve"> and in both cases the true function is unknown.  One suggestion is that it may have </w:t>
      </w:r>
      <w:r w:rsidRPr="004D0DE2">
        <w:rPr>
          <w:noProof/>
        </w:rPr>
        <w:t>been filled</w:t>
      </w:r>
      <w:r w:rsidRPr="004D0DE2">
        <w:t xml:space="preserve"> with grain as an offering to a deity represented by the doves.  Marco Masseti has identified several bird species from later Minoan frescos, among them the rock dove. From wall frescoes from Ayia Irini on Kea, Sector Alpha at Akrotiri on Thera and the ‘blue monkey and blue bird’ fresco from the House of Frescoes at Knossos, he recognized identical depictions of the rock dove.  The wild species of the rock dove is still reported in the Aegean Islands and on Crete.</w:t>
      </w:r>
      <w:r w:rsidRPr="004D0DE2">
        <w:rPr>
          <w:vertAlign w:val="superscript"/>
        </w:rPr>
        <w:footnoteReference w:id="185"/>
      </w:r>
    </w:p>
    <w:p w:rsidR="004D0DE2" w:rsidRPr="004D0DE2" w:rsidRDefault="004D0DE2" w:rsidP="004D0DE2">
      <w:r w:rsidRPr="004D0DE2">
        <w:tab/>
        <w:t xml:space="preserve">Of the remaining bird vessels from the catalog (V7-V10), the two-headed bird </w:t>
      </w:r>
      <w:r w:rsidRPr="004D0DE2">
        <w:rPr>
          <w:noProof/>
        </w:rPr>
        <w:t>pyxis</w:t>
      </w:r>
      <w:r w:rsidRPr="004D0DE2">
        <w:t xml:space="preserve"> is of particular interest.  The representation of two bird heads on one vessel may </w:t>
      </w:r>
      <w:r w:rsidRPr="004D0DE2">
        <w:rPr>
          <w:noProof/>
        </w:rPr>
        <w:t>be explained</w:t>
      </w:r>
      <w:r w:rsidRPr="004D0DE2">
        <w:t xml:space="preserve"> by Gimbutas’s theory of the “power of two</w:t>
      </w:r>
      <w:r w:rsidRPr="004D0DE2">
        <w:rPr>
          <w:noProof/>
        </w:rPr>
        <w:t>.”</w:t>
      </w:r>
      <w:r w:rsidRPr="004D0DE2">
        <w:rPr>
          <w:vertAlign w:val="superscript"/>
        </w:rPr>
        <w:footnoteReference w:id="186"/>
      </w:r>
      <w:r w:rsidRPr="004D0DE2">
        <w:t xml:space="preserve">  A double representation (Siamese twins) symbolizes intensification of potency and abundance.  Though this vessel is the only depiction of a double in zoomorphic figures, it </w:t>
      </w:r>
      <w:r w:rsidRPr="004D0DE2">
        <w:rPr>
          <w:noProof/>
        </w:rPr>
        <w:t>is well attested</w:t>
      </w:r>
      <w:r w:rsidRPr="004D0DE2">
        <w:t xml:space="preserve"> to in </w:t>
      </w:r>
      <w:r w:rsidRPr="004D0DE2">
        <w:lastRenderedPageBreak/>
        <w:t>various sites and phases of the Vin</w:t>
      </w:r>
      <w:r w:rsidRPr="004D0DE2">
        <w:rPr>
          <w:rFonts w:cstheme="minorHAnsi"/>
        </w:rPr>
        <w:t>č</w:t>
      </w:r>
      <w:r w:rsidRPr="004D0DE2">
        <w:t xml:space="preserve">a culture and at Çatalhöyük, c. 6500 BCE.  In the Aegean </w:t>
      </w:r>
      <w:r w:rsidRPr="004D0DE2">
        <w:rPr>
          <w:noProof/>
        </w:rPr>
        <w:t>and</w:t>
      </w:r>
      <w:r w:rsidRPr="004D0DE2">
        <w:t xml:space="preserve"> Anatolia, representations of two-headed figurines continue into the Archaic Greek </w:t>
      </w:r>
      <w:r w:rsidRPr="004D0DE2">
        <w:rPr>
          <w:noProof/>
        </w:rPr>
        <w:t>period,</w:t>
      </w:r>
      <w:r w:rsidRPr="004D0DE2">
        <w:t xml:space="preserve"> and Gimbutas surmises that they represent a double aspect of the Bird Goddess as two sisters.</w:t>
      </w:r>
      <w:r w:rsidRPr="004D0DE2">
        <w:rPr>
          <w:vertAlign w:val="superscript"/>
        </w:rPr>
        <w:footnoteReference w:id="187"/>
      </w:r>
      <w:r w:rsidRPr="004D0DE2">
        <w:t xml:space="preserve">  While the figurines from the other cultures allude to the Bird Goddess through </w:t>
      </w:r>
      <w:r w:rsidRPr="004D0DE2">
        <w:rPr>
          <w:noProof/>
        </w:rPr>
        <w:t>beaks</w:t>
      </w:r>
      <w:r w:rsidRPr="004D0DE2">
        <w:t xml:space="preserve">, masks and symbolic marks, the figurine here is overtly representative.  </w:t>
      </w:r>
    </w:p>
    <w:p w:rsidR="004D0DE2" w:rsidRPr="004D0DE2" w:rsidRDefault="004D0DE2" w:rsidP="004D0DE2">
      <w:r w:rsidRPr="004D0DE2">
        <w:t xml:space="preserve">               The symbolic interpretation of the jewelry, the </w:t>
      </w:r>
      <w:r w:rsidRPr="004D0DE2">
        <w:rPr>
          <w:noProof/>
        </w:rPr>
        <w:t>amulets,</w:t>
      </w:r>
      <w:r w:rsidRPr="004D0DE2">
        <w:t xml:space="preserve"> and pins, remains the </w:t>
      </w:r>
      <w:r w:rsidRPr="004D0DE2">
        <w:rPr>
          <w:noProof/>
        </w:rPr>
        <w:t>same,</w:t>
      </w:r>
      <w:r w:rsidRPr="004D0DE2">
        <w:t xml:space="preserve"> but the functions vary.  </w:t>
      </w:r>
      <w:r w:rsidRPr="004D0DE2">
        <w:rPr>
          <w:noProof/>
        </w:rPr>
        <w:t>Amulets may have been worn by islanders</w:t>
      </w:r>
      <w:r w:rsidRPr="004D0DE2">
        <w:t xml:space="preserve"> for the </w:t>
      </w:r>
      <w:r w:rsidRPr="004D0DE2">
        <w:rPr>
          <w:noProof/>
        </w:rPr>
        <w:t>protection</w:t>
      </w:r>
      <w:r w:rsidRPr="004D0DE2">
        <w:t xml:space="preserve"> of the Bird Goddess, or to embody power or characteristics of the goddess by wearing the representation.  They could have been worn daily, or only during ritual practices.  Since dove representations are found primarily at Keros, and Keros is thought to have been a pan-Cycladic ritual center, one theory concerning bird amulets may be that they were worn only by priests or shaman at Keros.  There </w:t>
      </w:r>
      <w:r w:rsidRPr="004D0DE2">
        <w:rPr>
          <w:noProof/>
        </w:rPr>
        <w:t>is, however,</w:t>
      </w:r>
      <w:r w:rsidRPr="004D0DE2">
        <w:t xml:space="preserve"> no evidence supporting this.  </w:t>
      </w:r>
    </w:p>
    <w:p w:rsidR="004D0DE2" w:rsidRPr="004D0DE2" w:rsidRDefault="004D0DE2" w:rsidP="004D0DE2">
      <w:pPr>
        <w:ind w:firstLine="720"/>
      </w:pPr>
      <w:r w:rsidRPr="004D0DE2">
        <w:t xml:space="preserve">Pins may have </w:t>
      </w:r>
      <w:r w:rsidRPr="004D0DE2">
        <w:rPr>
          <w:noProof/>
        </w:rPr>
        <w:t>been used</w:t>
      </w:r>
      <w:r w:rsidRPr="004D0DE2">
        <w:t xml:space="preserve"> for the same purposes, but as fasteners for clothing.  Although, Broodbank argues that pins may have </w:t>
      </w:r>
      <w:r w:rsidRPr="004D0DE2">
        <w:rPr>
          <w:noProof/>
        </w:rPr>
        <w:t>been used</w:t>
      </w:r>
      <w:r w:rsidRPr="004D0DE2">
        <w:t xml:space="preserve"> for ritual tattooing.</w:t>
      </w:r>
      <w:r w:rsidRPr="004D0DE2">
        <w:rPr>
          <w:vertAlign w:val="superscript"/>
        </w:rPr>
        <w:footnoteReference w:id="188"/>
      </w:r>
      <w:r w:rsidRPr="004D0DE2">
        <w:t xml:space="preserve"> This theory may </w:t>
      </w:r>
      <w:r w:rsidRPr="004D0DE2">
        <w:rPr>
          <w:noProof/>
        </w:rPr>
        <w:t>be supported</w:t>
      </w:r>
      <w:r w:rsidRPr="004D0DE2">
        <w:t xml:space="preserve"> by paint traces found on the marble idols, and Elizabeth Hendrix observed paint traces on more than two hundred figurines.  Motifs on the figurines included anatomical, jewelry, and symbolic elements.</w:t>
      </w:r>
      <w:r w:rsidRPr="004D0DE2">
        <w:rPr>
          <w:vertAlign w:val="superscript"/>
        </w:rPr>
        <w:footnoteReference w:id="189"/>
      </w:r>
      <w:r w:rsidRPr="004D0DE2">
        <w:t xml:space="preserve">  The presence of symbolic motifs painted on various parts of the figurines might point to a practice of </w:t>
      </w:r>
      <w:r w:rsidRPr="004D0DE2">
        <w:lastRenderedPageBreak/>
        <w:t xml:space="preserve">ritual tattooing. Four pins with a dove finial have been </w:t>
      </w:r>
      <w:r w:rsidRPr="004D0DE2">
        <w:rPr>
          <w:noProof/>
        </w:rPr>
        <w:t>cataloged</w:t>
      </w:r>
      <w:r w:rsidRPr="004D0DE2">
        <w:t xml:space="preserve"> here from the Chalandriani cemetery on Syros.  These </w:t>
      </w:r>
      <w:r w:rsidRPr="004D0DE2">
        <w:rPr>
          <w:noProof/>
        </w:rPr>
        <w:t>were found</w:t>
      </w:r>
      <w:r w:rsidRPr="004D0DE2">
        <w:t xml:space="preserve"> during the excavations (five hundred forty graves) carried out by Christos Tsountas in 1898.  From 2002-2008, Marisa </w:t>
      </w:r>
      <w:r w:rsidRPr="004D0DE2">
        <w:rPr>
          <w:noProof/>
        </w:rPr>
        <w:t>Marthari</w:t>
      </w:r>
      <w:r w:rsidRPr="004D0DE2">
        <w:t xml:space="preserve"> carried out a rescue excavation at Chalandriani where twenty-eight previously undisturbed graves of the corbelled type </w:t>
      </w:r>
      <w:r w:rsidRPr="004D0DE2">
        <w:rPr>
          <w:noProof/>
        </w:rPr>
        <w:t>were found</w:t>
      </w:r>
      <w:r w:rsidRPr="004D0DE2">
        <w:t>.  In Grave VII three bone pins were found: one with a finial carved like a marble idol, one pin’s finial was missing, and the third was a bird pin, “much damaged,” presumably like the four cataloged here.</w:t>
      </w:r>
      <w:r w:rsidRPr="004D0DE2">
        <w:rPr>
          <w:vertAlign w:val="superscript"/>
        </w:rPr>
        <w:footnoteReference w:id="190"/>
      </w:r>
    </w:p>
    <w:p w:rsidR="004D0DE2" w:rsidRPr="004D0DE2" w:rsidRDefault="004D0DE2" w:rsidP="004D0DE2">
      <w:r w:rsidRPr="004D0DE2">
        <w:tab/>
        <w:t xml:space="preserve">Swans </w:t>
      </w:r>
      <w:r w:rsidRPr="004D0DE2">
        <w:rPr>
          <w:noProof/>
        </w:rPr>
        <w:t>are known</w:t>
      </w:r>
      <w:r w:rsidRPr="004D0DE2">
        <w:t xml:space="preserve"> in Early Cycladic art only as an element of the marble “harper” figurines.  There are only ten such figures known to me with a human figure similar in form to the folded-arm figurines, identified as male and seated on a chair or stool, holds a lyre or harp.  His arms are positioned in the act of holding the </w:t>
      </w:r>
      <w:r w:rsidRPr="004D0DE2">
        <w:rPr>
          <w:noProof/>
        </w:rPr>
        <w:t>instrument</w:t>
      </w:r>
      <w:r w:rsidRPr="004D0DE2">
        <w:t xml:space="preserve"> as if about to play, while the sound box rests on his leg.  The distinctive shape of the frame of the instrument is thought to be the neck and head of a swan.</w:t>
      </w:r>
      <w:r w:rsidRPr="004D0DE2">
        <w:rPr>
          <w:vertAlign w:val="superscript"/>
        </w:rPr>
        <w:footnoteReference w:id="191"/>
      </w:r>
      <w:r w:rsidRPr="004D0DE2">
        <w:t xml:space="preserve">  </w:t>
      </w:r>
    </w:p>
    <w:p w:rsidR="004D0DE2" w:rsidRPr="004D0DE2" w:rsidRDefault="004D0DE2" w:rsidP="004D0DE2">
      <w:pPr>
        <w:ind w:firstLine="720"/>
      </w:pPr>
      <w:r w:rsidRPr="004D0DE2">
        <w:t xml:space="preserve">Swans have a long history of symbolism in most religions of the </w:t>
      </w:r>
      <w:r w:rsidRPr="004D0DE2">
        <w:rPr>
          <w:noProof/>
        </w:rPr>
        <w:t>ancient</w:t>
      </w:r>
      <w:r w:rsidRPr="004D0DE2">
        <w:t xml:space="preserve"> world and </w:t>
      </w:r>
      <w:r w:rsidRPr="004D0DE2">
        <w:rPr>
          <w:noProof/>
        </w:rPr>
        <w:t>are often associated</w:t>
      </w:r>
      <w:r w:rsidRPr="004D0DE2">
        <w:t xml:space="preserve"> with music.  Among the many species of swans, only two </w:t>
      </w:r>
      <w:r w:rsidRPr="004D0DE2">
        <w:rPr>
          <w:noProof/>
        </w:rPr>
        <w:t>can</w:t>
      </w:r>
      <w:r w:rsidRPr="004D0DE2">
        <w:t xml:space="preserve"> “sing:” the </w:t>
      </w:r>
      <w:r w:rsidRPr="004D0DE2">
        <w:rPr>
          <w:i/>
        </w:rPr>
        <w:t xml:space="preserve">Cygnus </w:t>
      </w:r>
      <w:r w:rsidRPr="004D0DE2">
        <w:rPr>
          <w:i/>
          <w:noProof/>
        </w:rPr>
        <w:t>musicus</w:t>
      </w:r>
      <w:r w:rsidRPr="004D0DE2">
        <w:t xml:space="preserve"> inhabited North Africa, </w:t>
      </w:r>
      <w:r w:rsidRPr="004D0DE2">
        <w:rPr>
          <w:noProof/>
        </w:rPr>
        <w:t>Greece,</w:t>
      </w:r>
      <w:r w:rsidRPr="004D0DE2">
        <w:t xml:space="preserve"> and southern Russia, and the </w:t>
      </w:r>
      <w:r w:rsidRPr="004D0DE2">
        <w:rPr>
          <w:i/>
        </w:rPr>
        <w:t>Cygnus cygnus</w:t>
      </w:r>
      <w:r w:rsidRPr="004D0DE2">
        <w:t xml:space="preserve"> inhabited Iceland, northern </w:t>
      </w:r>
      <w:r w:rsidRPr="004D0DE2">
        <w:rPr>
          <w:noProof/>
        </w:rPr>
        <w:t>Europe,</w:t>
      </w:r>
      <w:r w:rsidRPr="004D0DE2">
        <w:t xml:space="preserve"> and Asia.  </w:t>
      </w:r>
      <w:r w:rsidRPr="004D0DE2">
        <w:rPr>
          <w:noProof/>
        </w:rPr>
        <w:t>This</w:t>
      </w:r>
      <w:r w:rsidRPr="004D0DE2">
        <w:t xml:space="preserve"> shows that the </w:t>
      </w:r>
      <w:r w:rsidRPr="004D0DE2">
        <w:lastRenderedPageBreak/>
        <w:t xml:space="preserve">physical distribution of the swan covered the ancient world and </w:t>
      </w:r>
      <w:r w:rsidRPr="004D0DE2">
        <w:rPr>
          <w:noProof/>
        </w:rPr>
        <w:t>explains</w:t>
      </w:r>
      <w:r w:rsidRPr="004D0DE2">
        <w:t xml:space="preserve"> how it manages to appear in most world mythologies.</w:t>
      </w:r>
      <w:r w:rsidRPr="004D0DE2">
        <w:rPr>
          <w:vertAlign w:val="superscript"/>
        </w:rPr>
        <w:footnoteReference w:id="192"/>
      </w:r>
      <w:r w:rsidRPr="004D0DE2">
        <w:t xml:space="preserve"> Particularly in ancient Greek mythology and relating to music, is the tale of Orpheus, the mythical musician born of a Thracian King and the Muse, Calliope.  </w:t>
      </w:r>
      <w:r w:rsidRPr="004D0DE2">
        <w:rPr>
          <w:noProof/>
        </w:rPr>
        <w:t>Orpheus was given a golden lyre (said to be invented by Hermes) by god Apollo,</w:t>
      </w:r>
      <w:r w:rsidRPr="004D0DE2">
        <w:t xml:space="preserve"> and he became the greatest musician among men.</w:t>
      </w:r>
      <w:r w:rsidRPr="004D0DE2">
        <w:rPr>
          <w:vertAlign w:val="superscript"/>
        </w:rPr>
        <w:footnoteReference w:id="193"/>
      </w:r>
      <w:r w:rsidRPr="004D0DE2">
        <w:t xml:space="preserve">  Plato describes the tale of Er of Pamphylia, who after dying in battle awaited with other souls to choose his lot.  He notes that Orpheus chooses to be a swan in his next life, while Thamyras chose to be a nightingale. And, “birds, on the other hand, like the swan and other musicians, wanting to be men.”</w:t>
      </w:r>
      <w:r w:rsidRPr="004D0DE2">
        <w:rPr>
          <w:vertAlign w:val="superscript"/>
        </w:rPr>
        <w:footnoteReference w:id="194"/>
      </w:r>
      <w:r w:rsidRPr="004D0DE2">
        <w:t xml:space="preserve">  The swan is also the sacred bird of Apollo, god of music and poetry.</w:t>
      </w:r>
      <w:r w:rsidRPr="004D0DE2">
        <w:rPr>
          <w:vertAlign w:val="superscript"/>
        </w:rPr>
        <w:footnoteReference w:id="195"/>
      </w:r>
      <w:r w:rsidRPr="004D0DE2">
        <w:t xml:space="preserve">  Zeus appears to Leda as a </w:t>
      </w:r>
      <w:r w:rsidRPr="004D0DE2">
        <w:rPr>
          <w:noProof/>
        </w:rPr>
        <w:t>swan,</w:t>
      </w:r>
      <w:r w:rsidRPr="004D0DE2">
        <w:t xml:space="preserve"> and out of their consummation, Leda gives birth to two eggs from which are born Helen (of Troy) and Clymenestra.</w:t>
      </w:r>
      <w:r w:rsidRPr="004D0DE2">
        <w:rPr>
          <w:vertAlign w:val="superscript"/>
        </w:rPr>
        <w:footnoteReference w:id="196"/>
      </w:r>
    </w:p>
    <w:p w:rsidR="004D0DE2" w:rsidRPr="004D0DE2" w:rsidRDefault="004D0DE2" w:rsidP="004D0DE2">
      <w:pPr>
        <w:ind w:firstLine="720"/>
      </w:pPr>
      <w:r w:rsidRPr="004D0DE2">
        <w:t>Gimbutas argues for the relationship between prehistoric musical instruments and the Bird Goddess, proposing that she is the patron of music in prehistoric European societies.</w:t>
      </w:r>
      <w:r w:rsidRPr="004D0DE2">
        <w:rPr>
          <w:vertAlign w:val="superscript"/>
        </w:rPr>
        <w:footnoteReference w:id="197"/>
      </w:r>
      <w:r w:rsidRPr="004D0DE2">
        <w:t xml:space="preserve">  While the instruments themselves </w:t>
      </w:r>
      <w:r w:rsidRPr="004D0DE2">
        <w:rPr>
          <w:noProof/>
        </w:rPr>
        <w:t>are very rarely preserved</w:t>
      </w:r>
      <w:r w:rsidRPr="004D0DE2">
        <w:t xml:space="preserve">, since they </w:t>
      </w:r>
      <w:r w:rsidRPr="004D0DE2">
        <w:rPr>
          <w:noProof/>
        </w:rPr>
        <w:t>were made</w:t>
      </w:r>
      <w:r w:rsidRPr="004D0DE2">
        <w:t xml:space="preserve"> of perishable materials, they </w:t>
      </w:r>
      <w:r w:rsidRPr="004D0DE2">
        <w:rPr>
          <w:noProof/>
        </w:rPr>
        <w:t>are known</w:t>
      </w:r>
      <w:r w:rsidRPr="004D0DE2">
        <w:t xml:space="preserve"> through artistic representations. It is, of course, not known if the Early Cycladic islanders had an instrument exactly like the one represented in the corpus of </w:t>
      </w:r>
      <w:r w:rsidRPr="004D0DE2">
        <w:rPr>
          <w:noProof/>
        </w:rPr>
        <w:t>harper</w:t>
      </w:r>
      <w:r w:rsidRPr="004D0DE2">
        <w:t xml:space="preserve"> figurines. However, it stands to reason that if the craftsmen represented it, they at least had knowledge of such an instrument. The swan-</w:t>
      </w:r>
      <w:r w:rsidRPr="004D0DE2">
        <w:lastRenderedPageBreak/>
        <w:t xml:space="preserve">necked lyre motif carries over to the succeeding Minoan culture, and into ancient Greek mythology.  </w:t>
      </w:r>
    </w:p>
    <w:p w:rsidR="004D0DE2" w:rsidRPr="004D0DE2" w:rsidRDefault="004D0DE2" w:rsidP="004D0DE2">
      <w:pPr>
        <w:ind w:firstLine="720"/>
      </w:pPr>
      <w:r w:rsidRPr="004D0DE2">
        <w:t xml:space="preserve">The one object in the catalog, which indirectly relates to birds, is the marble egg figurine (F7).  Though its provenance cannot be confirmed, other objects from the Ortiz Collection </w:t>
      </w:r>
      <w:r w:rsidRPr="004D0DE2">
        <w:rPr>
          <w:noProof/>
        </w:rPr>
        <w:t>are included</w:t>
      </w:r>
      <w:r w:rsidRPr="004D0DE2">
        <w:t xml:space="preserve"> in the catalog by Thimme, and therefore are to be included here. The egg can </w:t>
      </w:r>
      <w:r w:rsidRPr="004D0DE2">
        <w:rPr>
          <w:noProof/>
        </w:rPr>
        <w:t>be seen</w:t>
      </w:r>
      <w:r w:rsidRPr="004D0DE2">
        <w:t xml:space="preserve"> as a source of life and extra nourishment,</w:t>
      </w:r>
      <w:r w:rsidRPr="004D0DE2">
        <w:rPr>
          <w:vertAlign w:val="superscript"/>
        </w:rPr>
        <w:footnoteReference w:id="198"/>
      </w:r>
      <w:r w:rsidRPr="004D0DE2">
        <w:t xml:space="preserve">  and Gimbutas proposes that the symbolism is not one of the obvious birth, but one of rebirth relating to a belief in the repeated creation of the world.</w:t>
      </w:r>
      <w:r w:rsidRPr="004D0DE2">
        <w:rPr>
          <w:vertAlign w:val="superscript"/>
        </w:rPr>
        <w:footnoteReference w:id="199"/>
      </w:r>
      <w:r w:rsidRPr="004D0DE2">
        <w:t xml:space="preserve">  Today, and since ancient times, the egg is a symbol in rites of </w:t>
      </w:r>
      <w:r w:rsidRPr="004D0DE2">
        <w:rPr>
          <w:noProof/>
        </w:rPr>
        <w:t>spring,</w:t>
      </w:r>
      <w:r w:rsidRPr="004D0DE2">
        <w:t xml:space="preserve"> and she points to Baltic and Slavic countries, who celebrate spring with the burial of an egg in </w:t>
      </w:r>
      <w:r w:rsidRPr="004D0DE2">
        <w:rPr>
          <w:noProof/>
        </w:rPr>
        <w:t>plowed</w:t>
      </w:r>
      <w:r w:rsidRPr="004D0DE2">
        <w:t xml:space="preserve"> earth, to ensure the renewal of vegetation. The egg shape of burial pithoi may symbolize the womb of the goddess from which life would re-emerge.</w:t>
      </w:r>
      <w:r w:rsidRPr="004D0DE2">
        <w:rPr>
          <w:vertAlign w:val="superscript"/>
        </w:rPr>
        <w:footnoteReference w:id="200"/>
      </w:r>
    </w:p>
    <w:p w:rsidR="004D0DE2" w:rsidRPr="004D0DE2" w:rsidRDefault="004D0DE2" w:rsidP="004D0DE2">
      <w:pPr>
        <w:ind w:firstLine="720"/>
      </w:pPr>
      <w:r w:rsidRPr="004D0DE2">
        <w:rPr>
          <w:noProof/>
        </w:rPr>
        <w:t>Mikre</w:t>
      </w:r>
      <w:r w:rsidRPr="004D0DE2">
        <w:t xml:space="preserve"> </w:t>
      </w:r>
      <w:r w:rsidRPr="004D0DE2">
        <w:rPr>
          <w:noProof/>
        </w:rPr>
        <w:t>Vigla</w:t>
      </w:r>
      <w:r w:rsidRPr="004D0DE2">
        <w:t xml:space="preserve"> on </w:t>
      </w:r>
      <w:r w:rsidRPr="004D0DE2">
        <w:rPr>
          <w:noProof/>
        </w:rPr>
        <w:t>Naxos</w:t>
      </w:r>
      <w:r w:rsidRPr="004D0DE2">
        <w:t xml:space="preserve"> is a small Bronze Age settlement on a hill at the promontory.  Excavations yielded finds of Early Cycladic material, almost all fragmentary.  Three fragments (531-533) have a possible bird </w:t>
      </w:r>
      <w:r w:rsidRPr="004D0DE2">
        <w:rPr>
          <w:noProof/>
        </w:rPr>
        <w:t>identification, however,</w:t>
      </w:r>
      <w:r w:rsidRPr="004D0DE2">
        <w:t xml:space="preserve"> it is uncertain.  The hypothesis </w:t>
      </w:r>
      <w:r w:rsidRPr="004D0DE2">
        <w:rPr>
          <w:noProof/>
        </w:rPr>
        <w:t>is based</w:t>
      </w:r>
      <w:r w:rsidRPr="004D0DE2">
        <w:t xml:space="preserve"> on the fact that the fragments appear to be “spreading out” at the rear.  R.L.N. Barber speculates that object 531 could be comparable to a bird similar to those from Petsofas in Crete.  And, 533 could have been </w:t>
      </w:r>
      <w:r w:rsidRPr="004D0DE2">
        <w:lastRenderedPageBreak/>
        <w:t>set on a rod and attached to a vessel, owing to a groove on the underside.</w:t>
      </w:r>
      <w:r w:rsidRPr="004D0DE2">
        <w:rPr>
          <w:vertAlign w:val="superscript"/>
        </w:rPr>
        <w:footnoteReference w:id="201"/>
      </w:r>
      <w:r w:rsidRPr="004D0DE2">
        <w:t xml:space="preserve">  Because of the uncertainty, they are mentioned here, but not included in the catalog. </w:t>
      </w:r>
    </w:p>
    <w:p w:rsidR="004D0DE2" w:rsidRPr="004D0DE2" w:rsidRDefault="004D0DE2" w:rsidP="004D0DE2">
      <w:pPr>
        <w:ind w:firstLine="720"/>
      </w:pPr>
      <w:r w:rsidRPr="004D0DE2">
        <w:t xml:space="preserve">Two types of vessels, the ‘duck’ askos and the beak-spouted jug, may or may not represent animals.  I believe the name refers to a similarity in shape or features, but are not zoomorphic representations. Therefore, they have not </w:t>
      </w:r>
      <w:r w:rsidRPr="004D0DE2">
        <w:rPr>
          <w:noProof/>
        </w:rPr>
        <w:t>been included in the catalog.</w:t>
      </w:r>
      <w:r w:rsidRPr="004D0DE2">
        <w:t xml:space="preserve"> Beak-spouted jugs, known from EC II and </w:t>
      </w:r>
      <w:r w:rsidRPr="004D0DE2">
        <w:rPr>
          <w:noProof/>
        </w:rPr>
        <w:t>continuing</w:t>
      </w:r>
      <w:r w:rsidRPr="004D0DE2">
        <w:t xml:space="preserve">, have a wide, funneled mouth, which tilts backward at the neck, thus resembles a bird lifting its beak upward. The body is </w:t>
      </w:r>
      <w:r w:rsidRPr="004D0DE2">
        <w:rPr>
          <w:noProof/>
        </w:rPr>
        <w:t>spherical,</w:t>
      </w:r>
      <w:r w:rsidRPr="004D0DE2">
        <w:t xml:space="preserve"> and the association with birds continues in its decoration, as they </w:t>
      </w:r>
      <w:r w:rsidRPr="004D0DE2">
        <w:rPr>
          <w:noProof/>
        </w:rPr>
        <w:t>are sometimes painted</w:t>
      </w:r>
      <w:r w:rsidRPr="004D0DE2">
        <w:t xml:space="preserve"> with zoomorphic motifs including birds, </w:t>
      </w:r>
      <w:r w:rsidRPr="004D0DE2">
        <w:rPr>
          <w:noProof/>
        </w:rPr>
        <w:t>quadrupeds,</w:t>
      </w:r>
      <w:r w:rsidRPr="004D0DE2">
        <w:t xml:space="preserve"> and fish.</w:t>
      </w:r>
      <w:r w:rsidRPr="004D0DE2">
        <w:rPr>
          <w:vertAlign w:val="superscript"/>
        </w:rPr>
        <w:footnoteReference w:id="202"/>
      </w:r>
      <w:r w:rsidRPr="004D0DE2">
        <w:t xml:space="preserve"> Duck </w:t>
      </w:r>
      <w:r w:rsidRPr="004D0DE2">
        <w:rPr>
          <w:noProof/>
        </w:rPr>
        <w:t>askoi</w:t>
      </w:r>
      <w:r w:rsidRPr="004D0DE2">
        <w:t xml:space="preserve">, or duck vases, are known from EC III mainly at Phylakopi.  Stampolidis and Sotirakopoulou report that in the first Phylakopi excavations, the workers referred to them as ducks.  </w:t>
      </w:r>
      <w:r w:rsidRPr="004D0DE2">
        <w:rPr>
          <w:noProof/>
        </w:rPr>
        <w:t>This</w:t>
      </w:r>
      <w:r w:rsidRPr="004D0DE2">
        <w:t xml:space="preserve"> is probably because of the shape of the vase resembling the body of a duck and having a spout like the bovine and snake vessels: short tubular neck and flat rimmed spout.</w:t>
      </w:r>
      <w:r w:rsidRPr="004D0DE2">
        <w:rPr>
          <w:vertAlign w:val="superscript"/>
        </w:rPr>
        <w:footnoteReference w:id="203"/>
      </w:r>
      <w:r w:rsidRPr="004D0DE2">
        <w:t xml:space="preserve"> If they do represent ducks, the symbolism would be the same—related to the Bird Goddess, with the head replaced by a spout from which the “waters of life” flow.  Though this has a ritual connotation, the fact that they </w:t>
      </w:r>
      <w:r w:rsidRPr="004D0DE2">
        <w:rPr>
          <w:noProof/>
        </w:rPr>
        <w:t>were largely exported</w:t>
      </w:r>
      <w:r w:rsidRPr="004D0DE2">
        <w:t xml:space="preserve"> is </w:t>
      </w:r>
      <w:r w:rsidRPr="004D0DE2">
        <w:rPr>
          <w:noProof/>
        </w:rPr>
        <w:t>interesting</w:t>
      </w:r>
      <w:r w:rsidRPr="004D0DE2">
        <w:t xml:space="preserve"> but does not necessarily mean that they were used ritually by those who imported the vessels.</w:t>
      </w:r>
    </w:p>
    <w:p w:rsidR="004D0DE2" w:rsidRPr="004D0DE2" w:rsidRDefault="004D0DE2" w:rsidP="002C2FDF">
      <w:pPr>
        <w:pStyle w:val="Heading3"/>
      </w:pPr>
      <w:bookmarkStart w:id="64" w:name="_Toc481343497"/>
      <w:bookmarkStart w:id="65" w:name="_Toc482206686"/>
      <w:r w:rsidRPr="004D0DE2">
        <w:lastRenderedPageBreak/>
        <w:t>Frogs</w:t>
      </w:r>
      <w:bookmarkEnd w:id="64"/>
      <w:bookmarkEnd w:id="65"/>
    </w:p>
    <w:p w:rsidR="004D0DE2" w:rsidRPr="004D0DE2" w:rsidRDefault="004D0DE2" w:rsidP="004D0DE2">
      <w:r w:rsidRPr="004D0DE2">
        <w:t>Like hedgehogs, Gimbutas writes that frogs (or toads, and also fish) were both funerary and life symbols simultaneously.</w:t>
      </w:r>
      <w:r w:rsidRPr="004D0DE2">
        <w:rPr>
          <w:vertAlign w:val="superscript"/>
        </w:rPr>
        <w:footnoteReference w:id="204"/>
      </w:r>
      <w:r w:rsidRPr="004D0DE2">
        <w:t xml:space="preserve">  They </w:t>
      </w:r>
      <w:r w:rsidRPr="004D0DE2">
        <w:rPr>
          <w:noProof/>
        </w:rPr>
        <w:t>are equated</w:t>
      </w:r>
      <w:r w:rsidRPr="004D0DE2">
        <w:t xml:space="preserve"> with the uterus of the life-giving goddess, with the notion that regenerative symbolism derives from their aquatic environment and parallels the womb with amniotic fluid.</w:t>
      </w:r>
      <w:r w:rsidRPr="004D0DE2">
        <w:rPr>
          <w:vertAlign w:val="superscript"/>
        </w:rPr>
        <w:footnoteReference w:id="205"/>
      </w:r>
      <w:r w:rsidRPr="004D0DE2">
        <w:t xml:space="preserve">  Frog representations can be found as far back as the Upper Paleolithic, in the form of a frog-woman hybrid.  The frog amulet cataloged here (J2), is very much like an example from Achilleion, Thessaly (Sesklo, Early Neolithic, </w:t>
      </w:r>
      <w:r w:rsidRPr="004D0DE2">
        <w:rPr>
          <w:noProof/>
        </w:rPr>
        <w:t>Late</w:t>
      </w:r>
      <w:r w:rsidRPr="004D0DE2">
        <w:t xml:space="preserve"> 7</w:t>
      </w:r>
      <w:r w:rsidRPr="004D0DE2">
        <w:rPr>
          <w:vertAlign w:val="superscript"/>
        </w:rPr>
        <w:t>th</w:t>
      </w:r>
      <w:r w:rsidRPr="004D0DE2">
        <w:t xml:space="preserve"> millennium BCE).  The Sesklo frog, from Gimbutas’s excavations in 1973-74, appears anthropomorphic in nature, having </w:t>
      </w:r>
      <w:r w:rsidRPr="004D0DE2">
        <w:rPr>
          <w:noProof/>
        </w:rPr>
        <w:t>human-like</w:t>
      </w:r>
      <w:r w:rsidRPr="004D0DE2">
        <w:t xml:space="preserve"> arms, a neck (though the head is missing), and a pubic triangle. Though no head </w:t>
      </w:r>
      <w:r w:rsidRPr="004D0DE2">
        <w:rPr>
          <w:noProof/>
        </w:rPr>
        <w:t>is represented</w:t>
      </w:r>
      <w:r w:rsidRPr="004D0DE2">
        <w:t xml:space="preserve"> in the Cycladic object, I believe the </w:t>
      </w:r>
      <w:r w:rsidRPr="004D0DE2">
        <w:rPr>
          <w:noProof/>
        </w:rPr>
        <w:t>V-shaped</w:t>
      </w:r>
      <w:r w:rsidRPr="004D0DE2">
        <w:t xml:space="preserve"> notch carved at one end represents an anthropomorphic pubic triangle.  The pubic triangle is a ubiquitous symbol in Early Cycladic art, seen on the marble idols and frying pans, and is representational of the life-giving goddess.  It is comparable to the many vulvar representations found in Paleolithic parietal art.</w:t>
      </w:r>
      <w:r w:rsidRPr="004D0DE2">
        <w:rPr>
          <w:vertAlign w:val="superscript"/>
        </w:rPr>
        <w:footnoteReference w:id="206"/>
      </w:r>
      <w:r w:rsidRPr="004D0DE2">
        <w:t xml:space="preserve"> An even more interesting comparison is the shape of the frog with the ancient swastika symbol, which is found in nearly all ancient cultures and is thought to be one of the oldest symbols in existence.</w:t>
      </w:r>
      <w:r w:rsidRPr="004D0DE2">
        <w:rPr>
          <w:vertAlign w:val="superscript"/>
        </w:rPr>
        <w:footnoteReference w:id="207"/>
      </w:r>
      <w:r w:rsidRPr="004D0DE2">
        <w:t xml:space="preserve">  The symbol, having arms which appear to rotate around a fixed center point, is probably the </w:t>
      </w:r>
      <w:r w:rsidRPr="004D0DE2">
        <w:lastRenderedPageBreak/>
        <w:t>precursor to the spiral and the meander.  The cyclical movement is symbolic of perpetual regeneration and manifestation.</w:t>
      </w:r>
      <w:r w:rsidRPr="004D0DE2">
        <w:rPr>
          <w:vertAlign w:val="superscript"/>
        </w:rPr>
        <w:footnoteReference w:id="208"/>
      </w:r>
      <w:r w:rsidRPr="004D0DE2">
        <w:t xml:space="preserve"> </w:t>
      </w:r>
    </w:p>
    <w:p w:rsidR="004D0DE2" w:rsidRPr="004D0DE2" w:rsidRDefault="004D0DE2" w:rsidP="002C2FDF">
      <w:pPr>
        <w:pStyle w:val="Heading3"/>
      </w:pPr>
      <w:bookmarkStart w:id="66" w:name="_Toc481343498"/>
      <w:bookmarkStart w:id="67" w:name="_Toc482206687"/>
      <w:r w:rsidRPr="004D0DE2">
        <w:t>Snakes</w:t>
      </w:r>
      <w:bookmarkEnd w:id="66"/>
      <w:bookmarkEnd w:id="67"/>
    </w:p>
    <w:p w:rsidR="004D0DE2" w:rsidRPr="004D0DE2" w:rsidRDefault="004D0DE2" w:rsidP="004D0DE2">
      <w:r w:rsidRPr="004D0DE2">
        <w:tab/>
        <w:t xml:space="preserve">The symbols associated with the snake are the same as those of the Bird Goddess, especially </w:t>
      </w:r>
      <w:r w:rsidRPr="004D0DE2">
        <w:rPr>
          <w:noProof/>
        </w:rPr>
        <w:t>waterfowl</w:t>
      </w:r>
      <w:r w:rsidRPr="004D0DE2">
        <w:t xml:space="preserve"> due to the snake’s ability to exist both on land and in water.  </w:t>
      </w:r>
      <w:r w:rsidR="00F62475" w:rsidRPr="004D0DE2">
        <w:t>The symbolism of the snake is not in the body, but in the energy exuded by the coiling (a spiral), which was held sacred, according to Gimbutas.</w:t>
      </w:r>
      <w:r w:rsidR="00F62475" w:rsidRPr="004D0DE2">
        <w:rPr>
          <w:vertAlign w:val="superscript"/>
        </w:rPr>
        <w:footnoteReference w:id="209"/>
      </w:r>
      <w:r w:rsidR="00F62475" w:rsidRPr="004D0DE2">
        <w:t xml:space="preserve">  </w:t>
      </w:r>
      <w:r w:rsidRPr="004D0DE2">
        <w:t xml:space="preserve">As a symbol, it is </w:t>
      </w:r>
      <w:r w:rsidRPr="004D0DE2">
        <w:rPr>
          <w:noProof/>
        </w:rPr>
        <w:t>transfunctional</w:t>
      </w:r>
      <w:r w:rsidRPr="004D0DE2">
        <w:t>: life creation, fertility, increase, and regeneration.  Gimbutas argues that the association of snakes with water symbolism conveys life energy</w:t>
      </w:r>
      <w:r w:rsidRPr="004D0DE2">
        <w:rPr>
          <w:vertAlign w:val="superscript"/>
        </w:rPr>
        <w:footnoteReference w:id="210"/>
      </w:r>
      <w:r w:rsidRPr="004D0DE2">
        <w:t xml:space="preserve"> and this may apply to the vessel represented in the catalog by (V23).  The vessel, </w:t>
      </w:r>
      <w:r w:rsidRPr="004D0DE2">
        <w:rPr>
          <w:noProof/>
        </w:rPr>
        <w:t>in the shape of a coil, which culminates in a rearing head (spout)</w:t>
      </w:r>
      <w:r w:rsidRPr="004D0DE2">
        <w:t xml:space="preserve">, is covered in chevron shapes depicting scales of the snake’s skin. The use of the snake as a vessel is the association with </w:t>
      </w:r>
      <w:r w:rsidRPr="004D0DE2">
        <w:rPr>
          <w:noProof/>
        </w:rPr>
        <w:t>water,</w:t>
      </w:r>
      <w:r w:rsidRPr="004D0DE2">
        <w:t xml:space="preserve"> and additionally, the chevrons are symbolic of the Bird Goddess. Snake Goddess representations are prevalent in the Minoan culture and known from house shrines, as well as the famous faience Snake Goddess sculptures recovered from an underground repository at the palace of Knossos.</w:t>
      </w:r>
      <w:r w:rsidRPr="004D0DE2">
        <w:rPr>
          <w:vertAlign w:val="superscript"/>
        </w:rPr>
        <w:footnoteReference w:id="211"/>
      </w:r>
      <w:r w:rsidRPr="004D0DE2">
        <w:t xml:space="preserve">  As household divinities, snakes are protectors assuring fertility, </w:t>
      </w:r>
      <w:r w:rsidRPr="004D0DE2">
        <w:rPr>
          <w:noProof/>
        </w:rPr>
        <w:t>health,</w:t>
      </w:r>
      <w:r w:rsidRPr="004D0DE2">
        <w:t xml:space="preserve"> and increase and as a patron divinity, the life force </w:t>
      </w:r>
      <w:r w:rsidRPr="004D0DE2">
        <w:rPr>
          <w:noProof/>
        </w:rPr>
        <w:t>is inextricably tied</w:t>
      </w:r>
      <w:r w:rsidRPr="004D0DE2">
        <w:t xml:space="preserve"> to members of the family, living and dead.  The hibernation and sloughing of skin enhance the symbolism of renewal and immortality.</w:t>
      </w:r>
      <w:r w:rsidRPr="004D0DE2">
        <w:rPr>
          <w:vertAlign w:val="superscript"/>
        </w:rPr>
        <w:footnoteReference w:id="212"/>
      </w:r>
      <w:r w:rsidRPr="004D0DE2">
        <w:t xml:space="preserve">  </w:t>
      </w:r>
    </w:p>
    <w:p w:rsidR="004D0DE2" w:rsidRPr="004D0DE2" w:rsidRDefault="004D0DE2" w:rsidP="004D0DE2">
      <w:r w:rsidRPr="004D0DE2">
        <w:lastRenderedPageBreak/>
        <w:tab/>
        <w:t>One object of particular interest is a post-canonical female marble figurine with the head of a snake.</w:t>
      </w:r>
      <w:r w:rsidRPr="004D0DE2">
        <w:rPr>
          <w:vertAlign w:val="superscript"/>
        </w:rPr>
        <w:footnoteReference w:id="213"/>
      </w:r>
      <w:r w:rsidRPr="004D0DE2">
        <w:t xml:space="preserve">  The only known example in all of Aegean Art, the small figurine curves forward, giving it a bow-shaped profile.  The elongated neck forms the head of a snake, with an incised slit representing a mouth.  The head is very reminiscent of the rearing cobra motif of Ancient Egypt, known as Uraeus. The other incised features are typical of a Folded-Arm figurine, including the incised pubic triangle. </w:t>
      </w:r>
    </w:p>
    <w:p w:rsidR="004D0DE2" w:rsidRPr="004D0DE2" w:rsidRDefault="004D0DE2" w:rsidP="002C2FDF">
      <w:pPr>
        <w:pStyle w:val="Heading3"/>
      </w:pPr>
      <w:bookmarkStart w:id="68" w:name="_Toc481343499"/>
      <w:bookmarkStart w:id="69" w:name="_Toc482206688"/>
      <w:r w:rsidRPr="004D0DE2">
        <w:t>Feline</w:t>
      </w:r>
      <w:bookmarkEnd w:id="68"/>
      <w:bookmarkEnd w:id="69"/>
      <w:r w:rsidRPr="004D0DE2">
        <w:t xml:space="preserve"> </w:t>
      </w:r>
    </w:p>
    <w:p w:rsidR="004D0DE2" w:rsidRPr="004D0DE2" w:rsidRDefault="004D0DE2" w:rsidP="004D0DE2">
      <w:r w:rsidRPr="004D0DE2">
        <w:tab/>
        <w:t xml:space="preserve">One object (P1), a </w:t>
      </w:r>
      <w:r w:rsidRPr="004D0DE2">
        <w:rPr>
          <w:noProof/>
        </w:rPr>
        <w:t>protome</w:t>
      </w:r>
      <w:r w:rsidRPr="004D0DE2">
        <w:t xml:space="preserve"> which scholars speculate may be a bovine, I propose represents a wild cat of some species.  Though lion representations </w:t>
      </w:r>
      <w:r w:rsidRPr="004D0DE2">
        <w:rPr>
          <w:noProof/>
        </w:rPr>
        <w:t>are not known</w:t>
      </w:r>
      <w:r w:rsidRPr="004D0DE2">
        <w:t xml:space="preserve"> from the Early Cycladic period, they do persist on the mainland, in later Minoan and Mycenaean cultures, and from contemporary surrounding regions with which the Cycladic </w:t>
      </w:r>
      <w:r w:rsidRPr="004D0DE2">
        <w:rPr>
          <w:noProof/>
        </w:rPr>
        <w:t>islander</w:t>
      </w:r>
      <w:r w:rsidRPr="004D0DE2">
        <w:t xml:space="preserve"> would have had trade contact.  Katsarou and Schilardi have identified this </w:t>
      </w:r>
      <w:r w:rsidRPr="004D0DE2">
        <w:rPr>
          <w:noProof/>
        </w:rPr>
        <w:t>protome</w:t>
      </w:r>
      <w:r w:rsidRPr="004D0DE2">
        <w:t xml:space="preserve"> as probably representing a bovine (c.f. object description in the catalog).</w:t>
      </w:r>
      <w:r w:rsidRPr="004D0DE2">
        <w:rPr>
          <w:vertAlign w:val="superscript"/>
        </w:rPr>
        <w:footnoteReference w:id="214"/>
      </w:r>
      <w:r w:rsidRPr="004D0DE2">
        <w:t xml:space="preserve">  However, it is precisely the given description by the authors, which to me suggests a feline representation.</w:t>
      </w:r>
    </w:p>
    <w:p w:rsidR="004D0DE2" w:rsidRPr="004D0DE2" w:rsidRDefault="004D0DE2" w:rsidP="004D0DE2">
      <w:pPr>
        <w:ind w:firstLine="720"/>
      </w:pPr>
      <w:r w:rsidRPr="004D0DE2">
        <w:t xml:space="preserve">A Minoan </w:t>
      </w:r>
      <w:r w:rsidRPr="004D0DE2">
        <w:rPr>
          <w:noProof/>
        </w:rPr>
        <w:t>seal</w:t>
      </w:r>
      <w:r w:rsidRPr="004D0DE2">
        <w:t xml:space="preserve"> referred to as the Mother of the Mountain (Late Minoan II, c. 1400 BCE), shows a ‘mistress of animals’ motif.  A female (possibly a deity) stands atop what has </w:t>
      </w:r>
      <w:r w:rsidRPr="004D0DE2">
        <w:rPr>
          <w:noProof/>
        </w:rPr>
        <w:t>been interpreted</w:t>
      </w:r>
      <w:r w:rsidRPr="004D0DE2">
        <w:t xml:space="preserve"> as a mountain, with two antithetical lions flanking her. Behind her is an altar with many horns of consecration while b</w:t>
      </w:r>
      <w:r w:rsidRPr="004D0DE2">
        <w:rPr>
          <w:noProof/>
        </w:rPr>
        <w:t xml:space="preserve">efore her stands a male </w:t>
      </w:r>
      <w:r w:rsidRPr="004D0DE2">
        <w:rPr>
          <w:noProof/>
        </w:rPr>
        <w:lastRenderedPageBreak/>
        <w:t>giving a gesture of adoration as she reaches her staff toward him, possibly a blessing.</w:t>
      </w:r>
      <w:r w:rsidRPr="004D0DE2">
        <w:rPr>
          <w:vertAlign w:val="superscript"/>
        </w:rPr>
        <w:footnoteReference w:id="215"/>
      </w:r>
      <w:r w:rsidRPr="004D0DE2">
        <w:t xml:space="preserve">  The seal is known today only from a drawing made in 1901 by Emile Gilli</w:t>
      </w:r>
      <w:r w:rsidRPr="004D0DE2">
        <w:rPr>
          <w:rFonts w:cstheme="minorHAnsi"/>
        </w:rPr>
        <w:t>é</w:t>
      </w:r>
      <w:r w:rsidRPr="004D0DE2">
        <w:t>ron, Sr., an artist employed by Sir Arthur Evans.  Gilliéron sketched the image from five fragments.</w:t>
      </w:r>
      <w:r w:rsidRPr="004D0DE2">
        <w:rPr>
          <w:vertAlign w:val="superscript"/>
        </w:rPr>
        <w:footnoteReference w:id="216"/>
      </w:r>
      <w:r w:rsidRPr="004D0DE2">
        <w:t xml:space="preserve"> Through an </w:t>
      </w:r>
      <w:r w:rsidRPr="004D0DE2">
        <w:rPr>
          <w:noProof/>
        </w:rPr>
        <w:t>examination</w:t>
      </w:r>
      <w:r w:rsidRPr="004D0DE2">
        <w:t xml:space="preserve"> of later Minoan frescoes, Masseti identified scenes he describes as “free elaborations of iconographic models not of Minoan origin.”</w:t>
      </w:r>
      <w:r w:rsidRPr="004D0DE2">
        <w:rPr>
          <w:vertAlign w:val="superscript"/>
        </w:rPr>
        <w:footnoteReference w:id="217"/>
      </w:r>
      <w:r w:rsidRPr="004D0DE2">
        <w:t xml:space="preserve">  Instead, he argues that they represent depictions which appear to have drawn inspiration from contemporary Egyptian pattern books and points to evidence of cultural contact between Crete and Egypt as early as the Egyptian Early Dynastic Old Kingdom and First Intermediate Period, c. 3000 BCE-1900 BCE.  One fresco from the Villa of Hagia Triada at Phaistos depicts an unidentified species of feline stalking a </w:t>
      </w:r>
      <w:r w:rsidRPr="004D0DE2">
        <w:rPr>
          <w:noProof/>
        </w:rPr>
        <w:t>pheasant,</w:t>
      </w:r>
      <w:r w:rsidRPr="004D0DE2">
        <w:t xml:space="preserve"> and it derives from Egyptian Nilotic scenes, popular at the time.</w:t>
      </w:r>
      <w:r w:rsidRPr="004D0DE2">
        <w:rPr>
          <w:vertAlign w:val="superscript"/>
        </w:rPr>
        <w:footnoteReference w:id="218"/>
      </w:r>
      <w:r w:rsidRPr="004D0DE2">
        <w:t xml:space="preserve"> </w:t>
      </w:r>
    </w:p>
    <w:p w:rsidR="004D0DE2" w:rsidRPr="004D0DE2" w:rsidRDefault="004D0DE2" w:rsidP="004D0DE2">
      <w:pPr>
        <w:ind w:firstLine="720"/>
      </w:pPr>
      <w:r w:rsidRPr="004D0DE2">
        <w:rPr>
          <w:noProof/>
        </w:rPr>
        <w:t>The ancient</w:t>
      </w:r>
      <w:r w:rsidRPr="004D0DE2">
        <w:t xml:space="preserve"> writer, Pausanias (110 CE-180 CE) refers to lions in his account of Nemea saying, “In these mountains is still shown the cave of the famous lion, and the place Nemea is distant some fifteen </w:t>
      </w:r>
      <w:r w:rsidRPr="004D0DE2">
        <w:rPr>
          <w:noProof/>
        </w:rPr>
        <w:t>stades</w:t>
      </w:r>
      <w:r w:rsidRPr="004D0DE2">
        <w:t>.”</w:t>
      </w:r>
      <w:r w:rsidRPr="004D0DE2">
        <w:rPr>
          <w:vertAlign w:val="superscript"/>
        </w:rPr>
        <w:footnoteReference w:id="219"/>
      </w:r>
      <w:r w:rsidRPr="004D0DE2">
        <w:t xml:space="preserve">  And additionally, he writes:</w:t>
      </w:r>
    </w:p>
    <w:p w:rsidR="004D0DE2" w:rsidRPr="004D0DE2" w:rsidRDefault="004D0DE2" w:rsidP="004D0DE2">
      <w:pPr>
        <w:spacing w:line="240" w:lineRule="auto"/>
        <w:ind w:left="720"/>
      </w:pPr>
      <w:r w:rsidRPr="004D0DE2">
        <w:t xml:space="preserve">The mountainous part of Thrace, </w:t>
      </w:r>
      <w:r w:rsidRPr="004D0DE2">
        <w:rPr>
          <w:noProof/>
        </w:rPr>
        <w:t>on this side of the river Nestus, which runs through the land of Abdera</w:t>
      </w:r>
      <w:r w:rsidRPr="004D0DE2">
        <w:t>, breeds among other wild beasts lions</w:t>
      </w:r>
      <w:r w:rsidRPr="004D0DE2">
        <w:rPr>
          <w:noProof/>
        </w:rPr>
        <w:t>…</w:t>
      </w:r>
      <w:r w:rsidRPr="004D0DE2">
        <w:t xml:space="preserve">These lions often roam right into the land around Mt. Olympus, </w:t>
      </w:r>
      <w:r w:rsidRPr="004D0DE2">
        <w:rPr>
          <w:noProof/>
        </w:rPr>
        <w:t>one side of</w:t>
      </w:r>
      <w:r w:rsidRPr="004D0DE2">
        <w:t xml:space="preserve"> which </w:t>
      </w:r>
      <w:r w:rsidRPr="004D0DE2">
        <w:rPr>
          <w:noProof/>
        </w:rPr>
        <w:t>is turned</w:t>
      </w:r>
      <w:r w:rsidRPr="004D0DE2">
        <w:t xml:space="preserve"> towards Macedonia, and the other towards Thessaly and the river Peneius.</w:t>
      </w:r>
      <w:r w:rsidRPr="004D0DE2">
        <w:rPr>
          <w:vertAlign w:val="superscript"/>
        </w:rPr>
        <w:footnoteReference w:id="220"/>
      </w:r>
      <w:r w:rsidRPr="004D0DE2">
        <w:t xml:space="preserve"> </w:t>
      </w:r>
    </w:p>
    <w:p w:rsidR="004D0DE2" w:rsidRPr="004D0DE2" w:rsidRDefault="004D0DE2" w:rsidP="004D0DE2"/>
    <w:p w:rsidR="004D0DE2" w:rsidRPr="004D0DE2" w:rsidRDefault="004D0DE2" w:rsidP="004D0DE2">
      <w:r w:rsidRPr="004D0DE2">
        <w:lastRenderedPageBreak/>
        <w:t xml:space="preserve">A recent study published in the </w:t>
      </w:r>
      <w:r w:rsidRPr="004D0DE2">
        <w:rPr>
          <w:i/>
        </w:rPr>
        <w:t>Journal of Zoology</w:t>
      </w:r>
      <w:r w:rsidRPr="004D0DE2">
        <w:t xml:space="preserve"> seems to support the accounts of Pausanias, and other ancient authors such as Aristotle and Herodotus, reporting: </w:t>
      </w:r>
    </w:p>
    <w:p w:rsidR="004D0DE2" w:rsidRPr="004D0DE2" w:rsidRDefault="004D0DE2" w:rsidP="004D0DE2">
      <w:pPr>
        <w:spacing w:line="240" w:lineRule="auto"/>
        <w:ind w:left="720"/>
      </w:pPr>
      <w:r w:rsidRPr="004D0DE2">
        <w:rPr>
          <w:noProof/>
        </w:rPr>
        <w:t>Art and artefacts of Neolithic and Bronze Age indicate that male lions with big manes were present in southwestern Eurasia and north-eastern Africa at the inception of these civilizations, including Egypt at c. 6–5.5 Ka ago, southern Mesopotamia at c. 4.7 Ka ago, northern Caucasus at c. 4 Ka ago and Greece at c. 3.5 Ka ago.</w:t>
      </w:r>
      <w:r w:rsidRPr="004D0DE2">
        <w:t xml:space="preserve"> These records have led some authors to suggest that European cave lions survived in the Balkans and Asia Minor into historical times.</w:t>
      </w:r>
      <w:r w:rsidRPr="004D0DE2">
        <w:rPr>
          <w:vertAlign w:val="superscript"/>
        </w:rPr>
        <w:footnoteReference w:id="221"/>
      </w:r>
    </w:p>
    <w:p w:rsidR="004D0DE2" w:rsidRPr="004D0DE2" w:rsidRDefault="004D0DE2" w:rsidP="004D0DE2">
      <w:pPr>
        <w:rPr>
          <w:rFonts w:asciiTheme="majorHAnsi" w:hAnsiTheme="majorHAnsi"/>
          <w:bCs/>
          <w:i/>
        </w:rPr>
      </w:pPr>
    </w:p>
    <w:p w:rsidR="004D0DE2" w:rsidRPr="004D0DE2" w:rsidRDefault="004D0DE2" w:rsidP="004D0DE2">
      <w:r w:rsidRPr="004D0DE2">
        <w:t>These descriptions support the idea that lions, or some large feline species, existed in this region of the world during the time these sculptures were created.</w:t>
      </w:r>
    </w:p>
    <w:p w:rsidR="004D0DE2" w:rsidRPr="004D0DE2" w:rsidRDefault="004D0DE2" w:rsidP="004D0DE2">
      <w:pPr>
        <w:keepNext/>
        <w:outlineLvl w:val="2"/>
        <w:rPr>
          <w:rFonts w:asciiTheme="majorHAnsi" w:hAnsiTheme="majorHAnsi"/>
          <w:bCs/>
          <w:i/>
        </w:rPr>
      </w:pPr>
      <w:bookmarkStart w:id="71" w:name="_Toc481343500"/>
      <w:bookmarkStart w:id="72" w:name="_Toc482206689"/>
      <w:r w:rsidRPr="004D0DE2">
        <w:rPr>
          <w:rFonts w:asciiTheme="majorHAnsi" w:hAnsiTheme="majorHAnsi"/>
          <w:bCs/>
          <w:i/>
        </w:rPr>
        <w:t>Flies/Bees</w:t>
      </w:r>
      <w:bookmarkEnd w:id="71"/>
      <w:bookmarkEnd w:id="72"/>
      <w:r w:rsidRPr="004D0DE2">
        <w:rPr>
          <w:rFonts w:asciiTheme="majorHAnsi" w:hAnsiTheme="majorHAnsi"/>
          <w:bCs/>
          <w:i/>
        </w:rPr>
        <w:t xml:space="preserve"> </w:t>
      </w:r>
    </w:p>
    <w:p w:rsidR="004D0DE2" w:rsidRPr="004D0DE2" w:rsidRDefault="004D0DE2" w:rsidP="004D0DE2">
      <w:r w:rsidRPr="004D0DE2">
        <w:tab/>
        <w:t xml:space="preserve">The amulets (J12) and (J13) </w:t>
      </w:r>
      <w:r w:rsidRPr="004D0DE2">
        <w:rPr>
          <w:noProof/>
        </w:rPr>
        <w:t>are interpreted</w:t>
      </w:r>
      <w:r w:rsidRPr="004D0DE2">
        <w:t xml:space="preserve"> as </w:t>
      </w:r>
      <w:r w:rsidRPr="004D0DE2">
        <w:rPr>
          <w:noProof/>
        </w:rPr>
        <w:t>flies, however</w:t>
      </w:r>
      <w:r w:rsidRPr="004D0DE2">
        <w:t>, I propose they may also represent bees.  Both flies and bees have an association with the bull in prehistoric art, particularly owing to the “mysterious” phenomenon of insect swarms appearing in animal carcasses.</w:t>
      </w:r>
      <w:r w:rsidRPr="004D0DE2">
        <w:rPr>
          <w:vertAlign w:val="superscript"/>
        </w:rPr>
        <w:footnoteReference w:id="222"/>
      </w:r>
      <w:r w:rsidRPr="004D0DE2">
        <w:t xml:space="preserve">  </w:t>
      </w:r>
      <w:r w:rsidRPr="004D0DE2">
        <w:rPr>
          <w:noProof/>
        </w:rPr>
        <w:t>Gimbutas points to the writings of several ancient authors regarding the connection of the bull and insects, which dates back to the Neolithic in art across the Near East and Europe, in particular, Porphyry, who describes the bee (</w:t>
      </w:r>
      <w:r w:rsidRPr="004D0DE2">
        <w:rPr>
          <w:i/>
          <w:noProof/>
        </w:rPr>
        <w:t>melissa</w:t>
      </w:r>
      <w:r w:rsidRPr="004D0DE2">
        <w:rPr>
          <w:noProof/>
        </w:rPr>
        <w:t xml:space="preserve"> in Greek) as being begotten by the bull, “and souls that pass to the earth are bull-begotten.”</w:t>
      </w:r>
      <w:r w:rsidRPr="004D0DE2">
        <w:rPr>
          <w:vertAlign w:val="superscript"/>
        </w:rPr>
        <w:footnoteReference w:id="223"/>
      </w:r>
      <w:r w:rsidRPr="004D0DE2">
        <w:t xml:space="preserve">  </w:t>
      </w:r>
    </w:p>
    <w:p w:rsidR="004D0DE2" w:rsidRPr="004D0DE2" w:rsidRDefault="004D0DE2" w:rsidP="004D0DE2">
      <w:r w:rsidRPr="004D0DE2">
        <w:tab/>
        <w:t xml:space="preserve">Flies were sacred to Ancient Greeks, associated with both Zeus and Apollo, possibly representing the omnipresence of the gods.  Breeding from decay, along with </w:t>
      </w:r>
      <w:r w:rsidRPr="004D0DE2">
        <w:lastRenderedPageBreak/>
        <w:t>their ceaseless buzzing (especially around field animals), makes them unbearable and representative of a ceaseless quest.</w:t>
      </w:r>
      <w:r w:rsidRPr="004D0DE2">
        <w:rPr>
          <w:vertAlign w:val="superscript"/>
        </w:rPr>
        <w:footnoteReference w:id="224"/>
      </w:r>
      <w:r w:rsidRPr="004D0DE2">
        <w:t xml:space="preserve">  In Ancient Phoenicia, Beelzebub </w:t>
      </w:r>
      <w:r w:rsidRPr="004D0DE2">
        <w:rPr>
          <w:noProof/>
        </w:rPr>
        <w:t>was known</w:t>
      </w:r>
      <w:r w:rsidRPr="004D0DE2">
        <w:t xml:space="preserve"> as the Lord of the Flies, was an agent of destruction and putrefaction.</w:t>
      </w:r>
      <w:r w:rsidRPr="004D0DE2">
        <w:rPr>
          <w:vertAlign w:val="superscript"/>
        </w:rPr>
        <w:footnoteReference w:id="225"/>
      </w:r>
      <w:r w:rsidRPr="004D0DE2">
        <w:t xml:space="preserve">  Wearing an amulet of a fly may be protection against these symbolic powers, rather than an attempt to channel them. Bees are symbols of </w:t>
      </w:r>
      <w:r w:rsidRPr="004D0DE2">
        <w:rPr>
          <w:noProof/>
        </w:rPr>
        <w:t>industriousness</w:t>
      </w:r>
      <w:r w:rsidRPr="004D0DE2">
        <w:t xml:space="preserve"> and associated with Artemis and Demeter.</w:t>
      </w:r>
      <w:r w:rsidRPr="004D0DE2">
        <w:rPr>
          <w:vertAlign w:val="superscript"/>
        </w:rPr>
        <w:footnoteReference w:id="226"/>
      </w:r>
      <w:r w:rsidRPr="004D0DE2">
        <w:t xml:space="preserve">  As symbols of immortality, it </w:t>
      </w:r>
      <w:r w:rsidRPr="004D0DE2">
        <w:rPr>
          <w:noProof/>
        </w:rPr>
        <w:t>was believed</w:t>
      </w:r>
      <w:r w:rsidRPr="004D0DE2">
        <w:t xml:space="preserve"> by the Ancient Greeks that departed souls may enter bees while in Ancient Egypt, bees are givers of life and therefore birth, </w:t>
      </w:r>
      <w:r w:rsidRPr="004D0DE2">
        <w:rPr>
          <w:noProof/>
        </w:rPr>
        <w:t>death,</w:t>
      </w:r>
      <w:r w:rsidRPr="004D0DE2">
        <w:t xml:space="preserve"> and resurrection.  Additionally, the bee was the emblem of the </w:t>
      </w:r>
      <w:r w:rsidRPr="004D0DE2">
        <w:rPr>
          <w:noProof/>
        </w:rPr>
        <w:t>Pharaoh</w:t>
      </w:r>
      <w:r w:rsidRPr="004D0DE2">
        <w:t xml:space="preserve"> of Lower Egypt.</w:t>
      </w:r>
      <w:r w:rsidRPr="004D0DE2">
        <w:rPr>
          <w:vertAlign w:val="superscript"/>
        </w:rPr>
        <w:footnoteReference w:id="227"/>
      </w:r>
      <w:r w:rsidRPr="004D0DE2">
        <w:t xml:space="preserve">  </w:t>
      </w:r>
    </w:p>
    <w:p w:rsidR="004D0DE2" w:rsidRPr="004D0DE2" w:rsidRDefault="004D0DE2" w:rsidP="002C2FDF">
      <w:pPr>
        <w:pStyle w:val="Heading3"/>
      </w:pPr>
      <w:bookmarkStart w:id="73" w:name="_Toc481343501"/>
      <w:bookmarkStart w:id="74" w:name="_Toc482206690"/>
      <w:r w:rsidRPr="004D0DE2">
        <w:t>Marine Objects</w:t>
      </w:r>
      <w:bookmarkEnd w:id="73"/>
      <w:bookmarkEnd w:id="74"/>
    </w:p>
    <w:p w:rsidR="004D0DE2" w:rsidRPr="004D0DE2" w:rsidRDefault="004D0DE2" w:rsidP="004D0DE2">
      <w:r w:rsidRPr="004D0DE2">
        <w:tab/>
        <w:t xml:space="preserve">This section is included here for interpretation, not for objects of marine life included in the catalog, but because three-dimensional representations of marine life are conspicuously missing from the catalog.  To the Cycladic islanders, the sea must have been their source of </w:t>
      </w:r>
      <w:r w:rsidRPr="004D0DE2">
        <w:rPr>
          <w:noProof/>
        </w:rPr>
        <w:t>life,</w:t>
      </w:r>
      <w:r w:rsidRPr="004D0DE2">
        <w:t xml:space="preserve"> and archaeological records show an abundance of marine remains being</w:t>
      </w:r>
      <w:r w:rsidRPr="004D0DE2">
        <w:rPr>
          <w:noProof/>
        </w:rPr>
        <w:t xml:space="preserve"> consumed, with awareness if </w:t>
      </w:r>
      <w:r w:rsidRPr="004D0DE2">
        <w:t xml:space="preserve">a crop failed, they had food from the sea.  The sea was their source of contact with other communities, brought trade, and provided protection. It is puzzling that there are no three-dimensional representations of marine life and motifs known. There </w:t>
      </w:r>
      <w:r w:rsidRPr="004D0DE2">
        <w:rPr>
          <w:noProof/>
        </w:rPr>
        <w:t>are plenty of painted</w:t>
      </w:r>
      <w:r w:rsidRPr="004D0DE2">
        <w:t xml:space="preserve"> and incised decorations on pottery, and objects made from the shells, such as jewelry, but three-dimensional objects are missing. Given the beauty with which a dove </w:t>
      </w:r>
      <w:r w:rsidRPr="004D0DE2">
        <w:rPr>
          <w:noProof/>
        </w:rPr>
        <w:t>is carved</w:t>
      </w:r>
      <w:r w:rsidRPr="004D0DE2">
        <w:t xml:space="preserve"> from greenstone, or </w:t>
      </w:r>
      <w:r w:rsidRPr="004D0DE2">
        <w:lastRenderedPageBreak/>
        <w:t xml:space="preserve">the delicate nature of a tiny dove finial carved from bone, or the </w:t>
      </w:r>
      <w:r w:rsidRPr="004D0DE2">
        <w:rPr>
          <w:noProof/>
        </w:rPr>
        <w:t>modeling</w:t>
      </w:r>
      <w:r w:rsidRPr="004D0DE2">
        <w:t xml:space="preserve"> of a hedgehog from clay, it is certain that they had the ability.  </w:t>
      </w:r>
    </w:p>
    <w:p w:rsidR="004D0DE2" w:rsidRPr="004D0DE2" w:rsidRDefault="004D0DE2" w:rsidP="004D0DE2">
      <w:r w:rsidRPr="004D0DE2">
        <w:tab/>
        <w:t xml:space="preserve">Two possible explanations exist.  First, marine life was naturally </w:t>
      </w:r>
      <w:r w:rsidRPr="004D0DE2">
        <w:rPr>
          <w:noProof/>
        </w:rPr>
        <w:t>abundant,</w:t>
      </w:r>
      <w:r w:rsidRPr="004D0DE2">
        <w:t xml:space="preserve"> and unlike the crops for which they must have prayed to a deity for success, they didn’t necessarily have to toil for months to get provisions from the sea.  However, if they did have a sea-deity to which they would pray for safe travels and protection from enemies, any votive figures provided as offerings must be at the bottom of the sea—long ago eroded by the salt waters and buried by the swirling sands of incoming storms. </w:t>
      </w:r>
    </w:p>
    <w:p w:rsidR="004D0DE2" w:rsidRPr="004D0DE2" w:rsidRDefault="004D0DE2" w:rsidP="002C2FDF">
      <w:pPr>
        <w:pStyle w:val="Heading2"/>
      </w:pPr>
      <w:bookmarkStart w:id="75" w:name="_Toc481343502"/>
      <w:bookmarkStart w:id="76" w:name="_Toc482206691"/>
      <w:r w:rsidRPr="004D0DE2">
        <w:t>Mythological</w:t>
      </w:r>
      <w:bookmarkEnd w:id="75"/>
      <w:r w:rsidR="00F62475">
        <w:t xml:space="preserve"> Animals</w:t>
      </w:r>
      <w:bookmarkEnd w:id="76"/>
    </w:p>
    <w:p w:rsidR="004D0DE2" w:rsidRPr="004D0DE2" w:rsidRDefault="004D0DE2" w:rsidP="002C2FDF">
      <w:pPr>
        <w:pStyle w:val="Heading3"/>
      </w:pPr>
      <w:bookmarkStart w:id="77" w:name="_Toc481343503"/>
      <w:bookmarkStart w:id="78" w:name="_Toc482206692"/>
      <w:r w:rsidRPr="004D0DE2">
        <w:t>Manticore</w:t>
      </w:r>
      <w:bookmarkEnd w:id="77"/>
      <w:bookmarkEnd w:id="78"/>
      <w:r w:rsidRPr="004D0DE2">
        <w:t xml:space="preserve"> </w:t>
      </w:r>
    </w:p>
    <w:p w:rsidR="004D0DE2" w:rsidRPr="004D0DE2" w:rsidRDefault="004D0DE2" w:rsidP="004D0DE2">
      <w:r w:rsidRPr="004D0DE2">
        <w:tab/>
        <w:t xml:space="preserve">Only one object (J10) gives thought of a mythical creature—the manticore.  The mythical beast, the manticore, is Persian in origin </w:t>
      </w:r>
      <w:r w:rsidRPr="004D0DE2">
        <w:rPr>
          <w:noProof/>
        </w:rPr>
        <w:t>and in</w:t>
      </w:r>
      <w:r w:rsidRPr="004D0DE2">
        <w:t xml:space="preserve"> Farsi, the name </w:t>
      </w:r>
      <w:r w:rsidRPr="004D0DE2">
        <w:rPr>
          <w:i/>
          <w:noProof/>
        </w:rPr>
        <w:t>mardkhora</w:t>
      </w:r>
      <w:r w:rsidRPr="004D0DE2">
        <w:t xml:space="preserve"> means man slayer.</w:t>
      </w:r>
      <w:r w:rsidRPr="004D0DE2">
        <w:rPr>
          <w:vertAlign w:val="superscript"/>
        </w:rPr>
        <w:footnoteReference w:id="228"/>
      </w:r>
      <w:r w:rsidRPr="004D0DE2">
        <w:t xml:space="preserve"> If this amulet does represent the mythical Near Eastern manticore, there could be many reasons for it. On the other hand, I admit that this amulet may represent a domesticated quadruped (sheep/bovine) of a local character aesthetic.  Without the head (missing), which would provide the defining features, it is impossible to know. The theory is simply an interesting </w:t>
      </w:r>
      <w:r w:rsidRPr="004D0DE2">
        <w:rPr>
          <w:noProof/>
        </w:rPr>
        <w:t>thought</w:t>
      </w:r>
      <w:r w:rsidRPr="004D0DE2">
        <w:t xml:space="preserve"> and based on contacts the Cycladic islanders had with foreign lands.</w:t>
      </w:r>
    </w:p>
    <w:p w:rsidR="004D0DE2" w:rsidRPr="004D0DE2" w:rsidRDefault="004D0DE2" w:rsidP="004D0DE2">
      <w:pPr>
        <w:ind w:firstLine="720"/>
      </w:pPr>
      <w:r w:rsidRPr="004D0DE2">
        <w:t xml:space="preserve"> Ancient writers refer to Ctesias as the source of their descriptions.  Ctesias of Cnidus was a Greek physician at the court of the Persian king Artaxerxes II Mnemon </w:t>
      </w:r>
      <w:r w:rsidRPr="004D0DE2">
        <w:lastRenderedPageBreak/>
        <w:t xml:space="preserve">from 404 BCE to 398/397BCE. Ctesias wrote several books about Persia and India, which </w:t>
      </w:r>
      <w:r w:rsidRPr="004D0DE2">
        <w:rPr>
          <w:noProof/>
        </w:rPr>
        <w:t>are now lost</w:t>
      </w:r>
      <w:r w:rsidRPr="004D0DE2">
        <w:t xml:space="preserve">. Aristotle (384 BCE-322 BCE) writes: </w:t>
      </w:r>
    </w:p>
    <w:p w:rsidR="004D0DE2" w:rsidRPr="004D0DE2" w:rsidRDefault="004D0DE2" w:rsidP="004D0DE2">
      <w:pPr>
        <w:spacing w:after="240" w:line="240" w:lineRule="auto"/>
        <w:ind w:left="720"/>
      </w:pPr>
      <w:r w:rsidRPr="004D0DE2">
        <w:t xml:space="preserve">There is, however, an animal of the sort, if we are to believe Ctesias. </w:t>
      </w:r>
      <w:r w:rsidRPr="004D0DE2">
        <w:rPr>
          <w:noProof/>
        </w:rPr>
        <w:t>He assures us that the Indian wild beast called the 'martichoras' has a triple row of teeth in both upper and lower jaw; that it is as big as a lion and equally hairy, and that its feet resemble those of the lion; that it resembles man in its face and ears; that its eyes are blue, and its color vermilion; that its tail is like that of the land-scorpion; that it has a sting in the tail, and has the faculty of shooting off arrow-wise the spines that are attached to the tail; that the sound of its voice is a something between the sound of a pan-pipe and that of a trumpet; that it can run as swiftly as deer, and that it is savage and a man-eater.</w:t>
      </w:r>
      <w:r w:rsidRPr="004D0DE2">
        <w:rPr>
          <w:rFonts w:ascii="Times New Roman" w:hAnsi="Times New Roman"/>
          <w:vertAlign w:val="superscript"/>
        </w:rPr>
        <w:footnoteReference w:id="229"/>
      </w:r>
    </w:p>
    <w:p w:rsidR="004D0DE2" w:rsidRPr="004D0DE2" w:rsidRDefault="004D0DE2" w:rsidP="004D0DE2">
      <w:r w:rsidRPr="004D0DE2">
        <w:t xml:space="preserve">The small amulet (J10), a quadruped made from red-colored stone (“its color vermillion”), with its tail curled upward (“its tail is like that of the land-scorpion”) brings to mind ancient descriptions of the mythical animal.  Pliny the Elder (23 CE-79 CE) also writes a description much like </w:t>
      </w:r>
      <w:r w:rsidRPr="004D0DE2">
        <w:rPr>
          <w:noProof/>
        </w:rPr>
        <w:t>Aristotle’s</w:t>
      </w:r>
      <w:r w:rsidRPr="004D0DE2">
        <w:t xml:space="preserve"> and based on Ctesias, in his </w:t>
      </w:r>
      <w:r w:rsidRPr="004D0DE2">
        <w:rPr>
          <w:i/>
        </w:rPr>
        <w:t>Naturalis Historia</w:t>
      </w:r>
      <w:r w:rsidRPr="004D0DE2">
        <w:t>. However, he describes the animal, he calls “mantichora” as originating from Ethiopia.</w:t>
      </w:r>
      <w:r w:rsidRPr="004D0DE2">
        <w:rPr>
          <w:vertAlign w:val="superscript"/>
        </w:rPr>
        <w:footnoteReference w:id="230"/>
      </w:r>
      <w:r w:rsidRPr="004D0DE2">
        <w:t xml:space="preserve"> Pausanias, however, writes: </w:t>
      </w:r>
    </w:p>
    <w:p w:rsidR="004D0DE2" w:rsidRPr="004D0DE2" w:rsidRDefault="004D0DE2" w:rsidP="004D0DE2">
      <w:pPr>
        <w:spacing w:after="240" w:line="240" w:lineRule="auto"/>
        <w:ind w:left="720"/>
      </w:pPr>
      <w:r w:rsidRPr="004D0DE2">
        <w:t xml:space="preserve">The beast described by Ctesias in his Indian history, which he says is called </w:t>
      </w:r>
      <w:r w:rsidRPr="004D0DE2">
        <w:rPr>
          <w:noProof/>
        </w:rPr>
        <w:t>martichoras</w:t>
      </w:r>
      <w:r w:rsidRPr="004D0DE2">
        <w:t xml:space="preserve"> by the Indians and man-eater by the Greeks, I am inclined to think is the tiger. </w:t>
      </w:r>
      <w:r w:rsidRPr="004D0DE2">
        <w:rPr>
          <w:noProof/>
        </w:rPr>
        <w:t>But that it has three rows of teeth along each jaw and spikes at the tip of its tail with which it defends itself at close quarters, while it hurls them like an archer's arrows at more distant enemies; all this is, I think, a false story that the Indians pass on from one to another owing to their excessive dread of the beast.</w:t>
      </w:r>
      <w:r w:rsidRPr="004D0DE2">
        <w:rPr>
          <w:vertAlign w:val="superscript"/>
        </w:rPr>
        <w:footnoteReference w:id="231"/>
      </w:r>
    </w:p>
    <w:p w:rsidR="004D0DE2" w:rsidRPr="004D0DE2" w:rsidRDefault="004D0DE2" w:rsidP="004D0DE2">
      <w:r w:rsidRPr="004D0DE2">
        <w:t xml:space="preserve">With the written origins of the story going back at least to the fifth-century BCE., it is easy to presume that the oral history dates back much farther. From the given descriptions, head of a man and body of a lion, one cannot help but draw a parallel to the Egyptian sphinx.  </w:t>
      </w:r>
      <w:r w:rsidRPr="004D0DE2">
        <w:rPr>
          <w:noProof/>
        </w:rPr>
        <w:t>Egyptologists generally date the Great Sphinx of Giza</w:t>
      </w:r>
      <w:r w:rsidRPr="004D0DE2">
        <w:t xml:space="preserve"> to circa </w:t>
      </w:r>
      <w:r w:rsidRPr="004D0DE2">
        <w:lastRenderedPageBreak/>
        <w:t xml:space="preserve">2500 </w:t>
      </w:r>
      <w:r w:rsidRPr="004D0DE2">
        <w:rPr>
          <w:noProof/>
        </w:rPr>
        <w:t>BCE, however,</w:t>
      </w:r>
      <w:r w:rsidRPr="004D0DE2">
        <w:t xml:space="preserve"> some believe it may have been built as early as the late-Predynastic period (c. 6000-3150 BCE, Neolithic).</w:t>
      </w:r>
      <w:r w:rsidRPr="004D0DE2">
        <w:rPr>
          <w:vertAlign w:val="superscript"/>
        </w:rPr>
        <w:footnoteReference w:id="232"/>
      </w:r>
      <w:r w:rsidRPr="004D0DE2">
        <w:t xml:space="preserve">  </w:t>
      </w:r>
    </w:p>
    <w:p w:rsidR="00643E1B" w:rsidRDefault="00643E1B" w:rsidP="004D0DE2">
      <w:pPr>
        <w:jc w:val="center"/>
        <w:outlineLvl w:val="0"/>
        <w:rPr>
          <w:rFonts w:asciiTheme="majorHAnsi" w:hAnsiTheme="majorHAnsi"/>
          <w:b/>
          <w:bCs/>
          <w:sz w:val="28"/>
          <w:szCs w:val="32"/>
        </w:rPr>
      </w:pPr>
      <w:bookmarkStart w:id="79" w:name="_Toc481343504"/>
    </w:p>
    <w:p w:rsidR="00643E1B" w:rsidRDefault="00643E1B" w:rsidP="004D0DE2">
      <w:pPr>
        <w:jc w:val="center"/>
        <w:outlineLvl w:val="0"/>
        <w:rPr>
          <w:rFonts w:asciiTheme="majorHAnsi" w:hAnsiTheme="majorHAnsi"/>
          <w:b/>
          <w:bCs/>
          <w:sz w:val="28"/>
          <w:szCs w:val="32"/>
        </w:rPr>
      </w:pPr>
    </w:p>
    <w:p w:rsidR="00643E1B" w:rsidRDefault="00643E1B"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bookmarkStart w:id="80" w:name="_Toc482206693"/>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C61DE2" w:rsidRDefault="00C61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r w:rsidRPr="004D0DE2">
        <w:rPr>
          <w:rFonts w:asciiTheme="majorHAnsi" w:hAnsiTheme="majorHAnsi"/>
          <w:b/>
          <w:bCs/>
          <w:sz w:val="28"/>
          <w:szCs w:val="32"/>
        </w:rPr>
        <w:lastRenderedPageBreak/>
        <w:t>Chapter 4: Conclusion</w:t>
      </w:r>
      <w:bookmarkEnd w:id="79"/>
      <w:bookmarkEnd w:id="80"/>
    </w:p>
    <w:bookmarkEnd w:id="37"/>
    <w:bookmarkEnd w:id="38"/>
    <w:p w:rsidR="004D0DE2" w:rsidRPr="004D0DE2" w:rsidRDefault="004D0DE2" w:rsidP="004D0DE2">
      <w:pPr>
        <w:ind w:firstLine="720"/>
        <w:rPr>
          <w:rFonts w:eastAsia="Calibri"/>
          <w:lang w:bidi="ar-SA"/>
        </w:rPr>
      </w:pPr>
      <w:r w:rsidRPr="004D0DE2">
        <w:rPr>
          <w:rFonts w:eastAsia="Calibri"/>
          <w:lang w:bidi="ar-SA"/>
        </w:rPr>
        <w:t xml:space="preserve">Previously, zoomorphic objects have </w:t>
      </w:r>
      <w:r w:rsidRPr="004D0DE2">
        <w:rPr>
          <w:rFonts w:eastAsia="Calibri"/>
          <w:noProof/>
          <w:lang w:bidi="ar-SA"/>
        </w:rPr>
        <w:t>been examined</w:t>
      </w:r>
      <w:r w:rsidRPr="004D0DE2">
        <w:rPr>
          <w:rFonts w:eastAsia="Calibri"/>
          <w:lang w:bidi="ar-SA"/>
        </w:rPr>
        <w:t xml:space="preserve"> in the context of the cemetery, settlement, or similar archaeological site in which they </w:t>
      </w:r>
      <w:r w:rsidRPr="004D0DE2">
        <w:rPr>
          <w:rFonts w:eastAsia="Calibri"/>
          <w:noProof/>
          <w:lang w:bidi="ar-SA"/>
        </w:rPr>
        <w:t>were found</w:t>
      </w:r>
      <w:r w:rsidRPr="004D0DE2">
        <w:rPr>
          <w:rFonts w:eastAsia="Calibri"/>
          <w:lang w:bidi="ar-SA"/>
        </w:rPr>
        <w:t xml:space="preserve">.  Since often only one (or a few) zoomorphic object may be found in a given cemetery or settlement, this approach leads to little comparative data. In compiling a zoomorphic corpus, where the objects can </w:t>
      </w:r>
      <w:r w:rsidRPr="004D0DE2">
        <w:rPr>
          <w:rFonts w:eastAsia="Calibri"/>
          <w:noProof/>
          <w:lang w:bidi="ar-SA"/>
        </w:rPr>
        <w:t>be studied</w:t>
      </w:r>
      <w:r w:rsidRPr="004D0DE2">
        <w:rPr>
          <w:rFonts w:eastAsia="Calibri"/>
          <w:lang w:bidi="ar-SA"/>
        </w:rPr>
        <w:t xml:space="preserve"> in comparison to each other, I believe new perspectives and conclusions can </w:t>
      </w:r>
      <w:r w:rsidRPr="004D0DE2">
        <w:rPr>
          <w:rFonts w:eastAsia="Calibri"/>
          <w:noProof/>
          <w:lang w:bidi="ar-SA"/>
        </w:rPr>
        <w:t>be drawn</w:t>
      </w:r>
      <w:r w:rsidRPr="004D0DE2">
        <w:rPr>
          <w:rFonts w:eastAsia="Calibri"/>
          <w:lang w:bidi="ar-SA"/>
        </w:rPr>
        <w:t xml:space="preserve"> on production and use. Additionally, instead of making species identifications based on only physical appearance alone, objects can be compared against the </w:t>
      </w:r>
      <w:r w:rsidRPr="004D0DE2">
        <w:rPr>
          <w:rFonts w:eastAsia="Calibri"/>
          <w:noProof/>
          <w:lang w:bidi="ar-SA"/>
        </w:rPr>
        <w:t>corpus,</w:t>
      </w:r>
      <w:r w:rsidRPr="004D0DE2">
        <w:rPr>
          <w:rFonts w:eastAsia="Calibri"/>
          <w:lang w:bidi="ar-SA"/>
        </w:rPr>
        <w:t xml:space="preserve"> and new identifications can </w:t>
      </w:r>
      <w:r w:rsidRPr="004D0DE2">
        <w:rPr>
          <w:rFonts w:eastAsia="Calibri"/>
          <w:noProof/>
          <w:lang w:bidi="ar-SA"/>
        </w:rPr>
        <w:t>be made</w:t>
      </w:r>
      <w:r w:rsidRPr="004D0DE2">
        <w:rPr>
          <w:rFonts w:eastAsia="Calibri"/>
          <w:lang w:bidi="ar-SA"/>
        </w:rPr>
        <w:t xml:space="preserve">, as I have attempted to do in this thesis.  Differences in object aesthetics are seen here as being representative of local culture (and the lack of central administration controlling ritual worship), combined with outside influences are attested to in the fact that there is a great variety of aesthetics within the categories of animal species.  There does not appear to be any aesthetic conventions which regulate the manufacture of ritual objects.  Contributing to the “international spirit” discussed in the Animal Symbolism </w:t>
      </w:r>
      <w:r w:rsidRPr="004D0DE2">
        <w:rPr>
          <w:rFonts w:eastAsia="Calibri"/>
          <w:noProof/>
          <w:lang w:bidi="ar-SA"/>
        </w:rPr>
        <w:t>section</w:t>
      </w:r>
      <w:r w:rsidRPr="004D0DE2">
        <w:rPr>
          <w:rFonts w:eastAsia="Calibri"/>
          <w:lang w:bidi="ar-SA"/>
        </w:rPr>
        <w:t xml:space="preserve"> is Broodbank’s theory of trade centers, from which most of these figures have </w:t>
      </w:r>
      <w:r w:rsidRPr="004D0DE2">
        <w:rPr>
          <w:rFonts w:eastAsia="Calibri"/>
          <w:noProof/>
          <w:lang w:bidi="ar-SA"/>
        </w:rPr>
        <w:t>been excavated</w:t>
      </w:r>
      <w:r w:rsidRPr="004D0DE2">
        <w:rPr>
          <w:rFonts w:eastAsia="Calibri"/>
          <w:lang w:bidi="ar-SA"/>
        </w:rPr>
        <w:t>: Chalandriani on Syros, Ayia Irini on Kea, Dhaskalio-Kavos on Keros, and Phylakopi on Melos.</w:t>
      </w:r>
    </w:p>
    <w:p w:rsidR="004D0DE2" w:rsidRPr="004D0DE2" w:rsidRDefault="004D0DE2" w:rsidP="004D0DE2">
      <w:pPr>
        <w:ind w:firstLine="720"/>
        <w:rPr>
          <w:rFonts w:eastAsia="Calibri"/>
          <w:lang w:bidi="ar-SA"/>
        </w:rPr>
      </w:pPr>
      <w:r w:rsidRPr="004D0DE2">
        <w:rPr>
          <w:rFonts w:eastAsia="Calibri"/>
          <w:lang w:bidi="ar-SA"/>
        </w:rPr>
        <w:t xml:space="preserve">In </w:t>
      </w:r>
      <w:r w:rsidR="00F62475">
        <w:rPr>
          <w:rFonts w:eastAsia="Calibri"/>
          <w:lang w:bidi="ar-SA"/>
        </w:rPr>
        <w:t>determining</w:t>
      </w:r>
      <w:r w:rsidRPr="004D0DE2">
        <w:rPr>
          <w:rFonts w:eastAsia="Calibri"/>
          <w:lang w:bidi="ar-SA"/>
        </w:rPr>
        <w:t xml:space="preserve"> the iconography of these objects and making comparisons to contemporary cultures, I propose that the religion of the Cycladic islanders revolved around a form of a Goddess Creatrix, which Marija Gimbutas has deciphered, in varying forms, in nearly all the cultures in “Old Europe</w:t>
      </w:r>
      <w:r w:rsidRPr="004D0DE2">
        <w:rPr>
          <w:rFonts w:eastAsia="Calibri"/>
          <w:noProof/>
          <w:lang w:bidi="ar-SA"/>
        </w:rPr>
        <w:t>.”</w:t>
      </w:r>
      <w:r w:rsidRPr="004D0DE2">
        <w:rPr>
          <w:rFonts w:eastAsia="Calibri"/>
          <w:lang w:bidi="ar-SA"/>
        </w:rPr>
        <w:t xml:space="preserve">  The Goddess Creatrix takes many forms--Bird Goddess, Snake Goddess, Hedgehog Goddess—and has sacred </w:t>
      </w:r>
      <w:r w:rsidRPr="004D0DE2">
        <w:rPr>
          <w:rFonts w:eastAsia="Calibri"/>
          <w:lang w:bidi="ar-SA"/>
        </w:rPr>
        <w:lastRenderedPageBreak/>
        <w:t xml:space="preserve">selected animals at her disposal.  The main </w:t>
      </w:r>
      <w:r w:rsidRPr="004D0DE2">
        <w:rPr>
          <w:rFonts w:eastAsia="Calibri"/>
          <w:noProof/>
          <w:lang w:bidi="ar-SA"/>
        </w:rPr>
        <w:t>ideas</w:t>
      </w:r>
      <w:r w:rsidRPr="004D0DE2">
        <w:rPr>
          <w:rFonts w:eastAsia="Calibri"/>
          <w:lang w:bidi="ar-SA"/>
        </w:rPr>
        <w:t xml:space="preserve"> surrounding rituals and worship concern aspects of their daily subsistence: fertility, prosperity, and renewal/regeneration. In a domestic or household cult context, </w:t>
      </w:r>
      <w:r w:rsidRPr="004D0DE2">
        <w:rPr>
          <w:rFonts w:eastAsia="Calibri"/>
          <w:noProof/>
          <w:lang w:bidi="ar-SA"/>
        </w:rPr>
        <w:t>islanders</w:t>
      </w:r>
      <w:r w:rsidRPr="004D0DE2">
        <w:rPr>
          <w:rFonts w:eastAsia="Calibri"/>
          <w:lang w:bidi="ar-SA"/>
        </w:rPr>
        <w:t xml:space="preserve"> give votive offerings, utilize cult images, perform libation rituals, and wear the marks of the goddess on their skin (ritual tattooing) and in the form of amulets or periapts.  Wearing the mark of the goddess would depend on the individual need.  For instance, a sailor might wear a frog, snake, or water bird amulet to symbolize existence both on land and on water, for protection and prosperity.  </w:t>
      </w:r>
      <w:r w:rsidRPr="004D0DE2">
        <w:rPr>
          <w:rFonts w:eastAsia="Calibri"/>
          <w:noProof/>
          <w:lang w:bidi="ar-SA"/>
        </w:rPr>
        <w:t xml:space="preserve">The Goddess Creatrix herself is represented by the anthropomorphic </w:t>
      </w:r>
      <w:r w:rsidR="008A4685">
        <w:rPr>
          <w:rFonts w:eastAsia="Calibri"/>
          <w:noProof/>
          <w:lang w:bidi="ar-SA"/>
        </w:rPr>
        <w:t>figurines</w:t>
      </w:r>
      <w:r w:rsidRPr="004D0DE2">
        <w:rPr>
          <w:rFonts w:eastAsia="Calibri"/>
          <w:lang w:bidi="ar-SA"/>
        </w:rPr>
        <w:t xml:space="preserve">.  The differences between the stylized “idols” and the folded-arm figurines </w:t>
      </w:r>
      <w:r w:rsidRPr="004D0DE2">
        <w:rPr>
          <w:rFonts w:eastAsia="Calibri"/>
          <w:noProof/>
          <w:lang w:bidi="ar-SA"/>
        </w:rPr>
        <w:t>are</w:t>
      </w:r>
      <w:r w:rsidRPr="004D0DE2">
        <w:rPr>
          <w:rFonts w:eastAsia="Calibri"/>
          <w:lang w:bidi="ar-SA"/>
        </w:rPr>
        <w:t xml:space="preserve"> still unknown to scholars and beyond the scope of this thesis.  </w:t>
      </w:r>
    </w:p>
    <w:p w:rsidR="004D0DE2" w:rsidRPr="004D0DE2" w:rsidRDefault="004D0DE2" w:rsidP="004D0DE2">
      <w:pPr>
        <w:ind w:firstLine="720"/>
        <w:rPr>
          <w:rFonts w:eastAsia="Calibri"/>
          <w:lang w:bidi="ar-SA"/>
        </w:rPr>
      </w:pPr>
      <w:r w:rsidRPr="004D0DE2">
        <w:rPr>
          <w:rFonts w:eastAsia="Calibri"/>
          <w:lang w:bidi="ar-SA"/>
        </w:rPr>
        <w:t xml:space="preserve">I propose that of the objects cataloged, most of the works can </w:t>
      </w:r>
      <w:r w:rsidRPr="004D0DE2">
        <w:rPr>
          <w:rFonts w:eastAsia="Calibri"/>
          <w:noProof/>
          <w:lang w:bidi="ar-SA"/>
        </w:rPr>
        <w:t>be categorized</w:t>
      </w:r>
      <w:r w:rsidRPr="004D0DE2">
        <w:rPr>
          <w:rFonts w:eastAsia="Calibri"/>
          <w:lang w:bidi="ar-SA"/>
        </w:rPr>
        <w:t xml:space="preserve"> as votives. These are objects which feature receptacles for giving an </w:t>
      </w:r>
      <w:r w:rsidRPr="004D0DE2">
        <w:rPr>
          <w:rFonts w:eastAsia="Calibri"/>
          <w:noProof/>
          <w:lang w:bidi="ar-SA"/>
        </w:rPr>
        <w:t>offering,</w:t>
      </w:r>
      <w:r w:rsidRPr="004D0DE2">
        <w:rPr>
          <w:rFonts w:eastAsia="Calibri"/>
          <w:lang w:bidi="ar-SA"/>
        </w:rPr>
        <w:t xml:space="preserve"> and the vessels themselves occur in the form of animals sacred to the Great Goddess, in her capacity mainly as the Bird Goddess.  The </w:t>
      </w:r>
      <w:r w:rsidRPr="004D0DE2">
        <w:rPr>
          <w:rFonts w:eastAsia="Calibri"/>
          <w:noProof/>
          <w:lang w:bidi="ar-SA"/>
        </w:rPr>
        <w:t>domesticates</w:t>
      </w:r>
      <w:r w:rsidRPr="004D0DE2">
        <w:rPr>
          <w:rFonts w:eastAsia="Calibri"/>
          <w:lang w:bidi="ar-SA"/>
        </w:rPr>
        <w:t xml:space="preserve"> </w:t>
      </w:r>
      <w:r w:rsidRPr="004D0DE2">
        <w:rPr>
          <w:rFonts w:eastAsia="Calibri"/>
          <w:noProof/>
          <w:lang w:bidi="ar-SA"/>
        </w:rPr>
        <w:t>are represented</w:t>
      </w:r>
      <w:r w:rsidRPr="004D0DE2">
        <w:rPr>
          <w:rFonts w:eastAsia="Calibri"/>
          <w:lang w:bidi="ar-SA"/>
        </w:rPr>
        <w:t xml:space="preserve"> as they occur in nature, without any endowment of supernatural qualities.  The only exceptions are the hedgehog vessels, which have </w:t>
      </w:r>
      <w:r w:rsidRPr="004D0DE2">
        <w:rPr>
          <w:rFonts w:eastAsia="Calibri"/>
          <w:noProof/>
          <w:lang w:bidi="ar-SA"/>
        </w:rPr>
        <w:t>been given</w:t>
      </w:r>
      <w:r w:rsidRPr="004D0DE2">
        <w:rPr>
          <w:rFonts w:eastAsia="Calibri"/>
          <w:lang w:bidi="ar-SA"/>
        </w:rPr>
        <w:t xml:space="preserve"> anthropomorphic, human-like qualities.  The rest of the works in the catalog—amulets, pins, figurines—can occasionally assume the role of cult images. These are objects, including the hedgehog vessels, which </w:t>
      </w:r>
      <w:r w:rsidRPr="004D0DE2">
        <w:rPr>
          <w:rFonts w:eastAsia="Calibri"/>
          <w:noProof/>
          <w:lang w:bidi="ar-SA"/>
        </w:rPr>
        <w:t>are used</w:t>
      </w:r>
      <w:r w:rsidRPr="004D0DE2">
        <w:rPr>
          <w:rFonts w:eastAsia="Calibri"/>
          <w:lang w:bidi="ar-SA"/>
        </w:rPr>
        <w:t xml:space="preserve"> in worship or ritual activities as invocations, probably to endow themselves with power or protection of the Goddess.   While the catalog is as comprehensive as possible now, it is far away </w:t>
      </w:r>
      <w:r w:rsidRPr="004D0DE2">
        <w:rPr>
          <w:rFonts w:eastAsia="Calibri"/>
          <w:noProof/>
          <w:lang w:bidi="ar-SA"/>
        </w:rPr>
        <w:t>from</w:t>
      </w:r>
      <w:r w:rsidRPr="004D0DE2">
        <w:rPr>
          <w:rFonts w:eastAsia="Calibri"/>
          <w:lang w:bidi="ar-SA"/>
        </w:rPr>
        <w:t xml:space="preserve"> being complete. Future research includes adding objects to the catalog, which are unknown to me at the </w:t>
      </w:r>
      <w:r w:rsidRPr="004D0DE2">
        <w:rPr>
          <w:rFonts w:eastAsia="Calibri"/>
          <w:noProof/>
          <w:lang w:bidi="ar-SA"/>
        </w:rPr>
        <w:t>time</w:t>
      </w:r>
      <w:r w:rsidRPr="004D0DE2">
        <w:rPr>
          <w:rFonts w:eastAsia="Calibri"/>
          <w:lang w:bidi="ar-SA"/>
        </w:rPr>
        <w:t xml:space="preserve"> of writing my thesis and possibly expanding to </w:t>
      </w:r>
      <w:r w:rsidRPr="004D0DE2">
        <w:rPr>
          <w:rFonts w:eastAsia="Calibri"/>
          <w:lang w:bidi="ar-SA"/>
        </w:rPr>
        <w:lastRenderedPageBreak/>
        <w:t xml:space="preserve">two-dimensional representations, </w:t>
      </w:r>
      <w:r w:rsidRPr="004D0DE2">
        <w:rPr>
          <w:rFonts w:eastAsia="Calibri"/>
          <w:noProof/>
          <w:lang w:bidi="ar-SA"/>
        </w:rPr>
        <w:t>to</w:t>
      </w:r>
      <w:r w:rsidRPr="004D0DE2">
        <w:rPr>
          <w:rFonts w:eastAsia="Calibri"/>
          <w:lang w:bidi="ar-SA"/>
        </w:rPr>
        <w:t xml:space="preserve"> further expand and refine theories of animal representations in Early Cycladic Art and their place in Early Cycladic religion.</w:t>
      </w:r>
    </w:p>
    <w:p w:rsidR="004D0DE2" w:rsidRPr="004D0DE2" w:rsidRDefault="004D0DE2" w:rsidP="002C2FDF">
      <w:pPr>
        <w:pStyle w:val="Heading2"/>
        <w:rPr>
          <w:rFonts w:eastAsia="Calibri"/>
          <w:lang w:bidi="ar-SA"/>
        </w:rPr>
      </w:pPr>
      <w:bookmarkStart w:id="81" w:name="_Toc481343505"/>
      <w:bookmarkStart w:id="82" w:name="_Toc482206694"/>
      <w:r w:rsidRPr="004D0DE2">
        <w:rPr>
          <w:rFonts w:eastAsia="Calibri"/>
          <w:noProof/>
          <w:lang w:bidi="ar-SA"/>
        </w:rPr>
        <w:t>A Brief Note on the Current State of Research</w:t>
      </w:r>
      <w:bookmarkEnd w:id="81"/>
      <w:bookmarkEnd w:id="82"/>
    </w:p>
    <w:p w:rsidR="004D0DE2" w:rsidRPr="004D0DE2" w:rsidRDefault="004D0DE2" w:rsidP="004D0DE2">
      <w:pPr>
        <w:rPr>
          <w:rFonts w:eastAsia="Calibri"/>
          <w:lang w:bidi="ar-SA"/>
        </w:rPr>
      </w:pPr>
      <w:r w:rsidRPr="004D0DE2">
        <w:rPr>
          <w:rFonts w:eastAsia="Calibri"/>
          <w:lang w:bidi="ar-SA"/>
        </w:rPr>
        <w:tab/>
        <w:t xml:space="preserve">Discussions about the current state of archaeology in the Cyclades is a bit difficult since archaeological publishing tends to be about five years behind. For instance, in 2016-17, the McDonald Institute for Archaeological Research published the volumes of excavation reports for the Kavos-Dhaskalio project season ending in 2008-09.  There are many excavations occurring all over Greece, but not all of them have the aim of finding Early Cycladic evidence.  Depending on the site, excavators may </w:t>
      </w:r>
      <w:r w:rsidRPr="004D0DE2">
        <w:rPr>
          <w:rFonts w:eastAsia="Calibri"/>
          <w:noProof/>
          <w:lang w:bidi="ar-SA"/>
        </w:rPr>
        <w:t>be focused</w:t>
      </w:r>
      <w:r w:rsidRPr="004D0DE2">
        <w:rPr>
          <w:rFonts w:eastAsia="Calibri"/>
          <w:lang w:bidi="ar-SA"/>
        </w:rPr>
        <w:t xml:space="preserve"> on various time periods.  In the case of Early Cycladic settlements and cemeteries, excavations continue at Kavos-Dhaskalio, under the direction of Colin Renfrew and Michael Boyd.  Additionally, Early and Middle Cycladic excavations are taking place at Plaka on Andros, and a rescue excavation at </w:t>
      </w:r>
      <w:r w:rsidRPr="004D0DE2">
        <w:rPr>
          <w:rFonts w:eastAsia="Calibri"/>
          <w:noProof/>
          <w:lang w:bidi="ar-SA"/>
        </w:rPr>
        <w:t>Skeparnias</w:t>
      </w:r>
      <w:r w:rsidRPr="004D0DE2">
        <w:rPr>
          <w:rFonts w:eastAsia="Calibri"/>
          <w:lang w:bidi="ar-SA"/>
        </w:rPr>
        <w:t xml:space="preserve"> on Amorgos.  In 2012-13, the Kea Archaeological Survey took place to test results from the 1982-83 survey.  The Keros Island Survey took place in 2012 to conduct a complete archaeological survey of the island of Keros.  Marisa Marthari conducted further excavations at Chalandriani on Syros </w:t>
      </w:r>
      <w:r w:rsidRPr="004D0DE2">
        <w:rPr>
          <w:rFonts w:eastAsia="Calibri"/>
          <w:noProof/>
          <w:lang w:bidi="ar-SA"/>
        </w:rPr>
        <w:t>and</w:t>
      </w:r>
      <w:r w:rsidRPr="004D0DE2">
        <w:rPr>
          <w:rFonts w:eastAsia="Calibri"/>
          <w:lang w:bidi="ar-SA"/>
        </w:rPr>
        <w:t xml:space="preserve"> </w:t>
      </w:r>
      <w:r w:rsidRPr="004D0DE2">
        <w:rPr>
          <w:rFonts w:eastAsia="Calibri"/>
          <w:noProof/>
          <w:lang w:bidi="ar-SA"/>
        </w:rPr>
        <w:t>Raos</w:t>
      </w:r>
      <w:r w:rsidRPr="004D0DE2">
        <w:rPr>
          <w:rFonts w:eastAsia="Calibri"/>
          <w:lang w:bidi="ar-SA"/>
        </w:rPr>
        <w:t xml:space="preserve">, Thera.  </w:t>
      </w:r>
      <w:r w:rsidRPr="004D0DE2">
        <w:rPr>
          <w:rFonts w:eastAsia="Calibri"/>
          <w:noProof/>
          <w:lang w:bidi="ar-SA"/>
        </w:rPr>
        <w:t>An EC I cemetery, first discovered by Christos Tsountas, is being reinvestigated by Zozi Papadopoulou</w:t>
      </w:r>
      <w:r w:rsidRPr="004D0DE2">
        <w:rPr>
          <w:rFonts w:eastAsia="Calibri"/>
          <w:lang w:bidi="ar-SA"/>
        </w:rPr>
        <w:t xml:space="preserve">.  Furthermore, traces of Bronze Age activity have yet to be fully explored at Agriokastro on Antiparos </w:t>
      </w:r>
      <w:r w:rsidRPr="004D0DE2">
        <w:rPr>
          <w:rFonts w:eastAsia="Calibri"/>
          <w:noProof/>
          <w:lang w:bidi="ar-SA"/>
        </w:rPr>
        <w:t>and</w:t>
      </w:r>
      <w:r w:rsidRPr="004D0DE2">
        <w:rPr>
          <w:rFonts w:eastAsia="Calibri"/>
          <w:lang w:bidi="ar-SA"/>
        </w:rPr>
        <w:t xml:space="preserve"> Tsikniades on Naxos.  </w:t>
      </w:r>
    </w:p>
    <w:p w:rsidR="004D0DE2" w:rsidRPr="004D0DE2" w:rsidRDefault="004D0DE2" w:rsidP="004D0DE2">
      <w:pPr>
        <w:jc w:val="center"/>
        <w:outlineLvl w:val="0"/>
        <w:rPr>
          <w:rFonts w:asciiTheme="majorHAnsi" w:eastAsia="Calibri" w:hAnsiTheme="majorHAnsi"/>
          <w:b/>
          <w:bCs/>
          <w:sz w:val="28"/>
          <w:szCs w:val="32"/>
          <w:lang w:bidi="ar-SA"/>
        </w:rPr>
      </w:pPr>
    </w:p>
    <w:p w:rsidR="004D0DE2" w:rsidRPr="004D0DE2" w:rsidRDefault="004D0DE2" w:rsidP="004D0DE2">
      <w:pPr>
        <w:rPr>
          <w:rFonts w:eastAsia="Calibri"/>
          <w:lang w:bidi="ar-SA"/>
        </w:rPr>
      </w:pPr>
    </w:p>
    <w:p w:rsidR="004D0DE2" w:rsidRDefault="004D0DE2" w:rsidP="004D0DE2">
      <w:pPr>
        <w:keepNext/>
      </w:pPr>
      <w:r>
        <w:rPr>
          <w:noProof/>
          <w:lang w:bidi="ar-SA"/>
        </w:rPr>
        <w:lastRenderedPageBreak/>
        <w:drawing>
          <wp:inline distT="0" distB="0" distL="0" distR="0" wp14:anchorId="3F0962EB">
            <wp:extent cx="5372100" cy="65155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75493" cy="6519621"/>
                    </a:xfrm>
                    <a:prstGeom prst="rect">
                      <a:avLst/>
                    </a:prstGeom>
                    <a:noFill/>
                  </pic:spPr>
                </pic:pic>
              </a:graphicData>
            </a:graphic>
          </wp:inline>
        </w:drawing>
      </w:r>
    </w:p>
    <w:p w:rsidR="004D0DE2" w:rsidRPr="004D0DE2" w:rsidRDefault="004D0DE2" w:rsidP="004D0DE2">
      <w:pPr>
        <w:pStyle w:val="Caption"/>
      </w:pPr>
      <w:bookmarkStart w:id="83" w:name="_Toc482207250"/>
      <w:r>
        <w:t xml:space="preserve">Figure </w:t>
      </w:r>
      <w:r w:rsidR="009E3AD5">
        <w:fldChar w:fldCharType="begin"/>
      </w:r>
      <w:r w:rsidR="009E3AD5">
        <w:instrText xml:space="preserve"> SEQ Figure \* ARABIC </w:instrText>
      </w:r>
      <w:r w:rsidR="009E3AD5">
        <w:fldChar w:fldCharType="separate"/>
      </w:r>
      <w:r w:rsidR="00FB148A">
        <w:rPr>
          <w:noProof/>
        </w:rPr>
        <w:t>1</w:t>
      </w:r>
      <w:r w:rsidR="009E3AD5">
        <w:rPr>
          <w:noProof/>
        </w:rPr>
        <w:fldChar w:fldCharType="end"/>
      </w:r>
      <w:r>
        <w:t xml:space="preserve">: The Cycladic Islands. Renfrew, </w:t>
      </w:r>
      <w:r w:rsidRPr="004D0DE2">
        <w:rPr>
          <w:i/>
        </w:rPr>
        <w:t>The Emergence of Civilization</w:t>
      </w:r>
      <w:r>
        <w:t>, 137.</w:t>
      </w:r>
      <w:bookmarkEnd w:id="83"/>
    </w:p>
    <w:p w:rsidR="004D0DE2" w:rsidRPr="004D0DE2" w:rsidRDefault="000504BA" w:rsidP="004D0DE2">
      <w:r>
        <w:rPr>
          <w:noProof/>
          <w:lang w:bidi="ar-SA"/>
        </w:rPr>
        <w:lastRenderedPageBreak/>
        <mc:AlternateContent>
          <mc:Choice Requires="wps">
            <w:drawing>
              <wp:anchor distT="0" distB="0" distL="114300" distR="114300" simplePos="0" relativeHeight="251678720" behindDoc="0" locked="0" layoutInCell="1" allowOverlap="1">
                <wp:simplePos x="0" y="0"/>
                <wp:positionH relativeFrom="column">
                  <wp:posOffset>91440</wp:posOffset>
                </wp:positionH>
                <wp:positionV relativeFrom="paragraph">
                  <wp:posOffset>5071745</wp:posOffset>
                </wp:positionV>
                <wp:extent cx="5303520" cy="350520"/>
                <wp:effectExtent l="1905" t="4445" r="0" b="0"/>
                <wp:wrapSquare wrapText="bothSides"/>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0400" w:rsidRPr="000527EA" w:rsidRDefault="00350400" w:rsidP="004D0DE2">
                            <w:pPr>
                              <w:pStyle w:val="Caption"/>
                              <w:rPr>
                                <w:noProof/>
                                <w:szCs w:val="24"/>
                              </w:rPr>
                            </w:pPr>
                            <w:bookmarkStart w:id="84" w:name="_Toc482207251"/>
                            <w:r>
                              <w:t xml:space="preserve">Figure </w:t>
                            </w:r>
                            <w:r w:rsidR="009E3AD5">
                              <w:fldChar w:fldCharType="begin"/>
                            </w:r>
                            <w:r w:rsidR="009E3AD5">
                              <w:instrText xml:space="preserve"> SEQ Figure \* ARABIC </w:instrText>
                            </w:r>
                            <w:r w:rsidR="009E3AD5">
                              <w:fldChar w:fldCharType="separate"/>
                            </w:r>
                            <w:r>
                              <w:rPr>
                                <w:noProof/>
                              </w:rPr>
                              <w:t>2</w:t>
                            </w:r>
                            <w:r w:rsidR="009E3AD5">
                              <w:rPr>
                                <w:noProof/>
                              </w:rPr>
                              <w:fldChar w:fldCharType="end"/>
                            </w:r>
                            <w:r>
                              <w:t xml:space="preserve">: Axes of migration into the Cyclades. Broodbank, </w:t>
                            </w:r>
                            <w:r w:rsidRPr="004D0DE2">
                              <w:rPr>
                                <w:i/>
                              </w:rPr>
                              <w:t>An Island Archaeology</w:t>
                            </w:r>
                            <w:r>
                              <w:t>, 132.</w:t>
                            </w:r>
                            <w:bookmarkEnd w:id="8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7.2pt;margin-top:399.35pt;width:417.6pt;height:27.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" stroked="f">
                <v:textbox style="mso-fit-shape-to-text:t" inset="0,0,0,0">
                  <w:txbxContent>
                    <w:p w:rsidR="00350400" w:rsidRPr="000527EA" w:rsidRDefault="00350400" w:rsidP="004D0DE2">
                      <w:pPr>
                        <w:pStyle w:val="Caption"/>
                        <w:rPr>
                          <w:noProof/>
                          <w:szCs w:val="24"/>
                        </w:rPr>
                      </w:pPr>
                      <w:bookmarkStart w:id="84" w:name="_Toc482207251"/>
                      <w:r>
                        <w:t xml:space="preserve">Figure </w:t>
                      </w:r>
                      <w:fldSimple w:instr=" SEQ Figure \* ARABIC ">
                        <w:r>
                          <w:rPr>
                            <w:noProof/>
                          </w:rPr>
                          <w:t>2</w:t>
                        </w:r>
                      </w:fldSimple>
                      <w:r>
                        <w:t xml:space="preserve">: Axes of migration into the Cyclades. Broodbank, </w:t>
                      </w:r>
                      <w:r w:rsidRPr="004D0DE2">
                        <w:rPr>
                          <w:i/>
                        </w:rPr>
                        <w:t>An Island Archaeology</w:t>
                      </w:r>
                      <w:r>
                        <w:t>, 132.</w:t>
                      </w:r>
                      <w:bookmarkEnd w:id="84"/>
                    </w:p>
                  </w:txbxContent>
                </v:textbox>
                <w10:wrap type="square"/>
              </v:shape>
            </w:pict>
          </mc:Fallback>
        </mc:AlternateContent>
      </w:r>
      <w:r w:rsidR="004D0DE2" w:rsidRPr="004D0DE2">
        <w:rPr>
          <w:noProof/>
          <w:lang w:bidi="ar-SA"/>
        </w:rPr>
        <w:drawing>
          <wp:anchor distT="0" distB="0" distL="114300" distR="114300" simplePos="0" relativeHeight="251640320" behindDoc="0" locked="0" layoutInCell="1" allowOverlap="1" wp14:anchorId="2817D3A5" wp14:editId="351F30D1">
            <wp:simplePos x="0" y="0"/>
            <wp:positionH relativeFrom="margin">
              <wp:posOffset>91440</wp:posOffset>
            </wp:positionH>
            <wp:positionV relativeFrom="paragraph">
              <wp:posOffset>0</wp:posOffset>
            </wp:positionV>
            <wp:extent cx="5303520" cy="50145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006edi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03520" cy="5014595"/>
                    </a:xfrm>
                    <a:prstGeom prst="rect">
                      <a:avLst/>
                    </a:prstGeom>
                  </pic:spPr>
                </pic:pic>
              </a:graphicData>
            </a:graphic>
            <wp14:sizeRelH relativeFrom="margin">
              <wp14:pctWidth>0</wp14:pctWidth>
            </wp14:sizeRelH>
            <wp14:sizeRelV relativeFrom="margin">
              <wp14:pctHeight>0</wp14:pctHeight>
            </wp14:sizeRelV>
          </wp:anchor>
        </w:drawing>
      </w:r>
    </w:p>
    <w:p w:rsidR="004D0DE2" w:rsidRPr="004D0DE2" w:rsidRDefault="000504BA" w:rsidP="004D0DE2">
      <w:r>
        <w:rPr>
          <w:noProof/>
          <w:lang w:bidi="ar-SA"/>
        </w:rPr>
        <w:lastRenderedPageBreak/>
        <mc:AlternateContent>
          <mc:Choice Requires="wps">
            <w:drawing>
              <wp:anchor distT="0" distB="0" distL="114300" distR="114300" simplePos="0" relativeHeight="251680768" behindDoc="0" locked="0" layoutInCell="1" allowOverlap="1">
                <wp:simplePos x="0" y="0"/>
                <wp:positionH relativeFrom="column">
                  <wp:posOffset>65405</wp:posOffset>
                </wp:positionH>
                <wp:positionV relativeFrom="paragraph">
                  <wp:posOffset>4833620</wp:posOffset>
                </wp:positionV>
                <wp:extent cx="5424170" cy="175260"/>
                <wp:effectExtent l="4445" t="4445" r="635" b="1270"/>
                <wp:wrapSquare wrapText="bothSides"/>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170"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0400" w:rsidRPr="00CD3D14" w:rsidRDefault="00350400" w:rsidP="006F706E">
                            <w:pPr>
                              <w:pStyle w:val="Caption"/>
                              <w:rPr>
                                <w:noProof/>
                                <w:szCs w:val="24"/>
                              </w:rPr>
                            </w:pPr>
                            <w:bookmarkStart w:id="85" w:name="_Toc482207252"/>
                            <w:r>
                              <w:t xml:space="preserve">Figure </w:t>
                            </w:r>
                            <w:r w:rsidR="009E3AD5">
                              <w:fldChar w:fldCharType="begin"/>
                            </w:r>
                            <w:r w:rsidR="009E3AD5">
                              <w:instrText xml:space="preserve"> SEQ Figure \* ARABIC </w:instrText>
                            </w:r>
                            <w:r w:rsidR="009E3AD5">
                              <w:fldChar w:fldCharType="separate"/>
                            </w:r>
                            <w:r>
                              <w:rPr>
                                <w:noProof/>
                              </w:rPr>
                              <w:t>3</w:t>
                            </w:r>
                            <w:r w:rsidR="009E3AD5">
                              <w:rPr>
                                <w:noProof/>
                              </w:rPr>
                              <w:fldChar w:fldCharType="end"/>
                            </w:r>
                            <w:r>
                              <w:t xml:space="preserve">: Neolithic sites in the Cyclades. Broodbank, </w:t>
                            </w:r>
                            <w:r w:rsidRPr="006F706E">
                              <w:rPr>
                                <w:i/>
                              </w:rPr>
                              <w:t>An Island Archaeology</w:t>
                            </w:r>
                            <w:r>
                              <w:t>, 122.</w:t>
                            </w:r>
                            <w:bookmarkEnd w:id="8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margin-left:5.15pt;margin-top:380.6pt;width:427.1pt;height:1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" stroked="f">
                <v:textbox style="mso-fit-shape-to-text:t" inset="0,0,0,0">
                  <w:txbxContent>
                    <w:p w:rsidR="00350400" w:rsidRPr="00CD3D14" w:rsidRDefault="00350400" w:rsidP="006F706E">
                      <w:pPr>
                        <w:pStyle w:val="Caption"/>
                        <w:rPr>
                          <w:noProof/>
                          <w:szCs w:val="24"/>
                        </w:rPr>
                      </w:pPr>
                      <w:bookmarkStart w:id="86" w:name="_Toc482207252"/>
                      <w:r>
                        <w:t xml:space="preserve">Figure </w:t>
                      </w:r>
                      <w:fldSimple w:instr=" SEQ Figure \* ARABIC ">
                        <w:r>
                          <w:rPr>
                            <w:noProof/>
                          </w:rPr>
                          <w:t>3</w:t>
                        </w:r>
                      </w:fldSimple>
                      <w:r>
                        <w:t xml:space="preserve">: Neolithic sites in the Cyclades. Broodbank, </w:t>
                      </w:r>
                      <w:r w:rsidRPr="006F706E">
                        <w:rPr>
                          <w:i/>
                        </w:rPr>
                        <w:t>An Island Archaeology</w:t>
                      </w:r>
                      <w:r>
                        <w:t>, 122.</w:t>
                      </w:r>
                      <w:bookmarkEnd w:id="86"/>
                    </w:p>
                  </w:txbxContent>
                </v:textbox>
                <w10:wrap type="square"/>
              </v:shape>
            </w:pict>
          </mc:Fallback>
        </mc:AlternateContent>
      </w:r>
      <w:r w:rsidR="004D0DE2" w:rsidRPr="004D0DE2">
        <w:rPr>
          <w:noProof/>
          <w:lang w:bidi="ar-SA"/>
        </w:rPr>
        <w:drawing>
          <wp:anchor distT="0" distB="0" distL="114300" distR="114300" simplePos="0" relativeHeight="251682304" behindDoc="0" locked="0" layoutInCell="1" allowOverlap="1" wp14:anchorId="012074C2" wp14:editId="552BF707">
            <wp:simplePos x="0" y="0"/>
            <wp:positionH relativeFrom="margin">
              <wp:posOffset>65405</wp:posOffset>
            </wp:positionH>
            <wp:positionV relativeFrom="paragraph">
              <wp:posOffset>0</wp:posOffset>
            </wp:positionV>
            <wp:extent cx="5424170" cy="47764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4170" cy="4776470"/>
                    </a:xfrm>
                    <a:prstGeom prst="rect">
                      <a:avLst/>
                    </a:prstGeom>
                    <a:noFill/>
                  </pic:spPr>
                </pic:pic>
              </a:graphicData>
            </a:graphic>
            <wp14:sizeRelH relativeFrom="margin">
              <wp14:pctWidth>0</wp14:pctWidth>
            </wp14:sizeRelH>
            <wp14:sizeRelV relativeFrom="margin">
              <wp14:pctHeight>0</wp14:pctHeight>
            </wp14:sizeRelV>
          </wp:anchor>
        </w:drawing>
      </w:r>
    </w:p>
    <w:p w:rsidR="004D0DE2" w:rsidRDefault="004D0DE2" w:rsidP="004D0DE2"/>
    <w:p w:rsidR="006F706E" w:rsidRPr="004D0DE2" w:rsidRDefault="006F706E" w:rsidP="004D0DE2"/>
    <w:p w:rsidR="004D0DE2" w:rsidRPr="004D0DE2" w:rsidRDefault="004D0DE2" w:rsidP="004D0DE2"/>
    <w:p w:rsidR="004D0DE2" w:rsidRPr="004D0DE2" w:rsidRDefault="004D0DE2" w:rsidP="004D0DE2">
      <w:r w:rsidRPr="004D0DE2">
        <w:rPr>
          <w:noProof/>
          <w:lang w:bidi="ar-SA"/>
        </w:rPr>
        <w:lastRenderedPageBreak/>
        <w:drawing>
          <wp:anchor distT="0" distB="0" distL="114300" distR="114300" simplePos="0" relativeHeight="251644416" behindDoc="0" locked="0" layoutInCell="1" allowOverlap="1" wp14:anchorId="12B0A0C0" wp14:editId="1D139AE0">
            <wp:simplePos x="0" y="0"/>
            <wp:positionH relativeFrom="margin">
              <wp:posOffset>-819150</wp:posOffset>
            </wp:positionH>
            <wp:positionV relativeFrom="paragraph">
              <wp:posOffset>230505</wp:posOffset>
            </wp:positionV>
            <wp:extent cx="7373620" cy="4883785"/>
            <wp:effectExtent l="6667" t="0" r="5398" b="5397"/>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012edit.jpg"/>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7373620" cy="4883785"/>
                    </a:xfrm>
                    <a:prstGeom prst="rect">
                      <a:avLst/>
                    </a:prstGeom>
                  </pic:spPr>
                </pic:pic>
              </a:graphicData>
            </a:graphic>
            <wp14:sizeRelH relativeFrom="margin">
              <wp14:pctWidth>0</wp14:pctWidth>
            </wp14:sizeRelH>
            <wp14:sizeRelV relativeFrom="margin">
              <wp14:pctHeight>0</wp14:pctHeight>
            </wp14:sizeRelV>
          </wp:anchor>
        </w:drawing>
      </w:r>
    </w:p>
    <w:p w:rsidR="004D0DE2" w:rsidRPr="004D0DE2" w:rsidRDefault="0012758E" w:rsidP="004D0DE2">
      <w:r>
        <w:rPr>
          <w:noProof/>
          <w:lang w:bidi="ar-SA"/>
        </w:rPr>
        <mc:AlternateContent>
          <mc:Choice Requires="wps">
            <w:drawing>
              <wp:anchor distT="0" distB="0" distL="114300" distR="114300" simplePos="0" relativeHeight="251682816" behindDoc="0" locked="0" layoutInCell="1" allowOverlap="1">
                <wp:simplePos x="0" y="0"/>
                <wp:positionH relativeFrom="column">
                  <wp:posOffset>156210</wp:posOffset>
                </wp:positionH>
                <wp:positionV relativeFrom="paragraph">
                  <wp:posOffset>6988175</wp:posOffset>
                </wp:positionV>
                <wp:extent cx="5286375" cy="350520"/>
                <wp:effectExtent l="0" t="0" r="9525" b="0"/>
                <wp:wrapSquare wrapText="bothSides"/>
                <wp:docPr id="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350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0400" w:rsidRPr="000905E7" w:rsidRDefault="00350400" w:rsidP="006F706E">
                            <w:pPr>
                              <w:pStyle w:val="Caption"/>
                              <w:rPr>
                                <w:noProof/>
                                <w:szCs w:val="24"/>
                              </w:rPr>
                            </w:pPr>
                            <w:bookmarkStart w:id="86" w:name="_Toc482207253"/>
                            <w:r>
                              <w:t xml:space="preserve">Figure </w:t>
                            </w:r>
                            <w:r w:rsidR="009E3AD5">
                              <w:fldChar w:fldCharType="begin"/>
                            </w:r>
                            <w:r w:rsidR="009E3AD5">
                              <w:instrText xml:space="preserve"> SEQ Figure \* ARABIC </w:instrText>
                            </w:r>
                            <w:r w:rsidR="009E3AD5">
                              <w:fldChar w:fldCharType="separate"/>
                            </w:r>
                            <w:r>
                              <w:rPr>
                                <w:noProof/>
                              </w:rPr>
                              <w:t>4</w:t>
                            </w:r>
                            <w:r w:rsidR="009E3AD5">
                              <w:rPr>
                                <w:noProof/>
                              </w:rPr>
                              <w:fldChar w:fldCharType="end"/>
                            </w:r>
                            <w:r>
                              <w:t xml:space="preserve">: The early prehistoric culture sequence in the Cycladic Islands. Renfrew, </w:t>
                            </w:r>
                            <w:r w:rsidRPr="006F706E">
                              <w:rPr>
                                <w:i/>
                              </w:rPr>
                              <w:t>The Emergence of Civilization</w:t>
                            </w:r>
                            <w:r>
                              <w:t>, 150.</w:t>
                            </w:r>
                            <w:bookmarkEnd w:id="8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28" type="#_x0000_t202" style="position:absolute;margin-left:12.3pt;margin-top:550.25pt;width:416.25pt;height:27.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" stroked="f">
                <v:textbox style="mso-fit-shape-to-text:t" inset="0,0,0,0">
                  <w:txbxContent>
                    <w:p w:rsidR="00350400" w:rsidRPr="000905E7" w:rsidRDefault="00350400" w:rsidP="006F706E">
                      <w:pPr>
                        <w:pStyle w:val="Caption"/>
                        <w:rPr>
                          <w:noProof/>
                          <w:szCs w:val="24"/>
                        </w:rPr>
                      </w:pPr>
                      <w:bookmarkStart w:id="88" w:name="_Toc482207253"/>
                      <w:r>
                        <w:t xml:space="preserve">Figure </w:t>
                      </w:r>
                      <w:fldSimple w:instr=" SEQ Figure \* ARABIC ">
                        <w:r>
                          <w:rPr>
                            <w:noProof/>
                          </w:rPr>
                          <w:t>4</w:t>
                        </w:r>
                      </w:fldSimple>
                      <w:r>
                        <w:t xml:space="preserve">: The early prehistoric culture sequence in the Cycladic Islands. Renfrew, </w:t>
                      </w:r>
                      <w:r w:rsidRPr="006F706E">
                        <w:rPr>
                          <w:i/>
                        </w:rPr>
                        <w:t>The Emergence of Civilization</w:t>
                      </w:r>
                      <w:r>
                        <w:t>, 150.</w:t>
                      </w:r>
                      <w:bookmarkEnd w:id="88"/>
                    </w:p>
                  </w:txbxContent>
                </v:textbox>
                <w10:wrap type="square"/>
              </v:shape>
            </w:pict>
          </mc:Fallback>
        </mc:AlternateContent>
      </w:r>
    </w:p>
    <w:p w:rsidR="004D0DE2" w:rsidRPr="004D0DE2" w:rsidRDefault="000504BA" w:rsidP="004D0DE2">
      <w:r>
        <w:rPr>
          <w:noProof/>
          <w:lang w:bidi="ar-SA"/>
        </w:rPr>
        <w:lastRenderedPageBreak/>
        <mc:AlternateContent>
          <mc:Choice Requires="wps">
            <w:drawing>
              <wp:anchor distT="0" distB="0" distL="114300" distR="114300" simplePos="0" relativeHeight="251674624" behindDoc="0" locked="0" layoutInCell="1" allowOverlap="1">
                <wp:simplePos x="0" y="0"/>
                <wp:positionH relativeFrom="column">
                  <wp:posOffset>-4648200</wp:posOffset>
                </wp:positionH>
                <wp:positionV relativeFrom="paragraph">
                  <wp:posOffset>9968230</wp:posOffset>
                </wp:positionV>
                <wp:extent cx="20117435" cy="635"/>
                <wp:effectExtent l="0" t="10153650" r="0" b="10133965"/>
                <wp:wrapSquare wrapText="bothSides"/>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20117435" cy="635"/>
                        </a:xfrm>
                        <a:prstGeom prst="rect">
                          <a:avLst/>
                        </a:prstGeom>
                        <a:solidFill>
                          <a:prstClr val="white"/>
                        </a:solidFill>
                        <a:ln>
                          <a:noFill/>
                        </a:ln>
                      </wps:spPr>
                      <wps:txbx>
                        <w:txbxContent>
                          <w:p w:rsidR="00350400" w:rsidRPr="00A45060" w:rsidRDefault="00350400" w:rsidP="004D0DE2">
                            <w:pPr>
                              <w:pStyle w:val="Caption"/>
                              <w:rPr>
                                <w:noProof/>
                                <w:szCs w:val="24"/>
                              </w:rPr>
                            </w:pPr>
                            <w:bookmarkStart w:id="87" w:name="_Toc479975647"/>
                            <w:bookmarkStart w:id="88" w:name="_Toc482207254"/>
                            <w:r>
                              <w:t xml:space="preserve">Figure </w:t>
                            </w:r>
                            <w:r w:rsidR="009E3AD5">
                              <w:fldChar w:fldCharType="begin"/>
                            </w:r>
                            <w:r w:rsidR="009E3AD5">
                              <w:instrText xml:space="preserve"> SEQ Figure \* ARABIC </w:instrText>
                            </w:r>
                            <w:r w:rsidR="009E3AD5">
                              <w:fldChar w:fldCharType="separate"/>
                            </w:r>
                            <w:r>
                              <w:rPr>
                                <w:noProof/>
                              </w:rPr>
                              <w:t>5</w:t>
                            </w:r>
                            <w:r w:rsidR="009E3AD5">
                              <w:rPr>
                                <w:noProof/>
                              </w:rPr>
                              <w:fldChar w:fldCharType="end"/>
                            </w:r>
                            <w:r>
                              <w:t xml:space="preserve">: The Early Prehistoric Culture Sequence in the Cycladic Islands; Renfrew, </w:t>
                            </w:r>
                            <w:r w:rsidRPr="00C218EF">
                              <w:rPr>
                                <w:i/>
                              </w:rPr>
                              <w:t>The Emergence of Civilization</w:t>
                            </w:r>
                            <w:r>
                              <w:t>, 150.</w:t>
                            </w:r>
                            <w:bookmarkEnd w:id="87"/>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366pt;margin-top:784.9pt;width:1584.05pt;height:.0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" stroked="f">
                <v:path arrowok="t"/>
                <v:textbox style="mso-fit-shape-to-text:t" inset="0,0,0,0">
                  <w:txbxContent>
                    <w:p w:rsidR="00350400" w:rsidRPr="00A45060" w:rsidRDefault="00350400" w:rsidP="004D0DE2">
                      <w:pPr>
                        <w:pStyle w:val="Caption"/>
                        <w:rPr>
                          <w:noProof/>
                          <w:szCs w:val="24"/>
                        </w:rPr>
                      </w:pPr>
                      <w:bookmarkStart w:id="91" w:name="_Toc479975647"/>
                      <w:bookmarkStart w:id="92" w:name="_Toc482207254"/>
                      <w:r>
                        <w:t xml:space="preserve">Figure </w:t>
                      </w:r>
                      <w:fldSimple w:instr=" SEQ Figure \* ARABIC ">
                        <w:r>
                          <w:rPr>
                            <w:noProof/>
                          </w:rPr>
                          <w:t>5</w:t>
                        </w:r>
                      </w:fldSimple>
                      <w:r>
                        <w:t xml:space="preserve">: The Early Prehistoric Culture Sequence in the Cycladic Islands; Renfrew, </w:t>
                      </w:r>
                      <w:r w:rsidRPr="00C218EF">
                        <w:rPr>
                          <w:i/>
                        </w:rPr>
                        <w:t>The Emergence of Civilization</w:t>
                      </w:r>
                      <w:r>
                        <w:t>, 150.</w:t>
                      </w:r>
                      <w:bookmarkEnd w:id="91"/>
                      <w:bookmarkEnd w:id="92"/>
                    </w:p>
                  </w:txbxContent>
                </v:textbox>
                <w10:wrap type="square"/>
              </v:shape>
            </w:pict>
          </mc:Fallback>
        </mc:AlternateContent>
      </w:r>
      <w:r>
        <w:rPr>
          <w:noProof/>
          <w:lang w:bidi="ar-SA"/>
        </w:rPr>
        <mc:AlternateContent>
          <mc:Choice Requires="wps">
            <w:drawing>
              <wp:anchor distT="0" distB="0" distL="114300" distR="114300" simplePos="0" relativeHeight="251675648" behindDoc="0" locked="0" layoutInCell="1" allowOverlap="1">
                <wp:simplePos x="0" y="0"/>
                <wp:positionH relativeFrom="margin">
                  <wp:posOffset>-1905</wp:posOffset>
                </wp:positionH>
                <wp:positionV relativeFrom="paragraph">
                  <wp:posOffset>5194935</wp:posOffset>
                </wp:positionV>
                <wp:extent cx="5466715" cy="350520"/>
                <wp:effectExtent l="0" t="0" r="0" b="0"/>
                <wp:wrapSquare wrapText="bothSides"/>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6715" cy="350520"/>
                        </a:xfrm>
                        <a:prstGeom prst="rect">
                          <a:avLst/>
                        </a:prstGeom>
                        <a:solidFill>
                          <a:prstClr val="white"/>
                        </a:solidFill>
                        <a:ln>
                          <a:noFill/>
                        </a:ln>
                      </wps:spPr>
                      <wps:txbx>
                        <w:txbxContent>
                          <w:p w:rsidR="00350400" w:rsidRPr="00494482" w:rsidRDefault="00350400" w:rsidP="004D0DE2">
                            <w:pPr>
                              <w:pStyle w:val="Caption"/>
                              <w:rPr>
                                <w:noProof/>
                                <w:szCs w:val="24"/>
                              </w:rPr>
                            </w:pPr>
                            <w:bookmarkStart w:id="89" w:name="_Toc479975648"/>
                            <w:r>
                              <w:t xml:space="preserve">Figure 5: Travel ranges from major island foci; Bintliff, </w:t>
                            </w:r>
                            <w:r w:rsidRPr="00C218EF">
                              <w:rPr>
                                <w:i/>
                              </w:rPr>
                              <w:t>The Complete Archaeology of Greece</w:t>
                            </w:r>
                            <w:r>
                              <w:t>, 106.</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15pt;margin-top:409.05pt;width:430.45pt;height:27.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" stroked="f">
                <v:path arrowok="t"/>
                <v:textbox style="mso-fit-shape-to-text:t" inset="0,0,0,0">
                  <w:txbxContent>
                    <w:p w:rsidR="00350400" w:rsidRPr="00494482" w:rsidRDefault="00350400" w:rsidP="004D0DE2">
                      <w:pPr>
                        <w:pStyle w:val="Caption"/>
                        <w:rPr>
                          <w:noProof/>
                          <w:szCs w:val="24"/>
                        </w:rPr>
                      </w:pPr>
                      <w:bookmarkStart w:id="94" w:name="_Toc479975648"/>
                      <w:r>
                        <w:t xml:space="preserve">Figure 5: Travel ranges from major island foci; Bintliff, </w:t>
                      </w:r>
                      <w:r w:rsidRPr="00C218EF">
                        <w:rPr>
                          <w:i/>
                        </w:rPr>
                        <w:t>The Complete Archaeology of Greece</w:t>
                      </w:r>
                      <w:r>
                        <w:t>, 106.</w:t>
                      </w:r>
                      <w:bookmarkEnd w:id="94"/>
                    </w:p>
                  </w:txbxContent>
                </v:textbox>
                <w10:wrap type="square" anchorx="margin"/>
              </v:shape>
            </w:pict>
          </mc:Fallback>
        </mc:AlternateContent>
      </w:r>
      <w:r w:rsidR="006F706E" w:rsidRPr="004D0DE2">
        <w:rPr>
          <w:noProof/>
          <w:lang w:bidi="ar-SA"/>
        </w:rPr>
        <w:drawing>
          <wp:anchor distT="0" distB="0" distL="114300" distR="114300" simplePos="0" relativeHeight="251650560" behindDoc="0" locked="0" layoutInCell="1" allowOverlap="1" wp14:anchorId="453D27A5" wp14:editId="5626B94D">
            <wp:simplePos x="0" y="0"/>
            <wp:positionH relativeFrom="margin">
              <wp:posOffset>-1270</wp:posOffset>
            </wp:positionH>
            <wp:positionV relativeFrom="paragraph">
              <wp:posOffset>271145</wp:posOffset>
            </wp:positionV>
            <wp:extent cx="5433060" cy="479107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009edit.jpg"/>
                    <pic:cNvPicPr/>
                  </pic:nvPicPr>
                  <pic:blipFill>
                    <a:blip r:embed="rId21" cstate="print">
                      <a:extLst>
                        <a:ext uri="{28A0092B-C50C-407E-A947-70E740481C1C}">
                          <a14:useLocalDpi xmlns:a14="http://schemas.microsoft.com/office/drawing/2010/main" val="0"/>
                        </a:ext>
                      </a:extLst>
                    </a:blip>
                    <a:stretch>
                      <a:fillRect/>
                    </a:stretch>
                  </pic:blipFill>
                  <pic:spPr>
                    <a:xfrm rot="10800000" flipH="1" flipV="1">
                      <a:off x="0" y="0"/>
                      <a:ext cx="5433060" cy="4791075"/>
                    </a:xfrm>
                    <a:prstGeom prst="rect">
                      <a:avLst/>
                    </a:prstGeom>
                  </pic:spPr>
                </pic:pic>
              </a:graphicData>
            </a:graphic>
            <wp14:sizeRelH relativeFrom="margin">
              <wp14:pctWidth>0</wp14:pctWidth>
            </wp14:sizeRelH>
            <wp14:sizeRelV relativeFrom="margin">
              <wp14:pctHeight>0</wp14:pctHeight>
            </wp14:sizeRelV>
          </wp:anchor>
        </w:drawing>
      </w:r>
    </w:p>
    <w:p w:rsidR="004D0DE2" w:rsidRPr="004D0DE2" w:rsidRDefault="00FB148A" w:rsidP="004D0DE2">
      <w:r>
        <w:rPr>
          <w:noProof/>
          <w:lang w:bidi="ar-SA"/>
        </w:rPr>
        <w:lastRenderedPageBreak/>
        <mc:AlternateContent>
          <mc:Choice Requires="wps">
            <w:drawing>
              <wp:anchor distT="0" distB="0" distL="114300" distR="114300" simplePos="0" relativeHeight="251744256" behindDoc="0" locked="0" layoutInCell="1" allowOverlap="1" wp14:anchorId="32218DF6" wp14:editId="4C4FE09F">
                <wp:simplePos x="0" y="0"/>
                <wp:positionH relativeFrom="column">
                  <wp:posOffset>74930</wp:posOffset>
                </wp:positionH>
                <wp:positionV relativeFrom="paragraph">
                  <wp:posOffset>5490845</wp:posOffset>
                </wp:positionV>
                <wp:extent cx="5314950" cy="635"/>
                <wp:effectExtent l="0" t="0" r="0" b="0"/>
                <wp:wrapSquare wrapText="bothSides"/>
                <wp:docPr id="208" name="Text Box 208"/>
                <wp:cNvGraphicFramePr/>
                <a:graphic xmlns:a="http://schemas.openxmlformats.org/drawingml/2006/main">
                  <a:graphicData uri="http://schemas.microsoft.com/office/word/2010/wordprocessingShape">
                    <wps:wsp>
                      <wps:cNvSpPr txBox="1"/>
                      <wps:spPr>
                        <a:xfrm>
                          <a:off x="0" y="0"/>
                          <a:ext cx="5314950" cy="635"/>
                        </a:xfrm>
                        <a:prstGeom prst="rect">
                          <a:avLst/>
                        </a:prstGeom>
                        <a:solidFill>
                          <a:prstClr val="white"/>
                        </a:solidFill>
                        <a:ln>
                          <a:noFill/>
                        </a:ln>
                      </wps:spPr>
                      <wps:txbx>
                        <w:txbxContent>
                          <w:p w:rsidR="00350400" w:rsidRPr="0098163E" w:rsidRDefault="00350400" w:rsidP="00FB148A">
                            <w:pPr>
                              <w:pStyle w:val="Caption"/>
                              <w:rPr>
                                <w:noProof/>
                                <w:szCs w:val="24"/>
                              </w:rPr>
                            </w:pPr>
                            <w:bookmarkStart w:id="90" w:name="_Toc482207255"/>
                            <w:r>
                              <w:t xml:space="preserve">Figure </w:t>
                            </w:r>
                            <w:r w:rsidR="009E3AD5">
                              <w:fldChar w:fldCharType="begin"/>
                            </w:r>
                            <w:r w:rsidR="009E3AD5">
                              <w:instrText xml:space="preserve"> SEQ Figure \* ARABIC </w:instrText>
                            </w:r>
                            <w:r w:rsidR="009E3AD5">
                              <w:fldChar w:fldCharType="separate"/>
                            </w:r>
                            <w:r>
                              <w:rPr>
                                <w:noProof/>
                              </w:rPr>
                              <w:t>6</w:t>
                            </w:r>
                            <w:r w:rsidR="009E3AD5">
                              <w:rPr>
                                <w:noProof/>
                              </w:rPr>
                              <w:fldChar w:fldCharType="end"/>
                            </w:r>
                            <w:r>
                              <w:t xml:space="preserve">: Chart of chronological and typological development of Cycladic figurines; Getz-Gentle, </w:t>
                            </w:r>
                            <w:r w:rsidRPr="00FB148A">
                              <w:rPr>
                                <w:i/>
                              </w:rPr>
                              <w:t>Early Cycladic Art in North American Collections</w:t>
                            </w:r>
                            <w:r>
                              <w:t>, 48.</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2218DF6" id="Text Box 208" o:spid="_x0000_s1031" type="#_x0000_t202" style="position:absolute;margin-left:5.9pt;margin-top:432.35pt;width:418.5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" stroked="f">
                <v:textbox style="mso-fit-shape-to-text:t" inset="0,0,0,0">
                  <w:txbxContent>
                    <w:p w:rsidR="00350400" w:rsidRPr="0098163E" w:rsidRDefault="00350400" w:rsidP="00FB148A">
                      <w:pPr>
                        <w:pStyle w:val="Caption"/>
                        <w:rPr>
                          <w:noProof/>
                          <w:szCs w:val="24"/>
                        </w:rPr>
                      </w:pPr>
                      <w:bookmarkStart w:id="96" w:name="_Toc482207255"/>
                      <w:r>
                        <w:t xml:space="preserve">Figure </w:t>
                      </w:r>
                      <w:fldSimple w:instr=" SEQ Figure \* ARABIC ">
                        <w:r>
                          <w:rPr>
                            <w:noProof/>
                          </w:rPr>
                          <w:t>6</w:t>
                        </w:r>
                      </w:fldSimple>
                      <w:r>
                        <w:t xml:space="preserve">: Chart of chronological and typological development of Cycladic figurines; Getz-Gentle, </w:t>
                      </w:r>
                      <w:r w:rsidRPr="00FB148A">
                        <w:rPr>
                          <w:i/>
                        </w:rPr>
                        <w:t>Early Cycladic Art in North American Collections</w:t>
                      </w:r>
                      <w:r>
                        <w:t>, 48.</w:t>
                      </w:r>
                      <w:bookmarkEnd w:id="96"/>
                    </w:p>
                  </w:txbxContent>
                </v:textbox>
                <w10:wrap type="square"/>
              </v:shape>
            </w:pict>
          </mc:Fallback>
        </mc:AlternateContent>
      </w:r>
      <w:r w:rsidR="006F706E" w:rsidRPr="004D0DE2">
        <w:rPr>
          <w:noProof/>
          <w:lang w:bidi="ar-SA"/>
        </w:rPr>
        <w:drawing>
          <wp:anchor distT="0" distB="0" distL="114300" distR="114300" simplePos="0" relativeHeight="251677184" behindDoc="0" locked="0" layoutInCell="1" allowOverlap="1" wp14:anchorId="7E4C64F7" wp14:editId="53CA650B">
            <wp:simplePos x="0" y="0"/>
            <wp:positionH relativeFrom="margin">
              <wp:posOffset>74930</wp:posOffset>
            </wp:positionH>
            <wp:positionV relativeFrom="paragraph">
              <wp:posOffset>0</wp:posOffset>
            </wp:positionV>
            <wp:extent cx="5314950" cy="5433695"/>
            <wp:effectExtent l="0" t="0" r="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g014.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14950" cy="5433695"/>
                    </a:xfrm>
                    <a:prstGeom prst="rect">
                      <a:avLst/>
                    </a:prstGeom>
                  </pic:spPr>
                </pic:pic>
              </a:graphicData>
            </a:graphic>
            <wp14:sizeRelH relativeFrom="margin">
              <wp14:pctWidth>0</wp14:pctWidth>
            </wp14:sizeRelH>
            <wp14:sizeRelV relativeFrom="margin">
              <wp14:pctHeight>0</wp14:pctHeight>
            </wp14:sizeRelV>
          </wp:anchor>
        </w:drawing>
      </w:r>
    </w:p>
    <w:p w:rsidR="004D0DE2" w:rsidRPr="004D0DE2" w:rsidRDefault="00FB148A" w:rsidP="004D0DE2">
      <w:r>
        <w:rPr>
          <w:noProof/>
          <w:lang w:bidi="ar-SA"/>
        </w:rPr>
        <w:lastRenderedPageBreak/>
        <mc:AlternateContent>
          <mc:Choice Requires="wps">
            <w:drawing>
              <wp:anchor distT="0" distB="0" distL="114300" distR="114300" simplePos="0" relativeHeight="251746304" behindDoc="0" locked="0" layoutInCell="1" allowOverlap="1" wp14:anchorId="38FAA861" wp14:editId="031A592C">
                <wp:simplePos x="0" y="0"/>
                <wp:positionH relativeFrom="column">
                  <wp:posOffset>99060</wp:posOffset>
                </wp:positionH>
                <wp:positionV relativeFrom="paragraph">
                  <wp:posOffset>1881505</wp:posOffset>
                </wp:positionV>
                <wp:extent cx="5133975" cy="635"/>
                <wp:effectExtent l="0" t="0" r="0" b="0"/>
                <wp:wrapSquare wrapText="bothSides"/>
                <wp:docPr id="209" name="Text Box 209"/>
                <wp:cNvGraphicFramePr/>
                <a:graphic xmlns:a="http://schemas.openxmlformats.org/drawingml/2006/main">
                  <a:graphicData uri="http://schemas.microsoft.com/office/word/2010/wordprocessingShape">
                    <wps:wsp>
                      <wps:cNvSpPr txBox="1"/>
                      <wps:spPr>
                        <a:xfrm>
                          <a:off x="0" y="0"/>
                          <a:ext cx="5133975" cy="635"/>
                        </a:xfrm>
                        <a:prstGeom prst="rect">
                          <a:avLst/>
                        </a:prstGeom>
                        <a:solidFill>
                          <a:prstClr val="white"/>
                        </a:solidFill>
                        <a:ln>
                          <a:noFill/>
                        </a:ln>
                      </wps:spPr>
                      <wps:txbx>
                        <w:txbxContent>
                          <w:p w:rsidR="00350400" w:rsidRPr="00AC7E37" w:rsidRDefault="00350400" w:rsidP="00FB148A">
                            <w:pPr>
                              <w:pStyle w:val="Caption"/>
                              <w:rPr>
                                <w:noProof/>
                                <w:szCs w:val="24"/>
                              </w:rPr>
                            </w:pPr>
                            <w:bookmarkStart w:id="91" w:name="_Toc482207256"/>
                            <w:r>
                              <w:t xml:space="preserve">Figure </w:t>
                            </w:r>
                            <w:r w:rsidR="009E3AD5">
                              <w:fldChar w:fldCharType="begin"/>
                            </w:r>
                            <w:r w:rsidR="009E3AD5">
                              <w:instrText xml:space="preserve"> SEQ Figure \* ARABIC </w:instrText>
                            </w:r>
                            <w:r w:rsidR="009E3AD5">
                              <w:fldChar w:fldCharType="separate"/>
                            </w:r>
                            <w:r>
                              <w:rPr>
                                <w:noProof/>
                              </w:rPr>
                              <w:t>7</w:t>
                            </w:r>
                            <w:r w:rsidR="009E3AD5">
                              <w:rPr>
                                <w:noProof/>
                              </w:rPr>
                              <w:fldChar w:fldCharType="end"/>
                            </w:r>
                            <w:r>
                              <w:t>: Part of a large floor composition from Strofilas, Andros; Televantou, "Strofilas: A Neolithic Settlement on Andros," 49.</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FAA861" id="Text Box 209" o:spid="_x0000_s1032" type="#_x0000_t202" style="position:absolute;margin-left:7.8pt;margin-top:148.15pt;width:404.25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" stroked="f">
                <v:textbox style="mso-fit-shape-to-text:t" inset="0,0,0,0">
                  <w:txbxContent>
                    <w:p w:rsidR="00350400" w:rsidRPr="00AC7E37" w:rsidRDefault="00350400" w:rsidP="00FB148A">
                      <w:pPr>
                        <w:pStyle w:val="Caption"/>
                        <w:rPr>
                          <w:noProof/>
                          <w:szCs w:val="24"/>
                        </w:rPr>
                      </w:pPr>
                      <w:bookmarkStart w:id="98" w:name="_Toc482207256"/>
                      <w:r>
                        <w:t xml:space="preserve">Figure </w:t>
                      </w:r>
                      <w:fldSimple w:instr=" SEQ Figure \* ARABIC ">
                        <w:r>
                          <w:rPr>
                            <w:noProof/>
                          </w:rPr>
                          <w:t>7</w:t>
                        </w:r>
                      </w:fldSimple>
                      <w:r>
                        <w:t>: Part of a large floor composition from Strofilas, Andros; Televantou, "Strofilas: A Neolithic Settlement on Andros," 49.</w:t>
                      </w:r>
                      <w:bookmarkEnd w:id="98"/>
                    </w:p>
                  </w:txbxContent>
                </v:textbox>
                <w10:wrap type="square"/>
              </v:shape>
            </w:pict>
          </mc:Fallback>
        </mc:AlternateContent>
      </w:r>
      <w:r w:rsidR="006F706E" w:rsidRPr="004D0DE2">
        <w:rPr>
          <w:noProof/>
          <w:lang w:bidi="ar-SA"/>
        </w:rPr>
        <w:drawing>
          <wp:anchor distT="0" distB="0" distL="114300" distR="114300" simplePos="0" relativeHeight="251659776" behindDoc="0" locked="0" layoutInCell="1" allowOverlap="1" wp14:anchorId="59885288" wp14:editId="5DD31BCC">
            <wp:simplePos x="0" y="0"/>
            <wp:positionH relativeFrom="margin">
              <wp:posOffset>99060</wp:posOffset>
            </wp:positionH>
            <wp:positionV relativeFrom="paragraph">
              <wp:posOffset>194945</wp:posOffset>
            </wp:positionV>
            <wp:extent cx="5133975" cy="162941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33975" cy="1629410"/>
                    </a:xfrm>
                    <a:prstGeom prst="rect">
                      <a:avLst/>
                    </a:prstGeom>
                    <a:noFill/>
                  </pic:spPr>
                </pic:pic>
              </a:graphicData>
            </a:graphic>
            <wp14:sizeRelH relativeFrom="margin">
              <wp14:pctWidth>0</wp14:pctWidth>
            </wp14:sizeRelH>
            <wp14:sizeRelV relativeFrom="margin">
              <wp14:pctHeight>0</wp14:pctHeight>
            </wp14:sizeRelV>
          </wp:anchor>
        </w:drawing>
      </w:r>
    </w:p>
    <w:p w:rsidR="004D0DE2" w:rsidRPr="004D0DE2" w:rsidRDefault="00FB148A" w:rsidP="004D0DE2">
      <w:r>
        <w:rPr>
          <w:noProof/>
          <w:lang w:bidi="ar-SA"/>
        </w:rPr>
        <mc:AlternateContent>
          <mc:Choice Requires="wps">
            <w:drawing>
              <wp:anchor distT="0" distB="0" distL="114300" distR="114300" simplePos="0" relativeHeight="251748352" behindDoc="0" locked="0" layoutInCell="1" allowOverlap="1" wp14:anchorId="6F515AE1" wp14:editId="1F185A5C">
                <wp:simplePos x="0" y="0"/>
                <wp:positionH relativeFrom="column">
                  <wp:posOffset>2623820</wp:posOffset>
                </wp:positionH>
                <wp:positionV relativeFrom="paragraph">
                  <wp:posOffset>2228850</wp:posOffset>
                </wp:positionV>
                <wp:extent cx="2447290" cy="635"/>
                <wp:effectExtent l="0" t="0" r="0" b="0"/>
                <wp:wrapSquare wrapText="bothSides"/>
                <wp:docPr id="210" name="Text Box 210"/>
                <wp:cNvGraphicFramePr/>
                <a:graphic xmlns:a="http://schemas.openxmlformats.org/drawingml/2006/main">
                  <a:graphicData uri="http://schemas.microsoft.com/office/word/2010/wordprocessingShape">
                    <wps:wsp>
                      <wps:cNvSpPr txBox="1"/>
                      <wps:spPr>
                        <a:xfrm>
                          <a:off x="0" y="0"/>
                          <a:ext cx="2447290" cy="635"/>
                        </a:xfrm>
                        <a:prstGeom prst="rect">
                          <a:avLst/>
                        </a:prstGeom>
                        <a:solidFill>
                          <a:prstClr val="white"/>
                        </a:solidFill>
                        <a:ln>
                          <a:noFill/>
                        </a:ln>
                      </wps:spPr>
                      <wps:txbx>
                        <w:txbxContent>
                          <w:p w:rsidR="00350400" w:rsidRPr="000222E9" w:rsidRDefault="00350400" w:rsidP="00FB148A">
                            <w:pPr>
                              <w:pStyle w:val="Caption"/>
                              <w:rPr>
                                <w:noProof/>
                                <w:szCs w:val="24"/>
                              </w:rPr>
                            </w:pPr>
                            <w:bookmarkStart w:id="92" w:name="_Toc482207257"/>
                            <w:r>
                              <w:t xml:space="preserve">Figure </w:t>
                            </w:r>
                            <w:r w:rsidR="009E3AD5">
                              <w:fldChar w:fldCharType="begin"/>
                            </w:r>
                            <w:r w:rsidR="009E3AD5">
                              <w:instrText xml:space="preserve"> SEQ Figure \* ARABIC </w:instrText>
                            </w:r>
                            <w:r w:rsidR="009E3AD5">
                              <w:fldChar w:fldCharType="separate"/>
                            </w:r>
                            <w:r>
                              <w:rPr>
                                <w:noProof/>
                              </w:rPr>
                              <w:t>8</w:t>
                            </w:r>
                            <w:r w:rsidR="009E3AD5">
                              <w:rPr>
                                <w:noProof/>
                              </w:rPr>
                              <w:fldChar w:fldCharType="end"/>
                            </w:r>
                            <w:r>
                              <w:t xml:space="preserve">: Rock pecking showing a canoe carrying a person and an animal, from Korphi t'Aroniou on Naxos; Broodbank, </w:t>
                            </w:r>
                            <w:r w:rsidRPr="00FB148A">
                              <w:rPr>
                                <w:i/>
                              </w:rPr>
                              <w:t>An Island Archaeology</w:t>
                            </w:r>
                            <w:r>
                              <w:t>, 98.</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515AE1" id="Text Box 210" o:spid="_x0000_s1033" type="#_x0000_t202" style="position:absolute;margin-left:206.6pt;margin-top:175.5pt;width:192.7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" stroked="f">
                <v:textbox style="mso-fit-shape-to-text:t" inset="0,0,0,0">
                  <w:txbxContent>
                    <w:p w:rsidR="00350400" w:rsidRPr="000222E9" w:rsidRDefault="00350400" w:rsidP="00FB148A">
                      <w:pPr>
                        <w:pStyle w:val="Caption"/>
                        <w:rPr>
                          <w:noProof/>
                          <w:szCs w:val="24"/>
                        </w:rPr>
                      </w:pPr>
                      <w:bookmarkStart w:id="100" w:name="_Toc482207257"/>
                      <w:r>
                        <w:t xml:space="preserve">Figure </w:t>
                      </w:r>
                      <w:fldSimple w:instr=" SEQ Figure \* ARABIC ">
                        <w:r>
                          <w:rPr>
                            <w:noProof/>
                          </w:rPr>
                          <w:t>8</w:t>
                        </w:r>
                      </w:fldSimple>
                      <w:r>
                        <w:t xml:space="preserve">: Rock pecking showing a canoe carrying a person and an animal, from Korphi t'Aroniou on Naxos; Broodbank, </w:t>
                      </w:r>
                      <w:r w:rsidRPr="00FB148A">
                        <w:rPr>
                          <w:i/>
                        </w:rPr>
                        <w:t>An Island Archaeology</w:t>
                      </w:r>
                      <w:r>
                        <w:t>, 98.</w:t>
                      </w:r>
                      <w:bookmarkEnd w:id="100"/>
                    </w:p>
                  </w:txbxContent>
                </v:textbox>
                <w10:wrap type="square"/>
              </v:shape>
            </w:pict>
          </mc:Fallback>
        </mc:AlternateContent>
      </w:r>
      <w:r w:rsidR="0012758E" w:rsidRPr="004D0DE2">
        <w:rPr>
          <w:noProof/>
          <w:lang w:bidi="ar-SA"/>
        </w:rPr>
        <w:drawing>
          <wp:anchor distT="0" distB="0" distL="114300" distR="114300" simplePos="0" relativeHeight="251663872" behindDoc="0" locked="0" layoutInCell="1" allowOverlap="1" wp14:anchorId="06DE4CA3" wp14:editId="192EAF6E">
            <wp:simplePos x="0" y="0"/>
            <wp:positionH relativeFrom="margin">
              <wp:posOffset>23813</wp:posOffset>
            </wp:positionH>
            <wp:positionV relativeFrom="paragraph">
              <wp:posOffset>1951355</wp:posOffset>
            </wp:positionV>
            <wp:extent cx="2447290" cy="14871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004edi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47290" cy="1487170"/>
                    </a:xfrm>
                    <a:prstGeom prst="rect">
                      <a:avLst/>
                    </a:prstGeom>
                  </pic:spPr>
                </pic:pic>
              </a:graphicData>
            </a:graphic>
          </wp:anchor>
        </w:drawing>
      </w:r>
    </w:p>
    <w:p w:rsidR="004D0DE2" w:rsidRPr="004D0DE2" w:rsidRDefault="004D0DE2" w:rsidP="004D0DE2"/>
    <w:p w:rsidR="004D0DE2" w:rsidRPr="004D0DE2" w:rsidRDefault="00FB148A" w:rsidP="004D0DE2">
      <w:r>
        <w:rPr>
          <w:noProof/>
          <w:lang w:bidi="ar-SA"/>
        </w:rPr>
        <mc:AlternateContent>
          <mc:Choice Requires="wps">
            <w:drawing>
              <wp:anchor distT="0" distB="0" distL="114300" distR="114300" simplePos="0" relativeHeight="251750400" behindDoc="0" locked="0" layoutInCell="1" allowOverlap="1" wp14:anchorId="08F5E49A" wp14:editId="5C4F908E">
                <wp:simplePos x="0" y="0"/>
                <wp:positionH relativeFrom="column">
                  <wp:posOffset>561975</wp:posOffset>
                </wp:positionH>
                <wp:positionV relativeFrom="paragraph">
                  <wp:posOffset>2379980</wp:posOffset>
                </wp:positionV>
                <wp:extent cx="3722370" cy="635"/>
                <wp:effectExtent l="0" t="0" r="0" b="0"/>
                <wp:wrapSquare wrapText="bothSides"/>
                <wp:docPr id="211" name="Text Box 211"/>
                <wp:cNvGraphicFramePr/>
                <a:graphic xmlns:a="http://schemas.openxmlformats.org/drawingml/2006/main">
                  <a:graphicData uri="http://schemas.microsoft.com/office/word/2010/wordprocessingShape">
                    <wps:wsp>
                      <wps:cNvSpPr txBox="1"/>
                      <wps:spPr>
                        <a:xfrm>
                          <a:off x="0" y="0"/>
                          <a:ext cx="3722370" cy="635"/>
                        </a:xfrm>
                        <a:prstGeom prst="rect">
                          <a:avLst/>
                        </a:prstGeom>
                        <a:solidFill>
                          <a:prstClr val="white"/>
                        </a:solidFill>
                        <a:ln>
                          <a:noFill/>
                        </a:ln>
                      </wps:spPr>
                      <wps:txbx>
                        <w:txbxContent>
                          <w:p w:rsidR="00350400" w:rsidRPr="006C7023" w:rsidRDefault="00350400" w:rsidP="00FB148A">
                            <w:pPr>
                              <w:pStyle w:val="Caption"/>
                              <w:rPr>
                                <w:noProof/>
                                <w:szCs w:val="24"/>
                              </w:rPr>
                            </w:pPr>
                            <w:bookmarkStart w:id="93" w:name="_Toc482207258"/>
                            <w:r>
                              <w:t xml:space="preserve">Figure </w:t>
                            </w:r>
                            <w:r w:rsidR="009E3AD5">
                              <w:fldChar w:fldCharType="begin"/>
                            </w:r>
                            <w:r w:rsidR="009E3AD5">
                              <w:instrText xml:space="preserve"> SEQ Figure \* ARA</w:instrText>
                            </w:r>
                            <w:r w:rsidR="009E3AD5">
                              <w:instrText xml:space="preserve">BIC </w:instrText>
                            </w:r>
                            <w:r w:rsidR="009E3AD5">
                              <w:fldChar w:fldCharType="separate"/>
                            </w:r>
                            <w:r>
                              <w:rPr>
                                <w:noProof/>
                              </w:rPr>
                              <w:t>9</w:t>
                            </w:r>
                            <w:r w:rsidR="009E3AD5">
                              <w:rPr>
                                <w:noProof/>
                              </w:rPr>
                              <w:fldChar w:fldCharType="end"/>
                            </w:r>
                            <w:r>
                              <w:t>: Ring-shaped idol pendant from Strofilas and Keros-Syros 'frying pan', Chalandriani; Televantou, "Strofilas: A Neolithic Settlement on Andros," 52; National Archaeological Museum website, accessed 3/19/17.</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F5E49A" id="Text Box 211" o:spid="_x0000_s1034" type="#_x0000_t202" style="position:absolute;margin-left:44.25pt;margin-top:187.4pt;width:293.1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" stroked="f">
                <v:textbox style="mso-fit-shape-to-text:t" inset="0,0,0,0">
                  <w:txbxContent>
                    <w:p w:rsidR="00350400" w:rsidRPr="006C7023" w:rsidRDefault="00350400" w:rsidP="00FB148A">
                      <w:pPr>
                        <w:pStyle w:val="Caption"/>
                        <w:rPr>
                          <w:noProof/>
                          <w:szCs w:val="24"/>
                        </w:rPr>
                      </w:pPr>
                      <w:bookmarkStart w:id="102" w:name="_Toc482207258"/>
                      <w:r>
                        <w:t xml:space="preserve">Figure </w:t>
                      </w:r>
                      <w:fldSimple w:instr=" SEQ Figure \* ARABIC ">
                        <w:r>
                          <w:rPr>
                            <w:noProof/>
                          </w:rPr>
                          <w:t>9</w:t>
                        </w:r>
                      </w:fldSimple>
                      <w:r>
                        <w:t>: Ring-shaped idol pendant from Strofilas and Keros-Syros 'frying pan', Chalandriani; Televantou, "Strofilas: A Neolithic Settlement on Andros," 52; National Archaeological Museum website, accessed 3/19/17.</w:t>
                      </w:r>
                      <w:bookmarkEnd w:id="102"/>
                    </w:p>
                  </w:txbxContent>
                </v:textbox>
                <w10:wrap type="square"/>
              </v:shape>
            </w:pict>
          </mc:Fallback>
        </mc:AlternateContent>
      </w:r>
      <w:r w:rsidR="0012758E" w:rsidRPr="004D0DE2">
        <w:rPr>
          <w:noProof/>
          <w:lang w:bidi="ar-SA"/>
        </w:rPr>
        <w:drawing>
          <wp:anchor distT="0" distB="0" distL="114300" distR="114300" simplePos="0" relativeHeight="251667968" behindDoc="0" locked="0" layoutInCell="1" allowOverlap="1" wp14:anchorId="61A0BF2A" wp14:editId="6ED2A9E3">
            <wp:simplePos x="0" y="0"/>
            <wp:positionH relativeFrom="page">
              <wp:align>center</wp:align>
            </wp:positionH>
            <wp:positionV relativeFrom="paragraph">
              <wp:posOffset>151765</wp:posOffset>
            </wp:positionV>
            <wp:extent cx="3722370" cy="2171065"/>
            <wp:effectExtent l="0" t="0" r="0"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2370" cy="2171065"/>
                    </a:xfrm>
                    <a:prstGeom prst="rect">
                      <a:avLst/>
                    </a:prstGeom>
                    <a:noFill/>
                  </pic:spPr>
                </pic:pic>
              </a:graphicData>
            </a:graphic>
            <wp14:sizeRelH relativeFrom="margin">
              <wp14:pctWidth>0</wp14:pctWidth>
            </wp14:sizeRelH>
            <wp14:sizeRelV relativeFrom="margin">
              <wp14:pctHeight>0</wp14:pctHeight>
            </wp14:sizeRelV>
          </wp:anchor>
        </w:drawing>
      </w:r>
    </w:p>
    <w:p w:rsidR="004D0DE2" w:rsidRPr="004D0DE2" w:rsidRDefault="004D0DE2" w:rsidP="004D0DE2"/>
    <w:p w:rsidR="004D0DE2" w:rsidRPr="004D0DE2" w:rsidRDefault="004D0DE2" w:rsidP="004D0DE2"/>
    <w:p w:rsidR="004D0DE2" w:rsidRPr="004D0DE2" w:rsidRDefault="004D0DE2" w:rsidP="004D0DE2"/>
    <w:p w:rsidR="004D0DE2" w:rsidRPr="004D0DE2" w:rsidRDefault="004D0DE2" w:rsidP="004D0DE2">
      <w:pPr>
        <w:tabs>
          <w:tab w:val="left" w:pos="1399"/>
        </w:tabs>
      </w:pPr>
      <w:r w:rsidRPr="004D0DE2">
        <w:tab/>
      </w:r>
    </w:p>
    <w:p w:rsidR="004D0DE2" w:rsidRPr="004D0DE2" w:rsidRDefault="004D0DE2" w:rsidP="004D0DE2"/>
    <w:p w:rsidR="004D0DE2" w:rsidRPr="004D0DE2" w:rsidRDefault="004D0DE2" w:rsidP="004D0DE2"/>
    <w:p w:rsidR="004D0DE2" w:rsidRPr="004D0DE2" w:rsidRDefault="004D0DE2" w:rsidP="004D0DE2"/>
    <w:p w:rsidR="004D0DE2" w:rsidRPr="004D0DE2" w:rsidRDefault="004D0DE2" w:rsidP="004D0DE2">
      <w:pPr>
        <w:jc w:val="center"/>
        <w:outlineLvl w:val="0"/>
        <w:rPr>
          <w:rFonts w:asciiTheme="majorHAnsi" w:hAnsiTheme="majorHAnsi"/>
          <w:b/>
          <w:bCs/>
          <w:sz w:val="28"/>
          <w:szCs w:val="32"/>
        </w:rPr>
      </w:pPr>
      <w:bookmarkStart w:id="94" w:name="_Toc479976309"/>
    </w:p>
    <w:p w:rsidR="0012758E" w:rsidRDefault="0012758E" w:rsidP="004D0DE2">
      <w:pPr>
        <w:jc w:val="center"/>
        <w:outlineLvl w:val="0"/>
        <w:rPr>
          <w:rFonts w:asciiTheme="majorHAnsi" w:hAnsiTheme="majorHAnsi"/>
          <w:b/>
          <w:bCs/>
          <w:sz w:val="28"/>
          <w:szCs w:val="32"/>
        </w:rPr>
      </w:pPr>
      <w:bookmarkStart w:id="95" w:name="_Toc481343506"/>
    </w:p>
    <w:p w:rsidR="0012758E" w:rsidRDefault="0012758E"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bookmarkStart w:id="96" w:name="_Toc482206695"/>
      <w:r w:rsidRPr="004D0DE2">
        <w:rPr>
          <w:rFonts w:asciiTheme="majorHAnsi" w:hAnsiTheme="majorHAnsi"/>
          <w:b/>
          <w:bCs/>
          <w:sz w:val="28"/>
          <w:szCs w:val="32"/>
        </w:rPr>
        <w:lastRenderedPageBreak/>
        <w:t>Bibliography</w:t>
      </w:r>
      <w:bookmarkEnd w:id="94"/>
      <w:bookmarkEnd w:id="95"/>
      <w:bookmarkEnd w:id="96"/>
    </w:p>
    <w:p w:rsidR="004D0DE2" w:rsidRPr="004D0DE2" w:rsidRDefault="004D0DE2" w:rsidP="004D0DE2">
      <w:pPr>
        <w:rPr>
          <w:rFonts w:ascii="Times New Roman" w:hAnsi="Times New Roman"/>
        </w:rPr>
      </w:pPr>
      <w:r w:rsidRPr="004D0DE2">
        <w:rPr>
          <w:rFonts w:ascii="Times New Roman" w:hAnsi="Times New Roman"/>
        </w:rPr>
        <w:t xml:space="preserve">Abadía, Oscar </w:t>
      </w:r>
      <w:r w:rsidRPr="004D0DE2">
        <w:rPr>
          <w:rFonts w:ascii="Times New Roman" w:hAnsi="Times New Roman"/>
          <w:noProof/>
        </w:rPr>
        <w:t>Moro</w:t>
      </w:r>
      <w:r w:rsidRPr="004D0DE2">
        <w:rPr>
          <w:rFonts w:ascii="Times New Roman" w:hAnsi="Times New Roman"/>
        </w:rPr>
        <w:t xml:space="preserve"> and Manuel R. Gonzáles Morales. “Paleolithic Art: A Cultural</w:t>
      </w:r>
      <w:r w:rsidRPr="004D0DE2">
        <w:rPr>
          <w:rFonts w:ascii="Times New Roman" w:hAnsi="Times New Roman"/>
        </w:rPr>
        <w:tab/>
        <w:t xml:space="preserve"> History.” </w:t>
      </w:r>
      <w:r w:rsidRPr="004D0DE2">
        <w:rPr>
          <w:rFonts w:ascii="Times New Roman" w:hAnsi="Times New Roman"/>
          <w:i/>
        </w:rPr>
        <w:t>Journal of Archaeological Research</w:t>
      </w:r>
      <w:r w:rsidRPr="004D0DE2">
        <w:rPr>
          <w:rFonts w:ascii="Times New Roman" w:hAnsi="Times New Roman"/>
        </w:rPr>
        <w:t xml:space="preserve"> 21, no. 3 (Sep 2013): 269-306. </w:t>
      </w:r>
      <w:r w:rsidRPr="004D0DE2">
        <w:rPr>
          <w:rFonts w:ascii="Times New Roman" w:hAnsi="Times New Roman"/>
        </w:rPr>
        <w:tab/>
        <w:t>Accessed 3-14-2017. http://www.jstor.org/stable/42635583.</w:t>
      </w:r>
    </w:p>
    <w:p w:rsidR="004D0DE2" w:rsidRPr="004D0DE2" w:rsidRDefault="004D0DE2" w:rsidP="004D0DE2">
      <w:pPr>
        <w:rPr>
          <w:rFonts w:ascii="Times New Roman" w:hAnsi="Times New Roman"/>
        </w:rPr>
      </w:pPr>
      <w:r w:rsidRPr="004D0DE2">
        <w:rPr>
          <w:rFonts w:ascii="Times New Roman" w:hAnsi="Times New Roman"/>
        </w:rPr>
        <w:t xml:space="preserve">“Animals in Ancient Near Eastern Art,” Department of Ancient Near Eastern Art, </w:t>
      </w:r>
      <w:r w:rsidRPr="004D0DE2">
        <w:rPr>
          <w:rFonts w:ascii="Times New Roman" w:hAnsi="Times New Roman"/>
        </w:rPr>
        <w:tab/>
        <w:t xml:space="preserve">02/2014, (New York: The Metropolitan Museum of Art). Accessed 3/6/2017, </w:t>
      </w:r>
      <w:r w:rsidRPr="004D0DE2">
        <w:rPr>
          <w:rFonts w:ascii="Times New Roman" w:hAnsi="Times New Roman"/>
        </w:rPr>
        <w:tab/>
        <w:t xml:space="preserve">http://www.metmuseum.org/toah/hd/anan/hd_anan.htm.  </w:t>
      </w:r>
    </w:p>
    <w:p w:rsidR="004D0DE2" w:rsidRPr="004D0DE2" w:rsidRDefault="004D0DE2" w:rsidP="004D0DE2">
      <w:pPr>
        <w:rPr>
          <w:rFonts w:ascii="Times New Roman" w:hAnsi="Times New Roman"/>
        </w:rPr>
      </w:pPr>
      <w:r w:rsidRPr="004D0DE2">
        <w:rPr>
          <w:rFonts w:ascii="Times New Roman" w:hAnsi="Times New Roman"/>
        </w:rPr>
        <w:t xml:space="preserve">Andrews, Peter, Theya Molleson and Başak Boz. “The Human Burials at Çatalhöyük.” </w:t>
      </w:r>
      <w:r w:rsidRPr="004D0DE2">
        <w:rPr>
          <w:rFonts w:ascii="Times New Roman" w:hAnsi="Times New Roman"/>
        </w:rPr>
        <w:tab/>
        <w:t xml:space="preserve">In </w:t>
      </w:r>
      <w:bookmarkStart w:id="97" w:name="_Hlk480058633"/>
      <w:r w:rsidRPr="004D0DE2">
        <w:rPr>
          <w:rFonts w:ascii="Times New Roman" w:hAnsi="Times New Roman"/>
          <w:i/>
          <w:iCs/>
        </w:rPr>
        <w:t>Inhabiting Çatalhöyük: Reports From the 1995-99 Seasons</w:t>
      </w:r>
      <w:r w:rsidRPr="004D0DE2">
        <w:rPr>
          <w:rFonts w:ascii="Times New Roman" w:hAnsi="Times New Roman"/>
        </w:rPr>
        <w:t xml:space="preserve">, edited by Ian </w:t>
      </w:r>
      <w:r w:rsidRPr="004D0DE2">
        <w:rPr>
          <w:rFonts w:ascii="Times New Roman" w:hAnsi="Times New Roman"/>
        </w:rPr>
        <w:tab/>
        <w:t xml:space="preserve">Hodder, 261-278. Cambridge: McDonald Institute for Archaeological Research, </w:t>
      </w:r>
      <w:r w:rsidRPr="004D0DE2">
        <w:rPr>
          <w:rFonts w:ascii="Times New Roman" w:hAnsi="Times New Roman"/>
        </w:rPr>
        <w:tab/>
        <w:t>2005.</w:t>
      </w:r>
    </w:p>
    <w:bookmarkEnd w:id="97"/>
    <w:p w:rsidR="004D0DE2" w:rsidRPr="004D0DE2" w:rsidRDefault="004D0DE2" w:rsidP="004D0DE2">
      <w:pPr>
        <w:rPr>
          <w:rFonts w:ascii="Times New Roman" w:hAnsi="Times New Roman"/>
        </w:rPr>
      </w:pPr>
      <w:r w:rsidRPr="004D0DE2">
        <w:rPr>
          <w:rFonts w:ascii="Times New Roman" w:hAnsi="Times New Roman"/>
        </w:rPr>
        <w:t xml:space="preserve">Angelopoulou, Anastasia. “The ‘Kastri Group’: Evidence from Korfari ton </w:t>
      </w:r>
      <w:r w:rsidRPr="004D0DE2">
        <w:rPr>
          <w:rFonts w:ascii="Times New Roman" w:hAnsi="Times New Roman"/>
          <w:noProof/>
        </w:rPr>
        <w:t>Amygdalion</w:t>
      </w:r>
      <w:r w:rsidRPr="004D0DE2">
        <w:rPr>
          <w:rFonts w:ascii="Times New Roman" w:hAnsi="Times New Roman"/>
        </w:rPr>
        <w:t xml:space="preserve"> </w:t>
      </w:r>
      <w:r w:rsidRPr="004D0DE2">
        <w:rPr>
          <w:rFonts w:ascii="Times New Roman" w:hAnsi="Times New Roman"/>
        </w:rPr>
        <w:tab/>
        <w:t xml:space="preserve">(Panormos) Naxos, Dhaskalio </w:t>
      </w:r>
      <w:r w:rsidRPr="004D0DE2">
        <w:rPr>
          <w:rFonts w:ascii="Times New Roman" w:hAnsi="Times New Roman"/>
          <w:noProof/>
        </w:rPr>
        <w:t>Keros</w:t>
      </w:r>
      <w:r w:rsidRPr="004D0DE2">
        <w:rPr>
          <w:rFonts w:ascii="Times New Roman" w:hAnsi="Times New Roman"/>
        </w:rPr>
        <w:t xml:space="preserve"> and Akrotiri Thera,” In </w:t>
      </w:r>
      <w:r w:rsidRPr="004D0DE2">
        <w:rPr>
          <w:rFonts w:ascii="Times New Roman" w:hAnsi="Times New Roman"/>
          <w:i/>
        </w:rPr>
        <w:t xml:space="preserve">Horizon: A </w:t>
      </w:r>
      <w:r w:rsidRPr="004D0DE2">
        <w:rPr>
          <w:rFonts w:ascii="Times New Roman" w:hAnsi="Times New Roman"/>
          <w:i/>
        </w:rPr>
        <w:tab/>
        <w:t xml:space="preserve">Colloquium </w:t>
      </w:r>
      <w:r w:rsidRPr="004D0DE2">
        <w:rPr>
          <w:rFonts w:ascii="Times New Roman" w:hAnsi="Times New Roman"/>
          <w:i/>
          <w:noProof/>
        </w:rPr>
        <w:t>on the</w:t>
      </w:r>
      <w:r w:rsidRPr="004D0DE2">
        <w:rPr>
          <w:rFonts w:ascii="Times New Roman" w:hAnsi="Times New Roman"/>
          <w:i/>
        </w:rPr>
        <w:t xml:space="preserve"> Prehistory of the Cyclades</w:t>
      </w:r>
      <w:r w:rsidRPr="004D0DE2">
        <w:rPr>
          <w:rFonts w:ascii="Times New Roman" w:hAnsi="Times New Roman"/>
        </w:rPr>
        <w:t>, edited by Neil Brodie et al., 149-</w:t>
      </w:r>
      <w:r w:rsidRPr="004D0DE2">
        <w:rPr>
          <w:rFonts w:ascii="Times New Roman" w:hAnsi="Times New Roman"/>
        </w:rPr>
        <w:tab/>
        <w:t>164. Oxford: McDonald Institute for Archaeological Research, 2008.</w:t>
      </w:r>
    </w:p>
    <w:p w:rsidR="004D0DE2" w:rsidRPr="004D0DE2" w:rsidRDefault="004D0DE2" w:rsidP="004D0DE2">
      <w:pPr>
        <w:rPr>
          <w:rFonts w:ascii="Times New Roman" w:hAnsi="Times New Roman"/>
        </w:rPr>
      </w:pPr>
      <w:r w:rsidRPr="004D0DE2">
        <w:rPr>
          <w:rFonts w:ascii="Times New Roman" w:hAnsi="Times New Roman"/>
        </w:rPr>
        <w:t xml:space="preserve">Aristotle. </w:t>
      </w:r>
      <w:r w:rsidRPr="004D0DE2">
        <w:rPr>
          <w:rFonts w:ascii="Times New Roman" w:hAnsi="Times New Roman"/>
          <w:i/>
          <w:noProof/>
        </w:rPr>
        <w:t>History</w:t>
      </w:r>
      <w:r w:rsidRPr="004D0DE2">
        <w:rPr>
          <w:rFonts w:ascii="Times New Roman" w:hAnsi="Times New Roman"/>
          <w:i/>
        </w:rPr>
        <w:t xml:space="preserve"> of Animals</w:t>
      </w:r>
      <w:r w:rsidRPr="004D0DE2">
        <w:rPr>
          <w:rFonts w:ascii="Times New Roman" w:hAnsi="Times New Roman"/>
        </w:rPr>
        <w:t xml:space="preserve">. Translated by D'Arcy Wentworth Thompson. In </w:t>
      </w:r>
      <w:r w:rsidRPr="004D0DE2">
        <w:rPr>
          <w:rFonts w:ascii="Times New Roman" w:hAnsi="Times New Roman"/>
          <w:i/>
        </w:rPr>
        <w:t xml:space="preserve">Complete </w:t>
      </w:r>
      <w:r w:rsidRPr="004D0DE2">
        <w:rPr>
          <w:rFonts w:ascii="Times New Roman" w:hAnsi="Times New Roman"/>
          <w:i/>
        </w:rPr>
        <w:tab/>
      </w:r>
      <w:r w:rsidRPr="004D0DE2">
        <w:rPr>
          <w:rFonts w:ascii="Times New Roman" w:hAnsi="Times New Roman"/>
          <w:i/>
          <w:noProof/>
        </w:rPr>
        <w:t xml:space="preserve">Works </w:t>
      </w:r>
      <w:r w:rsidRPr="004D0DE2">
        <w:rPr>
          <w:rFonts w:ascii="Times New Roman" w:hAnsi="Times New Roman"/>
          <w:i/>
          <w:noProof/>
        </w:rPr>
        <w:tab/>
        <w:t>of</w:t>
      </w:r>
      <w:r w:rsidRPr="004D0DE2">
        <w:rPr>
          <w:rFonts w:ascii="Times New Roman" w:hAnsi="Times New Roman"/>
          <w:i/>
        </w:rPr>
        <w:t xml:space="preserve"> Aristotle</w:t>
      </w:r>
      <w:r w:rsidRPr="004D0DE2">
        <w:rPr>
          <w:rFonts w:ascii="Times New Roman" w:hAnsi="Times New Roman"/>
        </w:rPr>
        <w:t>, Delphi Classics, 2013. Kindle.</w:t>
      </w:r>
    </w:p>
    <w:p w:rsidR="004D0DE2" w:rsidRPr="004D0DE2" w:rsidRDefault="004D0DE2" w:rsidP="004D0DE2">
      <w:pPr>
        <w:rPr>
          <w:rFonts w:ascii="Times New Roman" w:hAnsi="Times New Roman"/>
        </w:rPr>
      </w:pPr>
      <w:r w:rsidRPr="004D0DE2">
        <w:rPr>
          <w:rFonts w:ascii="Times New Roman" w:hAnsi="Times New Roman"/>
        </w:rPr>
        <w:t xml:space="preserve">Atkinson, T.D., et al. </w:t>
      </w:r>
      <w:r w:rsidRPr="004D0DE2">
        <w:rPr>
          <w:rFonts w:ascii="Times New Roman" w:hAnsi="Times New Roman"/>
          <w:i/>
        </w:rPr>
        <w:t xml:space="preserve">Excavations at Phylakopi in Melos Conducted by the British </w:t>
      </w:r>
      <w:r w:rsidRPr="004D0DE2">
        <w:rPr>
          <w:rFonts w:ascii="Times New Roman" w:hAnsi="Times New Roman"/>
          <w:i/>
        </w:rPr>
        <w:tab/>
        <w:t>School at Athens.</w:t>
      </w:r>
      <w:r w:rsidRPr="004D0DE2">
        <w:rPr>
          <w:rFonts w:ascii="Times New Roman" w:hAnsi="Times New Roman"/>
        </w:rPr>
        <w:t xml:space="preserve"> London: Macmillan and Co., 1904. </w:t>
      </w:r>
    </w:p>
    <w:p w:rsidR="004D0DE2" w:rsidRPr="004D0DE2" w:rsidRDefault="004D0DE2" w:rsidP="004D0DE2">
      <w:pPr>
        <w:rPr>
          <w:rFonts w:ascii="Times New Roman" w:hAnsi="Times New Roman"/>
        </w:rPr>
      </w:pPr>
      <w:r w:rsidRPr="004D0DE2">
        <w:rPr>
          <w:rFonts w:ascii="Times New Roman" w:hAnsi="Times New Roman"/>
        </w:rPr>
        <w:t xml:space="preserve">Bach, Friedrich Teja. </w:t>
      </w:r>
      <w:r w:rsidRPr="004D0DE2">
        <w:rPr>
          <w:rFonts w:ascii="Times New Roman" w:hAnsi="Times New Roman"/>
          <w:i/>
          <w:noProof/>
        </w:rPr>
        <w:t xml:space="preserve">Shaping the Beginning: Modern Artists and the Ancient Eastern </w:t>
      </w:r>
      <w:r w:rsidRPr="004D0DE2">
        <w:rPr>
          <w:rFonts w:ascii="Times New Roman" w:hAnsi="Times New Roman"/>
          <w:i/>
          <w:noProof/>
        </w:rPr>
        <w:tab/>
        <w:t>Mediterranean.</w:t>
      </w:r>
      <w:r w:rsidRPr="004D0DE2">
        <w:rPr>
          <w:rFonts w:ascii="Times New Roman" w:hAnsi="Times New Roman"/>
        </w:rPr>
        <w:t xml:space="preserve"> Athens: N.P Goulandris Foundation and Museum of Cycladic </w:t>
      </w:r>
      <w:r w:rsidRPr="004D0DE2">
        <w:rPr>
          <w:rFonts w:ascii="Times New Roman" w:hAnsi="Times New Roman"/>
        </w:rPr>
        <w:tab/>
        <w:t>Art, 2006.</w:t>
      </w:r>
    </w:p>
    <w:p w:rsidR="004D0DE2" w:rsidRPr="004D0DE2" w:rsidRDefault="004D0DE2" w:rsidP="004D0DE2">
      <w:pPr>
        <w:rPr>
          <w:rFonts w:ascii="Times New Roman" w:hAnsi="Times New Roman"/>
        </w:rPr>
      </w:pPr>
      <w:r w:rsidRPr="004D0DE2">
        <w:rPr>
          <w:rFonts w:ascii="Times New Roman" w:hAnsi="Times New Roman"/>
          <w:noProof/>
        </w:rPr>
        <w:lastRenderedPageBreak/>
        <w:t>Banou</w:t>
      </w:r>
      <w:r w:rsidRPr="004D0DE2">
        <w:rPr>
          <w:rFonts w:ascii="Times New Roman" w:hAnsi="Times New Roman"/>
        </w:rPr>
        <w:t xml:space="preserve">, Emily. “Minoan ‘Horns of Consecration’ Revisited: A Symbol of Sun Worship </w:t>
      </w:r>
      <w:r w:rsidRPr="004D0DE2">
        <w:rPr>
          <w:rFonts w:ascii="Times New Roman" w:hAnsi="Times New Roman"/>
        </w:rPr>
        <w:tab/>
        <w:t xml:space="preserve">in Palatial and Post-Palatial Crete?”  </w:t>
      </w:r>
      <w:r w:rsidRPr="004D0DE2">
        <w:rPr>
          <w:rFonts w:ascii="Times New Roman" w:hAnsi="Times New Roman"/>
          <w:i/>
        </w:rPr>
        <w:t xml:space="preserve">Mediterranean Archaeology and </w:t>
      </w:r>
      <w:r w:rsidRPr="004D0DE2">
        <w:rPr>
          <w:rFonts w:ascii="Times New Roman" w:hAnsi="Times New Roman"/>
          <w:i/>
        </w:rPr>
        <w:tab/>
        <w:t>Archaeometry</w:t>
      </w:r>
      <w:r w:rsidRPr="004D0DE2">
        <w:rPr>
          <w:rFonts w:ascii="Times New Roman" w:hAnsi="Times New Roman"/>
        </w:rPr>
        <w:t xml:space="preserve"> 8, no. 1 (2008): 27-47. Accessed 4/1/2017. http://maajournal.</w:t>
      </w:r>
    </w:p>
    <w:p w:rsidR="004D0DE2" w:rsidRPr="004D0DE2" w:rsidRDefault="004D0DE2" w:rsidP="004D0DE2">
      <w:pPr>
        <w:ind w:firstLine="720"/>
        <w:rPr>
          <w:rFonts w:ascii="Times New Roman" w:hAnsi="Times New Roman"/>
        </w:rPr>
      </w:pPr>
      <w:r w:rsidRPr="004D0DE2">
        <w:rPr>
          <w:rFonts w:ascii="Times New Roman" w:hAnsi="Times New Roman"/>
        </w:rPr>
        <w:t>com/Issues/2008/FullTextBanou.pdf.</w:t>
      </w:r>
    </w:p>
    <w:p w:rsidR="004D0DE2" w:rsidRPr="004D0DE2" w:rsidRDefault="004D0DE2" w:rsidP="004D0DE2">
      <w:pPr>
        <w:rPr>
          <w:rFonts w:ascii="Times New Roman" w:hAnsi="Times New Roman"/>
        </w:rPr>
      </w:pPr>
      <w:bookmarkStart w:id="98" w:name="_Hlk479971633"/>
      <w:r w:rsidRPr="004D0DE2">
        <w:rPr>
          <w:rFonts w:ascii="Times New Roman" w:hAnsi="Times New Roman"/>
        </w:rPr>
        <w:t xml:space="preserve">Barber, R.L.N. </w:t>
      </w:r>
      <w:bookmarkEnd w:id="98"/>
      <w:r w:rsidRPr="004D0DE2">
        <w:rPr>
          <w:rFonts w:ascii="Times New Roman" w:hAnsi="Times New Roman"/>
        </w:rPr>
        <w:t xml:space="preserve">and J.A. MacGillivray. “The Early Cycladic Period: Matters of </w:t>
      </w:r>
      <w:r w:rsidRPr="004D0DE2">
        <w:rPr>
          <w:rFonts w:ascii="Times New Roman" w:hAnsi="Times New Roman"/>
        </w:rPr>
        <w:tab/>
        <w:t>Definition and</w:t>
      </w:r>
      <w:r w:rsidRPr="004D0DE2">
        <w:rPr>
          <w:rFonts w:ascii="Times New Roman" w:hAnsi="Times New Roman"/>
        </w:rPr>
        <w:tab/>
        <w:t xml:space="preserve">Terminology.” </w:t>
      </w:r>
      <w:r w:rsidRPr="004D0DE2">
        <w:rPr>
          <w:rFonts w:ascii="Times New Roman" w:hAnsi="Times New Roman"/>
          <w:i/>
        </w:rPr>
        <w:t>American Journal of Archaeology</w:t>
      </w:r>
      <w:r w:rsidRPr="004D0DE2">
        <w:rPr>
          <w:rFonts w:ascii="Times New Roman" w:hAnsi="Times New Roman"/>
        </w:rPr>
        <w:t xml:space="preserve"> 84, no. 2 (Apr</w:t>
      </w:r>
      <w:r w:rsidRPr="004D0DE2">
        <w:rPr>
          <w:rFonts w:ascii="Times New Roman" w:hAnsi="Times New Roman"/>
        </w:rPr>
        <w:tab/>
        <w:t xml:space="preserve"> 1980): 141-157. Accessed 12-07-2009. http://www.jstor.org/stable/504262.</w:t>
      </w:r>
      <w:r w:rsidRPr="004D0DE2">
        <w:rPr>
          <w:rFonts w:ascii="Times New Roman" w:hAnsi="Times New Roman"/>
        </w:rPr>
        <w:fldChar w:fldCharType="begin">
          <w:fldData xml:space="preserve">PEVuZE5vdGU+PENpdGU+PFllYXI+MjAxMzwvWWVhcj48UmVjTnVtPjExNzwvUmVjTnVtPjxyZWNv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==
</w:fldData>
        </w:fldChar>
      </w:r>
      <w:r w:rsidRPr="004D0DE2">
        <w:rPr>
          <w:rFonts w:ascii="Times New Roman" w:hAnsi="Times New Roman"/>
        </w:rPr>
        <w:instrText xml:space="preserve"> ADDIN EN.CITE </w:instrText>
      </w:r>
      <w:r w:rsidRPr="004D0DE2">
        <w:rPr>
          <w:rFonts w:ascii="Times New Roman" w:hAnsi="Times New Roman"/>
        </w:rPr>
        <w:fldChar w:fldCharType="begin">
          <w:fldData xml:space="preserve">PEVuZE5vdGU+PENpdGU+PFllYXI+MjAxMzwvWWVhcj48UmVjTnVtPjExNzwvUmVjTnVtPjxyZWNv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==
</w:fldData>
        </w:fldChar>
      </w:r>
      <w:r w:rsidRPr="004D0DE2">
        <w:rPr>
          <w:rFonts w:ascii="Times New Roman" w:hAnsi="Times New Roman"/>
        </w:rPr>
        <w:instrText xml:space="preserve"> ADDIN EN.CITE.DATA </w:instrText>
      </w:r>
      <w:r w:rsidRPr="004D0DE2">
        <w:rPr>
          <w:rFonts w:ascii="Times New Roman" w:hAnsi="Times New Roman"/>
        </w:rPr>
      </w:r>
      <w:r w:rsidRPr="004D0DE2">
        <w:rPr>
          <w:rFonts w:ascii="Times New Roman" w:hAnsi="Times New Roman"/>
        </w:rPr>
        <w:fldChar w:fldCharType="end"/>
      </w:r>
      <w:r w:rsidRPr="004D0DE2">
        <w:rPr>
          <w:rFonts w:ascii="Times New Roman" w:hAnsi="Times New Roman"/>
        </w:rPr>
      </w:r>
      <w:r w:rsidRPr="004D0DE2">
        <w:rPr>
          <w:rFonts w:ascii="Times New Roman" w:hAnsi="Times New Roman"/>
        </w:rPr>
        <w:fldChar w:fldCharType="end"/>
      </w:r>
    </w:p>
    <w:p w:rsidR="004D0DE2" w:rsidRPr="004D0DE2" w:rsidRDefault="004D0DE2" w:rsidP="004D0DE2">
      <w:pPr>
        <w:rPr>
          <w:rFonts w:ascii="Times New Roman" w:hAnsi="Times New Roman"/>
        </w:rPr>
      </w:pPr>
      <w:r w:rsidRPr="004D0DE2">
        <w:rPr>
          <w:rFonts w:ascii="Times New Roman" w:hAnsi="Times New Roman"/>
        </w:rPr>
        <w:t xml:space="preserve">------ and O. Hadjianastasiou. “Mikre Vigla: A Bronze Age Settlement on Naxos.” </w:t>
      </w:r>
      <w:r w:rsidRPr="004D0DE2">
        <w:rPr>
          <w:rFonts w:ascii="Times New Roman" w:hAnsi="Times New Roman"/>
        </w:rPr>
        <w:tab/>
      </w:r>
      <w:r w:rsidRPr="004D0DE2">
        <w:rPr>
          <w:rFonts w:ascii="Times New Roman" w:hAnsi="Times New Roman"/>
          <w:i/>
        </w:rPr>
        <w:t>Annual of the British School at Athens</w:t>
      </w:r>
      <w:r w:rsidRPr="004D0DE2">
        <w:rPr>
          <w:rFonts w:ascii="Times New Roman" w:hAnsi="Times New Roman"/>
        </w:rPr>
        <w:t xml:space="preserve"> 84 (1989): 63-162. Accessed 3/17/2017. </w:t>
      </w:r>
      <w:r w:rsidRPr="004D0DE2">
        <w:rPr>
          <w:rFonts w:ascii="Times New Roman" w:hAnsi="Times New Roman"/>
        </w:rPr>
        <w:tab/>
        <w:t>http://jstor.org/stable/30104548.</w:t>
      </w:r>
    </w:p>
    <w:p w:rsidR="004D0DE2" w:rsidRPr="004D0DE2" w:rsidRDefault="004D0DE2" w:rsidP="004D0DE2">
      <w:pPr>
        <w:rPr>
          <w:rFonts w:ascii="Times New Roman" w:hAnsi="Times New Roman"/>
        </w:rPr>
      </w:pPr>
      <w:r w:rsidRPr="004D0DE2">
        <w:rPr>
          <w:rFonts w:ascii="Times New Roman" w:hAnsi="Times New Roman"/>
        </w:rPr>
        <w:t xml:space="preserve">Barrett, John C. and Paul Halstead. </w:t>
      </w:r>
      <w:r w:rsidRPr="004D0DE2">
        <w:rPr>
          <w:rFonts w:ascii="Times New Roman" w:hAnsi="Times New Roman"/>
          <w:i/>
        </w:rPr>
        <w:t xml:space="preserve">The Emergence of </w:t>
      </w:r>
      <w:r w:rsidRPr="004D0DE2">
        <w:rPr>
          <w:rFonts w:ascii="Times New Roman" w:hAnsi="Times New Roman"/>
          <w:i/>
          <w:noProof/>
        </w:rPr>
        <w:t>Civilisation</w:t>
      </w:r>
      <w:r w:rsidRPr="004D0DE2">
        <w:rPr>
          <w:rFonts w:ascii="Times New Roman" w:hAnsi="Times New Roman"/>
          <w:i/>
        </w:rPr>
        <w:t xml:space="preserve"> Revisited</w:t>
      </w:r>
      <w:r w:rsidRPr="004D0DE2">
        <w:rPr>
          <w:rFonts w:ascii="Times New Roman" w:hAnsi="Times New Roman"/>
        </w:rPr>
        <w:t xml:space="preserve">. Oxford: </w:t>
      </w:r>
      <w:r w:rsidRPr="004D0DE2">
        <w:rPr>
          <w:rFonts w:ascii="Times New Roman" w:hAnsi="Times New Roman"/>
        </w:rPr>
        <w:tab/>
        <w:t>Oxbow Books, 2004.</w:t>
      </w:r>
    </w:p>
    <w:p w:rsidR="004D0DE2" w:rsidRPr="004D0DE2" w:rsidRDefault="004D0DE2" w:rsidP="004D0DE2">
      <w:pPr>
        <w:rPr>
          <w:rFonts w:ascii="Times New Roman" w:hAnsi="Times New Roman"/>
        </w:rPr>
      </w:pPr>
      <w:r w:rsidRPr="004D0DE2">
        <w:rPr>
          <w:rFonts w:ascii="Times New Roman" w:hAnsi="Times New Roman"/>
        </w:rPr>
        <w:t xml:space="preserve">Bintliff, J. L. </w:t>
      </w:r>
      <w:r w:rsidRPr="004D0DE2">
        <w:rPr>
          <w:rFonts w:ascii="Times New Roman" w:hAnsi="Times New Roman"/>
          <w:i/>
        </w:rPr>
        <w:t xml:space="preserve">The Complete Archaeology of Greece: From Hunter-Gatherers to the 20th </w:t>
      </w:r>
      <w:r w:rsidRPr="004D0DE2">
        <w:rPr>
          <w:rFonts w:ascii="Times New Roman" w:hAnsi="Times New Roman"/>
          <w:i/>
        </w:rPr>
        <w:tab/>
        <w:t>Century A.D.</w:t>
      </w:r>
      <w:r w:rsidRPr="004D0DE2">
        <w:rPr>
          <w:rFonts w:ascii="Times New Roman" w:hAnsi="Times New Roman"/>
        </w:rPr>
        <w:t xml:space="preserve"> Malden, MA: Wiley-Blackwell, 2012. </w:t>
      </w:r>
    </w:p>
    <w:p w:rsidR="004D0DE2" w:rsidRPr="004D0DE2" w:rsidRDefault="004D0DE2" w:rsidP="004D0DE2">
      <w:pPr>
        <w:rPr>
          <w:rFonts w:ascii="Times New Roman" w:hAnsi="Times New Roman"/>
        </w:rPr>
      </w:pPr>
      <w:r w:rsidRPr="004D0DE2">
        <w:rPr>
          <w:rFonts w:ascii="Times New Roman" w:hAnsi="Times New Roman"/>
        </w:rPr>
        <w:t xml:space="preserve">Bloedow, Edmund F. “The Date of the Earliest Phase at Agrissa Magoula in Thessaly </w:t>
      </w:r>
      <w:r w:rsidRPr="004D0DE2">
        <w:rPr>
          <w:rFonts w:ascii="Times New Roman" w:hAnsi="Times New Roman"/>
        </w:rPr>
        <w:tab/>
        <w:t xml:space="preserve">and Other Neolithic Sites in Greece.” </w:t>
      </w:r>
      <w:r w:rsidRPr="004D0DE2">
        <w:rPr>
          <w:rFonts w:ascii="Times New Roman" w:hAnsi="Times New Roman"/>
          <w:i/>
        </w:rPr>
        <w:t>Mediterranean Archaeology</w:t>
      </w:r>
      <w:r w:rsidRPr="004D0DE2">
        <w:rPr>
          <w:rFonts w:ascii="Times New Roman" w:hAnsi="Times New Roman"/>
        </w:rPr>
        <w:t xml:space="preserve"> 5/6 </w:t>
      </w:r>
      <w:r w:rsidRPr="004D0DE2">
        <w:rPr>
          <w:rFonts w:ascii="Times New Roman" w:hAnsi="Times New Roman"/>
        </w:rPr>
        <w:tab/>
        <w:t xml:space="preserve">(1992/93): 49-57. Accessed 9-17-2016. http://www.jstor.org/stable/24667819.  </w:t>
      </w:r>
    </w:p>
    <w:p w:rsidR="004D0DE2" w:rsidRPr="004D0DE2" w:rsidRDefault="004D0DE2" w:rsidP="004D0DE2">
      <w:pPr>
        <w:rPr>
          <w:rFonts w:ascii="Times New Roman" w:hAnsi="Times New Roman"/>
        </w:rPr>
      </w:pPr>
      <w:r w:rsidRPr="004D0DE2">
        <w:rPr>
          <w:rFonts w:ascii="Times New Roman" w:hAnsi="Times New Roman"/>
        </w:rPr>
        <w:t xml:space="preserve">Branigan, Keith. “Cycladic Figures and Their Derivatives in Crete.” </w:t>
      </w:r>
      <w:r w:rsidRPr="004D0DE2">
        <w:rPr>
          <w:rFonts w:ascii="Times New Roman" w:hAnsi="Times New Roman"/>
          <w:i/>
        </w:rPr>
        <w:t>The Annual of the</w:t>
      </w:r>
      <w:r w:rsidRPr="004D0DE2">
        <w:rPr>
          <w:rFonts w:ascii="Times New Roman" w:hAnsi="Times New Roman"/>
          <w:i/>
        </w:rPr>
        <w:tab/>
        <w:t xml:space="preserve"> British School at Athens</w:t>
      </w:r>
      <w:r w:rsidRPr="004D0DE2">
        <w:rPr>
          <w:rFonts w:ascii="Times New Roman" w:hAnsi="Times New Roman"/>
        </w:rPr>
        <w:t xml:space="preserve"> 66 (1971): 57-78. Accessed 12-07-2009. </w:t>
      </w:r>
      <w:r w:rsidRPr="004D0DE2">
        <w:rPr>
          <w:rFonts w:ascii="Times New Roman" w:hAnsi="Times New Roman"/>
        </w:rPr>
        <w:tab/>
        <w:t>http://www.jstor.org/stable/30103228.</w:t>
      </w:r>
    </w:p>
    <w:p w:rsidR="004D0DE2" w:rsidRPr="004D0DE2" w:rsidRDefault="004D0DE2" w:rsidP="004D0DE2">
      <w:pPr>
        <w:rPr>
          <w:rFonts w:ascii="Times New Roman" w:hAnsi="Times New Roman"/>
        </w:rPr>
      </w:pPr>
      <w:r w:rsidRPr="004D0DE2">
        <w:rPr>
          <w:rFonts w:ascii="Times New Roman" w:hAnsi="Times New Roman"/>
        </w:rPr>
        <w:t xml:space="preserve">Brodie, Neil, et al. </w:t>
      </w:r>
      <w:r w:rsidRPr="004D0DE2">
        <w:rPr>
          <w:rFonts w:ascii="Times New Roman" w:hAnsi="Times New Roman"/>
          <w:i/>
        </w:rPr>
        <w:t>Horizon: A Colloquium on the Prehistory of the Cyclades.</w:t>
      </w:r>
      <w:r w:rsidRPr="004D0DE2">
        <w:rPr>
          <w:rFonts w:ascii="Times New Roman" w:hAnsi="Times New Roman"/>
        </w:rPr>
        <w:t xml:space="preserve"> </w:t>
      </w:r>
      <w:r w:rsidRPr="004D0DE2">
        <w:rPr>
          <w:rFonts w:ascii="Times New Roman" w:hAnsi="Times New Roman"/>
        </w:rPr>
        <w:tab/>
        <w:t>Cambridge: McDonald Institute for Archaeological Research, 2008.</w:t>
      </w:r>
    </w:p>
    <w:p w:rsidR="004D0DE2" w:rsidRPr="004D0DE2" w:rsidRDefault="004D0DE2" w:rsidP="004D0DE2">
      <w:pPr>
        <w:rPr>
          <w:rFonts w:ascii="Times New Roman" w:hAnsi="Times New Roman"/>
        </w:rPr>
      </w:pPr>
      <w:bookmarkStart w:id="99" w:name="_Hlk479971651"/>
      <w:r w:rsidRPr="004D0DE2">
        <w:rPr>
          <w:rFonts w:ascii="Times New Roman" w:hAnsi="Times New Roman"/>
        </w:rPr>
        <w:lastRenderedPageBreak/>
        <w:t xml:space="preserve">Broodbank, Cyprian. </w:t>
      </w:r>
      <w:bookmarkEnd w:id="99"/>
      <w:r w:rsidRPr="004D0DE2">
        <w:rPr>
          <w:rFonts w:ascii="Times New Roman" w:hAnsi="Times New Roman"/>
        </w:rPr>
        <w:t xml:space="preserve">“The Longboat and Society in the Cyclades in the Keros-Syros </w:t>
      </w:r>
      <w:r w:rsidRPr="004D0DE2">
        <w:rPr>
          <w:rFonts w:ascii="Times New Roman" w:hAnsi="Times New Roman"/>
        </w:rPr>
        <w:tab/>
        <w:t xml:space="preserve">Culture.” </w:t>
      </w:r>
      <w:r w:rsidRPr="004D0DE2">
        <w:rPr>
          <w:rFonts w:ascii="Times New Roman" w:hAnsi="Times New Roman"/>
          <w:i/>
        </w:rPr>
        <w:t>American Journal of Archaeology</w:t>
      </w:r>
      <w:r w:rsidRPr="004D0DE2">
        <w:rPr>
          <w:rFonts w:ascii="Times New Roman" w:hAnsi="Times New Roman"/>
        </w:rPr>
        <w:t xml:space="preserve"> 93 (1989): 319-337. Accessed 5-26-</w:t>
      </w:r>
      <w:r w:rsidRPr="004D0DE2">
        <w:rPr>
          <w:rFonts w:ascii="Times New Roman" w:hAnsi="Times New Roman"/>
        </w:rPr>
        <w:tab/>
        <w:t>2106. http://www.jstor.org/stable/5050584.</w:t>
      </w:r>
    </w:p>
    <w:p w:rsidR="004D0DE2" w:rsidRPr="004D0DE2" w:rsidRDefault="004D0DE2" w:rsidP="004D0DE2">
      <w:pPr>
        <w:rPr>
          <w:rFonts w:ascii="Times New Roman" w:hAnsi="Times New Roman"/>
        </w:rPr>
      </w:pPr>
      <w:r w:rsidRPr="004D0DE2">
        <w:rPr>
          <w:rFonts w:ascii="Times New Roman" w:hAnsi="Times New Roman"/>
        </w:rPr>
        <w:t xml:space="preserve">------.  “Ulysses without Sails: Trade, Distance, Knowledge and Power in the Early </w:t>
      </w:r>
      <w:r w:rsidRPr="004D0DE2">
        <w:rPr>
          <w:rFonts w:ascii="Times New Roman" w:hAnsi="Times New Roman"/>
        </w:rPr>
        <w:tab/>
        <w:t>Cyclades.” World Archaeology 24, no. 3 (Feb. 1993): 315-331. Accessed 01-24-</w:t>
      </w:r>
      <w:r w:rsidRPr="004D0DE2">
        <w:rPr>
          <w:rFonts w:ascii="Times New Roman" w:hAnsi="Times New Roman"/>
        </w:rPr>
        <w:tab/>
        <w:t>2010. http://www.jstor.org/stable/124711.</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iCs/>
        </w:rPr>
        <w:t>An Island Archaeology of the Early Cyclades</w:t>
      </w:r>
      <w:r w:rsidRPr="004D0DE2">
        <w:rPr>
          <w:rFonts w:ascii="Times New Roman" w:hAnsi="Times New Roman"/>
        </w:rPr>
        <w:t>: Cambridge: Cambridge University</w:t>
      </w:r>
      <w:r w:rsidRPr="004D0DE2">
        <w:rPr>
          <w:rFonts w:ascii="Times New Roman" w:hAnsi="Times New Roman"/>
        </w:rPr>
        <w:tab/>
        <w:t xml:space="preserve"> Press, </w:t>
      </w:r>
      <w:r w:rsidRPr="004D0DE2">
        <w:rPr>
          <w:rFonts w:ascii="Times New Roman" w:hAnsi="Times New Roman"/>
        </w:rPr>
        <w:tab/>
        <w:t>2000.</w:t>
      </w:r>
    </w:p>
    <w:p w:rsidR="004D0DE2" w:rsidRPr="004D0DE2" w:rsidRDefault="004D0DE2" w:rsidP="004D0DE2">
      <w:pPr>
        <w:rPr>
          <w:rFonts w:ascii="Times New Roman" w:hAnsi="Times New Roman"/>
        </w:rPr>
      </w:pPr>
      <w:r w:rsidRPr="004D0DE2">
        <w:rPr>
          <w:rFonts w:ascii="Times New Roman" w:hAnsi="Times New Roman"/>
        </w:rPr>
        <w:t xml:space="preserve">------. “The Early Bronze Age in the Cyclades.” In </w:t>
      </w:r>
      <w:r w:rsidRPr="004D0DE2">
        <w:rPr>
          <w:rFonts w:ascii="Times New Roman" w:hAnsi="Times New Roman"/>
          <w:i/>
        </w:rPr>
        <w:t xml:space="preserve">The Cambridge Companion to the </w:t>
      </w:r>
      <w:r w:rsidRPr="004D0DE2">
        <w:rPr>
          <w:rFonts w:ascii="Times New Roman" w:hAnsi="Times New Roman"/>
          <w:i/>
        </w:rPr>
        <w:tab/>
        <w:t>Aegean Bronze Age</w:t>
      </w:r>
      <w:r w:rsidRPr="004D0DE2">
        <w:rPr>
          <w:rFonts w:ascii="Times New Roman" w:hAnsi="Times New Roman"/>
        </w:rPr>
        <w:t xml:space="preserve">, edited by Cynthia W. Shelmerdine, 47-76. Cambridge: </w:t>
      </w:r>
      <w:r w:rsidRPr="004D0DE2">
        <w:rPr>
          <w:rFonts w:ascii="Times New Roman" w:hAnsi="Times New Roman"/>
        </w:rPr>
        <w:tab/>
        <w:t>Cambridge University Press, 2008.</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 xml:space="preserve">The Making of the Middle Sea: A History of the Mediterranean from the </w:t>
      </w:r>
      <w:r w:rsidRPr="004D0DE2">
        <w:rPr>
          <w:rFonts w:ascii="Times New Roman" w:hAnsi="Times New Roman"/>
          <w:i/>
        </w:rPr>
        <w:tab/>
        <w:t>Beginning to the Emergence of the Classical World</w:t>
      </w:r>
      <w:r w:rsidRPr="004D0DE2">
        <w:rPr>
          <w:rFonts w:ascii="Times New Roman" w:hAnsi="Times New Roman"/>
        </w:rPr>
        <w:t xml:space="preserve">. Oxford: Oxford University </w:t>
      </w:r>
      <w:r w:rsidRPr="004D0DE2">
        <w:rPr>
          <w:rFonts w:ascii="Times New Roman" w:hAnsi="Times New Roman"/>
        </w:rPr>
        <w:tab/>
        <w:t>Press, 2013.</w:t>
      </w:r>
    </w:p>
    <w:p w:rsidR="004D0DE2" w:rsidRPr="004D0DE2" w:rsidRDefault="004D0DE2" w:rsidP="004D0DE2">
      <w:pPr>
        <w:rPr>
          <w:rFonts w:ascii="Times New Roman" w:hAnsi="Times New Roman"/>
        </w:rPr>
      </w:pPr>
      <w:r w:rsidRPr="004D0DE2">
        <w:rPr>
          <w:rFonts w:ascii="Times New Roman" w:hAnsi="Times New Roman"/>
          <w:lang w:val="de-DE"/>
        </w:rPr>
        <w:t xml:space="preserve">Buchholz, Hans-Gunter and Vassos Karageorghis. </w:t>
      </w:r>
      <w:r w:rsidRPr="004D0DE2">
        <w:rPr>
          <w:rFonts w:ascii="Times New Roman" w:hAnsi="Times New Roman"/>
          <w:i/>
          <w:noProof/>
        </w:rPr>
        <w:t>Prehistoric</w:t>
      </w:r>
      <w:r w:rsidRPr="004D0DE2">
        <w:rPr>
          <w:rFonts w:ascii="Times New Roman" w:hAnsi="Times New Roman"/>
          <w:i/>
        </w:rPr>
        <w:t xml:space="preserve"> Greece and Cyprus</w:t>
      </w:r>
      <w:r w:rsidRPr="004D0DE2">
        <w:rPr>
          <w:rFonts w:ascii="Times New Roman" w:hAnsi="Times New Roman"/>
        </w:rPr>
        <w:t xml:space="preserve">. </w:t>
      </w:r>
      <w:r w:rsidRPr="004D0DE2">
        <w:rPr>
          <w:rFonts w:ascii="Times New Roman" w:hAnsi="Times New Roman"/>
        </w:rPr>
        <w:tab/>
      </w:r>
      <w:r w:rsidRPr="004D0DE2">
        <w:rPr>
          <w:rFonts w:ascii="Times New Roman" w:hAnsi="Times New Roman"/>
          <w:noProof/>
        </w:rPr>
        <w:t>Translated by</w:t>
      </w:r>
      <w:r w:rsidRPr="004D0DE2">
        <w:rPr>
          <w:rFonts w:ascii="Times New Roman" w:hAnsi="Times New Roman"/>
        </w:rPr>
        <w:t xml:space="preserve"> Francisca Garvie. London: Phaidon, 1973. </w:t>
      </w:r>
    </w:p>
    <w:p w:rsidR="004D0DE2" w:rsidRPr="004D0DE2" w:rsidRDefault="004D0DE2" w:rsidP="004D0DE2">
      <w:pPr>
        <w:rPr>
          <w:rFonts w:ascii="Times New Roman" w:hAnsi="Times New Roman"/>
        </w:rPr>
      </w:pPr>
      <w:r w:rsidRPr="004D0DE2">
        <w:rPr>
          <w:rFonts w:ascii="Times New Roman" w:hAnsi="Times New Roman"/>
        </w:rPr>
        <w:t xml:space="preserve">Burkert, Walter. </w:t>
      </w:r>
      <w:r w:rsidRPr="004D0DE2">
        <w:rPr>
          <w:rFonts w:ascii="Times New Roman" w:hAnsi="Times New Roman"/>
          <w:i/>
        </w:rPr>
        <w:t>Greek Religion.</w:t>
      </w:r>
      <w:r w:rsidRPr="004D0DE2">
        <w:rPr>
          <w:rFonts w:ascii="Times New Roman" w:hAnsi="Times New Roman"/>
        </w:rPr>
        <w:t xml:space="preserve"> Translated by John Raffan. Cambridge: Harvard</w:t>
      </w:r>
      <w:r w:rsidRPr="004D0DE2">
        <w:rPr>
          <w:rFonts w:ascii="Times New Roman" w:hAnsi="Times New Roman"/>
        </w:rPr>
        <w:tab/>
      </w:r>
      <w:r w:rsidRPr="004D0DE2">
        <w:rPr>
          <w:rFonts w:ascii="Times New Roman" w:hAnsi="Times New Roman"/>
        </w:rPr>
        <w:tab/>
        <w:t xml:space="preserve"> University Press, 1985. </w:t>
      </w:r>
    </w:p>
    <w:p w:rsidR="004D0DE2" w:rsidRPr="004D0DE2" w:rsidRDefault="004D0DE2" w:rsidP="004D0DE2">
      <w:pPr>
        <w:rPr>
          <w:rFonts w:ascii="Times New Roman" w:hAnsi="Times New Roman"/>
        </w:rPr>
      </w:pPr>
      <w:r w:rsidRPr="004D0DE2">
        <w:rPr>
          <w:rFonts w:ascii="Times New Roman" w:hAnsi="Times New Roman"/>
        </w:rPr>
        <w:t xml:space="preserve">Buxton, Richard. </w:t>
      </w:r>
      <w:r w:rsidRPr="004D0DE2">
        <w:rPr>
          <w:rFonts w:ascii="Times New Roman" w:hAnsi="Times New Roman"/>
          <w:i/>
        </w:rPr>
        <w:t>The Complete World of Greek Mythology</w:t>
      </w:r>
      <w:r w:rsidRPr="004D0DE2">
        <w:rPr>
          <w:rFonts w:ascii="Times New Roman" w:hAnsi="Times New Roman"/>
        </w:rPr>
        <w:t xml:space="preserve">. London: Thames and </w:t>
      </w:r>
      <w:r w:rsidRPr="004D0DE2">
        <w:rPr>
          <w:rFonts w:ascii="Times New Roman" w:hAnsi="Times New Roman"/>
        </w:rPr>
        <w:tab/>
        <w:t>Hudson, 2004.</w:t>
      </w:r>
    </w:p>
    <w:p w:rsidR="004D0DE2" w:rsidRPr="004D0DE2" w:rsidRDefault="004D0DE2" w:rsidP="004D0DE2">
      <w:pPr>
        <w:rPr>
          <w:rFonts w:ascii="Times New Roman" w:hAnsi="Times New Roman"/>
        </w:rPr>
      </w:pPr>
      <w:r w:rsidRPr="004D0DE2">
        <w:rPr>
          <w:rFonts w:ascii="Times New Roman" w:hAnsi="Times New Roman"/>
        </w:rPr>
        <w:t xml:space="preserve">Caskey, John L. “Notes on </w:t>
      </w:r>
      <w:r w:rsidRPr="004D0DE2">
        <w:rPr>
          <w:rFonts w:ascii="Times New Roman" w:hAnsi="Times New Roman"/>
          <w:noProof/>
        </w:rPr>
        <w:t>Keos</w:t>
      </w:r>
      <w:r w:rsidRPr="004D0DE2">
        <w:rPr>
          <w:rFonts w:ascii="Times New Roman" w:hAnsi="Times New Roman"/>
        </w:rPr>
        <w:t xml:space="preserve"> and </w:t>
      </w:r>
      <w:r w:rsidRPr="004D0DE2">
        <w:rPr>
          <w:rFonts w:ascii="Times New Roman" w:hAnsi="Times New Roman"/>
          <w:noProof/>
        </w:rPr>
        <w:t>Tzia</w:t>
      </w:r>
      <w:r w:rsidRPr="004D0DE2">
        <w:rPr>
          <w:rFonts w:ascii="Times New Roman" w:hAnsi="Times New Roman"/>
        </w:rPr>
        <w:t xml:space="preserve">.” </w:t>
      </w:r>
      <w:r w:rsidRPr="004D0DE2">
        <w:rPr>
          <w:rFonts w:ascii="Times New Roman" w:hAnsi="Times New Roman"/>
          <w:i/>
        </w:rPr>
        <w:t>Hesperia</w:t>
      </w:r>
      <w:r w:rsidRPr="004D0DE2">
        <w:rPr>
          <w:rFonts w:ascii="Times New Roman" w:hAnsi="Times New Roman"/>
        </w:rPr>
        <w:t xml:space="preserve"> 50, no. 4 (Oct. - Dec.</w:t>
      </w:r>
      <w:r w:rsidRPr="004D0DE2">
        <w:rPr>
          <w:rFonts w:ascii="Times New Roman" w:hAnsi="Times New Roman"/>
          <w:noProof/>
        </w:rPr>
        <w:t>,</w:t>
      </w:r>
      <w:r w:rsidRPr="004D0DE2">
        <w:rPr>
          <w:rFonts w:ascii="Times New Roman" w:hAnsi="Times New Roman"/>
        </w:rPr>
        <w:t xml:space="preserve"> 1981): 320-</w:t>
      </w:r>
      <w:r w:rsidRPr="004D0DE2">
        <w:rPr>
          <w:rFonts w:ascii="Times New Roman" w:hAnsi="Times New Roman"/>
        </w:rPr>
        <w:tab/>
        <w:t>326. Accessed 9-22-2015. http://www.jstor.org/stable/147875.</w:t>
      </w:r>
    </w:p>
    <w:p w:rsidR="004D0DE2" w:rsidRPr="004D0DE2" w:rsidRDefault="004D0DE2" w:rsidP="004D0DE2">
      <w:pPr>
        <w:rPr>
          <w:rFonts w:ascii="Times New Roman" w:hAnsi="Times New Roman"/>
        </w:rPr>
      </w:pPr>
      <w:r w:rsidRPr="004D0DE2">
        <w:rPr>
          <w:rFonts w:ascii="Times New Roman" w:hAnsi="Times New Roman"/>
        </w:rPr>
        <w:lastRenderedPageBreak/>
        <w:t xml:space="preserve">------ and E.T. Blackburn. </w:t>
      </w:r>
      <w:r w:rsidRPr="004D0DE2">
        <w:rPr>
          <w:rFonts w:ascii="Times New Roman" w:hAnsi="Times New Roman"/>
          <w:i/>
        </w:rPr>
        <w:t>Lerna in the Argolid</w:t>
      </w:r>
      <w:r w:rsidRPr="004D0DE2">
        <w:rPr>
          <w:rFonts w:ascii="Times New Roman" w:hAnsi="Times New Roman"/>
        </w:rPr>
        <w:t xml:space="preserve">. Athens: American School of Classical </w:t>
      </w:r>
      <w:r w:rsidRPr="004D0DE2">
        <w:rPr>
          <w:rFonts w:ascii="Times New Roman" w:hAnsi="Times New Roman"/>
        </w:rPr>
        <w:tab/>
        <w:t xml:space="preserve">Studies at Athens, 1997. </w:t>
      </w:r>
    </w:p>
    <w:p w:rsidR="004D0DE2" w:rsidRPr="004D0DE2" w:rsidRDefault="004D0DE2" w:rsidP="004D0DE2">
      <w:pPr>
        <w:rPr>
          <w:rFonts w:ascii="Times New Roman" w:hAnsi="Times New Roman"/>
        </w:rPr>
      </w:pPr>
      <w:bookmarkStart w:id="100" w:name="_Hlk479971668"/>
      <w:r w:rsidRPr="004D0DE2">
        <w:rPr>
          <w:rFonts w:ascii="Times New Roman" w:hAnsi="Times New Roman"/>
        </w:rPr>
        <w:t xml:space="preserve">Cherry, J.F. </w:t>
      </w:r>
      <w:bookmarkEnd w:id="100"/>
      <w:r w:rsidRPr="004D0DE2">
        <w:rPr>
          <w:rFonts w:ascii="Times New Roman" w:hAnsi="Times New Roman"/>
        </w:rPr>
        <w:t xml:space="preserve">“Pattern and Process in the Earliest Colonization of the Mediterranean </w:t>
      </w:r>
      <w:r w:rsidRPr="004D0DE2">
        <w:rPr>
          <w:rFonts w:ascii="Times New Roman" w:hAnsi="Times New Roman"/>
        </w:rPr>
        <w:tab/>
        <w:t xml:space="preserve">Islands.” </w:t>
      </w:r>
      <w:r w:rsidRPr="004D0DE2">
        <w:rPr>
          <w:rFonts w:ascii="Times New Roman" w:hAnsi="Times New Roman"/>
          <w:i/>
        </w:rPr>
        <w:t>Proceedings of the Prehistoric Society</w:t>
      </w:r>
      <w:r w:rsidRPr="004D0DE2">
        <w:rPr>
          <w:rFonts w:ascii="Times New Roman" w:hAnsi="Times New Roman"/>
        </w:rPr>
        <w:t xml:space="preserve"> 47 (1981): 41-68. </w:t>
      </w:r>
    </w:p>
    <w:p w:rsidR="004D0DE2" w:rsidRPr="004D0DE2" w:rsidRDefault="004D0DE2" w:rsidP="004D0DE2">
      <w:pPr>
        <w:rPr>
          <w:rFonts w:ascii="Times New Roman" w:hAnsi="Times New Roman"/>
        </w:rPr>
      </w:pPr>
      <w:r w:rsidRPr="004D0DE2">
        <w:rPr>
          <w:rFonts w:ascii="Times New Roman" w:hAnsi="Times New Roman"/>
        </w:rPr>
        <w:t xml:space="preserve">------. “First Colonization of the Mediterranean Islands.” </w:t>
      </w:r>
      <w:r w:rsidRPr="004D0DE2">
        <w:rPr>
          <w:rFonts w:ascii="Times New Roman" w:hAnsi="Times New Roman"/>
          <w:i/>
        </w:rPr>
        <w:t xml:space="preserve">Journal of Mediterranean </w:t>
      </w:r>
      <w:r w:rsidRPr="004D0DE2">
        <w:rPr>
          <w:rFonts w:ascii="Times New Roman" w:hAnsi="Times New Roman"/>
          <w:i/>
        </w:rPr>
        <w:tab/>
        <w:t>Archaeology</w:t>
      </w:r>
      <w:r w:rsidRPr="004D0DE2">
        <w:rPr>
          <w:rFonts w:ascii="Times New Roman" w:hAnsi="Times New Roman"/>
        </w:rPr>
        <w:t xml:space="preserve"> 3, no. 1 (1990): 145-221. </w:t>
      </w:r>
    </w:p>
    <w:p w:rsidR="004D0DE2" w:rsidRPr="004D0DE2" w:rsidRDefault="004D0DE2" w:rsidP="004D0DE2">
      <w:pPr>
        <w:rPr>
          <w:rFonts w:ascii="Times New Roman" w:hAnsi="Times New Roman"/>
        </w:rPr>
      </w:pPr>
      <w:r w:rsidRPr="004D0DE2">
        <w:rPr>
          <w:rFonts w:ascii="Times New Roman" w:hAnsi="Times New Roman"/>
        </w:rPr>
        <w:t xml:space="preserve">Chevalier, Jean and Alain Gheerbrant. </w:t>
      </w:r>
      <w:r w:rsidRPr="004D0DE2">
        <w:rPr>
          <w:rFonts w:ascii="Times New Roman" w:hAnsi="Times New Roman"/>
          <w:i/>
        </w:rPr>
        <w:t>A Dictionary of Symbols</w:t>
      </w:r>
      <w:r w:rsidRPr="004D0DE2">
        <w:rPr>
          <w:rFonts w:ascii="Times New Roman" w:hAnsi="Times New Roman"/>
        </w:rPr>
        <w:t xml:space="preserve">. Translated by John </w:t>
      </w:r>
      <w:r w:rsidRPr="004D0DE2">
        <w:rPr>
          <w:rFonts w:ascii="Times New Roman" w:hAnsi="Times New Roman"/>
        </w:rPr>
        <w:tab/>
        <w:t>Buchanan-Brown, New York: Penguin Books, 1996.</w:t>
      </w:r>
    </w:p>
    <w:p w:rsidR="004D0DE2" w:rsidRPr="004D0DE2" w:rsidRDefault="004D0DE2" w:rsidP="004D0DE2">
      <w:pPr>
        <w:rPr>
          <w:rFonts w:ascii="Times New Roman" w:hAnsi="Times New Roman"/>
        </w:rPr>
      </w:pPr>
      <w:r w:rsidRPr="004D0DE2">
        <w:rPr>
          <w:rFonts w:ascii="Times New Roman" w:hAnsi="Times New Roman"/>
        </w:rPr>
        <w:t xml:space="preserve">Choremi, </w:t>
      </w:r>
      <w:r w:rsidRPr="004D0DE2">
        <w:rPr>
          <w:rFonts w:ascii="Times New Roman" w:hAnsi="Times New Roman"/>
          <w:noProof/>
        </w:rPr>
        <w:t>Alkhestis</w:t>
      </w:r>
      <w:r w:rsidRPr="004D0DE2">
        <w:rPr>
          <w:rFonts w:ascii="Times New Roman" w:hAnsi="Times New Roman"/>
        </w:rPr>
        <w:t xml:space="preserve">, Christina </w:t>
      </w:r>
      <w:r w:rsidRPr="004D0DE2">
        <w:rPr>
          <w:rFonts w:ascii="Times New Roman" w:hAnsi="Times New Roman"/>
          <w:noProof/>
        </w:rPr>
        <w:t>Vlassopoulou</w:t>
      </w:r>
      <w:r w:rsidRPr="004D0DE2">
        <w:rPr>
          <w:rFonts w:ascii="Times New Roman" w:hAnsi="Times New Roman"/>
        </w:rPr>
        <w:t xml:space="preserve"> and Yianna Venieri. </w:t>
      </w:r>
      <w:r w:rsidRPr="004D0DE2">
        <w:rPr>
          <w:rFonts w:ascii="Times New Roman" w:hAnsi="Times New Roman"/>
          <w:i/>
        </w:rPr>
        <w:t xml:space="preserve">Kea: History and </w:t>
      </w:r>
      <w:r w:rsidRPr="004D0DE2">
        <w:rPr>
          <w:rFonts w:ascii="Times New Roman" w:hAnsi="Times New Roman"/>
          <w:i/>
        </w:rPr>
        <w:tab/>
        <w:t>Antiquities</w:t>
      </w:r>
      <w:r w:rsidRPr="004D0DE2">
        <w:rPr>
          <w:rFonts w:ascii="Times New Roman" w:hAnsi="Times New Roman"/>
        </w:rPr>
        <w:t xml:space="preserve">. Translated by Myriam Caskey. Athens: Ministry of Culture </w:t>
      </w:r>
      <w:r w:rsidRPr="004D0DE2">
        <w:rPr>
          <w:rFonts w:ascii="Times New Roman" w:hAnsi="Times New Roman"/>
        </w:rPr>
        <w:tab/>
        <w:t xml:space="preserve">Archaeological Receipts Fund, 2002.  </w:t>
      </w:r>
    </w:p>
    <w:p w:rsidR="004D0DE2" w:rsidRPr="004D0DE2" w:rsidRDefault="004D0DE2" w:rsidP="004D0DE2">
      <w:pPr>
        <w:rPr>
          <w:rFonts w:ascii="Times New Roman" w:hAnsi="Times New Roman"/>
        </w:rPr>
      </w:pPr>
      <w:r w:rsidRPr="004D0DE2">
        <w:rPr>
          <w:rFonts w:ascii="Times New Roman" w:hAnsi="Times New Roman"/>
        </w:rPr>
        <w:t xml:space="preserve">Cline, Eric H. </w:t>
      </w:r>
      <w:r w:rsidRPr="004D0DE2">
        <w:rPr>
          <w:rFonts w:ascii="Times New Roman" w:hAnsi="Times New Roman"/>
          <w:i/>
        </w:rPr>
        <w:t>The Oxford Handbook of the Bronze Age Aegean</w:t>
      </w:r>
      <w:r w:rsidRPr="004D0DE2">
        <w:rPr>
          <w:rFonts w:ascii="Times New Roman" w:hAnsi="Times New Roman"/>
        </w:rPr>
        <w:t xml:space="preserve">. Oxford: Oxford </w:t>
      </w:r>
      <w:r w:rsidRPr="004D0DE2">
        <w:rPr>
          <w:rFonts w:ascii="Times New Roman" w:hAnsi="Times New Roman"/>
        </w:rPr>
        <w:tab/>
        <w:t xml:space="preserve">University Press, 2010. </w:t>
      </w:r>
    </w:p>
    <w:p w:rsidR="004D0DE2" w:rsidRPr="004D0DE2" w:rsidRDefault="004D0DE2" w:rsidP="004D0DE2">
      <w:pPr>
        <w:rPr>
          <w:rFonts w:ascii="Times New Roman" w:hAnsi="Times New Roman"/>
        </w:rPr>
      </w:pPr>
      <w:r w:rsidRPr="004D0DE2">
        <w:rPr>
          <w:rFonts w:ascii="Times New Roman" w:hAnsi="Times New Roman"/>
        </w:rPr>
        <w:t xml:space="preserve">Clottes, Jean, David Lewis-Williams and Sophie Hawkes. </w:t>
      </w:r>
      <w:r w:rsidRPr="004D0DE2">
        <w:rPr>
          <w:rFonts w:ascii="Times New Roman" w:hAnsi="Times New Roman"/>
          <w:i/>
        </w:rPr>
        <w:t xml:space="preserve">Shamans of Prehistory: </w:t>
      </w:r>
      <w:r w:rsidRPr="004D0DE2">
        <w:rPr>
          <w:rFonts w:ascii="Times New Roman" w:hAnsi="Times New Roman"/>
          <w:i/>
        </w:rPr>
        <w:tab/>
        <w:t xml:space="preserve">Trance and Magic in Painted Caves. </w:t>
      </w:r>
      <w:r w:rsidRPr="004D0DE2">
        <w:rPr>
          <w:rFonts w:ascii="Times New Roman" w:hAnsi="Times New Roman"/>
        </w:rPr>
        <w:t>New York: Harry N. Abrams, 1998.</w:t>
      </w:r>
    </w:p>
    <w:p w:rsidR="004D0DE2" w:rsidRPr="004D0DE2" w:rsidRDefault="004D0DE2" w:rsidP="004D0DE2">
      <w:pPr>
        <w:rPr>
          <w:rFonts w:ascii="Times New Roman" w:hAnsi="Times New Roman"/>
        </w:rPr>
      </w:pPr>
      <w:bookmarkStart w:id="101" w:name="_Hlk479971684"/>
      <w:r w:rsidRPr="004D0DE2">
        <w:rPr>
          <w:rFonts w:ascii="Times New Roman" w:hAnsi="Times New Roman"/>
        </w:rPr>
        <w:t>Coleman, John E</w:t>
      </w:r>
      <w:bookmarkEnd w:id="101"/>
      <w:r w:rsidRPr="004D0DE2">
        <w:rPr>
          <w:rFonts w:ascii="Times New Roman" w:hAnsi="Times New Roman"/>
        </w:rPr>
        <w:t xml:space="preserve">.  “The Chronology and Interconnections of the Cycladic Islands in the </w:t>
      </w:r>
      <w:r w:rsidRPr="004D0DE2">
        <w:rPr>
          <w:rFonts w:ascii="Times New Roman" w:hAnsi="Times New Roman"/>
        </w:rPr>
        <w:tab/>
        <w:t xml:space="preserve">Neolithic Period and the Early Bronze Age.” </w:t>
      </w:r>
      <w:r w:rsidRPr="004D0DE2">
        <w:rPr>
          <w:rFonts w:ascii="Times New Roman" w:hAnsi="Times New Roman"/>
          <w:i/>
        </w:rPr>
        <w:t>American Journal of Archaeology</w:t>
      </w:r>
      <w:r w:rsidRPr="004D0DE2">
        <w:rPr>
          <w:rFonts w:ascii="Times New Roman" w:hAnsi="Times New Roman"/>
        </w:rPr>
        <w:t xml:space="preserve"> </w:t>
      </w:r>
      <w:r w:rsidRPr="004D0DE2">
        <w:rPr>
          <w:rFonts w:ascii="Times New Roman" w:hAnsi="Times New Roman"/>
        </w:rPr>
        <w:tab/>
        <w:t>78, no. 4 (Oct 1974): 333-344. Accessed 12-07-2009. http://www.jstor.org/</w:t>
      </w:r>
    </w:p>
    <w:p w:rsidR="004D0DE2" w:rsidRPr="004D0DE2" w:rsidRDefault="004D0DE2" w:rsidP="004D0DE2">
      <w:pPr>
        <w:ind w:firstLine="720"/>
        <w:rPr>
          <w:rFonts w:ascii="Times New Roman" w:hAnsi="Times New Roman"/>
        </w:rPr>
      </w:pPr>
      <w:r w:rsidRPr="004D0DE2">
        <w:rPr>
          <w:rFonts w:ascii="Times New Roman" w:hAnsi="Times New Roman"/>
        </w:rPr>
        <w:t>stable/502747.</w:t>
      </w:r>
    </w:p>
    <w:p w:rsidR="004D0DE2" w:rsidRPr="004D0DE2" w:rsidRDefault="004D0DE2" w:rsidP="004D0DE2">
      <w:pPr>
        <w:rPr>
          <w:rFonts w:ascii="Times New Roman" w:hAnsi="Times New Roman"/>
        </w:rPr>
      </w:pPr>
      <w:r w:rsidRPr="004D0DE2">
        <w:rPr>
          <w:rFonts w:ascii="Times New Roman" w:hAnsi="Times New Roman"/>
        </w:rPr>
        <w:t xml:space="preserve">------. “’Frying Pans’ of the Early Bronze Age Aegean.” </w:t>
      </w:r>
      <w:r w:rsidRPr="004D0DE2">
        <w:rPr>
          <w:rFonts w:ascii="Times New Roman" w:hAnsi="Times New Roman"/>
          <w:i/>
        </w:rPr>
        <w:t xml:space="preserve">American Journal of </w:t>
      </w:r>
      <w:r w:rsidRPr="004D0DE2">
        <w:rPr>
          <w:rFonts w:ascii="Times New Roman" w:hAnsi="Times New Roman"/>
          <w:i/>
        </w:rPr>
        <w:tab/>
        <w:t>Archaeology</w:t>
      </w:r>
      <w:r w:rsidRPr="004D0DE2">
        <w:rPr>
          <w:rFonts w:ascii="Times New Roman" w:hAnsi="Times New Roman"/>
        </w:rPr>
        <w:t xml:space="preserve"> 89, no. 2 (Apr 1985): 191-219. Accessed 08-29-2008. </w:t>
      </w:r>
      <w:r w:rsidRPr="004D0DE2">
        <w:rPr>
          <w:rFonts w:ascii="Times New Roman" w:hAnsi="Times New Roman"/>
        </w:rPr>
        <w:tab/>
        <w:t>http://www.jstor.org/stable/504325.</w:t>
      </w:r>
    </w:p>
    <w:p w:rsidR="004D0DE2" w:rsidRPr="004D0DE2" w:rsidRDefault="004D0DE2" w:rsidP="004D0DE2">
      <w:pPr>
        <w:rPr>
          <w:rFonts w:ascii="Times New Roman" w:hAnsi="Times New Roman"/>
        </w:rPr>
      </w:pPr>
      <w:r w:rsidRPr="004D0DE2">
        <w:rPr>
          <w:rFonts w:ascii="Times New Roman" w:hAnsi="Times New Roman"/>
        </w:rPr>
        <w:lastRenderedPageBreak/>
        <w:t xml:space="preserve">Cooper, J.C. </w:t>
      </w:r>
      <w:r w:rsidRPr="004D0DE2">
        <w:rPr>
          <w:rFonts w:ascii="Times New Roman" w:hAnsi="Times New Roman"/>
          <w:i/>
        </w:rPr>
        <w:t>An Illustrated Encyclopedia of Traditional Symbols</w:t>
      </w:r>
      <w:r w:rsidRPr="004D0DE2">
        <w:rPr>
          <w:rFonts w:ascii="Times New Roman" w:hAnsi="Times New Roman"/>
        </w:rPr>
        <w:t xml:space="preserve">. London: Thames and </w:t>
      </w:r>
      <w:r w:rsidRPr="004D0DE2">
        <w:rPr>
          <w:rFonts w:ascii="Times New Roman" w:hAnsi="Times New Roman"/>
        </w:rPr>
        <w:tab/>
        <w:t>Hudson, 1978.</w:t>
      </w:r>
    </w:p>
    <w:p w:rsidR="004D0DE2" w:rsidRPr="004D0DE2" w:rsidRDefault="004D0DE2" w:rsidP="004D0DE2">
      <w:pPr>
        <w:rPr>
          <w:rFonts w:ascii="Times New Roman" w:hAnsi="Times New Roman"/>
        </w:rPr>
      </w:pPr>
      <w:r w:rsidRPr="004D0DE2">
        <w:rPr>
          <w:rFonts w:ascii="Times New Roman" w:hAnsi="Times New Roman"/>
        </w:rPr>
        <w:t xml:space="preserve">“Cycladic Art: The Fat Lady of Saliagos.” The Bradshaw Foundation. Accessed </w:t>
      </w:r>
      <w:r w:rsidRPr="004D0DE2">
        <w:rPr>
          <w:rFonts w:ascii="Times New Roman" w:hAnsi="Times New Roman"/>
        </w:rPr>
        <w:tab/>
        <w:t>2/18/2017. http://www.bradshawfoundation.com/sculpture/cycladic</w:t>
      </w:r>
    </w:p>
    <w:p w:rsidR="004D0DE2" w:rsidRPr="004D0DE2" w:rsidRDefault="004D0DE2" w:rsidP="004D0DE2">
      <w:pPr>
        <w:ind w:firstLine="720"/>
        <w:rPr>
          <w:rFonts w:ascii="Times New Roman" w:hAnsi="Times New Roman"/>
        </w:rPr>
      </w:pPr>
      <w:r w:rsidRPr="004D0DE2">
        <w:rPr>
          <w:rFonts w:ascii="Times New Roman" w:hAnsi="Times New Roman"/>
        </w:rPr>
        <w:t xml:space="preserve">_scultpture1.php  </w:t>
      </w:r>
    </w:p>
    <w:p w:rsidR="004D0DE2" w:rsidRPr="004D0DE2" w:rsidRDefault="004D0DE2" w:rsidP="004D0DE2">
      <w:pPr>
        <w:rPr>
          <w:rFonts w:ascii="Times New Roman" w:hAnsi="Times New Roman"/>
        </w:rPr>
      </w:pPr>
      <w:r w:rsidRPr="004D0DE2">
        <w:rPr>
          <w:rFonts w:ascii="Times New Roman" w:hAnsi="Times New Roman"/>
        </w:rPr>
        <w:t xml:space="preserve">Davaras, Costis. </w:t>
      </w:r>
      <w:r w:rsidRPr="004D0DE2">
        <w:rPr>
          <w:rFonts w:ascii="Times New Roman" w:hAnsi="Times New Roman"/>
          <w:i/>
        </w:rPr>
        <w:t>Hagios Nikolaos Museum</w:t>
      </w:r>
      <w:r w:rsidRPr="004D0DE2">
        <w:rPr>
          <w:rFonts w:ascii="Times New Roman" w:hAnsi="Times New Roman"/>
        </w:rPr>
        <w:t xml:space="preserve">. Translated by Alexandria </w:t>
      </w:r>
      <w:r w:rsidRPr="004D0DE2">
        <w:rPr>
          <w:rFonts w:ascii="Times New Roman" w:hAnsi="Times New Roman"/>
          <w:noProof/>
        </w:rPr>
        <w:t>Doumas</w:t>
      </w:r>
      <w:r w:rsidRPr="004D0DE2">
        <w:rPr>
          <w:rFonts w:ascii="Times New Roman" w:hAnsi="Times New Roman"/>
        </w:rPr>
        <w:t xml:space="preserve">. Athens: </w:t>
      </w:r>
      <w:r w:rsidRPr="004D0DE2">
        <w:rPr>
          <w:rFonts w:ascii="Times New Roman" w:hAnsi="Times New Roman"/>
        </w:rPr>
        <w:tab/>
        <w:t>Editions Hannibal, n.d.</w:t>
      </w:r>
    </w:p>
    <w:p w:rsidR="004D0DE2" w:rsidRPr="004D0DE2" w:rsidRDefault="004D0DE2" w:rsidP="004D0DE2">
      <w:pPr>
        <w:rPr>
          <w:rFonts w:ascii="Times New Roman" w:hAnsi="Times New Roman"/>
        </w:rPr>
      </w:pPr>
      <w:r w:rsidRPr="004D0DE2">
        <w:rPr>
          <w:rFonts w:ascii="Times New Roman" w:hAnsi="Times New Roman"/>
        </w:rPr>
        <w:t xml:space="preserve">Davis, Jack L. “Review of Aegean Prehistory I: The Islands of the Aegean.” </w:t>
      </w:r>
      <w:r w:rsidRPr="004D0DE2">
        <w:rPr>
          <w:rFonts w:ascii="Times New Roman" w:hAnsi="Times New Roman"/>
          <w:i/>
        </w:rPr>
        <w:t xml:space="preserve">American </w:t>
      </w:r>
      <w:r w:rsidRPr="004D0DE2">
        <w:rPr>
          <w:rFonts w:ascii="Times New Roman" w:hAnsi="Times New Roman"/>
          <w:i/>
        </w:rPr>
        <w:tab/>
        <w:t>Journal of Archaeology</w:t>
      </w:r>
      <w:r w:rsidRPr="004D0DE2">
        <w:rPr>
          <w:rFonts w:ascii="Times New Roman" w:hAnsi="Times New Roman"/>
        </w:rPr>
        <w:t xml:space="preserve"> 96 (Oct 1992): 699-756. Accessed 5-26-2016. </w:t>
      </w:r>
      <w:r w:rsidRPr="004D0DE2">
        <w:rPr>
          <w:rFonts w:ascii="Times New Roman" w:hAnsi="Times New Roman"/>
        </w:rPr>
        <w:tab/>
        <w:t xml:space="preserve">http://www.jstor.org/stable/505192. </w:t>
      </w:r>
    </w:p>
    <w:p w:rsidR="004D0DE2" w:rsidRPr="004D0DE2" w:rsidRDefault="004D0DE2" w:rsidP="004D0DE2">
      <w:pPr>
        <w:rPr>
          <w:rFonts w:ascii="Times New Roman" w:hAnsi="Times New Roman"/>
        </w:rPr>
      </w:pPr>
      <w:r w:rsidRPr="004D0DE2">
        <w:rPr>
          <w:rFonts w:ascii="Times New Roman" w:hAnsi="Times New Roman"/>
        </w:rPr>
        <w:t xml:space="preserve">Demoule, Jean-Paul and Catherine Perlès. “The Greek Neolithic: A New Review.” </w:t>
      </w:r>
      <w:r w:rsidR="008A4685">
        <w:rPr>
          <w:rFonts w:ascii="Times New Roman" w:hAnsi="Times New Roman"/>
        </w:rPr>
        <w:tab/>
      </w:r>
      <w:r w:rsidR="008A4685">
        <w:rPr>
          <w:rFonts w:ascii="Times New Roman" w:hAnsi="Times New Roman"/>
          <w:i/>
        </w:rPr>
        <w:t xml:space="preserve">Journal of </w:t>
      </w:r>
      <w:r w:rsidRPr="004D0DE2">
        <w:rPr>
          <w:rFonts w:ascii="Times New Roman" w:hAnsi="Times New Roman"/>
          <w:i/>
        </w:rPr>
        <w:t>World Prehistory</w:t>
      </w:r>
      <w:r w:rsidRPr="004D0DE2">
        <w:rPr>
          <w:rFonts w:ascii="Times New Roman" w:hAnsi="Times New Roman"/>
        </w:rPr>
        <w:t xml:space="preserve"> 7, no. 4 (Dec. 1993): 355-416. Accessed 9-17-</w:t>
      </w:r>
      <w:r w:rsidR="008A4685">
        <w:rPr>
          <w:rFonts w:ascii="Times New Roman" w:hAnsi="Times New Roman"/>
        </w:rPr>
        <w:tab/>
      </w:r>
      <w:r w:rsidRPr="004D0DE2">
        <w:rPr>
          <w:rFonts w:ascii="Times New Roman" w:hAnsi="Times New Roman"/>
        </w:rPr>
        <w:t xml:space="preserve">2016. </w:t>
      </w:r>
      <w:r w:rsidRPr="004D0DE2">
        <w:rPr>
          <w:rFonts w:ascii="Times New Roman" w:hAnsi="Times New Roman"/>
        </w:rPr>
        <w:tab/>
        <w:t>http://www.jstor.org/stable/25800637.</w:t>
      </w:r>
    </w:p>
    <w:p w:rsidR="004D0DE2" w:rsidRPr="004D0DE2" w:rsidRDefault="004D0DE2" w:rsidP="004D0DE2">
      <w:pPr>
        <w:rPr>
          <w:rFonts w:ascii="Times New Roman" w:hAnsi="Times New Roman"/>
        </w:rPr>
      </w:pPr>
      <w:r w:rsidRPr="004D0DE2">
        <w:rPr>
          <w:rFonts w:ascii="Times New Roman" w:hAnsi="Times New Roman"/>
        </w:rPr>
        <w:t xml:space="preserve">Dickinson, Oliver. </w:t>
      </w:r>
      <w:r w:rsidRPr="004D0DE2">
        <w:rPr>
          <w:rFonts w:ascii="Times New Roman" w:hAnsi="Times New Roman"/>
          <w:i/>
        </w:rPr>
        <w:t>The Aegean Bronze Age.</w:t>
      </w:r>
      <w:r w:rsidRPr="004D0DE2">
        <w:rPr>
          <w:rFonts w:ascii="Times New Roman" w:hAnsi="Times New Roman"/>
        </w:rPr>
        <w:t xml:space="preserve"> Cambridge: Cambridge University Press, </w:t>
      </w:r>
      <w:r w:rsidRPr="004D0DE2">
        <w:rPr>
          <w:rFonts w:ascii="Times New Roman" w:hAnsi="Times New Roman"/>
        </w:rPr>
        <w:tab/>
        <w:t xml:space="preserve">1994. </w:t>
      </w:r>
    </w:p>
    <w:p w:rsidR="004D0DE2" w:rsidRPr="004D0DE2" w:rsidRDefault="004D0DE2" w:rsidP="004D0DE2">
      <w:pPr>
        <w:rPr>
          <w:rFonts w:ascii="Times New Roman" w:hAnsi="Times New Roman"/>
        </w:rPr>
      </w:pPr>
      <w:bookmarkStart w:id="102" w:name="_Hlk479971522"/>
      <w:r w:rsidRPr="004D0DE2">
        <w:rPr>
          <w:rFonts w:ascii="Times New Roman" w:hAnsi="Times New Roman"/>
        </w:rPr>
        <w:t xml:space="preserve">Doumas, Christos. </w:t>
      </w:r>
      <w:r w:rsidRPr="004D0DE2">
        <w:rPr>
          <w:rFonts w:ascii="Times New Roman" w:hAnsi="Times New Roman"/>
          <w:i/>
        </w:rPr>
        <w:t>Early Bronze Age Burial Habits in the Cyclades</w:t>
      </w:r>
      <w:r w:rsidRPr="004D0DE2">
        <w:rPr>
          <w:rFonts w:ascii="Times New Roman" w:hAnsi="Times New Roman"/>
        </w:rPr>
        <w:t xml:space="preserve">. Göteborg: Paul </w:t>
      </w:r>
      <w:r w:rsidRPr="004D0DE2">
        <w:rPr>
          <w:rFonts w:ascii="Times New Roman" w:hAnsi="Times New Roman"/>
        </w:rPr>
        <w:tab/>
        <w:t>Åströms Förlag, 1977.</w:t>
      </w:r>
    </w:p>
    <w:bookmarkEnd w:id="102"/>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Cycladic Art: Ancient Sculpture and Pottery from the N.P. Goulandris Collection</w:t>
      </w:r>
      <w:r w:rsidRPr="004D0DE2">
        <w:rPr>
          <w:rFonts w:ascii="Times New Roman" w:hAnsi="Times New Roman"/>
        </w:rPr>
        <w:t xml:space="preserve">. </w:t>
      </w:r>
      <w:r w:rsidRPr="004D0DE2">
        <w:rPr>
          <w:rFonts w:ascii="Times New Roman" w:hAnsi="Times New Roman"/>
        </w:rPr>
        <w:tab/>
        <w:t>London: British Museum Press, 1996.</w:t>
      </w:r>
    </w:p>
    <w:p w:rsidR="004D0DE2" w:rsidRPr="004D0DE2" w:rsidRDefault="004D0DE2" w:rsidP="004D0DE2">
      <w:pPr>
        <w:rPr>
          <w:rFonts w:ascii="Times New Roman" w:hAnsi="Times New Roman"/>
        </w:rPr>
      </w:pPr>
      <w:r w:rsidRPr="004D0DE2">
        <w:rPr>
          <w:rFonts w:ascii="Times New Roman" w:hAnsi="Times New Roman"/>
        </w:rPr>
        <w:t>------.</w:t>
      </w:r>
      <w:r w:rsidRPr="004D0DE2">
        <w:rPr>
          <w:rFonts w:ascii="Times New Roman" w:hAnsi="Times New Roman"/>
          <w:i/>
        </w:rPr>
        <w:t xml:space="preserve"> Early Cycladic Culture: The N.P. Goulandris Collection</w:t>
      </w:r>
      <w:r w:rsidRPr="004D0DE2">
        <w:rPr>
          <w:rFonts w:ascii="Times New Roman" w:hAnsi="Times New Roman"/>
        </w:rPr>
        <w:t xml:space="preserve">. Athens: N.P. </w:t>
      </w:r>
      <w:r w:rsidRPr="004D0DE2">
        <w:rPr>
          <w:rFonts w:ascii="Times New Roman" w:hAnsi="Times New Roman"/>
        </w:rPr>
        <w:tab/>
        <w:t>Goulandris Foundation and Museum of Cycladic Art, 2000.</w:t>
      </w:r>
    </w:p>
    <w:p w:rsidR="004D0DE2" w:rsidRPr="004D0DE2" w:rsidRDefault="004D0DE2" w:rsidP="004D0DE2">
      <w:pPr>
        <w:rPr>
          <w:rFonts w:ascii="Times New Roman" w:hAnsi="Times New Roman"/>
        </w:rPr>
      </w:pPr>
      <w:r w:rsidRPr="004D0DE2">
        <w:rPr>
          <w:rFonts w:ascii="Times New Roman" w:hAnsi="Times New Roman"/>
        </w:rPr>
        <w:t xml:space="preserve">------. “Aegean Absolute Chronology: Where Did It Go Wrong?” In </w:t>
      </w:r>
      <w:bookmarkStart w:id="103" w:name="_Hlk480057932"/>
      <w:r w:rsidRPr="004D0DE2">
        <w:rPr>
          <w:rFonts w:ascii="Times New Roman" w:hAnsi="Times New Roman"/>
          <w:i/>
        </w:rPr>
        <w:t xml:space="preserve">Tree-Rings, Kings, </w:t>
      </w:r>
      <w:r w:rsidRPr="004D0DE2">
        <w:rPr>
          <w:rFonts w:ascii="Times New Roman" w:hAnsi="Times New Roman"/>
          <w:i/>
        </w:rPr>
        <w:tab/>
        <w:t xml:space="preserve">and Old World Archaeology and Environment: Papers Presented in Honor of </w:t>
      </w:r>
      <w:r w:rsidRPr="004D0DE2">
        <w:rPr>
          <w:rFonts w:ascii="Times New Roman" w:hAnsi="Times New Roman"/>
          <w:i/>
        </w:rPr>
        <w:lastRenderedPageBreak/>
        <w:tab/>
        <w:t>Peter Ian Kuniholm,</w:t>
      </w:r>
      <w:r w:rsidRPr="004D0DE2">
        <w:rPr>
          <w:rFonts w:ascii="Times New Roman" w:hAnsi="Times New Roman"/>
        </w:rPr>
        <w:t xml:space="preserve"> edited by Sturt Manning and Mary Jaye Bruce, 263-274. </w:t>
      </w:r>
      <w:r w:rsidRPr="004D0DE2">
        <w:rPr>
          <w:rFonts w:ascii="Times New Roman" w:hAnsi="Times New Roman"/>
        </w:rPr>
        <w:tab/>
        <w:t xml:space="preserve">Oxford: Oxbow, 2009. </w:t>
      </w:r>
    </w:p>
    <w:bookmarkEnd w:id="103"/>
    <w:p w:rsidR="004D0DE2" w:rsidRPr="004D0DE2" w:rsidRDefault="004D0DE2" w:rsidP="004D0DE2">
      <w:pPr>
        <w:rPr>
          <w:rFonts w:ascii="Times New Roman" w:hAnsi="Times New Roman"/>
        </w:rPr>
      </w:pPr>
      <w:r w:rsidRPr="004D0DE2">
        <w:rPr>
          <w:rFonts w:ascii="Times New Roman" w:hAnsi="Times New Roman"/>
        </w:rPr>
        <w:t xml:space="preserve">Feldman, Marian H. “Mesopotamian Art.” In </w:t>
      </w:r>
      <w:r w:rsidRPr="004D0DE2">
        <w:rPr>
          <w:rFonts w:ascii="Times New Roman" w:hAnsi="Times New Roman"/>
          <w:i/>
        </w:rPr>
        <w:t>A Companion to the Ancient Near East</w:t>
      </w:r>
      <w:r w:rsidRPr="004D0DE2">
        <w:rPr>
          <w:rFonts w:ascii="Times New Roman" w:hAnsi="Times New Roman"/>
        </w:rPr>
        <w:t xml:space="preserve">, </w:t>
      </w:r>
      <w:r w:rsidRPr="004D0DE2">
        <w:rPr>
          <w:rFonts w:ascii="Times New Roman" w:hAnsi="Times New Roman"/>
        </w:rPr>
        <w:tab/>
        <w:t>edited by Daniel C. Snell, 304-324. Malden, MA: Blackwell, 2007.</w:t>
      </w:r>
    </w:p>
    <w:p w:rsidR="004D0DE2" w:rsidRPr="004D0DE2" w:rsidRDefault="004D0DE2" w:rsidP="004D0DE2">
      <w:pPr>
        <w:rPr>
          <w:rFonts w:ascii="Times New Roman" w:hAnsi="Times New Roman"/>
        </w:rPr>
      </w:pPr>
      <w:r w:rsidRPr="004D0DE2">
        <w:rPr>
          <w:rFonts w:ascii="Times New Roman" w:hAnsi="Times New Roman"/>
        </w:rPr>
        <w:t xml:space="preserve">Fitton, J.L., ed. </w:t>
      </w:r>
      <w:r w:rsidRPr="004D0DE2">
        <w:rPr>
          <w:rFonts w:ascii="Times New Roman" w:hAnsi="Times New Roman"/>
          <w:i/>
        </w:rPr>
        <w:t>Cycladica</w:t>
      </w:r>
      <w:r w:rsidRPr="004D0DE2">
        <w:rPr>
          <w:rFonts w:ascii="Times New Roman" w:hAnsi="Times New Roman"/>
        </w:rPr>
        <w:t>. London: British Museum Publications, 1984.</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Cycladic Art</w:t>
      </w:r>
      <w:r w:rsidRPr="004D0DE2">
        <w:rPr>
          <w:rFonts w:ascii="Times New Roman" w:hAnsi="Times New Roman"/>
        </w:rPr>
        <w:t>. London: British Museum, 1999.</w:t>
      </w:r>
    </w:p>
    <w:p w:rsidR="004D0DE2" w:rsidRPr="004D0DE2" w:rsidRDefault="004D0DE2" w:rsidP="004D0DE2">
      <w:pPr>
        <w:rPr>
          <w:rFonts w:ascii="Times New Roman" w:hAnsi="Times New Roman"/>
        </w:rPr>
      </w:pPr>
      <w:r w:rsidRPr="004D0DE2">
        <w:rPr>
          <w:rFonts w:ascii="Times New Roman" w:hAnsi="Times New Roman"/>
        </w:rPr>
        <w:t xml:space="preserve">Galanakis, Ioannis, ed. </w:t>
      </w:r>
      <w:r w:rsidRPr="004D0DE2">
        <w:rPr>
          <w:rFonts w:ascii="Times New Roman" w:hAnsi="Times New Roman"/>
          <w:i/>
        </w:rPr>
        <w:t xml:space="preserve">The Aegean World. </w:t>
      </w:r>
      <w:r w:rsidRPr="004D0DE2">
        <w:rPr>
          <w:rFonts w:ascii="Times New Roman" w:hAnsi="Times New Roman"/>
        </w:rPr>
        <w:t xml:space="preserve">Oxford: Ashmolean Museum, University of </w:t>
      </w:r>
      <w:r w:rsidRPr="004D0DE2">
        <w:rPr>
          <w:rFonts w:ascii="Times New Roman" w:hAnsi="Times New Roman"/>
        </w:rPr>
        <w:tab/>
        <w:t>Oxford, 2013.</w:t>
      </w:r>
    </w:p>
    <w:p w:rsidR="004D0DE2" w:rsidRPr="004D0DE2" w:rsidRDefault="004D0DE2" w:rsidP="004D0DE2">
      <w:pPr>
        <w:rPr>
          <w:rFonts w:ascii="Times New Roman" w:hAnsi="Times New Roman"/>
        </w:rPr>
      </w:pPr>
      <w:bookmarkStart w:id="104" w:name="_Hlk479971537"/>
      <w:bookmarkStart w:id="105" w:name="_Hlk480540440"/>
      <w:r w:rsidRPr="004D0DE2">
        <w:rPr>
          <w:rFonts w:ascii="Times New Roman" w:hAnsi="Times New Roman"/>
        </w:rPr>
        <w:t>Getz-Gentle, Pat</w:t>
      </w:r>
      <w:bookmarkEnd w:id="104"/>
      <w:r w:rsidRPr="004D0DE2">
        <w:rPr>
          <w:rFonts w:ascii="Times New Roman" w:hAnsi="Times New Roman"/>
        </w:rPr>
        <w:t xml:space="preserve">, Jack L. Davis and Elizabeth Oustinoff. </w:t>
      </w:r>
      <w:r w:rsidRPr="004D0DE2">
        <w:rPr>
          <w:rFonts w:ascii="Times New Roman" w:hAnsi="Times New Roman"/>
          <w:i/>
        </w:rPr>
        <w:t xml:space="preserve">Early Cycladic Art in North </w:t>
      </w:r>
      <w:r w:rsidRPr="004D0DE2">
        <w:rPr>
          <w:rFonts w:ascii="Times New Roman" w:hAnsi="Times New Roman"/>
          <w:i/>
        </w:rPr>
        <w:tab/>
        <w:t>American Collections</w:t>
      </w:r>
      <w:r w:rsidRPr="004D0DE2">
        <w:rPr>
          <w:rFonts w:ascii="Times New Roman" w:hAnsi="Times New Roman"/>
        </w:rPr>
        <w:t>. Richmond, VA: Virginia Museum of Fine Arts, 1987.</w:t>
      </w:r>
    </w:p>
    <w:bookmarkEnd w:id="105"/>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 xml:space="preserve">Sculptors of the Cyclades: Individual and Tradition in the Third Millennium B.C. </w:t>
      </w:r>
      <w:r w:rsidRPr="004D0DE2">
        <w:rPr>
          <w:rFonts w:ascii="Times New Roman" w:hAnsi="Times New Roman"/>
          <w:i/>
        </w:rPr>
        <w:tab/>
      </w:r>
      <w:r w:rsidRPr="004D0DE2">
        <w:rPr>
          <w:rFonts w:ascii="Times New Roman" w:hAnsi="Times New Roman"/>
        </w:rPr>
        <w:t>Ann Arbor: University of Michigan Press, 1987.</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Stone Vessels of the Cyclades in the Early Bronze Age.</w:t>
      </w:r>
      <w:r w:rsidRPr="004D0DE2">
        <w:rPr>
          <w:rFonts w:ascii="Times New Roman" w:hAnsi="Times New Roman"/>
        </w:rPr>
        <w:t xml:space="preserve"> University Park, PA: Penn </w:t>
      </w:r>
      <w:r w:rsidRPr="004D0DE2">
        <w:rPr>
          <w:rFonts w:ascii="Times New Roman" w:hAnsi="Times New Roman"/>
        </w:rPr>
        <w:tab/>
        <w:t>State University Press, 1996.</w:t>
      </w:r>
    </w:p>
    <w:p w:rsidR="004D0DE2" w:rsidRPr="004D0DE2" w:rsidRDefault="004D0DE2" w:rsidP="004D0DE2">
      <w:pPr>
        <w:rPr>
          <w:rFonts w:ascii="Times New Roman" w:hAnsi="Times New Roman"/>
        </w:rPr>
      </w:pPr>
      <w:bookmarkStart w:id="106" w:name="_Hlk479971702"/>
      <w:r w:rsidRPr="004D0DE2">
        <w:rPr>
          <w:rFonts w:ascii="Times New Roman" w:hAnsi="Times New Roman"/>
        </w:rPr>
        <w:t xml:space="preserve">Getz-Preziosi, Pat.  </w:t>
      </w:r>
      <w:bookmarkEnd w:id="106"/>
      <w:r w:rsidRPr="004D0DE2">
        <w:rPr>
          <w:rFonts w:ascii="Times New Roman" w:hAnsi="Times New Roman"/>
        </w:rPr>
        <w:t xml:space="preserve">“The Male Figure in Early Cycladic Sculpture.” </w:t>
      </w:r>
      <w:r w:rsidRPr="004D0DE2">
        <w:rPr>
          <w:rFonts w:ascii="Times New Roman" w:hAnsi="Times New Roman"/>
          <w:i/>
        </w:rPr>
        <w:t xml:space="preserve">Metropolitan </w:t>
      </w:r>
      <w:r w:rsidRPr="004D0DE2">
        <w:rPr>
          <w:rFonts w:ascii="Times New Roman" w:hAnsi="Times New Roman"/>
          <w:i/>
        </w:rPr>
        <w:tab/>
        <w:t>Museum Journal</w:t>
      </w:r>
      <w:r w:rsidRPr="004D0DE2">
        <w:rPr>
          <w:rFonts w:ascii="Times New Roman" w:hAnsi="Times New Roman"/>
        </w:rPr>
        <w:t xml:space="preserve"> 15 (1980): 5-33. Accessed 09-15-2009. http://www.</w:t>
      </w:r>
    </w:p>
    <w:p w:rsidR="004D0DE2" w:rsidRPr="004D0DE2" w:rsidRDefault="004D0DE2" w:rsidP="004D0DE2">
      <w:pPr>
        <w:ind w:firstLine="720"/>
        <w:rPr>
          <w:rFonts w:ascii="Times New Roman" w:hAnsi="Times New Roman"/>
        </w:rPr>
      </w:pPr>
      <w:r w:rsidRPr="004D0DE2">
        <w:rPr>
          <w:rFonts w:ascii="Times New Roman" w:hAnsi="Times New Roman"/>
        </w:rPr>
        <w:t>jstor.org/stable/1512749.</w:t>
      </w:r>
    </w:p>
    <w:p w:rsidR="004D0DE2" w:rsidRPr="004D0DE2" w:rsidRDefault="004D0DE2" w:rsidP="004D0DE2">
      <w:pPr>
        <w:rPr>
          <w:rFonts w:ascii="Times New Roman" w:hAnsi="Times New Roman"/>
        </w:rPr>
      </w:pPr>
      <w:r w:rsidRPr="004D0DE2">
        <w:rPr>
          <w:rFonts w:ascii="Times New Roman" w:hAnsi="Times New Roman"/>
        </w:rPr>
        <w:t xml:space="preserve">------. “Risk and Repair in Early Cycladic Sculpture.” </w:t>
      </w:r>
      <w:r w:rsidRPr="004D0DE2">
        <w:rPr>
          <w:rFonts w:ascii="Times New Roman" w:hAnsi="Times New Roman"/>
          <w:i/>
        </w:rPr>
        <w:t>Metropolitan Museum Journal</w:t>
      </w:r>
      <w:r w:rsidRPr="004D0DE2">
        <w:rPr>
          <w:rFonts w:ascii="Times New Roman" w:hAnsi="Times New Roman"/>
        </w:rPr>
        <w:t xml:space="preserve"> 16 </w:t>
      </w:r>
      <w:r w:rsidRPr="004D0DE2">
        <w:rPr>
          <w:rFonts w:ascii="Times New Roman" w:hAnsi="Times New Roman"/>
        </w:rPr>
        <w:tab/>
        <w:t>(1981): 5-32. Accessed 12-08-2009. http://www.jstor.org/stable/1512766.</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The Obsidian Trail, or 5000-4000 Years Ago in the Cyclades</w:t>
      </w:r>
      <w:r w:rsidRPr="004D0DE2">
        <w:rPr>
          <w:rFonts w:ascii="Times New Roman" w:hAnsi="Times New Roman"/>
        </w:rPr>
        <w:t xml:space="preserve">. Athens: Nicholas </w:t>
      </w:r>
      <w:r w:rsidRPr="004D0DE2">
        <w:rPr>
          <w:rFonts w:ascii="Times New Roman" w:hAnsi="Times New Roman"/>
        </w:rPr>
        <w:tab/>
        <w:t>P. Goulandris Foundation and the Museum of Cycladic Art, 1987.</w:t>
      </w:r>
    </w:p>
    <w:p w:rsidR="004D0DE2" w:rsidRPr="004D0DE2" w:rsidRDefault="004D0DE2" w:rsidP="004D0DE2">
      <w:pPr>
        <w:rPr>
          <w:rFonts w:ascii="Times New Roman" w:hAnsi="Times New Roman"/>
        </w:rPr>
      </w:pPr>
      <w:r w:rsidRPr="004D0DE2">
        <w:rPr>
          <w:rFonts w:ascii="Times New Roman" w:hAnsi="Times New Roman"/>
        </w:rPr>
        <w:lastRenderedPageBreak/>
        <w:t xml:space="preserve">Gill, David W.J. and Christopher Chippindale. “Material and Intellectual Consequences </w:t>
      </w:r>
      <w:r w:rsidRPr="004D0DE2">
        <w:rPr>
          <w:rFonts w:ascii="Times New Roman" w:hAnsi="Times New Roman"/>
        </w:rPr>
        <w:tab/>
        <w:t xml:space="preserve">of Esteem for Cycladic Figures.” </w:t>
      </w:r>
      <w:r w:rsidRPr="004D0DE2">
        <w:rPr>
          <w:rFonts w:ascii="Times New Roman" w:hAnsi="Times New Roman"/>
          <w:i/>
        </w:rPr>
        <w:t>American Journal of Archaeology</w:t>
      </w:r>
      <w:r w:rsidRPr="004D0DE2">
        <w:rPr>
          <w:rFonts w:ascii="Times New Roman" w:hAnsi="Times New Roman"/>
        </w:rPr>
        <w:t xml:space="preserve"> 97, no. 4 </w:t>
      </w:r>
      <w:r w:rsidRPr="004D0DE2">
        <w:rPr>
          <w:rFonts w:ascii="Times New Roman" w:hAnsi="Times New Roman"/>
        </w:rPr>
        <w:tab/>
        <w:t>(Oct 1993): 601-659. Accessed 02-10-2010. http://www.jstor.org/stable/506716.</w:t>
      </w:r>
    </w:p>
    <w:p w:rsidR="004D0DE2" w:rsidRPr="004D0DE2" w:rsidRDefault="004D0DE2" w:rsidP="004D0DE2">
      <w:pPr>
        <w:rPr>
          <w:rFonts w:ascii="Times New Roman" w:hAnsi="Times New Roman"/>
        </w:rPr>
      </w:pPr>
      <w:bookmarkStart w:id="107" w:name="_Hlk479971557"/>
      <w:r w:rsidRPr="004D0DE2">
        <w:rPr>
          <w:rFonts w:ascii="Times New Roman" w:hAnsi="Times New Roman"/>
        </w:rPr>
        <w:t>Gimbutas, Marija</w:t>
      </w:r>
      <w:bookmarkEnd w:id="107"/>
      <w:r w:rsidRPr="004D0DE2">
        <w:rPr>
          <w:rFonts w:ascii="Times New Roman" w:hAnsi="Times New Roman"/>
        </w:rPr>
        <w:t xml:space="preserve">. </w:t>
      </w:r>
      <w:r w:rsidRPr="004D0DE2">
        <w:rPr>
          <w:rFonts w:ascii="Times New Roman" w:hAnsi="Times New Roman"/>
          <w:i/>
        </w:rPr>
        <w:t xml:space="preserve">The Goddesses and Gods of Old Europe, 6500-3500 BC, Myths and </w:t>
      </w:r>
      <w:r w:rsidRPr="004D0DE2">
        <w:rPr>
          <w:rFonts w:ascii="Times New Roman" w:hAnsi="Times New Roman"/>
          <w:i/>
        </w:rPr>
        <w:tab/>
        <w:t>Cult Images.</w:t>
      </w:r>
      <w:r w:rsidRPr="004D0DE2">
        <w:rPr>
          <w:rFonts w:ascii="Times New Roman" w:hAnsi="Times New Roman"/>
        </w:rPr>
        <w:t xml:space="preserve"> Berkeley: University of California, 1982.</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The Language of the Goddess</w:t>
      </w:r>
      <w:r w:rsidRPr="004D0DE2">
        <w:rPr>
          <w:rFonts w:ascii="Times New Roman" w:hAnsi="Times New Roman"/>
        </w:rPr>
        <w:t xml:space="preserve">: </w:t>
      </w:r>
      <w:r w:rsidRPr="004D0DE2">
        <w:rPr>
          <w:rFonts w:ascii="Times New Roman" w:hAnsi="Times New Roman"/>
          <w:i/>
        </w:rPr>
        <w:t xml:space="preserve">Unearthing the Hidden Symbols of Western </w:t>
      </w:r>
      <w:r w:rsidRPr="004D0DE2">
        <w:rPr>
          <w:rFonts w:ascii="Times New Roman" w:hAnsi="Times New Roman"/>
          <w:i/>
        </w:rPr>
        <w:tab/>
        <w:t>Civilization.</w:t>
      </w:r>
      <w:r w:rsidRPr="004D0DE2">
        <w:rPr>
          <w:rFonts w:ascii="Times New Roman" w:hAnsi="Times New Roman"/>
        </w:rPr>
        <w:t xml:space="preserve"> San Francisco: Harper &amp; Row, 1989.</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The Civilization of the Goddess: The World of Old Europe.</w:t>
      </w:r>
      <w:r w:rsidRPr="004D0DE2">
        <w:rPr>
          <w:rFonts w:ascii="Times New Roman" w:hAnsi="Times New Roman"/>
        </w:rPr>
        <w:t xml:space="preserve"> San Francisco: </w:t>
      </w:r>
      <w:r w:rsidRPr="004D0DE2">
        <w:rPr>
          <w:rFonts w:ascii="Times New Roman" w:hAnsi="Times New Roman"/>
        </w:rPr>
        <w:tab/>
        <w:t>Harper, 1991.</w:t>
      </w:r>
    </w:p>
    <w:p w:rsidR="004D0DE2" w:rsidRPr="004D0DE2" w:rsidRDefault="004D0DE2" w:rsidP="004D0DE2">
      <w:pPr>
        <w:rPr>
          <w:rFonts w:ascii="Times New Roman" w:hAnsi="Times New Roman"/>
        </w:rPr>
      </w:pPr>
      <w:r w:rsidRPr="004D0DE2">
        <w:rPr>
          <w:rFonts w:ascii="Times New Roman" w:hAnsi="Times New Roman"/>
        </w:rPr>
        <w:t xml:space="preserve">------ and Miriam Robbins Dexter. </w:t>
      </w:r>
      <w:r w:rsidRPr="004D0DE2">
        <w:rPr>
          <w:rFonts w:ascii="Times New Roman" w:hAnsi="Times New Roman"/>
          <w:i/>
        </w:rPr>
        <w:t>The Living Goddesses</w:t>
      </w:r>
      <w:r w:rsidRPr="004D0DE2">
        <w:rPr>
          <w:rFonts w:ascii="Times New Roman" w:hAnsi="Times New Roman"/>
        </w:rPr>
        <w:t xml:space="preserve">. Berkeley: University of </w:t>
      </w:r>
      <w:r w:rsidRPr="004D0DE2">
        <w:rPr>
          <w:rFonts w:ascii="Times New Roman" w:hAnsi="Times New Roman"/>
        </w:rPr>
        <w:tab/>
        <w:t>California Press, 1999.</w:t>
      </w:r>
    </w:p>
    <w:p w:rsidR="004D0DE2" w:rsidRPr="004D0DE2" w:rsidRDefault="004D0DE2" w:rsidP="004D0DE2">
      <w:pPr>
        <w:rPr>
          <w:rFonts w:ascii="Times New Roman" w:hAnsi="Times New Roman"/>
        </w:rPr>
      </w:pPr>
      <w:r w:rsidRPr="004D0DE2">
        <w:rPr>
          <w:rFonts w:ascii="Times New Roman" w:hAnsi="Times New Roman"/>
        </w:rPr>
        <w:t xml:space="preserve">Hall, James. </w:t>
      </w:r>
      <w:r w:rsidRPr="004D0DE2">
        <w:rPr>
          <w:rFonts w:ascii="Times New Roman" w:hAnsi="Times New Roman"/>
          <w:i/>
        </w:rPr>
        <w:t>Illustrated Dictionary of Symbols in Eastern and Western Art</w:t>
      </w:r>
      <w:r w:rsidRPr="004D0DE2">
        <w:rPr>
          <w:rFonts w:ascii="Times New Roman" w:hAnsi="Times New Roman"/>
        </w:rPr>
        <w:t xml:space="preserve">. New York: </w:t>
      </w:r>
      <w:r w:rsidRPr="004D0DE2">
        <w:rPr>
          <w:rFonts w:ascii="Times New Roman" w:hAnsi="Times New Roman"/>
        </w:rPr>
        <w:tab/>
        <w:t xml:space="preserve">HarperCollins, 1994. </w:t>
      </w:r>
    </w:p>
    <w:p w:rsidR="004D0DE2" w:rsidRPr="004D0DE2" w:rsidRDefault="004D0DE2" w:rsidP="004D0DE2">
      <w:pPr>
        <w:rPr>
          <w:rFonts w:ascii="Times New Roman" w:hAnsi="Times New Roman"/>
        </w:rPr>
      </w:pPr>
      <w:r w:rsidRPr="004D0DE2">
        <w:rPr>
          <w:rFonts w:ascii="Times New Roman" w:hAnsi="Times New Roman"/>
        </w:rPr>
        <w:t xml:space="preserve">Hamilakis, Yannis. “The Sacred Geography of Hunting: Wild Animals, Social Power </w:t>
      </w:r>
      <w:r w:rsidRPr="004D0DE2">
        <w:rPr>
          <w:rFonts w:ascii="Times New Roman" w:hAnsi="Times New Roman"/>
        </w:rPr>
        <w:tab/>
        <w:t xml:space="preserve">and Gender in Early Farming Societies.” </w:t>
      </w:r>
      <w:r w:rsidRPr="004D0DE2">
        <w:rPr>
          <w:rFonts w:ascii="Times New Roman" w:hAnsi="Times New Roman"/>
          <w:i/>
        </w:rPr>
        <w:t>British School at Athens Studies</w:t>
      </w:r>
      <w:r w:rsidRPr="004D0DE2">
        <w:rPr>
          <w:rFonts w:ascii="Times New Roman" w:hAnsi="Times New Roman"/>
        </w:rPr>
        <w:t xml:space="preserve"> 9 </w:t>
      </w:r>
      <w:r w:rsidRPr="004D0DE2">
        <w:rPr>
          <w:rFonts w:ascii="Times New Roman" w:hAnsi="Times New Roman"/>
        </w:rPr>
        <w:tab/>
        <w:t xml:space="preserve">(2003): 239-247. Accessed 11-15-2015. http://www.jstor.org/stable/40960352. </w:t>
      </w:r>
    </w:p>
    <w:p w:rsidR="004D0DE2" w:rsidRPr="004D0DE2" w:rsidRDefault="004D0DE2" w:rsidP="004D0DE2">
      <w:pPr>
        <w:rPr>
          <w:rFonts w:ascii="Times New Roman" w:hAnsi="Times New Roman"/>
        </w:rPr>
      </w:pPr>
      <w:r w:rsidRPr="004D0DE2">
        <w:rPr>
          <w:rFonts w:ascii="Times New Roman" w:hAnsi="Times New Roman"/>
        </w:rPr>
        <w:t>Hekman, Jan Jakob. “The Early Bronze Age Cemetery at Chalandriani on Syros.” PhD.</w:t>
      </w:r>
      <w:r w:rsidRPr="004D0DE2">
        <w:rPr>
          <w:rFonts w:ascii="Times New Roman" w:hAnsi="Times New Roman"/>
        </w:rPr>
        <w:tab/>
        <w:t xml:space="preserve"> Diss. Rijksuniversiteit Groningen, 2003. Accessed 02-07-16. http://www.rug.nl/</w:t>
      </w:r>
      <w:r w:rsidRPr="004D0DE2">
        <w:rPr>
          <w:rFonts w:ascii="Times New Roman" w:hAnsi="Times New Roman"/>
        </w:rPr>
        <w:tab/>
        <w:t>research/portal/publications/the-early-bronze-age-cemetery-at-chalandriani</w:t>
      </w:r>
      <w:r w:rsidRPr="004D0DE2">
        <w:rPr>
          <w:rFonts w:ascii="Times New Roman" w:hAnsi="Times New Roman"/>
        </w:rPr>
        <w:tab/>
        <w:t>-on-syros-cyclades-greece(8dd13d8e-d4a4-40bc-91a6-1bb57ce032c5)</w:t>
      </w:r>
      <w:r w:rsidRPr="004D0DE2">
        <w:rPr>
          <w:rFonts w:ascii="Times New Roman" w:hAnsi="Times New Roman"/>
        </w:rPr>
        <w:tab/>
      </w:r>
      <w:r w:rsidRPr="004D0DE2">
        <w:rPr>
          <w:rFonts w:ascii="Times New Roman" w:hAnsi="Times New Roman"/>
        </w:rPr>
        <w:tab/>
        <w:t>.html.</w:t>
      </w:r>
    </w:p>
    <w:p w:rsidR="004D0DE2" w:rsidRPr="004D0DE2" w:rsidRDefault="004D0DE2" w:rsidP="004D0DE2">
      <w:pPr>
        <w:rPr>
          <w:rFonts w:ascii="Times New Roman" w:hAnsi="Times New Roman"/>
        </w:rPr>
      </w:pPr>
      <w:r w:rsidRPr="004D0DE2">
        <w:rPr>
          <w:rFonts w:ascii="Times New Roman" w:hAnsi="Times New Roman"/>
        </w:rPr>
        <w:lastRenderedPageBreak/>
        <w:t xml:space="preserve">Hendrix, Elizabeth A. “Painted Early Cycladic Figures: An Exploration of Context and </w:t>
      </w:r>
      <w:r w:rsidRPr="004D0DE2">
        <w:rPr>
          <w:rFonts w:ascii="Times New Roman" w:hAnsi="Times New Roman"/>
        </w:rPr>
        <w:tab/>
        <w:t xml:space="preserve">Meaning.” </w:t>
      </w:r>
      <w:r w:rsidRPr="004D0DE2">
        <w:rPr>
          <w:rFonts w:ascii="Times New Roman" w:hAnsi="Times New Roman"/>
          <w:i/>
        </w:rPr>
        <w:t>Hesperia</w:t>
      </w:r>
      <w:r w:rsidRPr="004D0DE2">
        <w:rPr>
          <w:rFonts w:ascii="Times New Roman" w:hAnsi="Times New Roman"/>
        </w:rPr>
        <w:t xml:space="preserve"> 72, no. 4 (Oct-Dec 2003): 405-446. Accessed 9-15-2009. </w:t>
      </w:r>
      <w:r w:rsidRPr="004D0DE2">
        <w:rPr>
          <w:rFonts w:ascii="Times New Roman" w:hAnsi="Times New Roman"/>
        </w:rPr>
        <w:tab/>
        <w:t xml:space="preserve">http://www.jstor.org/stable/3182012. </w:t>
      </w:r>
    </w:p>
    <w:p w:rsidR="004D0DE2" w:rsidRPr="004D0DE2" w:rsidRDefault="004D0DE2" w:rsidP="004D0DE2">
      <w:pPr>
        <w:rPr>
          <w:rFonts w:ascii="Times New Roman" w:hAnsi="Times New Roman"/>
        </w:rPr>
      </w:pPr>
      <w:r w:rsidRPr="004D0DE2">
        <w:rPr>
          <w:rFonts w:ascii="Times New Roman" w:hAnsi="Times New Roman"/>
        </w:rPr>
        <w:t xml:space="preserve">Höckmann, Olaf. </w:t>
      </w:r>
      <w:bookmarkStart w:id="108" w:name="_Hlk481342778"/>
      <w:r w:rsidRPr="004D0DE2">
        <w:rPr>
          <w:rFonts w:ascii="Times New Roman" w:hAnsi="Times New Roman"/>
        </w:rPr>
        <w:t xml:space="preserve">“Cycladic Religion.” In </w:t>
      </w:r>
      <w:r w:rsidRPr="004D0DE2">
        <w:rPr>
          <w:rFonts w:ascii="Times New Roman" w:hAnsi="Times New Roman"/>
          <w:i/>
        </w:rPr>
        <w:t xml:space="preserve">Art and Culture of the Cyclades in the Third </w:t>
      </w:r>
      <w:r w:rsidRPr="004D0DE2">
        <w:rPr>
          <w:rFonts w:ascii="Times New Roman" w:hAnsi="Times New Roman"/>
          <w:i/>
        </w:rPr>
        <w:tab/>
        <w:t>Millennium B.C.</w:t>
      </w:r>
      <w:r w:rsidRPr="004D0DE2">
        <w:rPr>
          <w:rFonts w:ascii="Times New Roman" w:hAnsi="Times New Roman"/>
        </w:rPr>
        <w:t xml:space="preserve">, edited by Jürgen Thimme, 37-51. Chicago: University of </w:t>
      </w:r>
      <w:r w:rsidRPr="004D0DE2">
        <w:rPr>
          <w:rFonts w:ascii="Times New Roman" w:hAnsi="Times New Roman"/>
        </w:rPr>
        <w:tab/>
        <w:t>Chicago Press, 1977.</w:t>
      </w:r>
    </w:p>
    <w:bookmarkEnd w:id="108"/>
    <w:p w:rsidR="004D0DE2" w:rsidRPr="004D0DE2" w:rsidRDefault="004D0DE2" w:rsidP="004D0DE2">
      <w:pPr>
        <w:rPr>
          <w:rFonts w:ascii="Times New Roman" w:hAnsi="Times New Roman"/>
        </w:rPr>
      </w:pPr>
      <w:r w:rsidRPr="004D0DE2">
        <w:rPr>
          <w:rFonts w:ascii="Times New Roman" w:hAnsi="Times New Roman"/>
        </w:rPr>
        <w:t xml:space="preserve">Hodder, Ian. </w:t>
      </w:r>
      <w:r w:rsidRPr="004D0DE2">
        <w:rPr>
          <w:rFonts w:ascii="Times New Roman" w:hAnsi="Times New Roman"/>
          <w:i/>
          <w:iCs/>
        </w:rPr>
        <w:t>Inhabiting Çatalhöyük: Reports From the 1995-99 Seasons</w:t>
      </w:r>
      <w:r w:rsidRPr="004D0DE2">
        <w:rPr>
          <w:rFonts w:ascii="Times New Roman" w:hAnsi="Times New Roman"/>
        </w:rPr>
        <w:t xml:space="preserve">. Cambridge: </w:t>
      </w:r>
      <w:r w:rsidRPr="004D0DE2">
        <w:rPr>
          <w:rFonts w:ascii="Times New Roman" w:hAnsi="Times New Roman"/>
        </w:rPr>
        <w:tab/>
        <w:t>McDonald Institute for Archaeological Research, 2005.</w:t>
      </w:r>
    </w:p>
    <w:p w:rsidR="004D0DE2" w:rsidRPr="004D0DE2" w:rsidRDefault="004D0DE2" w:rsidP="004D0DE2">
      <w:pPr>
        <w:rPr>
          <w:rFonts w:ascii="Times New Roman" w:hAnsi="Times New Roman"/>
        </w:rPr>
      </w:pPr>
      <w:r w:rsidRPr="004D0DE2">
        <w:rPr>
          <w:rFonts w:ascii="Times New Roman" w:hAnsi="Times New Roman"/>
        </w:rPr>
        <w:t xml:space="preserve">Hutchinson, R.W. “Prehistoric Town-Planning in and around the Aegean.” </w:t>
      </w:r>
      <w:r w:rsidRPr="004D0DE2">
        <w:rPr>
          <w:rFonts w:ascii="Times New Roman" w:hAnsi="Times New Roman"/>
          <w:i/>
        </w:rPr>
        <w:t xml:space="preserve">The Town </w:t>
      </w:r>
      <w:r w:rsidRPr="004D0DE2">
        <w:rPr>
          <w:rFonts w:ascii="Times New Roman" w:hAnsi="Times New Roman"/>
          <w:i/>
        </w:rPr>
        <w:tab/>
        <w:t xml:space="preserve">Planning Review </w:t>
      </w:r>
      <w:r w:rsidRPr="004D0DE2">
        <w:rPr>
          <w:rFonts w:ascii="Times New Roman" w:hAnsi="Times New Roman"/>
        </w:rPr>
        <w:t xml:space="preserve">23, no. 4 (Jan 1953): 261-279. Accessed 01-24-2010. </w:t>
      </w:r>
      <w:r w:rsidRPr="004D0DE2">
        <w:rPr>
          <w:rFonts w:ascii="Times New Roman" w:hAnsi="Times New Roman"/>
        </w:rPr>
        <w:tab/>
        <w:t>http://www.jstor.org/stable/40101497.</w:t>
      </w:r>
    </w:p>
    <w:p w:rsidR="004D0DE2" w:rsidRPr="004D0DE2" w:rsidRDefault="004D0DE2" w:rsidP="004D0DE2">
      <w:pPr>
        <w:rPr>
          <w:rFonts w:ascii="Times New Roman" w:hAnsi="Times New Roman"/>
        </w:rPr>
      </w:pPr>
      <w:bookmarkStart w:id="109" w:name="_Hlk479971735"/>
      <w:r w:rsidRPr="004D0DE2">
        <w:rPr>
          <w:rFonts w:ascii="Times New Roman" w:hAnsi="Times New Roman"/>
          <w:lang w:val="de-DE"/>
        </w:rPr>
        <w:t xml:space="preserve">Katsarou-Tzeveleki, Stella </w:t>
      </w:r>
      <w:bookmarkEnd w:id="109"/>
      <w:r w:rsidRPr="004D0DE2">
        <w:rPr>
          <w:rFonts w:ascii="Times New Roman" w:hAnsi="Times New Roman"/>
          <w:lang w:val="de-DE"/>
        </w:rPr>
        <w:t xml:space="preserve">and Demetrius U. Schilardi. </w:t>
      </w:r>
      <w:r w:rsidRPr="004D0DE2">
        <w:rPr>
          <w:rFonts w:ascii="Times New Roman" w:hAnsi="Times New Roman"/>
        </w:rPr>
        <w:t xml:space="preserve">“Emerging Neolithic and Early </w:t>
      </w:r>
      <w:r w:rsidRPr="004D0DE2">
        <w:rPr>
          <w:rFonts w:ascii="Times New Roman" w:hAnsi="Times New Roman"/>
        </w:rPr>
        <w:tab/>
        <w:t xml:space="preserve">Cycladic Settlements in Paros: Koukounaries and Sklavouna.” </w:t>
      </w:r>
      <w:r w:rsidRPr="004D0DE2">
        <w:rPr>
          <w:rFonts w:ascii="Times New Roman" w:hAnsi="Times New Roman"/>
          <w:i/>
        </w:rPr>
        <w:t xml:space="preserve">The Annual of the </w:t>
      </w:r>
      <w:r w:rsidRPr="004D0DE2">
        <w:rPr>
          <w:rFonts w:ascii="Times New Roman" w:hAnsi="Times New Roman"/>
          <w:i/>
        </w:rPr>
        <w:tab/>
        <w:t xml:space="preserve">British School at Athens </w:t>
      </w:r>
      <w:r w:rsidRPr="004D0DE2">
        <w:rPr>
          <w:rFonts w:ascii="Times New Roman" w:hAnsi="Times New Roman"/>
        </w:rPr>
        <w:t xml:space="preserve">99 (2004): 23-48. Accessed 7-26-2016. </w:t>
      </w:r>
      <w:r w:rsidRPr="004D0DE2">
        <w:rPr>
          <w:rFonts w:ascii="Times New Roman" w:hAnsi="Times New Roman"/>
        </w:rPr>
        <w:tab/>
        <w:t>http://www.jstor.org/stable/30071530.</w:t>
      </w:r>
    </w:p>
    <w:p w:rsidR="004D0DE2" w:rsidRPr="004D0DE2" w:rsidRDefault="004D0DE2" w:rsidP="004D0DE2">
      <w:pPr>
        <w:rPr>
          <w:rFonts w:ascii="Times New Roman" w:hAnsi="Times New Roman"/>
          <w:lang w:val="de-DE"/>
        </w:rPr>
      </w:pPr>
      <w:r w:rsidRPr="004D0DE2">
        <w:rPr>
          <w:rFonts w:ascii="Times New Roman" w:hAnsi="Times New Roman"/>
          <w:lang w:val="de-DE"/>
        </w:rPr>
        <w:t xml:space="preserve">------. “Some Reflections on EC Domestic Space Arising from Observations at </w:t>
      </w:r>
      <w:r w:rsidRPr="004D0DE2">
        <w:rPr>
          <w:rFonts w:ascii="Times New Roman" w:hAnsi="Times New Roman"/>
          <w:lang w:val="de-DE"/>
        </w:rPr>
        <w:tab/>
        <w:t xml:space="preserve">Kkoukounaries, Paros.” In </w:t>
      </w:r>
      <w:r w:rsidRPr="004D0DE2">
        <w:rPr>
          <w:rFonts w:ascii="Times New Roman" w:hAnsi="Times New Roman"/>
          <w:i/>
          <w:lang w:val="de-DE"/>
        </w:rPr>
        <w:t xml:space="preserve">Horizon: A Colloquium on the Prehistory of the </w:t>
      </w:r>
      <w:r w:rsidRPr="004D0DE2">
        <w:rPr>
          <w:rFonts w:ascii="Times New Roman" w:hAnsi="Times New Roman"/>
          <w:i/>
          <w:lang w:val="de-DE"/>
        </w:rPr>
        <w:tab/>
        <w:t>Cyclades</w:t>
      </w:r>
      <w:r w:rsidRPr="004D0DE2">
        <w:rPr>
          <w:rFonts w:ascii="Times New Roman" w:hAnsi="Times New Roman"/>
          <w:lang w:val="de-DE"/>
        </w:rPr>
        <w:t xml:space="preserve">, edited by Neil Brodie et al., 61-70. Oxford: McDonald Institute for </w:t>
      </w:r>
      <w:r w:rsidRPr="004D0DE2">
        <w:rPr>
          <w:rFonts w:ascii="Times New Roman" w:hAnsi="Times New Roman"/>
          <w:lang w:val="de-DE"/>
        </w:rPr>
        <w:tab/>
        <w:t>Archaeological Research, 2008.</w:t>
      </w:r>
    </w:p>
    <w:p w:rsidR="004D0DE2" w:rsidRPr="004D0DE2" w:rsidRDefault="004D0DE2" w:rsidP="004D0DE2">
      <w:pPr>
        <w:rPr>
          <w:rFonts w:ascii="Times New Roman" w:hAnsi="Times New Roman"/>
        </w:rPr>
      </w:pPr>
      <w:r w:rsidRPr="004D0DE2">
        <w:rPr>
          <w:rFonts w:ascii="Times New Roman" w:hAnsi="Times New Roman"/>
          <w:lang w:val="de-DE"/>
        </w:rPr>
        <w:t>------</w:t>
      </w:r>
      <w:r w:rsidRPr="004D0DE2">
        <w:rPr>
          <w:rFonts w:ascii="Times New Roman" w:hAnsi="Times New Roman"/>
        </w:rPr>
        <w:t xml:space="preserve"> and Demetrius U. Schilardi. “Recontextualized Neolithic and Early Cycladic </w:t>
      </w:r>
      <w:r w:rsidRPr="004D0DE2">
        <w:rPr>
          <w:rFonts w:ascii="Times New Roman" w:hAnsi="Times New Roman"/>
        </w:rPr>
        <w:tab/>
        <w:t xml:space="preserve">Figurines at the Acropolis of Koukounaries, Paros.” In </w:t>
      </w:r>
      <w:r w:rsidRPr="004D0DE2">
        <w:rPr>
          <w:rFonts w:ascii="Times New Roman" w:hAnsi="Times New Roman"/>
          <w:i/>
        </w:rPr>
        <w:t xml:space="preserve">Early Cycladic Sculpture </w:t>
      </w:r>
      <w:r w:rsidRPr="004D0DE2">
        <w:rPr>
          <w:rFonts w:ascii="Times New Roman" w:hAnsi="Times New Roman"/>
          <w:i/>
        </w:rPr>
        <w:tab/>
        <w:t>in Context</w:t>
      </w:r>
      <w:r w:rsidRPr="004D0DE2">
        <w:rPr>
          <w:rFonts w:ascii="Times New Roman" w:hAnsi="Times New Roman"/>
        </w:rPr>
        <w:t>, edited by Marisa Marthari, Colin Renfrew, and Michael Boyd, 410-</w:t>
      </w:r>
      <w:r w:rsidRPr="004D0DE2">
        <w:rPr>
          <w:rFonts w:ascii="Times New Roman" w:hAnsi="Times New Roman"/>
        </w:rPr>
        <w:tab/>
        <w:t>420. Oxford: Oxbow, 2017.</w:t>
      </w:r>
    </w:p>
    <w:p w:rsidR="004D0DE2" w:rsidRPr="004D0DE2" w:rsidRDefault="004D0DE2" w:rsidP="004D0DE2">
      <w:pPr>
        <w:rPr>
          <w:rFonts w:ascii="Times New Roman" w:hAnsi="Times New Roman"/>
        </w:rPr>
      </w:pPr>
      <w:r w:rsidRPr="004D0DE2">
        <w:rPr>
          <w:rFonts w:ascii="Times New Roman" w:hAnsi="Times New Roman"/>
        </w:rPr>
        <w:lastRenderedPageBreak/>
        <w:t xml:space="preserve">Katsouros, K.A. and S.A. Katsouros. </w:t>
      </w:r>
      <w:r w:rsidRPr="004D0DE2">
        <w:rPr>
          <w:rFonts w:ascii="Times New Roman" w:hAnsi="Times New Roman"/>
          <w:i/>
        </w:rPr>
        <w:t>Naxos: today and yesterday</w:t>
      </w:r>
      <w:r w:rsidRPr="004D0DE2">
        <w:rPr>
          <w:rFonts w:ascii="Times New Roman" w:hAnsi="Times New Roman"/>
        </w:rPr>
        <w:t xml:space="preserve">. Translated by G. Cox </w:t>
      </w:r>
      <w:r w:rsidRPr="004D0DE2">
        <w:rPr>
          <w:rFonts w:ascii="Times New Roman" w:hAnsi="Times New Roman"/>
        </w:rPr>
        <w:tab/>
        <w:t>and J. Solman. Athens: Michalis Toumbis Editions, 1987.</w:t>
      </w:r>
    </w:p>
    <w:p w:rsidR="004D0DE2" w:rsidRPr="004D0DE2" w:rsidRDefault="004D0DE2" w:rsidP="004D0DE2">
      <w:pPr>
        <w:rPr>
          <w:rFonts w:ascii="Times New Roman" w:hAnsi="Times New Roman"/>
        </w:rPr>
      </w:pPr>
      <w:r w:rsidRPr="004D0DE2">
        <w:rPr>
          <w:rFonts w:ascii="Times New Roman" w:hAnsi="Times New Roman"/>
        </w:rPr>
        <w:t xml:space="preserve">Kouka, Ourania. “Third Millennium BC Aegean Chronology: Old and New Data from </w:t>
      </w:r>
      <w:r w:rsidRPr="004D0DE2">
        <w:rPr>
          <w:rFonts w:ascii="Times New Roman" w:hAnsi="Times New Roman"/>
        </w:rPr>
        <w:tab/>
        <w:t xml:space="preserve">the Perspective of the Third Millennium AD.” In </w:t>
      </w:r>
      <w:r w:rsidRPr="004D0DE2">
        <w:rPr>
          <w:rFonts w:ascii="Times New Roman" w:hAnsi="Times New Roman"/>
          <w:i/>
        </w:rPr>
        <w:t xml:space="preserve">Tree-Rings, Kings, and Old </w:t>
      </w:r>
      <w:r w:rsidRPr="004D0DE2">
        <w:rPr>
          <w:rFonts w:ascii="Times New Roman" w:hAnsi="Times New Roman"/>
          <w:i/>
        </w:rPr>
        <w:tab/>
        <w:t xml:space="preserve">World </w:t>
      </w:r>
      <w:r w:rsidRPr="004D0DE2">
        <w:rPr>
          <w:rFonts w:ascii="Times New Roman" w:hAnsi="Times New Roman"/>
          <w:i/>
        </w:rPr>
        <w:tab/>
        <w:t xml:space="preserve">Archaeology and Environment: Papers Presented in Honor of Peter Ian </w:t>
      </w:r>
      <w:r w:rsidRPr="004D0DE2">
        <w:rPr>
          <w:rFonts w:ascii="Times New Roman" w:hAnsi="Times New Roman"/>
          <w:i/>
        </w:rPr>
        <w:tab/>
        <w:t>Kuniholm</w:t>
      </w:r>
      <w:r w:rsidRPr="004D0DE2">
        <w:rPr>
          <w:rFonts w:ascii="Times New Roman" w:hAnsi="Times New Roman"/>
        </w:rPr>
        <w:t xml:space="preserve">, edited by Sturt Manning and Mary Jaye Bruce, 133-149. Oxford </w:t>
      </w:r>
      <w:r w:rsidRPr="004D0DE2">
        <w:rPr>
          <w:rFonts w:ascii="Times New Roman" w:hAnsi="Times New Roman"/>
        </w:rPr>
        <w:tab/>
        <w:t>2009.</w:t>
      </w:r>
    </w:p>
    <w:p w:rsidR="004D0DE2" w:rsidRPr="004D0DE2" w:rsidRDefault="004D0DE2" w:rsidP="004D0DE2">
      <w:pPr>
        <w:rPr>
          <w:rFonts w:ascii="Times New Roman" w:hAnsi="Times New Roman"/>
        </w:rPr>
      </w:pPr>
      <w:r w:rsidRPr="004D0DE2">
        <w:rPr>
          <w:rFonts w:ascii="Times New Roman" w:hAnsi="Times New Roman"/>
          <w:noProof/>
        </w:rPr>
        <w:t>Kourayos</w:t>
      </w:r>
      <w:r w:rsidRPr="004D0DE2">
        <w:rPr>
          <w:rFonts w:ascii="Times New Roman" w:hAnsi="Times New Roman"/>
        </w:rPr>
        <w:t xml:space="preserve">, Yannos. </w:t>
      </w:r>
      <w:r w:rsidRPr="004D0DE2">
        <w:rPr>
          <w:rFonts w:ascii="Times New Roman" w:hAnsi="Times New Roman"/>
          <w:i/>
          <w:noProof/>
        </w:rPr>
        <w:t>Paros-Antiparos</w:t>
      </w:r>
      <w:r w:rsidRPr="004D0DE2">
        <w:rPr>
          <w:rFonts w:ascii="Times New Roman" w:hAnsi="Times New Roman"/>
          <w:i/>
        </w:rPr>
        <w:t>: History, Monuments, Museums</w:t>
      </w:r>
      <w:r w:rsidRPr="004D0DE2">
        <w:rPr>
          <w:rFonts w:ascii="Times New Roman" w:hAnsi="Times New Roman"/>
        </w:rPr>
        <w:t xml:space="preserve">. Athens: Adam </w:t>
      </w:r>
      <w:r w:rsidRPr="004D0DE2">
        <w:rPr>
          <w:rFonts w:ascii="Times New Roman" w:hAnsi="Times New Roman"/>
        </w:rPr>
        <w:tab/>
        <w:t xml:space="preserve">Editions, 2004. </w:t>
      </w:r>
    </w:p>
    <w:p w:rsidR="004D0DE2" w:rsidRPr="004D0DE2" w:rsidRDefault="004D0DE2" w:rsidP="004D0DE2">
      <w:pPr>
        <w:rPr>
          <w:rFonts w:ascii="Times New Roman" w:hAnsi="Times New Roman"/>
          <w:noProof/>
        </w:rPr>
      </w:pPr>
      <w:r w:rsidRPr="004D0DE2">
        <w:rPr>
          <w:rFonts w:ascii="Times New Roman" w:hAnsi="Times New Roman"/>
          <w:noProof/>
        </w:rPr>
        <w:t xml:space="preserve">Lamb, Winifred. </w:t>
      </w:r>
      <w:r w:rsidRPr="004D0DE2">
        <w:rPr>
          <w:rFonts w:ascii="Times New Roman" w:hAnsi="Times New Roman"/>
          <w:i/>
          <w:noProof/>
        </w:rPr>
        <w:t>Corpus Vasorum Antiquorum</w:t>
      </w:r>
      <w:r w:rsidRPr="004D0DE2">
        <w:rPr>
          <w:rFonts w:ascii="Times New Roman" w:hAnsi="Times New Roman"/>
          <w:noProof/>
        </w:rPr>
        <w:t xml:space="preserve">. Oxford: Oxford University Press, 1936. </w:t>
      </w:r>
      <w:r w:rsidRPr="004D0DE2">
        <w:rPr>
          <w:rFonts w:ascii="Times New Roman" w:hAnsi="Times New Roman"/>
          <w:noProof/>
        </w:rPr>
        <w:tab/>
        <w:t>Accessed 12/29/2016. http://www.cvaonline.org/cva/Britain.htm.</w:t>
      </w:r>
    </w:p>
    <w:p w:rsidR="004D0DE2" w:rsidRPr="004D0DE2" w:rsidRDefault="004D0DE2" w:rsidP="004D0DE2">
      <w:pPr>
        <w:rPr>
          <w:rFonts w:ascii="Times New Roman" w:hAnsi="Times New Roman"/>
          <w:noProof/>
        </w:rPr>
      </w:pPr>
      <w:r w:rsidRPr="004D0DE2">
        <w:rPr>
          <w:rFonts w:ascii="Times New Roman" w:hAnsi="Times New Roman"/>
          <w:noProof/>
        </w:rPr>
        <w:t xml:space="preserve">Lapatin Kenneth, </w:t>
      </w:r>
      <w:r w:rsidRPr="004D0DE2">
        <w:rPr>
          <w:rFonts w:ascii="Times New Roman" w:hAnsi="Times New Roman"/>
          <w:i/>
          <w:noProof/>
        </w:rPr>
        <w:t xml:space="preserve">Mysteries of the Snake Goddess: Art, Desire, and the Forging of </w:t>
      </w:r>
      <w:r w:rsidRPr="004D0DE2">
        <w:rPr>
          <w:rFonts w:ascii="Times New Roman" w:hAnsi="Times New Roman"/>
          <w:i/>
          <w:noProof/>
        </w:rPr>
        <w:tab/>
        <w:t>History</w:t>
      </w:r>
      <w:r w:rsidRPr="004D0DE2">
        <w:rPr>
          <w:rFonts w:ascii="Times New Roman" w:hAnsi="Times New Roman"/>
          <w:noProof/>
        </w:rPr>
        <w:t>, Cambridge, MA: Da Capo Press, 2003.</w:t>
      </w:r>
    </w:p>
    <w:p w:rsidR="004D0DE2" w:rsidRPr="004D0DE2" w:rsidRDefault="004D0DE2" w:rsidP="004D0DE2">
      <w:pPr>
        <w:rPr>
          <w:rFonts w:ascii="Times New Roman" w:hAnsi="Times New Roman"/>
          <w:noProof/>
        </w:rPr>
      </w:pPr>
      <w:r w:rsidRPr="004D0DE2">
        <w:rPr>
          <w:rFonts w:ascii="Times New Roman" w:hAnsi="Times New Roman"/>
          <w:noProof/>
        </w:rPr>
        <w:t xml:space="preserve">Manning, Sturt and Mary Jaye Bruce, eds. </w:t>
      </w:r>
      <w:r w:rsidRPr="004D0DE2">
        <w:rPr>
          <w:rFonts w:ascii="Times New Roman" w:hAnsi="Times New Roman"/>
          <w:i/>
          <w:noProof/>
        </w:rPr>
        <w:t xml:space="preserve">Tree-Rings, Kings, and Old World </w:t>
      </w:r>
      <w:r w:rsidRPr="004D0DE2">
        <w:rPr>
          <w:rFonts w:ascii="Times New Roman" w:hAnsi="Times New Roman"/>
          <w:i/>
          <w:noProof/>
        </w:rPr>
        <w:tab/>
        <w:t xml:space="preserve">Archaeology and Environment: Papers Presented in Honor of Peter Ian </w:t>
      </w:r>
      <w:r w:rsidRPr="004D0DE2">
        <w:rPr>
          <w:rFonts w:ascii="Times New Roman" w:hAnsi="Times New Roman"/>
          <w:i/>
          <w:noProof/>
        </w:rPr>
        <w:tab/>
        <w:t xml:space="preserve">Kuniholm. </w:t>
      </w:r>
      <w:r w:rsidRPr="004D0DE2">
        <w:rPr>
          <w:rFonts w:ascii="Times New Roman" w:hAnsi="Times New Roman"/>
          <w:noProof/>
        </w:rPr>
        <w:t xml:space="preserve">Oxford: Oxbow, 2009. </w:t>
      </w:r>
    </w:p>
    <w:p w:rsidR="004D0DE2" w:rsidRPr="004D0DE2" w:rsidRDefault="004D0DE2" w:rsidP="004D0DE2">
      <w:pPr>
        <w:rPr>
          <w:rFonts w:ascii="Times New Roman" w:hAnsi="Times New Roman"/>
          <w:noProof/>
        </w:rPr>
      </w:pPr>
      <w:r w:rsidRPr="004D0DE2">
        <w:rPr>
          <w:rFonts w:ascii="Times New Roman" w:hAnsi="Times New Roman"/>
          <w:noProof/>
        </w:rPr>
        <w:t xml:space="preserve">Marangou, Lila, ed. </w:t>
      </w:r>
      <w:r w:rsidRPr="004D0DE2">
        <w:rPr>
          <w:rFonts w:ascii="Times New Roman" w:hAnsi="Times New Roman"/>
          <w:i/>
          <w:noProof/>
        </w:rPr>
        <w:t>Cycladic Culture: Naxos in the 3</w:t>
      </w:r>
      <w:r w:rsidRPr="004D0DE2">
        <w:rPr>
          <w:rFonts w:ascii="Times New Roman" w:hAnsi="Times New Roman"/>
          <w:i/>
          <w:noProof/>
          <w:vertAlign w:val="superscript"/>
        </w:rPr>
        <w:t>rd</w:t>
      </w:r>
      <w:r w:rsidRPr="004D0DE2">
        <w:rPr>
          <w:rFonts w:ascii="Times New Roman" w:hAnsi="Times New Roman"/>
          <w:i/>
          <w:noProof/>
        </w:rPr>
        <w:t xml:space="preserve"> Millennium, B.C.</w:t>
      </w:r>
      <w:r w:rsidRPr="004D0DE2">
        <w:rPr>
          <w:rFonts w:ascii="Times New Roman" w:hAnsi="Times New Roman"/>
          <w:noProof/>
        </w:rPr>
        <w:t xml:space="preserve"> Athens: </w:t>
      </w:r>
      <w:r w:rsidRPr="004D0DE2">
        <w:rPr>
          <w:rFonts w:ascii="Times New Roman" w:hAnsi="Times New Roman"/>
          <w:noProof/>
        </w:rPr>
        <w:tab/>
        <w:t xml:space="preserve">Nicholas P. Goulandris Foundation, 1990. </w:t>
      </w:r>
    </w:p>
    <w:p w:rsidR="004D0DE2" w:rsidRPr="004D0DE2" w:rsidRDefault="004D0DE2" w:rsidP="004D0DE2">
      <w:pPr>
        <w:rPr>
          <w:rFonts w:ascii="Times New Roman" w:hAnsi="Times New Roman"/>
          <w:noProof/>
        </w:rPr>
      </w:pPr>
      <w:r w:rsidRPr="004D0DE2">
        <w:rPr>
          <w:rFonts w:ascii="Times New Roman" w:hAnsi="Times New Roman"/>
          <w:noProof/>
        </w:rPr>
        <w:t xml:space="preserve">Marthari, Marisa, Colin Renfrew and Michael J. Boyd, eds. </w:t>
      </w:r>
      <w:r w:rsidRPr="004D0DE2">
        <w:rPr>
          <w:rFonts w:ascii="Times New Roman" w:hAnsi="Times New Roman"/>
          <w:i/>
          <w:noProof/>
        </w:rPr>
        <w:t xml:space="preserve">Early Cycladic Sculpture in </w:t>
      </w:r>
      <w:r w:rsidRPr="004D0DE2">
        <w:rPr>
          <w:rFonts w:ascii="Times New Roman" w:hAnsi="Times New Roman"/>
          <w:i/>
          <w:noProof/>
        </w:rPr>
        <w:tab/>
        <w:t>Context</w:t>
      </w:r>
      <w:r w:rsidRPr="004D0DE2">
        <w:rPr>
          <w:rFonts w:ascii="Times New Roman" w:hAnsi="Times New Roman"/>
          <w:noProof/>
        </w:rPr>
        <w:t>. Oxford: Oxbow Books, 2017.</w:t>
      </w:r>
    </w:p>
    <w:p w:rsidR="004D0DE2" w:rsidRPr="004D0DE2" w:rsidRDefault="004D0DE2" w:rsidP="004D0DE2">
      <w:pPr>
        <w:rPr>
          <w:rFonts w:ascii="Times New Roman" w:hAnsi="Times New Roman"/>
        </w:rPr>
      </w:pPr>
      <w:r w:rsidRPr="004D0DE2">
        <w:rPr>
          <w:rFonts w:ascii="Times New Roman" w:hAnsi="Times New Roman"/>
        </w:rPr>
        <w:t xml:space="preserve">------. “Figurines in Context at the Chalandriani Cemetery on Syros.” In </w:t>
      </w:r>
      <w:r w:rsidRPr="004D0DE2">
        <w:rPr>
          <w:rFonts w:ascii="Times New Roman" w:hAnsi="Times New Roman"/>
          <w:i/>
        </w:rPr>
        <w:t xml:space="preserve">Early Cycladic </w:t>
      </w:r>
      <w:r w:rsidRPr="004D0DE2">
        <w:rPr>
          <w:rFonts w:ascii="Times New Roman" w:hAnsi="Times New Roman"/>
          <w:i/>
        </w:rPr>
        <w:tab/>
        <w:t>Sculpture in Context</w:t>
      </w:r>
      <w:r w:rsidRPr="004D0DE2">
        <w:rPr>
          <w:rFonts w:ascii="Times New Roman" w:hAnsi="Times New Roman"/>
        </w:rPr>
        <w:t xml:space="preserve">, edited by Marisa Marthari, Colin Renfrew and Michael </w:t>
      </w:r>
      <w:r w:rsidRPr="004D0DE2">
        <w:rPr>
          <w:rFonts w:ascii="Times New Roman" w:hAnsi="Times New Roman"/>
        </w:rPr>
        <w:tab/>
        <w:t>Boyd, 297-309. Oxford 2017.</w:t>
      </w:r>
    </w:p>
    <w:p w:rsidR="004D0DE2" w:rsidRPr="004D0DE2" w:rsidRDefault="004D0DE2" w:rsidP="004D0DE2">
      <w:pPr>
        <w:rPr>
          <w:rFonts w:ascii="Times New Roman" w:hAnsi="Times New Roman"/>
        </w:rPr>
      </w:pPr>
      <w:bookmarkStart w:id="110" w:name="_Hlk479971759"/>
      <w:r w:rsidRPr="004D0DE2">
        <w:rPr>
          <w:rFonts w:ascii="Times New Roman" w:hAnsi="Times New Roman"/>
        </w:rPr>
        <w:lastRenderedPageBreak/>
        <w:t xml:space="preserve">Masseti, Marco. </w:t>
      </w:r>
      <w:bookmarkEnd w:id="110"/>
      <w:r w:rsidRPr="004D0DE2">
        <w:rPr>
          <w:rFonts w:ascii="Times New Roman" w:hAnsi="Times New Roman"/>
        </w:rPr>
        <w:t xml:space="preserve">“Representations of Birds in Minoan Art,” </w:t>
      </w:r>
      <w:r w:rsidRPr="004D0DE2">
        <w:rPr>
          <w:rFonts w:ascii="Times New Roman" w:hAnsi="Times New Roman"/>
          <w:i/>
        </w:rPr>
        <w:t xml:space="preserve">International Journal of </w:t>
      </w:r>
      <w:r w:rsidRPr="004D0DE2">
        <w:rPr>
          <w:rFonts w:ascii="Times New Roman" w:hAnsi="Times New Roman"/>
          <w:i/>
        </w:rPr>
        <w:tab/>
        <w:t>Osteoarchaeology</w:t>
      </w:r>
      <w:r w:rsidRPr="004D0DE2">
        <w:rPr>
          <w:rFonts w:ascii="Times New Roman" w:hAnsi="Times New Roman"/>
        </w:rPr>
        <w:t xml:space="preserve"> 7 (1997): 354-363. </w:t>
      </w:r>
    </w:p>
    <w:p w:rsidR="004D0DE2" w:rsidRPr="004D0DE2" w:rsidRDefault="004D0DE2" w:rsidP="004D0DE2">
      <w:pPr>
        <w:rPr>
          <w:rFonts w:ascii="Times New Roman" w:hAnsi="Times New Roman"/>
        </w:rPr>
      </w:pPr>
      <w:r w:rsidRPr="004D0DE2">
        <w:rPr>
          <w:rFonts w:ascii="Times New Roman" w:hAnsi="Times New Roman"/>
        </w:rPr>
        <w:t xml:space="preserve">------. “Taxonomic and </w:t>
      </w:r>
      <w:r w:rsidRPr="004D0DE2">
        <w:rPr>
          <w:rFonts w:ascii="Times New Roman" w:hAnsi="Times New Roman"/>
          <w:noProof/>
        </w:rPr>
        <w:t>Behavioural</w:t>
      </w:r>
      <w:r w:rsidRPr="004D0DE2">
        <w:rPr>
          <w:rFonts w:ascii="Times New Roman" w:hAnsi="Times New Roman"/>
        </w:rPr>
        <w:t xml:space="preserve"> Aspects of the Representation of Mammals in </w:t>
      </w:r>
      <w:r w:rsidRPr="004D0DE2">
        <w:rPr>
          <w:rFonts w:ascii="Times New Roman" w:hAnsi="Times New Roman"/>
        </w:rPr>
        <w:tab/>
        <w:t xml:space="preserve">Aegean Bronze Age.” </w:t>
      </w:r>
      <w:r w:rsidRPr="004D0DE2">
        <w:rPr>
          <w:rFonts w:ascii="Times New Roman" w:hAnsi="Times New Roman"/>
          <w:i/>
        </w:rPr>
        <w:t>British School at Athens Studies</w:t>
      </w:r>
      <w:r w:rsidRPr="004D0DE2">
        <w:rPr>
          <w:rFonts w:ascii="Times New Roman" w:hAnsi="Times New Roman"/>
        </w:rPr>
        <w:t xml:space="preserve"> 9 (2003): 273-281. </w:t>
      </w:r>
      <w:r w:rsidRPr="004D0DE2">
        <w:rPr>
          <w:rFonts w:ascii="Times New Roman" w:hAnsi="Times New Roman"/>
        </w:rPr>
        <w:tab/>
        <w:t>Accessed 11-15-2015. http://www.jstor.org/stable/40960357.</w:t>
      </w:r>
    </w:p>
    <w:p w:rsidR="004D0DE2" w:rsidRPr="004D0DE2" w:rsidRDefault="004D0DE2" w:rsidP="004D0DE2">
      <w:pPr>
        <w:rPr>
          <w:rFonts w:ascii="Times New Roman" w:hAnsi="Times New Roman"/>
        </w:rPr>
      </w:pPr>
      <w:r w:rsidRPr="004D0DE2">
        <w:rPr>
          <w:rFonts w:ascii="Times New Roman" w:hAnsi="Times New Roman"/>
        </w:rPr>
        <w:t xml:space="preserve">Meyers, J.L. “Islands of the Aegean.” </w:t>
      </w:r>
      <w:r w:rsidRPr="004D0DE2">
        <w:rPr>
          <w:rFonts w:ascii="Times New Roman" w:hAnsi="Times New Roman"/>
          <w:i/>
        </w:rPr>
        <w:t>The Geographical Journal</w:t>
      </w:r>
      <w:r w:rsidRPr="004D0DE2">
        <w:rPr>
          <w:rFonts w:ascii="Times New Roman" w:hAnsi="Times New Roman"/>
        </w:rPr>
        <w:t xml:space="preserve"> 97 (1941): 137-156. </w:t>
      </w:r>
      <w:r w:rsidRPr="004D0DE2">
        <w:rPr>
          <w:rFonts w:ascii="Times New Roman" w:hAnsi="Times New Roman"/>
        </w:rPr>
        <w:tab/>
        <w:t xml:space="preserve">Accessed 5-26-2016. http://jstor.org/stable/1787324. </w:t>
      </w:r>
      <w:r w:rsidRPr="004D0DE2">
        <w:rPr>
          <w:rFonts w:ascii="Times New Roman" w:hAnsi="Times New Roman"/>
        </w:rPr>
        <w:tab/>
      </w:r>
    </w:p>
    <w:p w:rsidR="004D0DE2" w:rsidRPr="004D0DE2" w:rsidRDefault="004D0DE2" w:rsidP="004D0DE2">
      <w:pPr>
        <w:rPr>
          <w:rFonts w:ascii="Times New Roman" w:hAnsi="Times New Roman"/>
          <w:noProof/>
        </w:rPr>
      </w:pPr>
      <w:r w:rsidRPr="004D0DE2">
        <w:rPr>
          <w:rFonts w:ascii="Times New Roman" w:hAnsi="Times New Roman"/>
          <w:noProof/>
        </w:rPr>
        <w:t xml:space="preserve">Morphy, Howard, ed. </w:t>
      </w:r>
      <w:r w:rsidRPr="004D0DE2">
        <w:rPr>
          <w:rFonts w:ascii="Times New Roman" w:hAnsi="Times New Roman"/>
          <w:i/>
          <w:noProof/>
        </w:rPr>
        <w:t>Animals into Art</w:t>
      </w:r>
      <w:r w:rsidRPr="004D0DE2">
        <w:rPr>
          <w:rFonts w:ascii="Times New Roman" w:hAnsi="Times New Roman"/>
          <w:noProof/>
        </w:rPr>
        <w:t>. London: Unwin Hyman, 1989.</w:t>
      </w:r>
    </w:p>
    <w:p w:rsidR="004D0DE2" w:rsidRPr="004D0DE2" w:rsidRDefault="004D0DE2" w:rsidP="004D0DE2">
      <w:pPr>
        <w:rPr>
          <w:rFonts w:eastAsiaTheme="minorHAnsi" w:cstheme="minorBidi"/>
          <w:lang w:bidi="ar-SA"/>
        </w:rPr>
      </w:pPr>
      <w:r w:rsidRPr="004D0DE2">
        <w:rPr>
          <w:rFonts w:eastAsiaTheme="minorHAnsi" w:cstheme="minorBidi"/>
          <w:lang w:bidi="ar-SA"/>
        </w:rPr>
        <w:t xml:space="preserve">Mylonopoulos, Joannis, ed. </w:t>
      </w:r>
      <w:r w:rsidRPr="004D0DE2">
        <w:rPr>
          <w:rFonts w:eastAsiaTheme="minorHAnsi" w:cstheme="minorBidi"/>
          <w:i/>
          <w:lang w:bidi="ar-SA"/>
        </w:rPr>
        <w:t xml:space="preserve">Divine Images and Human Imaginations in Ancient Greece </w:t>
      </w:r>
      <w:r w:rsidRPr="004D0DE2">
        <w:rPr>
          <w:rFonts w:eastAsiaTheme="minorHAnsi" w:cstheme="minorBidi"/>
          <w:i/>
          <w:lang w:bidi="ar-SA"/>
        </w:rPr>
        <w:tab/>
        <w:t>and Rome</w:t>
      </w:r>
      <w:r w:rsidRPr="004D0DE2">
        <w:rPr>
          <w:rFonts w:eastAsiaTheme="minorHAnsi" w:cstheme="minorBidi"/>
          <w:lang w:bidi="ar-SA"/>
        </w:rPr>
        <w:t>. Leiden and Boston: Brill, 2010.</w:t>
      </w:r>
    </w:p>
    <w:p w:rsidR="004D0DE2" w:rsidRPr="004D0DE2" w:rsidRDefault="004D0DE2" w:rsidP="004D0DE2">
      <w:pPr>
        <w:rPr>
          <w:rFonts w:eastAsiaTheme="minorHAnsi" w:cstheme="minorBidi"/>
          <w:lang w:bidi="ar-SA"/>
        </w:rPr>
      </w:pPr>
      <w:bookmarkStart w:id="111" w:name="_Hlk481341341"/>
      <w:r w:rsidRPr="004D0DE2">
        <w:rPr>
          <w:rFonts w:eastAsiaTheme="minorHAnsi" w:cstheme="minorBidi"/>
          <w:lang w:bidi="ar-SA"/>
        </w:rPr>
        <w:t xml:space="preserve">------. </w:t>
      </w:r>
      <w:bookmarkEnd w:id="111"/>
      <w:r w:rsidRPr="004D0DE2">
        <w:rPr>
          <w:rFonts w:eastAsiaTheme="minorHAnsi" w:cstheme="minorBidi"/>
          <w:lang w:bidi="ar-SA"/>
        </w:rPr>
        <w:t xml:space="preserve">“Divine Images Versus Cult Images. An Endless Story about Theories, Methods, </w:t>
      </w:r>
      <w:r w:rsidRPr="004D0DE2">
        <w:rPr>
          <w:rFonts w:eastAsiaTheme="minorHAnsi" w:cstheme="minorBidi"/>
          <w:lang w:bidi="ar-SA"/>
        </w:rPr>
        <w:tab/>
        <w:t xml:space="preserve">and Terminologies.” In </w:t>
      </w:r>
      <w:bookmarkStart w:id="112" w:name="_Hlk481341359"/>
      <w:r w:rsidRPr="004D0DE2">
        <w:rPr>
          <w:rFonts w:eastAsiaTheme="minorHAnsi" w:cstheme="minorBidi"/>
          <w:i/>
          <w:lang w:bidi="ar-SA"/>
        </w:rPr>
        <w:t xml:space="preserve">Divine Images and Human Imaginations in Ancient </w:t>
      </w:r>
      <w:r w:rsidRPr="004D0DE2">
        <w:rPr>
          <w:rFonts w:eastAsiaTheme="minorHAnsi" w:cstheme="minorBidi"/>
          <w:i/>
          <w:lang w:bidi="ar-SA"/>
        </w:rPr>
        <w:tab/>
        <w:t>Greece and Rome</w:t>
      </w:r>
      <w:r w:rsidRPr="004D0DE2">
        <w:rPr>
          <w:rFonts w:eastAsiaTheme="minorHAnsi" w:cstheme="minorBidi"/>
          <w:lang w:bidi="ar-SA"/>
        </w:rPr>
        <w:t xml:space="preserve">, ed. Joannis Mylonopoulos, 1-81. Leiden and Boston: Brill, </w:t>
      </w:r>
      <w:r w:rsidRPr="004D0DE2">
        <w:rPr>
          <w:rFonts w:eastAsiaTheme="minorHAnsi" w:cstheme="minorBidi"/>
          <w:lang w:bidi="ar-SA"/>
        </w:rPr>
        <w:tab/>
        <w:t xml:space="preserve">2010. </w:t>
      </w:r>
      <w:bookmarkEnd w:id="112"/>
      <w:r w:rsidRPr="004D0DE2">
        <w:rPr>
          <w:rFonts w:eastAsiaTheme="minorHAnsi" w:cstheme="minorBidi"/>
          <w:lang w:bidi="ar-SA"/>
        </w:rPr>
        <w:t>Accessed 04/20/2017. http://www.brill.com/divine-images-and-human-</w:t>
      </w:r>
    </w:p>
    <w:p w:rsidR="004D0DE2" w:rsidRPr="004D0DE2" w:rsidRDefault="004D0DE2" w:rsidP="004D0DE2">
      <w:pPr>
        <w:ind w:firstLine="720"/>
        <w:rPr>
          <w:rFonts w:ascii="Times New Roman" w:eastAsiaTheme="minorHAnsi" w:hAnsi="Times New Roman" w:cstheme="minorBidi"/>
          <w:sz w:val="20"/>
          <w:szCs w:val="20"/>
          <w:lang w:bidi="ar-SA"/>
        </w:rPr>
      </w:pPr>
      <w:r w:rsidRPr="004D0DE2">
        <w:rPr>
          <w:rFonts w:eastAsiaTheme="minorHAnsi" w:cstheme="minorBidi"/>
          <w:lang w:bidi="ar-SA"/>
        </w:rPr>
        <w:t>imaginations-ancient-greece-and-rome.</w:t>
      </w:r>
    </w:p>
    <w:p w:rsidR="004D0DE2" w:rsidRPr="004D0DE2" w:rsidRDefault="004D0DE2" w:rsidP="004D0DE2">
      <w:pPr>
        <w:rPr>
          <w:rFonts w:ascii="Times New Roman" w:hAnsi="Times New Roman"/>
        </w:rPr>
      </w:pPr>
      <w:r w:rsidRPr="004D0DE2">
        <w:rPr>
          <w:rFonts w:ascii="Times New Roman" w:hAnsi="Times New Roman"/>
        </w:rPr>
        <w:t xml:space="preserve">Nowell, April.  “From a Paleolithic Art to Pleistocene Visual Cultures.” </w:t>
      </w:r>
      <w:r w:rsidRPr="004D0DE2">
        <w:rPr>
          <w:rFonts w:ascii="Times New Roman" w:hAnsi="Times New Roman"/>
          <w:i/>
        </w:rPr>
        <w:t xml:space="preserve">Journal of </w:t>
      </w:r>
      <w:r w:rsidRPr="004D0DE2">
        <w:rPr>
          <w:rFonts w:ascii="Times New Roman" w:hAnsi="Times New Roman"/>
          <w:i/>
        </w:rPr>
        <w:tab/>
        <w:t>Archaeological Method and Theory</w:t>
      </w:r>
      <w:r w:rsidRPr="004D0DE2">
        <w:rPr>
          <w:rFonts w:ascii="Times New Roman" w:hAnsi="Times New Roman"/>
        </w:rPr>
        <w:t xml:space="preserve"> 13, no. 4 (Dec. 2006): 239-249. Accessed 3-</w:t>
      </w:r>
      <w:r w:rsidRPr="004D0DE2">
        <w:rPr>
          <w:rFonts w:ascii="Times New Roman" w:hAnsi="Times New Roman"/>
        </w:rPr>
        <w:tab/>
        <w:t>14-2017. http://www.jstor.org/stable/20177542.</w:t>
      </w:r>
    </w:p>
    <w:p w:rsidR="004D0DE2" w:rsidRPr="004D0DE2" w:rsidRDefault="004D0DE2" w:rsidP="004D0DE2">
      <w:pPr>
        <w:rPr>
          <w:rFonts w:ascii="Times New Roman" w:hAnsi="Times New Roman"/>
        </w:rPr>
      </w:pPr>
      <w:r w:rsidRPr="004D0DE2">
        <w:rPr>
          <w:rFonts w:ascii="Times New Roman" w:hAnsi="Times New Roman"/>
          <w:noProof/>
        </w:rPr>
        <w:t>Papadakis</w:t>
      </w:r>
      <w:r w:rsidRPr="004D0DE2">
        <w:rPr>
          <w:rFonts w:ascii="Times New Roman" w:hAnsi="Times New Roman"/>
        </w:rPr>
        <w:t xml:space="preserve">, Nikos. </w:t>
      </w:r>
      <w:r w:rsidRPr="004D0DE2">
        <w:rPr>
          <w:rFonts w:ascii="Times New Roman" w:hAnsi="Times New Roman"/>
          <w:i/>
        </w:rPr>
        <w:t>Sitia: Fatherland of Myson and Kornaros</w:t>
      </w:r>
      <w:r w:rsidRPr="004D0DE2">
        <w:rPr>
          <w:rFonts w:ascii="Times New Roman" w:hAnsi="Times New Roman"/>
        </w:rPr>
        <w:t xml:space="preserve">. Translated by Jane Mary </w:t>
      </w:r>
      <w:r w:rsidRPr="004D0DE2">
        <w:rPr>
          <w:rFonts w:ascii="Times New Roman" w:hAnsi="Times New Roman"/>
        </w:rPr>
        <w:tab/>
        <w:t>Kafetzaki. Sitia: The District Council of Sitia, 1983.</w:t>
      </w:r>
    </w:p>
    <w:p w:rsidR="004D0DE2" w:rsidRPr="004D0DE2" w:rsidRDefault="004D0DE2" w:rsidP="004D0DE2">
      <w:pPr>
        <w:rPr>
          <w:rFonts w:ascii="Times New Roman" w:hAnsi="Times New Roman"/>
        </w:rPr>
      </w:pPr>
      <w:r w:rsidRPr="004D0DE2">
        <w:rPr>
          <w:rFonts w:ascii="Times New Roman" w:hAnsi="Times New Roman"/>
        </w:rPr>
        <w:t xml:space="preserve">Papathanasopoulos, G. </w:t>
      </w:r>
      <w:r w:rsidRPr="004D0DE2">
        <w:rPr>
          <w:rFonts w:ascii="Times New Roman" w:hAnsi="Times New Roman"/>
          <w:i/>
        </w:rPr>
        <w:t xml:space="preserve">National Archaeological Museum: Catalogue of Neolithic and </w:t>
      </w:r>
      <w:r w:rsidRPr="004D0DE2">
        <w:rPr>
          <w:rFonts w:ascii="Times New Roman" w:hAnsi="Times New Roman"/>
          <w:i/>
        </w:rPr>
        <w:tab/>
        <w:t>Cycladic Collections.</w:t>
      </w:r>
      <w:r w:rsidRPr="004D0DE2">
        <w:rPr>
          <w:rFonts w:ascii="Times New Roman" w:hAnsi="Times New Roman"/>
        </w:rPr>
        <w:t xml:space="preserve"> Athens: Melissa Editions, 1981.</w:t>
      </w:r>
    </w:p>
    <w:p w:rsidR="004D0DE2" w:rsidRPr="004D0DE2" w:rsidRDefault="004D0DE2" w:rsidP="004D0DE2">
      <w:pPr>
        <w:rPr>
          <w:rFonts w:ascii="Times New Roman" w:hAnsi="Times New Roman"/>
        </w:rPr>
      </w:pPr>
      <w:r w:rsidRPr="004D0DE2">
        <w:rPr>
          <w:rFonts w:ascii="Times New Roman" w:hAnsi="Times New Roman"/>
        </w:rPr>
        <w:lastRenderedPageBreak/>
        <w:t xml:space="preserve">Papazoglou-Manioudaki, Lena. “The Early Cycladic Figurines from the Excavations of </w:t>
      </w:r>
      <w:r w:rsidRPr="004D0DE2">
        <w:rPr>
          <w:rFonts w:ascii="Times New Roman" w:hAnsi="Times New Roman"/>
        </w:rPr>
        <w:tab/>
        <w:t xml:space="preserve">Clon Stephanos on Syros.” In </w:t>
      </w:r>
      <w:r w:rsidRPr="004D0DE2">
        <w:rPr>
          <w:rFonts w:ascii="Times New Roman" w:hAnsi="Times New Roman"/>
          <w:i/>
        </w:rPr>
        <w:t>Early Cycladic Sculpture in Context</w:t>
      </w:r>
      <w:r w:rsidRPr="004D0DE2">
        <w:rPr>
          <w:rFonts w:ascii="Times New Roman" w:hAnsi="Times New Roman"/>
        </w:rPr>
        <w:t xml:space="preserve">, eds. Marisa </w:t>
      </w:r>
      <w:r w:rsidRPr="004D0DE2">
        <w:rPr>
          <w:rFonts w:ascii="Times New Roman" w:hAnsi="Times New Roman"/>
        </w:rPr>
        <w:tab/>
        <w:t>Marthari, Colin Renfrew, Michael Boyd, 310-334. Oxford: Oxbow, 2017.</w:t>
      </w:r>
    </w:p>
    <w:p w:rsidR="004D0DE2" w:rsidRPr="004D0DE2" w:rsidRDefault="004D0DE2" w:rsidP="004D0DE2">
      <w:pPr>
        <w:rPr>
          <w:rFonts w:ascii="Times New Roman" w:hAnsi="Times New Roman"/>
        </w:rPr>
      </w:pPr>
      <w:r w:rsidRPr="004D0DE2">
        <w:rPr>
          <w:rFonts w:ascii="Times New Roman" w:hAnsi="Times New Roman"/>
        </w:rPr>
        <w:t xml:space="preserve">Pausanias. </w:t>
      </w:r>
      <w:r w:rsidRPr="004D0DE2">
        <w:rPr>
          <w:rFonts w:ascii="Times New Roman" w:hAnsi="Times New Roman"/>
          <w:i/>
        </w:rPr>
        <w:t>Description of Greece</w:t>
      </w:r>
      <w:r w:rsidRPr="004D0DE2">
        <w:rPr>
          <w:rFonts w:ascii="Times New Roman" w:hAnsi="Times New Roman"/>
        </w:rPr>
        <w:t xml:space="preserve">. Translated by W.H.S. Jones. In </w:t>
      </w:r>
      <w:r w:rsidRPr="004D0DE2">
        <w:rPr>
          <w:rFonts w:ascii="Times New Roman" w:hAnsi="Times New Roman"/>
          <w:i/>
        </w:rPr>
        <w:t xml:space="preserve">Complete Works of </w:t>
      </w:r>
      <w:r w:rsidRPr="004D0DE2">
        <w:rPr>
          <w:rFonts w:ascii="Times New Roman" w:hAnsi="Times New Roman"/>
          <w:i/>
        </w:rPr>
        <w:tab/>
        <w:t>Pausanias</w:t>
      </w:r>
      <w:r w:rsidRPr="004D0DE2">
        <w:rPr>
          <w:rFonts w:ascii="Times New Roman" w:hAnsi="Times New Roman"/>
        </w:rPr>
        <w:t xml:space="preserve">. London: Delphi Classics, 2014. Kindle. </w:t>
      </w:r>
    </w:p>
    <w:p w:rsidR="004D0DE2" w:rsidRPr="004D0DE2" w:rsidRDefault="004D0DE2" w:rsidP="004D0DE2">
      <w:pPr>
        <w:rPr>
          <w:rFonts w:ascii="Times New Roman" w:hAnsi="Times New Roman"/>
        </w:rPr>
      </w:pPr>
      <w:r w:rsidRPr="004D0DE2">
        <w:rPr>
          <w:rFonts w:ascii="Times New Roman" w:hAnsi="Times New Roman"/>
        </w:rPr>
        <w:t xml:space="preserve">Peristera Paschou, et al. “Maritime Route of Colonization of Europe.” </w:t>
      </w:r>
      <w:r w:rsidRPr="004D0DE2">
        <w:rPr>
          <w:rFonts w:ascii="Times New Roman" w:hAnsi="Times New Roman"/>
          <w:i/>
        </w:rPr>
        <w:t xml:space="preserve">Proceedings of </w:t>
      </w:r>
      <w:r w:rsidRPr="004D0DE2">
        <w:rPr>
          <w:rFonts w:ascii="Times New Roman" w:hAnsi="Times New Roman"/>
          <w:i/>
        </w:rPr>
        <w:tab/>
        <w:t>the National Academy of Sciences</w:t>
      </w:r>
      <w:r w:rsidRPr="004D0DE2">
        <w:rPr>
          <w:rFonts w:ascii="Times New Roman" w:hAnsi="Times New Roman"/>
        </w:rPr>
        <w:t xml:space="preserve"> 111, no. 25 (June 24, 2014): 9211-9216. </w:t>
      </w:r>
      <w:r w:rsidRPr="004D0DE2">
        <w:rPr>
          <w:rFonts w:ascii="Times New Roman" w:hAnsi="Times New Roman"/>
        </w:rPr>
        <w:tab/>
        <w:t>Accessed 2/23/2017. http://www.pnas.org/content/111/25/9211.full.</w:t>
      </w:r>
    </w:p>
    <w:p w:rsidR="004D0DE2" w:rsidRPr="004D0DE2" w:rsidRDefault="004D0DE2" w:rsidP="004D0DE2">
      <w:pPr>
        <w:rPr>
          <w:rFonts w:ascii="Times New Roman" w:hAnsi="Times New Roman"/>
        </w:rPr>
      </w:pPr>
      <w:r w:rsidRPr="004D0DE2">
        <w:rPr>
          <w:rFonts w:ascii="Times New Roman" w:hAnsi="Times New Roman"/>
        </w:rPr>
        <w:t xml:space="preserve">Phoca-Cosmetatou, Nellie. “Economy and Occupation in the Cyclades during the Late </w:t>
      </w:r>
      <w:r w:rsidRPr="004D0DE2">
        <w:rPr>
          <w:rFonts w:ascii="Times New Roman" w:hAnsi="Times New Roman"/>
        </w:rPr>
        <w:tab/>
        <w:t xml:space="preserve">Neolithic: the Example of Ftelia, Mykonos.” In </w:t>
      </w:r>
      <w:r w:rsidRPr="004D0DE2">
        <w:rPr>
          <w:rFonts w:ascii="Times New Roman" w:hAnsi="Times New Roman"/>
          <w:i/>
        </w:rPr>
        <w:t xml:space="preserve">Horizon: A Colloquium on the </w:t>
      </w:r>
      <w:r w:rsidRPr="004D0DE2">
        <w:rPr>
          <w:rFonts w:ascii="Times New Roman" w:hAnsi="Times New Roman"/>
          <w:i/>
        </w:rPr>
        <w:tab/>
        <w:t>Prehistory of the Cyclades</w:t>
      </w:r>
      <w:r w:rsidRPr="004D0DE2">
        <w:rPr>
          <w:rFonts w:ascii="Times New Roman" w:hAnsi="Times New Roman"/>
        </w:rPr>
        <w:t xml:space="preserve">, edited by Neil Brodie et al., 37-41. Oxford: </w:t>
      </w:r>
      <w:r w:rsidRPr="004D0DE2">
        <w:rPr>
          <w:rFonts w:ascii="Times New Roman" w:hAnsi="Times New Roman"/>
        </w:rPr>
        <w:tab/>
        <w:t>McDonald Institute for Archaeological Research, 2008.</w:t>
      </w:r>
    </w:p>
    <w:p w:rsidR="004D0DE2" w:rsidRPr="004D0DE2" w:rsidRDefault="004D0DE2" w:rsidP="004D0DE2">
      <w:pPr>
        <w:rPr>
          <w:rFonts w:ascii="Times New Roman" w:hAnsi="Times New Roman"/>
        </w:rPr>
      </w:pPr>
      <w:r w:rsidRPr="004D0DE2">
        <w:rPr>
          <w:rFonts w:ascii="Times New Roman" w:hAnsi="Times New Roman"/>
        </w:rPr>
        <w:t xml:space="preserve">Plato. </w:t>
      </w:r>
      <w:r w:rsidRPr="004D0DE2">
        <w:rPr>
          <w:rFonts w:ascii="Times New Roman" w:hAnsi="Times New Roman"/>
          <w:i/>
        </w:rPr>
        <w:t>The Republic</w:t>
      </w:r>
      <w:r w:rsidRPr="004D0DE2">
        <w:rPr>
          <w:rFonts w:ascii="Times New Roman" w:hAnsi="Times New Roman"/>
        </w:rPr>
        <w:t xml:space="preserve">. Translated by Benjamin Jowett. Mineola, NY: Dover Publications, </w:t>
      </w:r>
      <w:r w:rsidRPr="004D0DE2">
        <w:rPr>
          <w:rFonts w:ascii="Times New Roman" w:hAnsi="Times New Roman"/>
        </w:rPr>
        <w:tab/>
        <w:t>2000. Kindle.</w:t>
      </w:r>
    </w:p>
    <w:p w:rsidR="004D0DE2" w:rsidRPr="004D0DE2" w:rsidRDefault="004D0DE2" w:rsidP="004D0DE2">
      <w:pPr>
        <w:rPr>
          <w:rFonts w:ascii="Times New Roman" w:hAnsi="Times New Roman"/>
        </w:rPr>
      </w:pPr>
      <w:r w:rsidRPr="004D0DE2">
        <w:rPr>
          <w:rFonts w:ascii="Times New Roman" w:hAnsi="Times New Roman"/>
        </w:rPr>
        <w:t xml:space="preserve">Pliny the Elder. </w:t>
      </w:r>
      <w:r w:rsidRPr="004D0DE2">
        <w:rPr>
          <w:rFonts w:ascii="Times New Roman" w:hAnsi="Times New Roman"/>
          <w:i/>
        </w:rPr>
        <w:t>Natural Histories</w:t>
      </w:r>
      <w:r w:rsidRPr="004D0DE2">
        <w:rPr>
          <w:rFonts w:ascii="Times New Roman" w:hAnsi="Times New Roman"/>
        </w:rPr>
        <w:t xml:space="preserve">. Translated by John Bostock and H.T. Riley. In </w:t>
      </w:r>
      <w:r w:rsidRPr="004D0DE2">
        <w:rPr>
          <w:rFonts w:ascii="Times New Roman" w:hAnsi="Times New Roman"/>
          <w:i/>
        </w:rPr>
        <w:t xml:space="preserve">The </w:t>
      </w:r>
      <w:r w:rsidRPr="004D0DE2">
        <w:rPr>
          <w:rFonts w:ascii="Times New Roman" w:hAnsi="Times New Roman"/>
          <w:i/>
        </w:rPr>
        <w:tab/>
        <w:t>Complete Works of Pliny the Elder</w:t>
      </w:r>
      <w:r w:rsidRPr="004D0DE2">
        <w:rPr>
          <w:rFonts w:ascii="Times New Roman" w:hAnsi="Times New Roman"/>
        </w:rPr>
        <w:t>. Delphi Classics, 2015. Kindle.</w:t>
      </w:r>
    </w:p>
    <w:p w:rsidR="004D0DE2" w:rsidRPr="004D0DE2" w:rsidRDefault="004D0DE2" w:rsidP="004D0DE2">
      <w:pPr>
        <w:rPr>
          <w:rFonts w:ascii="Times New Roman" w:hAnsi="Times New Roman"/>
        </w:rPr>
      </w:pPr>
      <w:r w:rsidRPr="004D0DE2">
        <w:rPr>
          <w:rFonts w:ascii="Times New Roman" w:hAnsi="Times New Roman"/>
        </w:rPr>
        <w:t xml:space="preserve">Preziosi, Donald and Louise A. Hitchcock. </w:t>
      </w:r>
      <w:r w:rsidRPr="004D0DE2">
        <w:rPr>
          <w:rFonts w:ascii="Times New Roman" w:hAnsi="Times New Roman"/>
          <w:i/>
        </w:rPr>
        <w:t>Aegean Art and Architecture</w:t>
      </w:r>
      <w:r w:rsidRPr="004D0DE2">
        <w:rPr>
          <w:rFonts w:ascii="Times New Roman" w:hAnsi="Times New Roman"/>
        </w:rPr>
        <w:t xml:space="preserve">. Oxford: </w:t>
      </w:r>
      <w:r w:rsidRPr="004D0DE2">
        <w:rPr>
          <w:rFonts w:ascii="Times New Roman" w:hAnsi="Times New Roman"/>
        </w:rPr>
        <w:tab/>
        <w:t>Oxford University Press, 1999.</w:t>
      </w:r>
    </w:p>
    <w:p w:rsidR="004D0DE2" w:rsidRPr="004D0DE2" w:rsidRDefault="004D0DE2" w:rsidP="004D0DE2">
      <w:pPr>
        <w:rPr>
          <w:rFonts w:ascii="Times New Roman" w:hAnsi="Times New Roman"/>
        </w:rPr>
      </w:pPr>
      <w:bookmarkStart w:id="113" w:name="_Hlk479971777"/>
      <w:r w:rsidRPr="004D0DE2">
        <w:rPr>
          <w:rFonts w:ascii="Times New Roman" w:hAnsi="Times New Roman"/>
        </w:rPr>
        <w:t>Renfrew, Colin</w:t>
      </w:r>
      <w:bookmarkEnd w:id="113"/>
      <w:r w:rsidRPr="004D0DE2">
        <w:rPr>
          <w:rFonts w:ascii="Times New Roman" w:hAnsi="Times New Roman"/>
        </w:rPr>
        <w:t xml:space="preserve">. “Cycladic Metallurgy and the Aegean Early Bronze Age.” </w:t>
      </w:r>
      <w:r w:rsidRPr="004D0DE2">
        <w:rPr>
          <w:rFonts w:ascii="Times New Roman" w:hAnsi="Times New Roman"/>
          <w:i/>
        </w:rPr>
        <w:t xml:space="preserve">American </w:t>
      </w:r>
      <w:r w:rsidRPr="004D0DE2">
        <w:rPr>
          <w:rFonts w:ascii="Times New Roman" w:hAnsi="Times New Roman"/>
          <w:i/>
        </w:rPr>
        <w:tab/>
        <w:t xml:space="preserve">Journal of Archaeology </w:t>
      </w:r>
      <w:r w:rsidRPr="004D0DE2">
        <w:rPr>
          <w:rFonts w:ascii="Times New Roman" w:hAnsi="Times New Roman"/>
        </w:rPr>
        <w:t xml:space="preserve">71, no. 1 (Jan 1967): 1-20. Accessed 01-27-2010. </w:t>
      </w:r>
      <w:r w:rsidRPr="004D0DE2">
        <w:rPr>
          <w:rFonts w:ascii="Times New Roman" w:hAnsi="Times New Roman"/>
        </w:rPr>
        <w:tab/>
        <w:t>http://www.jstor.org/</w:t>
      </w:r>
      <w:r w:rsidRPr="004D0DE2">
        <w:rPr>
          <w:rFonts w:ascii="Times New Roman" w:hAnsi="Times New Roman"/>
        </w:rPr>
        <w:tab/>
        <w:t>stable/501585.</w:t>
      </w:r>
    </w:p>
    <w:p w:rsidR="004D0DE2" w:rsidRPr="004D0DE2" w:rsidRDefault="004D0DE2" w:rsidP="004D0DE2">
      <w:pPr>
        <w:rPr>
          <w:rFonts w:ascii="Times New Roman" w:hAnsi="Times New Roman"/>
        </w:rPr>
      </w:pPr>
      <w:bookmarkStart w:id="114" w:name="_Hlk479971589"/>
      <w:r w:rsidRPr="004D0DE2">
        <w:rPr>
          <w:rFonts w:ascii="Times New Roman" w:hAnsi="Times New Roman"/>
        </w:rPr>
        <w:lastRenderedPageBreak/>
        <w:t xml:space="preserve">------. “The Development and Chronology of the Early Cycladic Figurines.” </w:t>
      </w:r>
      <w:r w:rsidRPr="004D0DE2">
        <w:rPr>
          <w:rFonts w:ascii="Times New Roman" w:hAnsi="Times New Roman"/>
          <w:i/>
        </w:rPr>
        <w:t xml:space="preserve">The </w:t>
      </w:r>
      <w:r w:rsidRPr="004D0DE2">
        <w:rPr>
          <w:rFonts w:ascii="Times New Roman" w:hAnsi="Times New Roman"/>
          <w:i/>
        </w:rPr>
        <w:tab/>
        <w:t>American Journal of Archaeology</w:t>
      </w:r>
      <w:r w:rsidRPr="004D0DE2">
        <w:rPr>
          <w:rFonts w:ascii="Times New Roman" w:hAnsi="Times New Roman"/>
        </w:rPr>
        <w:t xml:space="preserve"> 73 (Jan 1969): 1-32. Accessed 7-15-2016. </w:t>
      </w:r>
      <w:r w:rsidRPr="004D0DE2">
        <w:rPr>
          <w:rFonts w:ascii="Times New Roman" w:hAnsi="Times New Roman"/>
        </w:rPr>
        <w:tab/>
        <w:t xml:space="preserve">http://www.jstor.org/stable/503370. </w:t>
      </w:r>
    </w:p>
    <w:bookmarkEnd w:id="114"/>
    <w:p w:rsidR="004D0DE2" w:rsidRPr="004D0DE2" w:rsidRDefault="004D0DE2" w:rsidP="004D0DE2">
      <w:pPr>
        <w:rPr>
          <w:rFonts w:ascii="Times New Roman" w:hAnsi="Times New Roman"/>
        </w:rPr>
      </w:pPr>
      <w:r w:rsidRPr="004D0DE2">
        <w:rPr>
          <w:rFonts w:ascii="Times New Roman" w:hAnsi="Times New Roman"/>
        </w:rPr>
        <w:t xml:space="preserve">------. </w:t>
      </w:r>
      <w:bookmarkStart w:id="115" w:name="_Hlk480541930"/>
      <w:r w:rsidRPr="004D0DE2">
        <w:rPr>
          <w:rFonts w:ascii="Times New Roman" w:hAnsi="Times New Roman"/>
          <w:i/>
        </w:rPr>
        <w:t xml:space="preserve">The Emergence of Civilization: The Cyclades and the Aegean in the Third </w:t>
      </w:r>
      <w:r w:rsidRPr="004D0DE2">
        <w:rPr>
          <w:rFonts w:ascii="Times New Roman" w:hAnsi="Times New Roman"/>
          <w:i/>
        </w:rPr>
        <w:tab/>
        <w:t>Millennium B.C.</w:t>
      </w:r>
      <w:r w:rsidRPr="004D0DE2">
        <w:rPr>
          <w:rFonts w:ascii="Times New Roman" w:hAnsi="Times New Roman"/>
        </w:rPr>
        <w:t xml:space="preserve"> London: Methuen, 1972.</w:t>
      </w:r>
      <w:bookmarkEnd w:id="115"/>
    </w:p>
    <w:p w:rsidR="004D0DE2" w:rsidRPr="004D0DE2" w:rsidRDefault="004D0DE2" w:rsidP="004D0DE2">
      <w:pPr>
        <w:rPr>
          <w:rFonts w:ascii="Times New Roman" w:hAnsi="Times New Roman"/>
        </w:rPr>
      </w:pPr>
      <w:r w:rsidRPr="004D0DE2">
        <w:rPr>
          <w:rFonts w:ascii="Times New Roman" w:hAnsi="Times New Roman"/>
        </w:rPr>
        <w:t xml:space="preserve">------. “The Cycladic Culture.” In </w:t>
      </w:r>
      <w:r w:rsidRPr="004D0DE2">
        <w:rPr>
          <w:rFonts w:ascii="Times New Roman" w:hAnsi="Times New Roman"/>
          <w:i/>
        </w:rPr>
        <w:t xml:space="preserve">Art and Culture of the Cyclades in the Third </w:t>
      </w:r>
      <w:r w:rsidRPr="004D0DE2">
        <w:rPr>
          <w:rFonts w:ascii="Times New Roman" w:hAnsi="Times New Roman"/>
          <w:i/>
        </w:rPr>
        <w:tab/>
        <w:t>Millennium B.C.,</w:t>
      </w:r>
      <w:r w:rsidRPr="004D0DE2">
        <w:rPr>
          <w:rFonts w:ascii="Times New Roman" w:hAnsi="Times New Roman"/>
        </w:rPr>
        <w:t xml:space="preserve"> edited by Jürgen Thimme, 17-30. Chicago: University of </w:t>
      </w:r>
      <w:r w:rsidRPr="004D0DE2">
        <w:rPr>
          <w:rFonts w:ascii="Times New Roman" w:hAnsi="Times New Roman"/>
        </w:rPr>
        <w:tab/>
        <w:t>Chicago Press, 1977.</w:t>
      </w:r>
    </w:p>
    <w:p w:rsidR="004D0DE2" w:rsidRPr="004D0DE2" w:rsidRDefault="004D0DE2" w:rsidP="004D0DE2">
      <w:pPr>
        <w:rPr>
          <w:rFonts w:ascii="Times New Roman" w:hAnsi="Times New Roman"/>
        </w:rPr>
      </w:pPr>
      <w:r w:rsidRPr="004D0DE2">
        <w:rPr>
          <w:rFonts w:ascii="Times New Roman" w:hAnsi="Times New Roman"/>
        </w:rPr>
        <w:t xml:space="preserve">------. “Speculations on the Use of Early Cycladic Sculpture.” In </w:t>
      </w:r>
      <w:r w:rsidRPr="004D0DE2">
        <w:rPr>
          <w:rFonts w:ascii="Times New Roman" w:hAnsi="Times New Roman"/>
          <w:i/>
        </w:rPr>
        <w:t>Cycladica</w:t>
      </w:r>
      <w:r w:rsidRPr="004D0DE2">
        <w:rPr>
          <w:rFonts w:ascii="Times New Roman" w:hAnsi="Times New Roman"/>
        </w:rPr>
        <w:t xml:space="preserve">, edited by </w:t>
      </w:r>
      <w:r w:rsidRPr="004D0DE2">
        <w:rPr>
          <w:rFonts w:ascii="Times New Roman" w:hAnsi="Times New Roman"/>
        </w:rPr>
        <w:tab/>
        <w:t>J.L. Fitton, 24-30. London: British Museum Publications, 1984.</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The Cycladic Spirit: Masterpieces from the Nicholas P. Goulandris Collection.</w:t>
      </w:r>
      <w:r w:rsidRPr="004D0DE2">
        <w:rPr>
          <w:rFonts w:ascii="Times New Roman" w:hAnsi="Times New Roman"/>
          <w:i/>
        </w:rPr>
        <w:tab/>
      </w:r>
      <w:r w:rsidRPr="004D0DE2">
        <w:rPr>
          <w:rFonts w:ascii="Times New Roman" w:hAnsi="Times New Roman"/>
        </w:rPr>
        <w:t xml:space="preserve">New York: H.N. Abrams and Nicholas P Goulandris Foundation, Museum of </w:t>
      </w:r>
      <w:r w:rsidRPr="004D0DE2">
        <w:rPr>
          <w:rFonts w:ascii="Times New Roman" w:hAnsi="Times New Roman"/>
        </w:rPr>
        <w:tab/>
        <w:t>Cycladic Art, Athens, 1991.</w:t>
      </w:r>
    </w:p>
    <w:p w:rsidR="004D0DE2" w:rsidRPr="004D0DE2" w:rsidRDefault="004D0DE2" w:rsidP="004D0DE2">
      <w:pPr>
        <w:rPr>
          <w:rFonts w:ascii="Times New Roman" w:hAnsi="Times New Roman"/>
        </w:rPr>
      </w:pPr>
      <w:r w:rsidRPr="004D0DE2">
        <w:rPr>
          <w:rFonts w:ascii="Times New Roman" w:hAnsi="Times New Roman"/>
        </w:rPr>
        <w:t xml:space="preserve">------, et al., “Keros: Dhaskalio and Kavos, Early Cycladic Stronghold and Ritual </w:t>
      </w:r>
      <w:r w:rsidRPr="004D0DE2">
        <w:rPr>
          <w:rFonts w:ascii="Times New Roman" w:hAnsi="Times New Roman"/>
        </w:rPr>
        <w:tab/>
        <w:t xml:space="preserve">Centre. Preliminary Report of the 2006 and 2007 Excavation Seasons.” </w:t>
      </w:r>
      <w:r w:rsidRPr="004D0DE2">
        <w:rPr>
          <w:rFonts w:ascii="Times New Roman" w:hAnsi="Times New Roman"/>
          <w:i/>
        </w:rPr>
        <w:t>The</w:t>
      </w:r>
      <w:r w:rsidRPr="004D0DE2">
        <w:rPr>
          <w:rFonts w:ascii="Times New Roman" w:hAnsi="Times New Roman"/>
          <w:i/>
        </w:rPr>
        <w:tab/>
        <w:t xml:space="preserve"> Annual of the British School at Athens</w:t>
      </w:r>
      <w:r w:rsidRPr="004D0DE2">
        <w:rPr>
          <w:rFonts w:ascii="Times New Roman" w:hAnsi="Times New Roman"/>
        </w:rPr>
        <w:t xml:space="preserve"> 102 (2007): 103-136. Accessed 5-26-</w:t>
      </w:r>
      <w:r w:rsidRPr="004D0DE2">
        <w:rPr>
          <w:rFonts w:ascii="Times New Roman" w:hAnsi="Times New Roman"/>
        </w:rPr>
        <w:tab/>
        <w:t>2016. http://www.jstor.org/stable/30245247.</w:t>
      </w:r>
    </w:p>
    <w:p w:rsidR="004D0DE2" w:rsidRPr="004D0DE2" w:rsidRDefault="004D0DE2" w:rsidP="004D0DE2">
      <w:pPr>
        <w:rPr>
          <w:rFonts w:ascii="Times New Roman" w:hAnsi="Times New Roman"/>
        </w:rPr>
      </w:pPr>
      <w:r w:rsidRPr="004D0DE2">
        <w:rPr>
          <w:rFonts w:ascii="Times New Roman" w:hAnsi="Times New Roman"/>
        </w:rPr>
        <w:t xml:space="preserve">------. “Contrasting Trajectories: Crete and the Cyclades During the Aegean Early </w:t>
      </w:r>
      <w:r w:rsidRPr="004D0DE2">
        <w:rPr>
          <w:rFonts w:ascii="Times New Roman" w:hAnsi="Times New Roman"/>
        </w:rPr>
        <w:tab/>
        <w:t xml:space="preserve">Bronze Age.” </w:t>
      </w:r>
      <w:r w:rsidRPr="004D0DE2">
        <w:rPr>
          <w:rFonts w:ascii="Times New Roman" w:hAnsi="Times New Roman"/>
        </w:rPr>
        <w:tab/>
      </w:r>
      <w:r w:rsidRPr="004D0DE2">
        <w:rPr>
          <w:rFonts w:ascii="Times New Roman" w:hAnsi="Times New Roman"/>
          <w:i/>
        </w:rPr>
        <w:t>British School at Athens Studies</w:t>
      </w:r>
      <w:r w:rsidRPr="004D0DE2">
        <w:rPr>
          <w:rFonts w:ascii="Times New Roman" w:hAnsi="Times New Roman"/>
        </w:rPr>
        <w:t xml:space="preserve"> 18 (2010): 285-291. Accessed 7-</w:t>
      </w:r>
      <w:r w:rsidRPr="004D0DE2">
        <w:rPr>
          <w:rFonts w:ascii="Times New Roman" w:hAnsi="Times New Roman"/>
        </w:rPr>
        <w:tab/>
        <w:t>26-2016. http://www.jstor.org/stable/23276784.</w:t>
      </w:r>
    </w:p>
    <w:p w:rsidR="004D0DE2" w:rsidRPr="004D0DE2" w:rsidRDefault="004D0DE2" w:rsidP="004D0DE2">
      <w:pPr>
        <w:rPr>
          <w:rFonts w:ascii="Times New Roman" w:hAnsi="Times New Roman"/>
        </w:rPr>
      </w:pPr>
      <w:r w:rsidRPr="004D0DE2">
        <w:rPr>
          <w:rFonts w:ascii="Times New Roman" w:hAnsi="Times New Roman"/>
        </w:rPr>
        <w:t xml:space="preserve">------, et al., </w:t>
      </w:r>
      <w:r w:rsidRPr="004D0DE2">
        <w:rPr>
          <w:rFonts w:ascii="Times New Roman" w:hAnsi="Times New Roman"/>
          <w:i/>
          <w:iCs/>
        </w:rPr>
        <w:t xml:space="preserve">The Sanctuary on Keros and the Origins of Aegean Ritual Practice: The </w:t>
      </w:r>
      <w:r w:rsidRPr="004D0DE2">
        <w:rPr>
          <w:rFonts w:ascii="Times New Roman" w:hAnsi="Times New Roman"/>
          <w:i/>
          <w:iCs/>
        </w:rPr>
        <w:tab/>
        <w:t>Excavations of 2006-2008. Vol. 1, The Settlement at Dhaskalio</w:t>
      </w:r>
      <w:r w:rsidRPr="004D0DE2">
        <w:rPr>
          <w:rFonts w:ascii="Times New Roman" w:hAnsi="Times New Roman"/>
        </w:rPr>
        <w:t xml:space="preserve">. Cambridge: </w:t>
      </w:r>
      <w:r w:rsidRPr="004D0DE2">
        <w:rPr>
          <w:rFonts w:ascii="Times New Roman" w:hAnsi="Times New Roman"/>
        </w:rPr>
        <w:tab/>
        <w:t>McDonald Institute for Archaeological Research, 2013.</w:t>
      </w:r>
    </w:p>
    <w:p w:rsidR="004D0DE2" w:rsidRPr="004D0DE2" w:rsidRDefault="004D0DE2" w:rsidP="004D0DE2">
      <w:pPr>
        <w:rPr>
          <w:rFonts w:ascii="Times New Roman" w:hAnsi="Times New Roman"/>
        </w:rPr>
      </w:pPr>
      <w:r w:rsidRPr="004D0DE2">
        <w:rPr>
          <w:rFonts w:ascii="Times New Roman" w:hAnsi="Times New Roman"/>
        </w:rPr>
        <w:lastRenderedPageBreak/>
        <w:t xml:space="preserve">------, et al., </w:t>
      </w:r>
      <w:bookmarkStart w:id="116" w:name="_Hlk480015568"/>
      <w:r w:rsidRPr="004D0DE2">
        <w:rPr>
          <w:rFonts w:ascii="Times New Roman" w:hAnsi="Times New Roman"/>
          <w:i/>
          <w:iCs/>
        </w:rPr>
        <w:t xml:space="preserve">The Sanctuary on Keros and the Origins of Aegean Ritual Practice: The </w:t>
      </w:r>
      <w:r w:rsidRPr="004D0DE2">
        <w:rPr>
          <w:rFonts w:ascii="Times New Roman" w:hAnsi="Times New Roman"/>
          <w:i/>
          <w:iCs/>
        </w:rPr>
        <w:tab/>
        <w:t>Excavations of 2006-2008. Volume II</w:t>
      </w:r>
      <w:bookmarkEnd w:id="116"/>
      <w:r w:rsidRPr="004D0DE2">
        <w:rPr>
          <w:rFonts w:ascii="Times New Roman" w:hAnsi="Times New Roman"/>
          <w:i/>
          <w:iCs/>
        </w:rPr>
        <w:t xml:space="preserve">, </w:t>
      </w:r>
      <w:r w:rsidRPr="004D0DE2">
        <w:rPr>
          <w:rFonts w:ascii="Times New Roman" w:hAnsi="Times New Roman"/>
          <w:i/>
          <w:iCs/>
          <w:noProof/>
        </w:rPr>
        <w:t>Kavos</w:t>
      </w:r>
      <w:r w:rsidRPr="004D0DE2">
        <w:rPr>
          <w:rFonts w:ascii="Times New Roman" w:hAnsi="Times New Roman"/>
          <w:i/>
          <w:iCs/>
        </w:rPr>
        <w:t xml:space="preserve"> and the Special Deposits</w:t>
      </w:r>
      <w:r w:rsidRPr="004D0DE2">
        <w:rPr>
          <w:rFonts w:ascii="Times New Roman" w:hAnsi="Times New Roman"/>
        </w:rPr>
        <w:t xml:space="preserve">. </w:t>
      </w:r>
      <w:bookmarkStart w:id="117" w:name="_Hlk480015608"/>
      <w:r w:rsidRPr="004D0DE2">
        <w:rPr>
          <w:rFonts w:ascii="Times New Roman" w:hAnsi="Times New Roman"/>
        </w:rPr>
        <w:tab/>
        <w:t>Cambridge: McDonald Institute for Archaeological Research, 2015.</w:t>
      </w:r>
    </w:p>
    <w:bookmarkEnd w:id="117"/>
    <w:p w:rsidR="004D0DE2" w:rsidRPr="004D0DE2" w:rsidRDefault="004D0DE2" w:rsidP="004D0DE2">
      <w:pPr>
        <w:rPr>
          <w:rFonts w:ascii="Times New Roman" w:hAnsi="Times New Roman"/>
          <w:lang w:val="de-DE"/>
        </w:rPr>
      </w:pPr>
      <w:r w:rsidRPr="004D0DE2">
        <w:rPr>
          <w:rFonts w:ascii="Times New Roman" w:hAnsi="Times New Roman"/>
          <w:lang w:val="de-DE"/>
        </w:rPr>
        <w:t xml:space="preserve">Rosen, Brenda. </w:t>
      </w:r>
      <w:r w:rsidRPr="004D0DE2">
        <w:rPr>
          <w:rFonts w:ascii="Times New Roman" w:hAnsi="Times New Roman"/>
          <w:i/>
          <w:lang w:val="de-DE"/>
        </w:rPr>
        <w:t xml:space="preserve">The Mythical Creatures Bible: The Definitive Guide to Legendary </w:t>
      </w:r>
      <w:r w:rsidRPr="004D0DE2">
        <w:rPr>
          <w:rFonts w:ascii="Times New Roman" w:hAnsi="Times New Roman"/>
          <w:i/>
          <w:lang w:val="de-DE"/>
        </w:rPr>
        <w:tab/>
        <w:t>Beings</w:t>
      </w:r>
      <w:r w:rsidRPr="004D0DE2">
        <w:rPr>
          <w:rFonts w:ascii="Times New Roman" w:hAnsi="Times New Roman"/>
          <w:lang w:val="de-DE"/>
        </w:rPr>
        <w:t>. New York: Sterling, 2009.</w:t>
      </w:r>
    </w:p>
    <w:p w:rsidR="004D0DE2" w:rsidRPr="004D0DE2" w:rsidRDefault="004D0DE2" w:rsidP="004D0DE2">
      <w:pPr>
        <w:rPr>
          <w:rFonts w:ascii="Times New Roman" w:hAnsi="Times New Roman"/>
        </w:rPr>
      </w:pPr>
      <w:r w:rsidRPr="004D0DE2">
        <w:rPr>
          <w:rFonts w:ascii="Times New Roman" w:hAnsi="Times New Roman"/>
        </w:rPr>
        <w:t xml:space="preserve">Rutter, Jeremy B. “Aegean Prehistoric Archaeology.” Dartmouth College. Last </w:t>
      </w:r>
      <w:r w:rsidRPr="004D0DE2">
        <w:rPr>
          <w:rFonts w:ascii="Times New Roman" w:hAnsi="Times New Roman"/>
        </w:rPr>
        <w:tab/>
        <w:t xml:space="preserve">modified n.d. </w:t>
      </w:r>
      <w:r w:rsidRPr="004D0DE2">
        <w:rPr>
          <w:rFonts w:ascii="Times New Roman" w:hAnsi="Times New Roman"/>
        </w:rPr>
        <w:tab/>
        <w:t>Accessed 2/18/2017. http://www.dartmouth.edu/</w:t>
      </w:r>
    </w:p>
    <w:p w:rsidR="004D0DE2" w:rsidRPr="004D0DE2" w:rsidRDefault="004D0DE2" w:rsidP="004D0DE2">
      <w:pPr>
        <w:ind w:firstLine="720"/>
        <w:rPr>
          <w:rFonts w:ascii="Times New Roman" w:hAnsi="Times New Roman"/>
        </w:rPr>
      </w:pPr>
      <w:r w:rsidRPr="004D0DE2">
        <w:rPr>
          <w:rFonts w:ascii="Times New Roman" w:hAnsi="Times New Roman"/>
        </w:rPr>
        <w:t>~prehistory/aegean/.</w:t>
      </w:r>
    </w:p>
    <w:p w:rsidR="004D0DE2" w:rsidRPr="004D0DE2" w:rsidRDefault="004D0DE2" w:rsidP="004D0DE2">
      <w:pPr>
        <w:rPr>
          <w:rFonts w:ascii="Times New Roman" w:hAnsi="Times New Roman"/>
        </w:rPr>
      </w:pPr>
      <w:r w:rsidRPr="004D0DE2">
        <w:rPr>
          <w:rFonts w:ascii="Times New Roman" w:hAnsi="Times New Roman"/>
          <w:lang w:val="de-DE"/>
        </w:rPr>
        <w:t xml:space="preserve">Sakellarakis, J.A. </w:t>
      </w:r>
      <w:r w:rsidRPr="004D0DE2">
        <w:rPr>
          <w:rFonts w:ascii="Times New Roman" w:hAnsi="Times New Roman"/>
          <w:i/>
          <w:lang w:val="de-DE"/>
        </w:rPr>
        <w:t>Herakleion Museum</w:t>
      </w:r>
      <w:r w:rsidRPr="004D0DE2">
        <w:rPr>
          <w:rFonts w:ascii="Times New Roman" w:hAnsi="Times New Roman"/>
          <w:lang w:val="de-DE"/>
        </w:rPr>
        <w:t xml:space="preserve">. </w:t>
      </w:r>
      <w:r w:rsidRPr="004D0DE2">
        <w:rPr>
          <w:rFonts w:ascii="Times New Roman" w:hAnsi="Times New Roman"/>
        </w:rPr>
        <w:t xml:space="preserve">Athens: Ekdotike Athenon, 1999. </w:t>
      </w:r>
    </w:p>
    <w:p w:rsidR="004D0DE2" w:rsidRPr="004D0DE2" w:rsidRDefault="004D0DE2" w:rsidP="004D0DE2">
      <w:pPr>
        <w:rPr>
          <w:rFonts w:ascii="Times New Roman" w:hAnsi="Times New Roman"/>
        </w:rPr>
      </w:pPr>
      <w:r w:rsidRPr="004D0DE2">
        <w:rPr>
          <w:rFonts w:ascii="Times New Roman" w:hAnsi="Times New Roman"/>
        </w:rPr>
        <w:t>Sapouna-Sakellariakis, E. </w:t>
      </w:r>
      <w:r w:rsidRPr="004D0DE2">
        <w:rPr>
          <w:rFonts w:ascii="Times New Roman" w:hAnsi="Times New Roman"/>
          <w:i/>
        </w:rPr>
        <w:t xml:space="preserve">Cycladic Civilization and the Cycladic Collection of the </w:t>
      </w:r>
      <w:r w:rsidRPr="004D0DE2">
        <w:rPr>
          <w:rFonts w:ascii="Times New Roman" w:hAnsi="Times New Roman"/>
          <w:i/>
        </w:rPr>
        <w:tab/>
        <w:t>National Archaeological Museum of Athens.</w:t>
      </w:r>
      <w:r w:rsidRPr="004D0DE2">
        <w:rPr>
          <w:rFonts w:ascii="Times New Roman" w:hAnsi="Times New Roman"/>
        </w:rPr>
        <w:t xml:space="preserve"> Athens: Apollo Editions, 1973.  </w:t>
      </w:r>
    </w:p>
    <w:p w:rsidR="004D0DE2" w:rsidRPr="004D0DE2" w:rsidRDefault="004D0DE2" w:rsidP="004D0DE2">
      <w:pPr>
        <w:rPr>
          <w:rFonts w:ascii="Times New Roman" w:hAnsi="Times New Roman"/>
        </w:rPr>
      </w:pPr>
      <w:r w:rsidRPr="004D0DE2">
        <w:rPr>
          <w:rFonts w:ascii="Times New Roman" w:hAnsi="Times New Roman"/>
        </w:rPr>
        <w:t>Schoch, Robert M. "Redating the Great Sphinx of Giza." </w:t>
      </w:r>
      <w:r w:rsidRPr="004D0DE2">
        <w:rPr>
          <w:rFonts w:ascii="Times New Roman" w:hAnsi="Times New Roman"/>
          <w:i/>
          <w:iCs/>
        </w:rPr>
        <w:t xml:space="preserve">KMT: A Modern Journal of </w:t>
      </w:r>
      <w:r w:rsidRPr="004D0DE2">
        <w:rPr>
          <w:rFonts w:ascii="Times New Roman" w:hAnsi="Times New Roman"/>
          <w:i/>
          <w:iCs/>
        </w:rPr>
        <w:tab/>
        <w:t>Ancient Egypt</w:t>
      </w:r>
      <w:r w:rsidRPr="004D0DE2">
        <w:rPr>
          <w:rFonts w:ascii="Times New Roman" w:hAnsi="Times New Roman"/>
        </w:rPr>
        <w:t> 3, no. 2 (1992): 52-59.</w:t>
      </w:r>
    </w:p>
    <w:p w:rsidR="004D0DE2" w:rsidRPr="004D0DE2" w:rsidRDefault="004D0DE2" w:rsidP="004D0DE2">
      <w:pPr>
        <w:rPr>
          <w:rFonts w:ascii="Times New Roman" w:hAnsi="Times New Roman"/>
        </w:rPr>
      </w:pPr>
      <w:r w:rsidRPr="004D0DE2">
        <w:rPr>
          <w:rFonts w:ascii="Times New Roman" w:hAnsi="Times New Roman"/>
        </w:rPr>
        <w:t xml:space="preserve">Shelmerdine, Cynthia W., ed.  </w:t>
      </w:r>
      <w:r w:rsidRPr="004D0DE2">
        <w:rPr>
          <w:rFonts w:ascii="Times New Roman" w:hAnsi="Times New Roman"/>
          <w:i/>
        </w:rPr>
        <w:t>The Cambridge Companion to the Aegean Bronze Age.</w:t>
      </w:r>
      <w:r w:rsidRPr="004D0DE2">
        <w:rPr>
          <w:rFonts w:ascii="Times New Roman" w:hAnsi="Times New Roman"/>
        </w:rPr>
        <w:t xml:space="preserve"> </w:t>
      </w:r>
      <w:r w:rsidRPr="004D0DE2">
        <w:rPr>
          <w:rFonts w:ascii="Times New Roman" w:hAnsi="Times New Roman"/>
        </w:rPr>
        <w:tab/>
        <w:t xml:space="preserve">Cambridge: Cambridge University Press, 2008. </w:t>
      </w:r>
    </w:p>
    <w:p w:rsidR="004D0DE2" w:rsidRPr="004D0DE2" w:rsidRDefault="004D0DE2" w:rsidP="004D0DE2">
      <w:pPr>
        <w:rPr>
          <w:rFonts w:ascii="Times New Roman" w:hAnsi="Times New Roman"/>
        </w:rPr>
      </w:pPr>
      <w:bookmarkStart w:id="118" w:name="_Hlk479971815"/>
      <w:r w:rsidRPr="004D0DE2">
        <w:rPr>
          <w:rFonts w:ascii="Times New Roman" w:hAnsi="Times New Roman"/>
        </w:rPr>
        <w:t xml:space="preserve">Snell, Daniel C., ed. </w:t>
      </w:r>
      <w:r w:rsidRPr="004D0DE2">
        <w:rPr>
          <w:rFonts w:ascii="Times New Roman" w:hAnsi="Times New Roman"/>
          <w:i/>
        </w:rPr>
        <w:t>A Companion to the Ancient Near East</w:t>
      </w:r>
      <w:r w:rsidRPr="004D0DE2">
        <w:rPr>
          <w:rFonts w:ascii="Times New Roman" w:hAnsi="Times New Roman"/>
        </w:rPr>
        <w:t xml:space="preserve">. Malden, MA: Blackwell, </w:t>
      </w:r>
      <w:r w:rsidRPr="004D0DE2">
        <w:rPr>
          <w:rFonts w:ascii="Times New Roman" w:hAnsi="Times New Roman"/>
        </w:rPr>
        <w:tab/>
        <w:t>2007.</w:t>
      </w:r>
    </w:p>
    <w:p w:rsidR="004D0DE2" w:rsidRPr="004D0DE2" w:rsidRDefault="004D0DE2" w:rsidP="004D0DE2">
      <w:pPr>
        <w:rPr>
          <w:rFonts w:ascii="Times New Roman" w:hAnsi="Times New Roman"/>
        </w:rPr>
      </w:pPr>
      <w:r w:rsidRPr="004D0DE2">
        <w:rPr>
          <w:rFonts w:ascii="Times New Roman" w:hAnsi="Times New Roman"/>
        </w:rPr>
        <w:t xml:space="preserve">Sotirakopoulou, Panayiota. </w:t>
      </w:r>
      <w:bookmarkEnd w:id="118"/>
      <w:r w:rsidRPr="004D0DE2">
        <w:rPr>
          <w:rFonts w:ascii="Times New Roman" w:hAnsi="Times New Roman"/>
        </w:rPr>
        <w:t xml:space="preserve">“The Chronology of the ‘Kastri Group’ Reconsidered.” </w:t>
      </w:r>
      <w:r w:rsidRPr="004D0DE2">
        <w:rPr>
          <w:rFonts w:ascii="Times New Roman" w:hAnsi="Times New Roman"/>
          <w:i/>
        </w:rPr>
        <w:t>The</w:t>
      </w:r>
      <w:r w:rsidRPr="004D0DE2">
        <w:rPr>
          <w:rFonts w:ascii="Times New Roman" w:hAnsi="Times New Roman"/>
          <w:i/>
        </w:rPr>
        <w:tab/>
        <w:t xml:space="preserve"> Annual of the British School at Athens</w:t>
      </w:r>
      <w:r w:rsidRPr="004D0DE2">
        <w:rPr>
          <w:rFonts w:ascii="Times New Roman" w:hAnsi="Times New Roman"/>
        </w:rPr>
        <w:t xml:space="preserve"> 88 (1993): 5-20. Accessed 12-07-2009. </w:t>
      </w:r>
      <w:r w:rsidRPr="004D0DE2">
        <w:rPr>
          <w:rFonts w:ascii="Times New Roman" w:hAnsi="Times New Roman"/>
        </w:rPr>
        <w:tab/>
        <w:t>http://www.jstor.org/stable/30064355.</w:t>
      </w:r>
    </w:p>
    <w:p w:rsidR="004D0DE2" w:rsidRPr="004D0DE2" w:rsidRDefault="004D0DE2" w:rsidP="004D0DE2">
      <w:pPr>
        <w:rPr>
          <w:rFonts w:ascii="Times New Roman" w:hAnsi="Times New Roman"/>
        </w:rPr>
      </w:pPr>
      <w:r w:rsidRPr="004D0DE2">
        <w:rPr>
          <w:rFonts w:ascii="Times New Roman" w:hAnsi="Times New Roman"/>
        </w:rPr>
        <w:t xml:space="preserve">------. “Dhaskalio Kavos, Keros: The Pottery from the Investigations of the 1960s.” In </w:t>
      </w:r>
      <w:r w:rsidRPr="004D0DE2">
        <w:rPr>
          <w:rFonts w:ascii="Times New Roman" w:hAnsi="Times New Roman"/>
        </w:rPr>
        <w:tab/>
      </w:r>
      <w:r w:rsidRPr="004D0DE2">
        <w:rPr>
          <w:rFonts w:ascii="Times New Roman" w:hAnsi="Times New Roman"/>
          <w:i/>
        </w:rPr>
        <w:t>Horizon: A Colloquium on the Prehistory of the Cyclades</w:t>
      </w:r>
      <w:r w:rsidRPr="004D0DE2">
        <w:rPr>
          <w:rFonts w:ascii="Times New Roman" w:hAnsi="Times New Roman"/>
        </w:rPr>
        <w:t xml:space="preserve">, edited by Neil Brodie </w:t>
      </w:r>
      <w:r w:rsidRPr="004D0DE2">
        <w:rPr>
          <w:rFonts w:ascii="Times New Roman" w:hAnsi="Times New Roman"/>
        </w:rPr>
        <w:tab/>
        <w:t>et al., 115-120. Oxford: McDonald Institute for Archaeological Research, 2008.</w:t>
      </w:r>
    </w:p>
    <w:p w:rsidR="004D0DE2" w:rsidRPr="004D0DE2" w:rsidRDefault="004D0DE2" w:rsidP="004D0DE2">
      <w:pPr>
        <w:rPr>
          <w:rFonts w:ascii="Times New Roman" w:hAnsi="Times New Roman"/>
        </w:rPr>
      </w:pPr>
      <w:r w:rsidRPr="004D0DE2">
        <w:rPr>
          <w:rFonts w:ascii="Times New Roman" w:hAnsi="Times New Roman"/>
        </w:rPr>
        <w:lastRenderedPageBreak/>
        <w:t xml:space="preserve">Spivey, Nigel. </w:t>
      </w:r>
      <w:r w:rsidRPr="004D0DE2">
        <w:rPr>
          <w:rFonts w:ascii="Times New Roman" w:hAnsi="Times New Roman"/>
          <w:i/>
        </w:rPr>
        <w:t>How Art Made the World: A Journey to the Origins of Human Creativity</w:t>
      </w:r>
      <w:r w:rsidRPr="004D0DE2">
        <w:rPr>
          <w:rFonts w:ascii="Times New Roman" w:hAnsi="Times New Roman"/>
        </w:rPr>
        <w:t xml:space="preserve">. </w:t>
      </w:r>
      <w:r w:rsidRPr="004D0DE2">
        <w:rPr>
          <w:rFonts w:ascii="Times New Roman" w:hAnsi="Times New Roman"/>
        </w:rPr>
        <w:tab/>
        <w:t xml:space="preserve">New York: Basic Books, 2005. </w:t>
      </w:r>
    </w:p>
    <w:p w:rsidR="004D0DE2" w:rsidRPr="004D0DE2" w:rsidRDefault="004D0DE2" w:rsidP="004D0DE2">
      <w:pPr>
        <w:rPr>
          <w:rFonts w:ascii="Times New Roman" w:hAnsi="Times New Roman"/>
        </w:rPr>
      </w:pPr>
      <w:r w:rsidRPr="004D0DE2">
        <w:rPr>
          <w:rFonts w:ascii="Times New Roman" w:hAnsi="Times New Roman"/>
        </w:rPr>
        <w:t xml:space="preserve">Stampolidis, Nikolaos Chr, and Peggy Sotirakopoulou. </w:t>
      </w:r>
      <w:r w:rsidRPr="004D0DE2">
        <w:rPr>
          <w:rFonts w:ascii="Times New Roman" w:hAnsi="Times New Roman"/>
          <w:i/>
        </w:rPr>
        <w:t xml:space="preserve">Aegean Waves: Artworks of the </w:t>
      </w:r>
      <w:r w:rsidRPr="004D0DE2">
        <w:rPr>
          <w:rFonts w:ascii="Times New Roman" w:hAnsi="Times New Roman"/>
          <w:i/>
        </w:rPr>
        <w:tab/>
        <w:t xml:space="preserve">Early Cycladic Culture in the Museum of Cycladic Art </w:t>
      </w:r>
      <w:r w:rsidRPr="004D0DE2">
        <w:rPr>
          <w:rFonts w:ascii="Times New Roman" w:hAnsi="Times New Roman"/>
          <w:i/>
          <w:noProof/>
        </w:rPr>
        <w:t>at</w:t>
      </w:r>
      <w:r w:rsidRPr="004D0DE2">
        <w:rPr>
          <w:rFonts w:ascii="Times New Roman" w:hAnsi="Times New Roman"/>
          <w:i/>
        </w:rPr>
        <w:t xml:space="preserve"> Athens</w:t>
      </w:r>
      <w:r w:rsidRPr="004D0DE2">
        <w:rPr>
          <w:rFonts w:ascii="Times New Roman" w:hAnsi="Times New Roman"/>
        </w:rPr>
        <w:t xml:space="preserve">. Milano: Skira, </w:t>
      </w:r>
      <w:r w:rsidRPr="004D0DE2">
        <w:rPr>
          <w:rFonts w:ascii="Times New Roman" w:hAnsi="Times New Roman"/>
        </w:rPr>
        <w:tab/>
        <w:t>2007.</w:t>
      </w:r>
    </w:p>
    <w:p w:rsidR="004D0DE2" w:rsidRPr="004D0DE2" w:rsidRDefault="004D0DE2" w:rsidP="004D0DE2">
      <w:pPr>
        <w:rPr>
          <w:rFonts w:ascii="Times New Roman" w:hAnsi="Times New Roman"/>
        </w:rPr>
      </w:pPr>
      <w:r w:rsidRPr="004D0DE2">
        <w:rPr>
          <w:rFonts w:ascii="Times New Roman" w:hAnsi="Times New Roman"/>
        </w:rPr>
        <w:t xml:space="preserve">Televantou, Christina A. “Strofilas: A Neolithic Settlement on Andros.” In </w:t>
      </w:r>
      <w:r w:rsidRPr="004D0DE2">
        <w:rPr>
          <w:rFonts w:ascii="Times New Roman" w:hAnsi="Times New Roman"/>
          <w:i/>
        </w:rPr>
        <w:t xml:space="preserve">Horizon: A </w:t>
      </w:r>
      <w:r w:rsidRPr="004D0DE2">
        <w:rPr>
          <w:rFonts w:ascii="Times New Roman" w:hAnsi="Times New Roman"/>
          <w:i/>
        </w:rPr>
        <w:tab/>
        <w:t>Colloquium on the Prehistory of the Cyclades</w:t>
      </w:r>
      <w:r w:rsidRPr="004D0DE2">
        <w:rPr>
          <w:rFonts w:ascii="Times New Roman" w:hAnsi="Times New Roman"/>
        </w:rPr>
        <w:t>, edited by Neil Brodie et al., 43-</w:t>
      </w:r>
      <w:r w:rsidRPr="004D0DE2">
        <w:rPr>
          <w:rFonts w:ascii="Times New Roman" w:hAnsi="Times New Roman"/>
        </w:rPr>
        <w:tab/>
        <w:t>53. Oxford: McDonald Institute for Archaeological Research, 2008.</w:t>
      </w:r>
    </w:p>
    <w:p w:rsidR="004D0DE2" w:rsidRPr="004D0DE2" w:rsidRDefault="004D0DE2" w:rsidP="004D0DE2">
      <w:pPr>
        <w:rPr>
          <w:rFonts w:ascii="Times New Roman" w:hAnsi="Times New Roman"/>
          <w:noProof/>
        </w:rPr>
      </w:pPr>
      <w:r w:rsidRPr="004D0DE2">
        <w:rPr>
          <w:rFonts w:ascii="Times New Roman" w:hAnsi="Times New Roman"/>
          <w:noProof/>
        </w:rPr>
        <w:t xml:space="preserve">Thimme, Jurgen, ed. </w:t>
      </w:r>
      <w:r w:rsidRPr="004D0DE2">
        <w:rPr>
          <w:rFonts w:ascii="Times New Roman" w:hAnsi="Times New Roman"/>
          <w:i/>
          <w:noProof/>
        </w:rPr>
        <w:t>Art and Culture of the Cyclades in the Third Millennium B.C</w:t>
      </w:r>
      <w:r w:rsidRPr="004D0DE2">
        <w:rPr>
          <w:rFonts w:ascii="Times New Roman" w:hAnsi="Times New Roman"/>
          <w:noProof/>
        </w:rPr>
        <w:t xml:space="preserve">. </w:t>
      </w:r>
      <w:r w:rsidRPr="004D0DE2">
        <w:rPr>
          <w:rFonts w:ascii="Times New Roman" w:hAnsi="Times New Roman"/>
          <w:noProof/>
        </w:rPr>
        <w:tab/>
        <w:t xml:space="preserve">Translated by </w:t>
      </w:r>
      <w:r w:rsidRPr="004D0DE2">
        <w:rPr>
          <w:rFonts w:ascii="Times New Roman" w:hAnsi="Times New Roman"/>
          <w:noProof/>
        </w:rPr>
        <w:tab/>
        <w:t xml:space="preserve">Pat Getz-Preziosi. Chicago: University of Chicago Press, 1977. </w:t>
      </w:r>
    </w:p>
    <w:p w:rsidR="004D0DE2" w:rsidRPr="004D0DE2" w:rsidRDefault="004D0DE2" w:rsidP="004D0DE2">
      <w:pPr>
        <w:rPr>
          <w:rFonts w:ascii="Times New Roman" w:hAnsi="Times New Roman"/>
        </w:rPr>
      </w:pPr>
      <w:r w:rsidRPr="004D0DE2">
        <w:rPr>
          <w:rFonts w:ascii="Times New Roman" w:hAnsi="Times New Roman"/>
        </w:rPr>
        <w:t xml:space="preserve">Toufexis, George. “Animals in the Neolithic art of Thessaly.” </w:t>
      </w:r>
      <w:r w:rsidRPr="004D0DE2">
        <w:rPr>
          <w:rFonts w:ascii="Times New Roman" w:hAnsi="Times New Roman"/>
          <w:i/>
        </w:rPr>
        <w:t xml:space="preserve">British School at Athens </w:t>
      </w:r>
      <w:r w:rsidRPr="004D0DE2">
        <w:rPr>
          <w:rFonts w:ascii="Times New Roman" w:hAnsi="Times New Roman"/>
          <w:i/>
        </w:rPr>
        <w:tab/>
        <w:t>Studies</w:t>
      </w:r>
      <w:r w:rsidRPr="004D0DE2">
        <w:rPr>
          <w:rFonts w:ascii="Times New Roman" w:hAnsi="Times New Roman"/>
        </w:rPr>
        <w:t xml:space="preserve"> 9 (2003): 263-271. Accessed 5-19-2016. http://www.jstor.org/</w:t>
      </w:r>
    </w:p>
    <w:p w:rsidR="004D0DE2" w:rsidRPr="004D0DE2" w:rsidRDefault="004D0DE2" w:rsidP="004D0DE2">
      <w:pPr>
        <w:ind w:firstLine="720"/>
        <w:rPr>
          <w:rFonts w:ascii="Times New Roman" w:hAnsi="Times New Roman"/>
        </w:rPr>
      </w:pPr>
      <w:r w:rsidRPr="004D0DE2">
        <w:rPr>
          <w:rFonts w:ascii="Times New Roman" w:hAnsi="Times New Roman"/>
        </w:rPr>
        <w:t>stable/40960356.</w:t>
      </w:r>
    </w:p>
    <w:p w:rsidR="004D0DE2" w:rsidRPr="004D0DE2" w:rsidRDefault="004D0DE2" w:rsidP="004D0DE2">
      <w:pPr>
        <w:rPr>
          <w:rFonts w:ascii="Times New Roman" w:hAnsi="Times New Roman"/>
        </w:rPr>
      </w:pPr>
      <w:r w:rsidRPr="004D0DE2">
        <w:rPr>
          <w:rFonts w:ascii="Times New Roman" w:hAnsi="Times New Roman"/>
        </w:rPr>
        <w:t xml:space="preserve">Trantalidou, Katerina. “Glimpses of Aegean Island Communities during the Mesolithic </w:t>
      </w:r>
      <w:r w:rsidRPr="004D0DE2">
        <w:rPr>
          <w:rFonts w:ascii="Times New Roman" w:hAnsi="Times New Roman"/>
        </w:rPr>
        <w:tab/>
        <w:t xml:space="preserve">and Neolithic Periods: the Zooarchaeological Point of View.” In </w:t>
      </w:r>
      <w:r w:rsidRPr="004D0DE2">
        <w:rPr>
          <w:rFonts w:ascii="Times New Roman" w:hAnsi="Times New Roman"/>
          <w:i/>
        </w:rPr>
        <w:t xml:space="preserve">Horizon: A </w:t>
      </w:r>
      <w:r w:rsidRPr="004D0DE2">
        <w:rPr>
          <w:rFonts w:ascii="Times New Roman" w:hAnsi="Times New Roman"/>
          <w:i/>
        </w:rPr>
        <w:tab/>
        <w:t>Colloquium on the Prehistory of the Cyclades</w:t>
      </w:r>
      <w:r w:rsidRPr="004D0DE2">
        <w:rPr>
          <w:rFonts w:ascii="Times New Roman" w:hAnsi="Times New Roman"/>
        </w:rPr>
        <w:t>, edited by Neil Brodie et al., 19-</w:t>
      </w:r>
      <w:r w:rsidRPr="004D0DE2">
        <w:rPr>
          <w:rFonts w:ascii="Times New Roman" w:hAnsi="Times New Roman"/>
        </w:rPr>
        <w:tab/>
        <w:t>27. Oxford: McDonald Institute for Archaeological Research, 2008.</w:t>
      </w:r>
    </w:p>
    <w:p w:rsidR="004D0DE2" w:rsidRPr="004D0DE2" w:rsidRDefault="004D0DE2" w:rsidP="004D0DE2">
      <w:pPr>
        <w:rPr>
          <w:rFonts w:ascii="Times New Roman" w:hAnsi="Times New Roman"/>
        </w:rPr>
      </w:pPr>
      <w:r w:rsidRPr="004D0DE2">
        <w:rPr>
          <w:rFonts w:ascii="Times New Roman" w:hAnsi="Times New Roman"/>
        </w:rPr>
        <w:t xml:space="preserve">------. “The Animal Bones: The Exploitation of Livestock.” In </w:t>
      </w:r>
      <w:r w:rsidRPr="004D0DE2">
        <w:rPr>
          <w:rFonts w:ascii="Times New Roman" w:hAnsi="Times New Roman"/>
          <w:i/>
        </w:rPr>
        <w:t xml:space="preserve">The Sanctuary on Keros </w:t>
      </w:r>
      <w:r w:rsidRPr="004D0DE2">
        <w:rPr>
          <w:rFonts w:ascii="Times New Roman" w:hAnsi="Times New Roman"/>
          <w:i/>
        </w:rPr>
        <w:tab/>
        <w:t xml:space="preserve">and the Origins of Aegean Ritual Practice: The Excavations of 2006-2008. Vol. </w:t>
      </w:r>
      <w:r w:rsidRPr="004D0DE2">
        <w:rPr>
          <w:rFonts w:ascii="Times New Roman" w:hAnsi="Times New Roman"/>
          <w:i/>
        </w:rPr>
        <w:tab/>
        <w:t>1, The Settlement at Dhaskalio</w:t>
      </w:r>
      <w:r w:rsidRPr="004D0DE2">
        <w:rPr>
          <w:rFonts w:ascii="Times New Roman" w:hAnsi="Times New Roman"/>
        </w:rPr>
        <w:t xml:space="preserve">, edited by Colin Renfrew et al., 429-442. </w:t>
      </w:r>
      <w:r w:rsidRPr="004D0DE2">
        <w:rPr>
          <w:rFonts w:ascii="Times New Roman" w:hAnsi="Times New Roman"/>
        </w:rPr>
        <w:tab/>
        <w:t>Cambridge: McDonald Institute for Archaeological Research, 2013.</w:t>
      </w:r>
    </w:p>
    <w:p w:rsidR="004D0DE2" w:rsidRPr="004D0DE2" w:rsidRDefault="004D0DE2" w:rsidP="004D0DE2">
      <w:pPr>
        <w:rPr>
          <w:rFonts w:ascii="Times New Roman" w:hAnsi="Times New Roman"/>
        </w:rPr>
      </w:pPr>
      <w:r w:rsidRPr="004D0DE2">
        <w:rPr>
          <w:rFonts w:ascii="Times New Roman" w:hAnsi="Times New Roman"/>
        </w:rPr>
        <w:fldChar w:fldCharType="begin"/>
      </w:r>
      <w:r w:rsidRPr="004D0DE2">
        <w:rPr>
          <w:rFonts w:ascii="Times New Roman" w:hAnsi="Times New Roman"/>
        </w:rPr>
        <w:instrText xml:space="preserve"> ADDIN EN.CITE &lt;EndNote&gt;&lt;Cite&gt;&lt;Author&gt;Sykes&lt;/Author&gt;&lt;Year&gt;2014&lt;/Year&gt;&lt;RecNum&gt;131&lt;/RecNum&gt;&lt;record&gt;&lt;rec-number&gt;131&lt;/rec-number&gt;&lt;foreign-keys&gt;&lt;key app="EN" db-id="zvvdzerxjzv9w4e20x3pfav9rvspxdsdwxpt" timestamp="1474506275"&gt;131&lt;/key&gt;&lt;/foreign-keys&gt;&lt;ref-type name="Book"&gt;6&lt;/ref-type&gt;&lt;contributors&gt;&lt;authors&gt;&lt;author&gt;Sykes, Naomi Jane&lt;/author&gt;&lt;/authors&gt;&lt;/contributors&gt;&lt;titles&gt;&lt;title&gt;Beastly questions : animal answers to archaeological issues&lt;/title&gt;&lt;/titles&gt;&lt;pages&gt;xvi, 221 pages&lt;/pages&gt;&lt;keywords&gt;&lt;keyword&gt;Animal remains (Archaeology)&lt;/keyword&gt;&lt;keyword&gt;Human-animal relationships -- History -- To 1500.&lt;/keyword&gt;&lt;keyword&gt;Social archaeology.&lt;/keyword&gt;&lt;keyword&gt;Animal remains (Archaeology) -- Europe.&lt;/keyword&gt;&lt;keyword&gt;Human-animal relationships -- Europe -- History -- To 1500.&lt;/keyword&gt;&lt;keyword&gt;Social archaeology -- Europe.&lt;/keyword&gt;&lt;keyword&gt;SOCIAL SCIENCE -- Archaeology.&lt;/keyword&gt;&lt;keyword&gt;Animal remains (Archaeology)&lt;/keyword&gt;&lt;keyword&gt;Antiquities.&lt;/keyword&gt;&lt;keyword&gt;Human-animal relationships.&lt;/keyword&gt;&lt;keyword&gt;Social archaeology.&lt;/keyword&gt;&lt;keyword&gt;Animalosteologi.&lt;/keyword&gt;&lt;keyword&gt;Djur och människor.&lt;/keyword&gt;&lt;keyword&gt;Social arkeologi.&lt;/keyword&gt;&lt;keyword&gt;Europe -- Antiquities.&lt;/keyword&gt;&lt;keyword&gt;Europe.&lt;/keyword&gt;&lt;keyword&gt;Europa.&lt;/keyword&gt;&lt;/keywords&gt;&lt;dates&gt;&lt;year&gt;2014&lt;/year&gt;&lt;/dates&gt;&lt;pub-location&gt;London&lt;/pub-location&gt;&lt;publisher&gt;Bloomsbury Academic, an imprint of Bloomsbury Publishing Plc&lt;/publisher&gt;&lt;isbn&gt;ISBN: 9781472506757 ((hardback)) 1472506758 ((hardback)) ((ePub)) 9781472506245 ((ePDF)) 9781472514943 Other: 40024237651 National Library: 016733720 LCCN: 2014-9087&lt;/isbn&gt;&lt;accession-num&gt;872655013&lt;/accession-num&gt;&lt;call-num&gt;LC: CC79.5.A5; Dewey: 930.1/0285&lt;/call-num&gt;&lt;urls&gt;&lt;/urls&gt;&lt;remote-database-name&gt;WorldCat&lt;/remote-database-name&gt;&lt;remote-database-provider&gt;OCLC&lt;/remote-database-provider&gt;&lt;language&gt;English&lt;/language&gt;&lt;/record&gt;&lt;/Cite&gt;&lt;/EndNote&gt;</w:instrText>
      </w:r>
      <w:r w:rsidRPr="004D0DE2">
        <w:rPr>
          <w:rFonts w:ascii="Times New Roman" w:hAnsi="Times New Roman"/>
        </w:rPr>
        <w:fldChar w:fldCharType="end"/>
      </w:r>
      <w:r w:rsidRPr="004D0DE2">
        <w:rPr>
          <w:rFonts w:ascii="Times New Roman" w:hAnsi="Times New Roman"/>
        </w:rPr>
        <w:t xml:space="preserve">Vasilakis, Andonis. </w:t>
      </w:r>
      <w:r w:rsidRPr="004D0DE2">
        <w:rPr>
          <w:rFonts w:ascii="Times New Roman" w:hAnsi="Times New Roman"/>
          <w:i/>
        </w:rPr>
        <w:t>Herakleion Archaeological Museum</w:t>
      </w:r>
      <w:r w:rsidRPr="004D0DE2">
        <w:rPr>
          <w:rFonts w:ascii="Times New Roman" w:hAnsi="Times New Roman"/>
        </w:rPr>
        <w:t xml:space="preserve">. Athens: Adams Editions, </w:t>
      </w:r>
      <w:r w:rsidRPr="004D0DE2">
        <w:rPr>
          <w:rFonts w:ascii="Times New Roman" w:hAnsi="Times New Roman"/>
        </w:rPr>
        <w:tab/>
        <w:t xml:space="preserve">2000. </w:t>
      </w:r>
    </w:p>
    <w:p w:rsidR="004D0DE2" w:rsidRPr="004D0DE2" w:rsidRDefault="004D0DE2" w:rsidP="004D0DE2">
      <w:pPr>
        <w:rPr>
          <w:rFonts w:ascii="Times New Roman" w:hAnsi="Times New Roman"/>
        </w:rPr>
      </w:pPr>
      <w:r w:rsidRPr="004D0DE2">
        <w:rPr>
          <w:rFonts w:ascii="Times New Roman" w:hAnsi="Times New Roman"/>
        </w:rPr>
        <w:lastRenderedPageBreak/>
        <w:t xml:space="preserve">Vorreiter, Leopold. “The Swan-neck Lyres of Minoan-Mycenean Culture.” </w:t>
      </w:r>
      <w:r w:rsidRPr="004D0DE2">
        <w:rPr>
          <w:rFonts w:ascii="Times New Roman" w:hAnsi="Times New Roman"/>
          <w:i/>
        </w:rPr>
        <w:t xml:space="preserve">The Galpin </w:t>
      </w:r>
      <w:r w:rsidRPr="004D0DE2">
        <w:rPr>
          <w:rFonts w:ascii="Times New Roman" w:hAnsi="Times New Roman"/>
          <w:i/>
        </w:rPr>
        <w:tab/>
        <w:t xml:space="preserve">Society Journal </w:t>
      </w:r>
      <w:r w:rsidRPr="004D0DE2">
        <w:rPr>
          <w:rFonts w:ascii="Times New Roman" w:hAnsi="Times New Roman"/>
        </w:rPr>
        <w:t xml:space="preserve">28 (Apr 1975): 93-97. Accessed 02-13-2007. </w:t>
      </w:r>
      <w:r w:rsidRPr="004D0DE2">
        <w:rPr>
          <w:rFonts w:ascii="Times New Roman" w:hAnsi="Times New Roman"/>
        </w:rPr>
        <w:tab/>
        <w:t>http://www.jstor.org/stable/841575.</w:t>
      </w:r>
    </w:p>
    <w:p w:rsidR="004D0DE2" w:rsidRPr="004D0DE2" w:rsidRDefault="004D0DE2" w:rsidP="004D0DE2">
      <w:pPr>
        <w:rPr>
          <w:rFonts w:ascii="Times New Roman" w:hAnsi="Times New Roman"/>
        </w:rPr>
      </w:pPr>
      <w:r w:rsidRPr="004D0DE2">
        <w:rPr>
          <w:rFonts w:ascii="Times New Roman" w:hAnsi="Times New Roman"/>
        </w:rPr>
        <w:t xml:space="preserve">Weinberg, Saul S. “Neolithic Figurines and Aegean Interrelations.” </w:t>
      </w:r>
      <w:r w:rsidRPr="004D0DE2">
        <w:rPr>
          <w:rFonts w:ascii="Times New Roman" w:hAnsi="Times New Roman"/>
          <w:i/>
        </w:rPr>
        <w:t xml:space="preserve">American Journal </w:t>
      </w:r>
      <w:r w:rsidRPr="004D0DE2">
        <w:rPr>
          <w:rFonts w:ascii="Times New Roman" w:hAnsi="Times New Roman"/>
          <w:i/>
        </w:rPr>
        <w:tab/>
        <w:t>of Archaeology</w:t>
      </w:r>
      <w:r w:rsidRPr="004D0DE2">
        <w:rPr>
          <w:rFonts w:ascii="Times New Roman" w:hAnsi="Times New Roman"/>
        </w:rPr>
        <w:t xml:space="preserve"> 55, no. 2 (Apr 1951): 121-133. Accessed 08-29-2008. </w:t>
      </w:r>
      <w:r w:rsidRPr="004D0DE2">
        <w:rPr>
          <w:rFonts w:ascii="Times New Roman" w:hAnsi="Times New Roman"/>
        </w:rPr>
        <w:tab/>
        <w:t>http://www.jstor.org/stable/501279.</w:t>
      </w:r>
    </w:p>
    <w:p w:rsidR="004D0DE2" w:rsidRPr="004D0DE2" w:rsidRDefault="004D0DE2" w:rsidP="004D0DE2">
      <w:pPr>
        <w:rPr>
          <w:rFonts w:ascii="Times New Roman" w:hAnsi="Times New Roman"/>
          <w:lang w:val="de-DE"/>
        </w:rPr>
      </w:pPr>
      <w:r w:rsidRPr="004D0DE2">
        <w:rPr>
          <w:rFonts w:ascii="Times New Roman" w:hAnsi="Times New Roman"/>
        </w:rPr>
        <w:t xml:space="preserve">Wilson, David E. </w:t>
      </w:r>
      <w:r w:rsidRPr="004D0DE2">
        <w:rPr>
          <w:rFonts w:ascii="Times New Roman" w:hAnsi="Times New Roman"/>
          <w:i/>
        </w:rPr>
        <w:t>Keos: Volume IX, Ayia Irini, Periods I-III</w:t>
      </w:r>
      <w:r w:rsidRPr="004D0DE2">
        <w:rPr>
          <w:rFonts w:ascii="Times New Roman" w:hAnsi="Times New Roman"/>
        </w:rPr>
        <w:t xml:space="preserve">. </w:t>
      </w:r>
      <w:r w:rsidRPr="004D0DE2">
        <w:rPr>
          <w:rFonts w:ascii="Times New Roman" w:hAnsi="Times New Roman"/>
          <w:lang w:val="de-DE"/>
        </w:rPr>
        <w:t>Mainz am Rhein: Verlag</w:t>
      </w:r>
      <w:r w:rsidRPr="004D0DE2">
        <w:rPr>
          <w:rFonts w:ascii="Times New Roman" w:hAnsi="Times New Roman"/>
          <w:lang w:val="de-DE"/>
        </w:rPr>
        <w:tab/>
        <w:t xml:space="preserve"> Philipp von Zabern, 1999. </w:t>
      </w:r>
    </w:p>
    <w:p w:rsidR="004D0DE2" w:rsidRPr="004D0DE2" w:rsidRDefault="004D0DE2" w:rsidP="004D0DE2">
      <w:pPr>
        <w:rPr>
          <w:rFonts w:ascii="Times New Roman" w:hAnsi="Times New Roman"/>
        </w:rPr>
      </w:pPr>
      <w:r w:rsidRPr="004D0DE2">
        <w:rPr>
          <w:rFonts w:ascii="Times New Roman" w:hAnsi="Times New Roman"/>
        </w:rPr>
        <w:t xml:space="preserve">Yamaguchi, N., Cooper, A., Werdelin, L. and Macdonald, D. W., “Evolution of the </w:t>
      </w:r>
      <w:r w:rsidRPr="004D0DE2">
        <w:rPr>
          <w:rFonts w:ascii="Times New Roman" w:hAnsi="Times New Roman"/>
        </w:rPr>
        <w:tab/>
        <w:t>Mane and Group-Living in the Lion (</w:t>
      </w:r>
      <w:r w:rsidRPr="004D0DE2">
        <w:rPr>
          <w:rFonts w:ascii="Times New Roman" w:hAnsi="Times New Roman"/>
          <w:i/>
        </w:rPr>
        <w:t>Panthera leo</w:t>
      </w:r>
      <w:r w:rsidRPr="004D0DE2">
        <w:rPr>
          <w:rFonts w:ascii="Times New Roman" w:hAnsi="Times New Roman"/>
        </w:rPr>
        <w:t xml:space="preserve">): A Review”. </w:t>
      </w:r>
      <w:r w:rsidRPr="004D0DE2">
        <w:rPr>
          <w:rFonts w:ascii="Times New Roman" w:hAnsi="Times New Roman"/>
          <w:i/>
        </w:rPr>
        <w:t xml:space="preserve">Journal of </w:t>
      </w:r>
      <w:r w:rsidRPr="004D0DE2">
        <w:rPr>
          <w:rFonts w:ascii="Times New Roman" w:hAnsi="Times New Roman"/>
          <w:i/>
        </w:rPr>
        <w:tab/>
        <w:t>Zoology</w:t>
      </w:r>
      <w:r w:rsidRPr="004D0DE2">
        <w:rPr>
          <w:rFonts w:ascii="Times New Roman" w:hAnsi="Times New Roman"/>
        </w:rPr>
        <w:t xml:space="preserve"> 263 (2004): 329–342. Accessed 4/30/2017. doi:10.1017/</w:t>
      </w:r>
    </w:p>
    <w:p w:rsidR="004D0DE2" w:rsidRPr="004D0DE2" w:rsidRDefault="004D0DE2" w:rsidP="004D0DE2">
      <w:pPr>
        <w:ind w:firstLine="720"/>
        <w:rPr>
          <w:rFonts w:ascii="Times New Roman" w:hAnsi="Times New Roman"/>
        </w:rPr>
      </w:pPr>
      <w:r w:rsidRPr="004D0DE2">
        <w:rPr>
          <w:rFonts w:ascii="Times New Roman" w:hAnsi="Times New Roman"/>
        </w:rPr>
        <w:t>S0952836904005242.</w:t>
      </w:r>
    </w:p>
    <w:p w:rsidR="004D0DE2" w:rsidRPr="004D0DE2" w:rsidRDefault="004D0DE2" w:rsidP="004D0DE2">
      <w:pPr>
        <w:rPr>
          <w:rFonts w:ascii="Times New Roman" w:hAnsi="Times New Roman"/>
        </w:rPr>
      </w:pPr>
      <w:r w:rsidRPr="004D0DE2">
        <w:rPr>
          <w:rFonts w:ascii="Times New Roman" w:hAnsi="Times New Roman"/>
        </w:rPr>
        <w:t xml:space="preserve">Zafiropoulou, F. “Cycladic Finds from Keros.” </w:t>
      </w:r>
      <w:r w:rsidRPr="004D0DE2">
        <w:rPr>
          <w:rFonts w:ascii="Times New Roman" w:hAnsi="Times New Roman"/>
          <w:i/>
        </w:rPr>
        <w:t>Athens Annals of Archaeology</w:t>
      </w:r>
      <w:r w:rsidRPr="004D0DE2">
        <w:rPr>
          <w:rFonts w:ascii="Times New Roman" w:hAnsi="Times New Roman"/>
        </w:rPr>
        <w:t xml:space="preserve"> 1 (1968): </w:t>
      </w:r>
      <w:r w:rsidRPr="004D0DE2">
        <w:rPr>
          <w:rFonts w:ascii="Times New Roman" w:hAnsi="Times New Roman"/>
        </w:rPr>
        <w:tab/>
        <w:t xml:space="preserve">97-100. </w:t>
      </w:r>
    </w:p>
    <w:p w:rsidR="004D0DE2" w:rsidRPr="004D0DE2" w:rsidRDefault="004D0DE2" w:rsidP="004D0DE2">
      <w:pPr>
        <w:rPr>
          <w:rFonts w:ascii="Times New Roman" w:hAnsi="Times New Roman"/>
        </w:rPr>
      </w:pPr>
      <w:r w:rsidRPr="004D0DE2">
        <w:rPr>
          <w:rFonts w:ascii="Times New Roman" w:hAnsi="Times New Roman"/>
        </w:rPr>
        <w:t xml:space="preserve">------. </w:t>
      </w:r>
      <w:r w:rsidRPr="004D0DE2">
        <w:rPr>
          <w:rFonts w:ascii="Times New Roman" w:hAnsi="Times New Roman"/>
          <w:i/>
        </w:rPr>
        <w:t>Naxos: Monuments and Museum</w:t>
      </w:r>
      <w:r w:rsidRPr="004D0DE2">
        <w:rPr>
          <w:rFonts w:ascii="Times New Roman" w:hAnsi="Times New Roman"/>
        </w:rPr>
        <w:t xml:space="preserve">. Athens: </w:t>
      </w:r>
      <w:r w:rsidRPr="004D0DE2">
        <w:rPr>
          <w:rFonts w:ascii="Times New Roman" w:hAnsi="Times New Roman"/>
          <w:noProof/>
        </w:rPr>
        <w:t>Krene</w:t>
      </w:r>
      <w:r w:rsidRPr="004D0DE2">
        <w:rPr>
          <w:rFonts w:ascii="Times New Roman" w:hAnsi="Times New Roman"/>
        </w:rPr>
        <w:t xml:space="preserve"> Editions, 1988. </w:t>
      </w:r>
    </w:p>
    <w:p w:rsidR="004D0DE2" w:rsidRPr="004D0DE2" w:rsidRDefault="004D0DE2" w:rsidP="004D0DE2"/>
    <w:p w:rsidR="004D0DE2" w:rsidRPr="004D0DE2" w:rsidRDefault="004D0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bookmarkStart w:id="119" w:name="_Toc479976310"/>
    </w:p>
    <w:p w:rsidR="004D0DE2" w:rsidRPr="004D0DE2" w:rsidRDefault="004D0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p>
    <w:p w:rsidR="004D0DE2" w:rsidRPr="004D0DE2" w:rsidRDefault="004D0DE2" w:rsidP="004D0DE2">
      <w:pPr>
        <w:jc w:val="center"/>
        <w:outlineLvl w:val="0"/>
        <w:rPr>
          <w:rFonts w:asciiTheme="majorHAnsi" w:hAnsiTheme="majorHAnsi"/>
          <w:b/>
          <w:bCs/>
          <w:sz w:val="28"/>
          <w:szCs w:val="32"/>
        </w:rPr>
      </w:pPr>
      <w:bookmarkStart w:id="120" w:name="_Toc481343507"/>
      <w:bookmarkStart w:id="121" w:name="_Toc482206696"/>
      <w:r w:rsidRPr="004D0DE2">
        <w:rPr>
          <w:rFonts w:asciiTheme="majorHAnsi" w:hAnsiTheme="majorHAnsi"/>
          <w:b/>
          <w:bCs/>
          <w:sz w:val="28"/>
          <w:szCs w:val="32"/>
        </w:rPr>
        <w:lastRenderedPageBreak/>
        <w:t>Appendix A: Catalog Reference List, Chronological</w:t>
      </w:r>
      <w:bookmarkEnd w:id="119"/>
      <w:bookmarkEnd w:id="120"/>
      <w:bookmarkEnd w:id="121"/>
    </w:p>
    <w:p w:rsidR="004D0DE2" w:rsidRPr="004D0DE2" w:rsidRDefault="004D0DE2" w:rsidP="004D0DE2">
      <w:r w:rsidRPr="004D0DE2">
        <w:t>Early Cycladic I (3200 BCE-2800/2700 BCE)</w:t>
      </w:r>
    </w:p>
    <w:p w:rsidR="004D0DE2" w:rsidRPr="004D0DE2" w:rsidRDefault="004D0DE2" w:rsidP="004D0DE2">
      <w:pPr>
        <w:ind w:left="720"/>
      </w:pPr>
      <w:r w:rsidRPr="004D0DE2">
        <w:t>V1.</w:t>
      </w:r>
      <w:r w:rsidRPr="004D0DE2">
        <w:tab/>
      </w:r>
      <w:r w:rsidRPr="004D0DE2">
        <w:tab/>
        <w:t>Sheep Kernos</w:t>
      </w:r>
    </w:p>
    <w:p w:rsidR="004D0DE2" w:rsidRPr="004D0DE2" w:rsidRDefault="004D0DE2" w:rsidP="004D0DE2">
      <w:pPr>
        <w:ind w:left="720"/>
      </w:pPr>
      <w:r w:rsidRPr="004D0DE2">
        <w:t xml:space="preserve">V2. </w:t>
      </w:r>
      <w:r w:rsidRPr="004D0DE2">
        <w:tab/>
      </w:r>
      <w:r w:rsidRPr="004D0DE2">
        <w:tab/>
        <w:t>Sheep Kernos Fragment</w:t>
      </w:r>
    </w:p>
    <w:p w:rsidR="004D0DE2" w:rsidRPr="004D0DE2" w:rsidRDefault="004D0DE2" w:rsidP="004D0DE2">
      <w:pPr>
        <w:ind w:left="720"/>
      </w:pPr>
      <w:r w:rsidRPr="004D0DE2">
        <w:t>V3.</w:t>
      </w:r>
      <w:r w:rsidRPr="004D0DE2">
        <w:tab/>
      </w:r>
      <w:r w:rsidRPr="004D0DE2">
        <w:tab/>
        <w:t xml:space="preserve">Pig Pyxis </w:t>
      </w:r>
    </w:p>
    <w:p w:rsidR="004D0DE2" w:rsidRPr="004D0DE2" w:rsidRDefault="004D0DE2" w:rsidP="004D0DE2">
      <w:pPr>
        <w:ind w:left="720"/>
      </w:pPr>
      <w:r w:rsidRPr="004D0DE2">
        <w:t xml:space="preserve">J1. </w:t>
      </w:r>
      <w:r w:rsidRPr="004D0DE2">
        <w:tab/>
      </w:r>
      <w:r w:rsidRPr="004D0DE2">
        <w:tab/>
        <w:t>Zoomorphic Amulet</w:t>
      </w:r>
    </w:p>
    <w:p w:rsidR="004D0DE2" w:rsidRPr="004D0DE2" w:rsidRDefault="004D0DE2" w:rsidP="004D0DE2">
      <w:pPr>
        <w:ind w:left="720"/>
      </w:pPr>
      <w:r w:rsidRPr="004D0DE2">
        <w:t xml:space="preserve">J2. </w:t>
      </w:r>
      <w:r w:rsidRPr="004D0DE2">
        <w:tab/>
      </w:r>
      <w:r w:rsidRPr="004D0DE2">
        <w:tab/>
        <w:t>Frog Amulet</w:t>
      </w:r>
    </w:p>
    <w:p w:rsidR="004D0DE2" w:rsidRPr="004D0DE2" w:rsidRDefault="004D0DE2" w:rsidP="004D0DE2">
      <w:pPr>
        <w:ind w:left="720"/>
      </w:pPr>
      <w:r w:rsidRPr="004D0DE2">
        <w:t>J3.</w:t>
      </w:r>
      <w:r w:rsidRPr="004D0DE2">
        <w:tab/>
      </w:r>
      <w:r w:rsidRPr="004D0DE2">
        <w:tab/>
        <w:t>Dove Amulet</w:t>
      </w:r>
    </w:p>
    <w:p w:rsidR="004D0DE2" w:rsidRPr="004D0DE2" w:rsidRDefault="004D0DE2" w:rsidP="004D0DE2">
      <w:pPr>
        <w:ind w:left="720"/>
      </w:pPr>
      <w:r w:rsidRPr="004D0DE2">
        <w:t xml:space="preserve">J4. </w:t>
      </w:r>
      <w:r w:rsidRPr="004D0DE2">
        <w:tab/>
      </w:r>
      <w:r w:rsidRPr="004D0DE2">
        <w:tab/>
        <w:t>Zoomorphic Amulet</w:t>
      </w:r>
    </w:p>
    <w:p w:rsidR="004D0DE2" w:rsidRPr="004D0DE2" w:rsidRDefault="004D0DE2" w:rsidP="004D0DE2">
      <w:pPr>
        <w:ind w:left="720"/>
      </w:pPr>
      <w:r w:rsidRPr="004D0DE2">
        <w:t>P1.</w:t>
      </w:r>
      <w:r w:rsidRPr="004D0DE2">
        <w:tab/>
      </w:r>
      <w:r w:rsidRPr="004D0DE2">
        <w:tab/>
        <w:t>Zoomorphic Head Protome</w:t>
      </w:r>
    </w:p>
    <w:p w:rsidR="004D0DE2" w:rsidRPr="004D0DE2" w:rsidRDefault="004D0DE2" w:rsidP="004D0DE2"/>
    <w:p w:rsidR="004D0DE2" w:rsidRPr="004D0DE2" w:rsidRDefault="004D0DE2" w:rsidP="004D0DE2">
      <w:r w:rsidRPr="004D0DE2">
        <w:t>Early Cycladic II (2800/2700 BCE-2400/2300 BCE)</w:t>
      </w:r>
    </w:p>
    <w:p w:rsidR="004D0DE2" w:rsidRPr="004D0DE2" w:rsidRDefault="004D0DE2" w:rsidP="004D0DE2">
      <w:pPr>
        <w:ind w:firstLine="720"/>
      </w:pPr>
      <w:r w:rsidRPr="004D0DE2">
        <w:t xml:space="preserve">V4. </w:t>
      </w:r>
      <w:r w:rsidRPr="004D0DE2">
        <w:tab/>
      </w:r>
      <w:r w:rsidRPr="004D0DE2">
        <w:tab/>
        <w:t>Large Plate, “Dove Tray”</w:t>
      </w:r>
    </w:p>
    <w:p w:rsidR="004D0DE2" w:rsidRPr="004D0DE2" w:rsidRDefault="004D0DE2" w:rsidP="004D0DE2">
      <w:pPr>
        <w:ind w:left="720"/>
      </w:pPr>
      <w:r w:rsidRPr="004D0DE2">
        <w:t xml:space="preserve">F1-3. </w:t>
      </w:r>
      <w:r w:rsidRPr="004D0DE2">
        <w:tab/>
      </w:r>
      <w:r w:rsidRPr="004D0DE2">
        <w:tab/>
        <w:t>Dove Tray Fragments</w:t>
      </w:r>
    </w:p>
    <w:p w:rsidR="004D0DE2" w:rsidRPr="004D0DE2" w:rsidRDefault="004D0DE2" w:rsidP="004D0DE2">
      <w:pPr>
        <w:ind w:left="1440" w:hanging="720"/>
      </w:pPr>
      <w:r w:rsidRPr="004D0DE2">
        <w:t>V5.</w:t>
      </w:r>
      <w:r w:rsidRPr="004D0DE2">
        <w:tab/>
      </w:r>
      <w:r w:rsidRPr="004D0DE2">
        <w:tab/>
        <w:t>Large Plate, “Dove Tray” Fragments</w:t>
      </w:r>
    </w:p>
    <w:p w:rsidR="004D0DE2" w:rsidRPr="004D0DE2" w:rsidRDefault="004D0DE2" w:rsidP="004D0DE2">
      <w:pPr>
        <w:ind w:left="720"/>
      </w:pPr>
      <w:r w:rsidRPr="004D0DE2">
        <w:t>V6.</w:t>
      </w:r>
      <w:r w:rsidRPr="004D0DE2">
        <w:tab/>
      </w:r>
      <w:r w:rsidRPr="004D0DE2">
        <w:tab/>
        <w:t>Dove Lid, Spool Pyxis</w:t>
      </w:r>
    </w:p>
    <w:p w:rsidR="004D0DE2" w:rsidRPr="004D0DE2" w:rsidRDefault="004D0DE2" w:rsidP="004D0DE2">
      <w:pPr>
        <w:ind w:left="720"/>
      </w:pPr>
      <w:r w:rsidRPr="004D0DE2">
        <w:t>V7.</w:t>
      </w:r>
      <w:r w:rsidRPr="004D0DE2">
        <w:tab/>
      </w:r>
      <w:r w:rsidRPr="004D0DE2">
        <w:tab/>
        <w:t>Two-headed Bird Pyxis</w:t>
      </w:r>
    </w:p>
    <w:p w:rsidR="004D0DE2" w:rsidRPr="004D0DE2" w:rsidRDefault="004D0DE2" w:rsidP="004D0DE2">
      <w:pPr>
        <w:ind w:left="720"/>
      </w:pPr>
      <w:r w:rsidRPr="004D0DE2">
        <w:t>J5-8.</w:t>
      </w:r>
      <w:r w:rsidRPr="004D0DE2">
        <w:tab/>
      </w:r>
      <w:r w:rsidRPr="004D0DE2">
        <w:tab/>
        <w:t>Pin</w:t>
      </w:r>
    </w:p>
    <w:p w:rsidR="004D0DE2" w:rsidRPr="004D0DE2" w:rsidRDefault="004D0DE2" w:rsidP="004D0DE2">
      <w:pPr>
        <w:ind w:left="720"/>
      </w:pPr>
      <w:r w:rsidRPr="004D0DE2">
        <w:t>F4.</w:t>
      </w:r>
      <w:r w:rsidRPr="004D0DE2">
        <w:tab/>
      </w:r>
      <w:r w:rsidRPr="004D0DE2">
        <w:tab/>
        <w:t>Bird Figurine</w:t>
      </w:r>
    </w:p>
    <w:p w:rsidR="004D0DE2" w:rsidRPr="004D0DE2" w:rsidRDefault="004D0DE2" w:rsidP="004D0DE2">
      <w:pPr>
        <w:ind w:left="720"/>
      </w:pPr>
      <w:r w:rsidRPr="004D0DE2">
        <w:t>J9.</w:t>
      </w:r>
      <w:r w:rsidRPr="004D0DE2">
        <w:tab/>
      </w:r>
      <w:r w:rsidRPr="004D0DE2">
        <w:tab/>
        <w:t>Bird Periapt</w:t>
      </w:r>
    </w:p>
    <w:p w:rsidR="004D0DE2" w:rsidRPr="004D0DE2" w:rsidRDefault="004D0DE2" w:rsidP="004D0DE2">
      <w:pPr>
        <w:ind w:left="720"/>
      </w:pPr>
      <w:r w:rsidRPr="004D0DE2">
        <w:t>F5-6.</w:t>
      </w:r>
      <w:r w:rsidRPr="004D0DE2">
        <w:tab/>
      </w:r>
      <w:r w:rsidRPr="004D0DE2">
        <w:tab/>
        <w:t>Bird Figurine</w:t>
      </w:r>
    </w:p>
    <w:p w:rsidR="004D0DE2" w:rsidRPr="004D0DE2" w:rsidRDefault="004D0DE2" w:rsidP="004D0DE2">
      <w:pPr>
        <w:ind w:left="720"/>
      </w:pPr>
      <w:r w:rsidRPr="004D0DE2">
        <w:t xml:space="preserve">F7. </w:t>
      </w:r>
      <w:r w:rsidRPr="004D0DE2">
        <w:tab/>
      </w:r>
      <w:r w:rsidRPr="004D0DE2">
        <w:tab/>
        <w:t>Egg Figurine</w:t>
      </w:r>
    </w:p>
    <w:p w:rsidR="004D0DE2" w:rsidRPr="004D0DE2" w:rsidRDefault="004D0DE2" w:rsidP="004D0DE2">
      <w:pPr>
        <w:ind w:left="720"/>
      </w:pPr>
      <w:r w:rsidRPr="004D0DE2">
        <w:t>V8.</w:t>
      </w:r>
      <w:r w:rsidRPr="004D0DE2">
        <w:tab/>
      </w:r>
      <w:r w:rsidRPr="004D0DE2">
        <w:tab/>
        <w:t>Bird Pyxis</w:t>
      </w:r>
    </w:p>
    <w:p w:rsidR="004D0DE2" w:rsidRPr="004D0DE2" w:rsidRDefault="004D0DE2" w:rsidP="004D0DE2">
      <w:pPr>
        <w:ind w:left="720"/>
      </w:pPr>
      <w:r w:rsidRPr="004D0DE2">
        <w:lastRenderedPageBreak/>
        <w:t>V9.</w:t>
      </w:r>
      <w:r w:rsidRPr="004D0DE2">
        <w:tab/>
      </w:r>
      <w:r w:rsidRPr="004D0DE2">
        <w:tab/>
        <w:t>Bird Pyxis, Fragment</w:t>
      </w:r>
    </w:p>
    <w:p w:rsidR="004D0DE2" w:rsidRPr="004D0DE2" w:rsidRDefault="004D0DE2" w:rsidP="004D0DE2">
      <w:pPr>
        <w:ind w:left="720"/>
      </w:pPr>
      <w:r w:rsidRPr="004D0DE2">
        <w:t>V10.</w:t>
      </w:r>
      <w:r w:rsidRPr="004D0DE2">
        <w:tab/>
      </w:r>
      <w:r w:rsidRPr="004D0DE2">
        <w:tab/>
        <w:t>Bird Askos</w:t>
      </w:r>
    </w:p>
    <w:p w:rsidR="004D0DE2" w:rsidRPr="004D0DE2" w:rsidRDefault="004D0DE2" w:rsidP="004D0DE2">
      <w:pPr>
        <w:ind w:left="720"/>
      </w:pPr>
      <w:r w:rsidRPr="004D0DE2">
        <w:t xml:space="preserve">V11-13.  </w:t>
      </w:r>
      <w:r w:rsidRPr="004D0DE2">
        <w:tab/>
        <w:t>Hedgehog Vessel</w:t>
      </w:r>
    </w:p>
    <w:p w:rsidR="004D0DE2" w:rsidRPr="004D0DE2" w:rsidRDefault="004D0DE2" w:rsidP="004D0DE2">
      <w:pPr>
        <w:ind w:left="720"/>
      </w:pPr>
      <w:r w:rsidRPr="004D0DE2">
        <w:t xml:space="preserve">V14-15.  </w:t>
      </w:r>
      <w:r w:rsidRPr="004D0DE2">
        <w:tab/>
        <w:t>Hedgehog Vessel Fragment</w:t>
      </w:r>
    </w:p>
    <w:p w:rsidR="004D0DE2" w:rsidRPr="004D0DE2" w:rsidRDefault="004D0DE2" w:rsidP="004D0DE2">
      <w:pPr>
        <w:ind w:left="720"/>
      </w:pPr>
      <w:r w:rsidRPr="004D0DE2">
        <w:t>V16.</w:t>
      </w:r>
      <w:r w:rsidRPr="004D0DE2">
        <w:tab/>
      </w:r>
      <w:r w:rsidRPr="004D0DE2">
        <w:tab/>
        <w:t xml:space="preserve">Ram Vessel Fragment </w:t>
      </w:r>
    </w:p>
    <w:p w:rsidR="004D0DE2" w:rsidRPr="004D0DE2" w:rsidRDefault="004D0DE2" w:rsidP="004D0DE2">
      <w:pPr>
        <w:ind w:left="720"/>
      </w:pPr>
      <w:r w:rsidRPr="004D0DE2">
        <w:t>V17.</w:t>
      </w:r>
      <w:r w:rsidRPr="004D0DE2">
        <w:tab/>
      </w:r>
      <w:r w:rsidRPr="004D0DE2">
        <w:tab/>
        <w:t>Ram Rhyton Fragment</w:t>
      </w:r>
    </w:p>
    <w:p w:rsidR="004D0DE2" w:rsidRPr="004D0DE2" w:rsidRDefault="004D0DE2" w:rsidP="004D0DE2">
      <w:pPr>
        <w:ind w:left="1440" w:hanging="720"/>
      </w:pPr>
      <w:r w:rsidRPr="004D0DE2">
        <w:t>V18.</w:t>
      </w:r>
      <w:r w:rsidRPr="004D0DE2">
        <w:tab/>
      </w:r>
      <w:r w:rsidRPr="004D0DE2">
        <w:tab/>
        <w:t>Two Zoomorphic Vessel Fragments</w:t>
      </w:r>
    </w:p>
    <w:p w:rsidR="004D0DE2" w:rsidRPr="004D0DE2" w:rsidRDefault="004D0DE2" w:rsidP="004D0DE2">
      <w:pPr>
        <w:ind w:left="1440" w:hanging="720"/>
      </w:pPr>
      <w:r w:rsidRPr="004D0DE2">
        <w:t>J10.</w:t>
      </w:r>
      <w:r w:rsidRPr="004D0DE2">
        <w:tab/>
      </w:r>
      <w:r w:rsidRPr="004D0DE2">
        <w:tab/>
        <w:t>Zoomorphic Amulet, Quadruped</w:t>
      </w:r>
    </w:p>
    <w:p w:rsidR="004D0DE2" w:rsidRPr="004D0DE2" w:rsidRDefault="004D0DE2" w:rsidP="004D0DE2">
      <w:pPr>
        <w:ind w:left="720"/>
      </w:pPr>
      <w:r w:rsidRPr="004D0DE2">
        <w:t>J11.</w:t>
      </w:r>
      <w:r w:rsidRPr="004D0DE2">
        <w:tab/>
      </w:r>
      <w:r w:rsidRPr="004D0DE2">
        <w:tab/>
        <w:t>Zoomorphic Amulet, Bird</w:t>
      </w:r>
    </w:p>
    <w:p w:rsidR="004D0DE2" w:rsidRPr="004D0DE2" w:rsidRDefault="004D0DE2" w:rsidP="004D0DE2">
      <w:pPr>
        <w:ind w:left="720"/>
      </w:pPr>
      <w:r w:rsidRPr="004D0DE2">
        <w:t>J12-13.</w:t>
      </w:r>
      <w:r w:rsidRPr="004D0DE2">
        <w:tab/>
        <w:t xml:space="preserve">  </w:t>
      </w:r>
      <w:r w:rsidRPr="004D0DE2">
        <w:tab/>
        <w:t>Fly/Bee Amulet</w:t>
      </w:r>
    </w:p>
    <w:p w:rsidR="004D0DE2" w:rsidRPr="004D0DE2" w:rsidRDefault="004D0DE2" w:rsidP="004D0DE2">
      <w:pPr>
        <w:ind w:left="720"/>
      </w:pPr>
      <w:r w:rsidRPr="004D0DE2">
        <w:t>F8-10.</w:t>
      </w:r>
      <w:r w:rsidRPr="004D0DE2">
        <w:tab/>
      </w:r>
      <w:r w:rsidRPr="004D0DE2">
        <w:tab/>
        <w:t>Ram Figurine</w:t>
      </w:r>
    </w:p>
    <w:p w:rsidR="004D0DE2" w:rsidRPr="004D0DE2" w:rsidRDefault="004D0DE2" w:rsidP="004D0DE2">
      <w:pPr>
        <w:ind w:left="720"/>
      </w:pPr>
      <w:r w:rsidRPr="004D0DE2">
        <w:t>J14.</w:t>
      </w:r>
      <w:r w:rsidRPr="004D0DE2">
        <w:tab/>
      </w:r>
      <w:r w:rsidRPr="004D0DE2">
        <w:tab/>
        <w:t>Pin</w:t>
      </w:r>
    </w:p>
    <w:p w:rsidR="004D0DE2" w:rsidRPr="004D0DE2" w:rsidRDefault="004D0DE2" w:rsidP="004D0DE2">
      <w:pPr>
        <w:ind w:left="720"/>
      </w:pPr>
      <w:r w:rsidRPr="004D0DE2">
        <w:t xml:space="preserve">V19-20.  </w:t>
      </w:r>
      <w:r w:rsidRPr="004D0DE2">
        <w:tab/>
        <w:t>Pig or Sheep Pyxis Fragment</w:t>
      </w:r>
    </w:p>
    <w:p w:rsidR="004D0DE2" w:rsidRPr="004D0DE2" w:rsidRDefault="004D0DE2" w:rsidP="004D0DE2">
      <w:pPr>
        <w:ind w:left="720"/>
      </w:pPr>
      <w:r w:rsidRPr="004D0DE2">
        <w:t>P2-10.</w:t>
      </w:r>
      <w:r w:rsidRPr="004D0DE2">
        <w:tab/>
      </w:r>
      <w:r w:rsidRPr="004D0DE2">
        <w:tab/>
        <w:t>Ram Protome</w:t>
      </w:r>
    </w:p>
    <w:p w:rsidR="004D0DE2" w:rsidRPr="004D0DE2" w:rsidRDefault="004D0DE2" w:rsidP="004D0DE2">
      <w:pPr>
        <w:ind w:left="720"/>
      </w:pPr>
      <w:r w:rsidRPr="004D0DE2">
        <w:t xml:space="preserve">P11-15. </w:t>
      </w:r>
      <w:r w:rsidRPr="004D0DE2">
        <w:tab/>
        <w:t>Ram Head Spout Fragments</w:t>
      </w:r>
    </w:p>
    <w:p w:rsidR="004D0DE2" w:rsidRPr="004D0DE2" w:rsidRDefault="004D0DE2" w:rsidP="004D0DE2">
      <w:pPr>
        <w:ind w:left="720"/>
      </w:pPr>
      <w:r w:rsidRPr="004D0DE2">
        <w:t>P16.</w:t>
      </w:r>
      <w:r w:rsidRPr="004D0DE2">
        <w:tab/>
      </w:r>
      <w:r w:rsidRPr="004D0DE2">
        <w:tab/>
        <w:t>Ram Head Spout Fragment</w:t>
      </w:r>
    </w:p>
    <w:p w:rsidR="004D0DE2" w:rsidRPr="004D0DE2" w:rsidRDefault="004D0DE2" w:rsidP="004D0DE2">
      <w:pPr>
        <w:ind w:left="720"/>
      </w:pPr>
      <w:r w:rsidRPr="004D0DE2">
        <w:t xml:space="preserve">P17-22.  </w:t>
      </w:r>
      <w:r w:rsidRPr="004D0DE2">
        <w:tab/>
        <w:t>Ram Protomes</w:t>
      </w:r>
    </w:p>
    <w:p w:rsidR="004D0DE2" w:rsidRPr="004D0DE2" w:rsidRDefault="004D0DE2" w:rsidP="004D0DE2"/>
    <w:p w:rsidR="004D0DE2" w:rsidRPr="004D0DE2" w:rsidRDefault="004D0DE2" w:rsidP="004D0DE2">
      <w:r w:rsidRPr="004D0DE2">
        <w:t>Early Cycladic III (2400/2300 BCE-2000 BCE)</w:t>
      </w:r>
    </w:p>
    <w:p w:rsidR="004D0DE2" w:rsidRPr="004D0DE2" w:rsidRDefault="004D0DE2" w:rsidP="004D0DE2">
      <w:pPr>
        <w:ind w:left="720"/>
      </w:pPr>
      <w:r w:rsidRPr="004D0DE2">
        <w:t xml:space="preserve">V21-22.  </w:t>
      </w:r>
      <w:r w:rsidRPr="004D0DE2">
        <w:tab/>
        <w:t>Theriomorphic Vase</w:t>
      </w:r>
    </w:p>
    <w:p w:rsidR="004D0DE2" w:rsidRPr="004D0DE2" w:rsidRDefault="004D0DE2" w:rsidP="004D0DE2">
      <w:pPr>
        <w:ind w:left="720"/>
      </w:pPr>
      <w:r w:rsidRPr="004D0DE2">
        <w:t>V23.</w:t>
      </w:r>
      <w:r w:rsidRPr="004D0DE2">
        <w:tab/>
      </w:r>
      <w:r w:rsidRPr="004D0DE2">
        <w:tab/>
        <w:t>Ring-Shaped Vessel (Annular Askos)</w:t>
      </w:r>
    </w:p>
    <w:p w:rsidR="004D0DE2" w:rsidRPr="004D0DE2" w:rsidRDefault="004D0DE2" w:rsidP="004D0DE2"/>
    <w:p w:rsidR="004D0DE2" w:rsidRPr="004D0DE2" w:rsidRDefault="004D0DE2" w:rsidP="004D0DE2"/>
    <w:p w:rsidR="00012AC6" w:rsidRDefault="0012758E" w:rsidP="0012758E">
      <w:pPr>
        <w:pStyle w:val="Heading2"/>
      </w:pPr>
      <w:bookmarkStart w:id="122" w:name="_Toc482206697"/>
      <w:r>
        <w:lastRenderedPageBreak/>
        <w:t>Early Cycladic I (3200 BCE-2800/2700 BCE)</w:t>
      </w:r>
      <w:bookmarkEnd w:id="122"/>
    </w:p>
    <w:p w:rsidR="00012AC6" w:rsidRDefault="0075642F" w:rsidP="0075642F">
      <w:pPr>
        <w:tabs>
          <w:tab w:val="left" w:pos="5040"/>
        </w:tabs>
      </w:pPr>
      <w:r>
        <w:rPr>
          <w:noProof/>
          <w:lang w:bidi="ar-SA"/>
        </w:rPr>
        <w:drawing>
          <wp:anchor distT="0" distB="0" distL="114300" distR="114300" simplePos="0" relativeHeight="251686912" behindDoc="0" locked="0" layoutInCell="1" allowOverlap="1">
            <wp:simplePos x="0" y="0"/>
            <wp:positionH relativeFrom="margin">
              <wp:posOffset>-953</wp:posOffset>
            </wp:positionH>
            <wp:positionV relativeFrom="paragraph">
              <wp:posOffset>178435</wp:posOffset>
            </wp:positionV>
            <wp:extent cx="3066415" cy="1724025"/>
            <wp:effectExtent l="0" t="0" r="63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415" cy="1724025"/>
                    </a:xfrm>
                    <a:prstGeom prst="rect">
                      <a:avLst/>
                    </a:prstGeom>
                    <a:noFill/>
                  </pic:spPr>
                </pic:pic>
              </a:graphicData>
            </a:graphic>
          </wp:anchor>
        </w:drawing>
      </w:r>
      <w:r>
        <w:tab/>
      </w:r>
    </w:p>
    <w:p w:rsidR="00012AC6" w:rsidRDefault="00012AC6" w:rsidP="0075642F">
      <w:r w:rsidRPr="00012AC6">
        <w:t>Photo Credit: Ashmole</w:t>
      </w:r>
      <w:r w:rsidR="0075642F">
        <w:t xml:space="preserve">an Museum, </w:t>
      </w:r>
      <w:r w:rsidRPr="00012AC6">
        <w:t>University of Oxford</w:t>
      </w:r>
    </w:p>
    <w:p w:rsidR="0075642F" w:rsidRDefault="0075642F" w:rsidP="00012AC6">
      <w:pPr>
        <w:rPr>
          <w:noProof/>
          <w:lang w:bidi="ar-SA"/>
        </w:rPr>
      </w:pPr>
    </w:p>
    <w:p w:rsidR="0075642F" w:rsidRDefault="0075642F" w:rsidP="00012AC6">
      <w:pPr>
        <w:rPr>
          <w:noProof/>
          <w:lang w:bidi="ar-SA"/>
        </w:rPr>
      </w:pPr>
    </w:p>
    <w:p w:rsidR="0075642F" w:rsidRDefault="0075642F" w:rsidP="00012AC6">
      <w:pPr>
        <w:rPr>
          <w:noProof/>
          <w:lang w:bidi="ar-SA"/>
        </w:rPr>
      </w:pPr>
    </w:p>
    <w:p w:rsidR="00012AC6" w:rsidRPr="00211162" w:rsidRDefault="00012AC6" w:rsidP="00012AC6">
      <w:pPr>
        <w:rPr>
          <w:b/>
          <w:noProof/>
          <w:lang w:bidi="ar-SA"/>
        </w:rPr>
      </w:pPr>
      <w:r w:rsidRPr="00211162">
        <w:rPr>
          <w:b/>
          <w:noProof/>
          <w:lang w:bidi="ar-SA"/>
        </w:rPr>
        <w:t>V1. Sheep Kernos</w:t>
      </w:r>
    </w:p>
    <w:p w:rsidR="00012AC6" w:rsidRDefault="000C7359" w:rsidP="00012AC6">
      <w:pPr>
        <w:rPr>
          <w:noProof/>
          <w:lang w:bidi="ar-SA"/>
        </w:rPr>
      </w:pPr>
      <w:r>
        <w:rPr>
          <w:noProof/>
          <w:lang w:bidi="ar-SA"/>
        </w:rPr>
        <w:t>Medium: m</w:t>
      </w:r>
      <w:r w:rsidR="00012AC6">
        <w:rPr>
          <w:noProof/>
          <w:lang w:bidi="ar-SA"/>
        </w:rPr>
        <w:t>arble</w:t>
      </w:r>
    </w:p>
    <w:p w:rsidR="00012AC6" w:rsidRDefault="00012AC6" w:rsidP="00012AC6">
      <w:pPr>
        <w:rPr>
          <w:noProof/>
          <w:lang w:bidi="ar-SA"/>
        </w:rPr>
      </w:pPr>
      <w:r>
        <w:rPr>
          <w:noProof/>
          <w:lang w:bidi="ar-SA"/>
        </w:rPr>
        <w:t>Period: EC I</w:t>
      </w:r>
    </w:p>
    <w:p w:rsidR="00012AC6" w:rsidRDefault="00012AC6" w:rsidP="00012AC6">
      <w:pPr>
        <w:rPr>
          <w:noProof/>
          <w:lang w:bidi="ar-SA"/>
        </w:rPr>
      </w:pPr>
      <w:r>
        <w:rPr>
          <w:noProof/>
          <w:lang w:bidi="ar-SA"/>
        </w:rPr>
        <w:t>Date: 3200-2800 BCE</w:t>
      </w:r>
    </w:p>
    <w:p w:rsidR="00012AC6" w:rsidRDefault="00012AC6" w:rsidP="00012AC6">
      <w:pPr>
        <w:rPr>
          <w:noProof/>
          <w:lang w:bidi="ar-SA"/>
        </w:rPr>
      </w:pPr>
      <w:r>
        <w:rPr>
          <w:noProof/>
          <w:lang w:bidi="ar-SA"/>
        </w:rPr>
        <w:t>Dems: H 11, L 22, W 4.5 cm</w:t>
      </w:r>
    </w:p>
    <w:p w:rsidR="00012AC6" w:rsidRDefault="00012AC6" w:rsidP="00012AC6">
      <w:pPr>
        <w:rPr>
          <w:noProof/>
          <w:lang w:bidi="ar-SA"/>
        </w:rPr>
      </w:pPr>
      <w:r>
        <w:rPr>
          <w:noProof/>
          <w:lang w:bidi="ar-SA"/>
        </w:rPr>
        <w:t xml:space="preserve">Provenance: possibly Amorgos </w:t>
      </w:r>
    </w:p>
    <w:p w:rsidR="00012AC6" w:rsidRDefault="00012AC6" w:rsidP="00012AC6">
      <w:pPr>
        <w:rPr>
          <w:noProof/>
          <w:lang w:bidi="ar-SA"/>
        </w:rPr>
      </w:pPr>
      <w:r>
        <w:rPr>
          <w:noProof/>
          <w:lang w:bidi="ar-SA"/>
        </w:rPr>
        <w:t>Location/Access. no.: Ashmolean,  GR. AN1912.71</w:t>
      </w:r>
    </w:p>
    <w:p w:rsidR="00012AC6" w:rsidRDefault="00012AC6" w:rsidP="00C61DE2">
      <w:pPr>
        <w:rPr>
          <w:noProof/>
          <w:lang w:bidi="ar-SA"/>
        </w:rPr>
      </w:pPr>
      <w:r>
        <w:rPr>
          <w:noProof/>
          <w:lang w:bidi="ar-SA"/>
        </w:rPr>
        <w:t xml:space="preserve">Description: An oblong body, with four short legs. Two cups are hollowed out into the top of the animal’s body. A lug forms the tail and a hole is drilled into the neck. A series of short, diagonal incisions alternating all over the body forms the representation of fleece. This object was purchased in Athens, but when and by who is unknown. Sir Arthur Evans gave the vessel to the museum in 1912. Therefore, the provenance is uncertain. It is suggested in the initial report that the find spot may be Amorgos, but it is uncertain why this suggestion was made. </w:t>
      </w:r>
    </w:p>
    <w:p w:rsidR="0075642F" w:rsidRDefault="0075642F" w:rsidP="00012AC6">
      <w:pPr>
        <w:jc w:val="center"/>
        <w:rPr>
          <w:noProof/>
          <w:lang w:bidi="ar-SA"/>
        </w:rPr>
      </w:pPr>
    </w:p>
    <w:p w:rsidR="0075642F" w:rsidRDefault="0075642F" w:rsidP="00012AC6">
      <w:pPr>
        <w:jc w:val="center"/>
        <w:rPr>
          <w:noProof/>
          <w:lang w:bidi="ar-SA"/>
        </w:rPr>
      </w:pPr>
    </w:p>
    <w:p w:rsidR="00012AC6" w:rsidRDefault="0075642F" w:rsidP="00012AC6">
      <w:pPr>
        <w:jc w:val="center"/>
        <w:rPr>
          <w:noProof/>
          <w:lang w:bidi="ar-SA"/>
        </w:rPr>
      </w:pPr>
      <w:r>
        <w:rPr>
          <w:noProof/>
          <w:lang w:bidi="ar-SA"/>
        </w:rPr>
        <w:lastRenderedPageBreak/>
        <w:t>Notes</w:t>
      </w:r>
      <w:r w:rsidR="00012AC6">
        <w:rPr>
          <w:noProof/>
          <w:lang w:bidi="ar-SA"/>
        </w:rPr>
        <w:t>:</w:t>
      </w:r>
    </w:p>
    <w:p w:rsidR="00012AC6" w:rsidRDefault="00012AC6" w:rsidP="00012AC6">
      <w:pPr>
        <w:rPr>
          <w:noProof/>
          <w:lang w:bidi="ar-SA"/>
        </w:rPr>
      </w:pPr>
      <w:r w:rsidRPr="00012AC6">
        <w:rPr>
          <w:noProof/>
          <w:lang w:bidi="ar-SA"/>
        </w:rPr>
        <w:t xml:space="preserve">Pat Getz-Gentle, Jack L. Davis and Elizabeth Oustinoff, </w:t>
      </w:r>
      <w:r w:rsidRPr="00012AC6">
        <w:rPr>
          <w:i/>
          <w:noProof/>
          <w:lang w:bidi="ar-SA"/>
        </w:rPr>
        <w:t xml:space="preserve">Early Cycladic Art in North </w:t>
      </w:r>
      <w:r w:rsidRPr="00012AC6">
        <w:rPr>
          <w:i/>
          <w:noProof/>
          <w:lang w:bidi="ar-SA"/>
        </w:rPr>
        <w:tab/>
        <w:t>American Collections</w:t>
      </w:r>
      <w:r>
        <w:rPr>
          <w:noProof/>
          <w:lang w:bidi="ar-SA"/>
        </w:rPr>
        <w:t xml:space="preserve">, (Richmond, VA: Virginia Museum of Fine Arts: Seattle, </w:t>
      </w:r>
      <w:r>
        <w:rPr>
          <w:noProof/>
          <w:lang w:bidi="ar-SA"/>
        </w:rPr>
        <w:tab/>
        <w:t>1987), 55.</w:t>
      </w:r>
    </w:p>
    <w:p w:rsidR="00012AC6" w:rsidRDefault="00012AC6" w:rsidP="00012AC6">
      <w:pPr>
        <w:rPr>
          <w:noProof/>
          <w:lang w:bidi="ar-SA"/>
        </w:rPr>
      </w:pPr>
      <w:r>
        <w:rPr>
          <w:noProof/>
          <w:lang w:bidi="ar-SA"/>
        </w:rPr>
        <w:t xml:space="preserve">Susan Sherratt, </w:t>
      </w:r>
      <w:r w:rsidRPr="00012AC6">
        <w:rPr>
          <w:i/>
          <w:noProof/>
          <w:lang w:bidi="ar-SA"/>
        </w:rPr>
        <w:t xml:space="preserve">Catalogue of Cycladic Antiques in the Ashmolean Museum: The </w:t>
      </w:r>
      <w:r w:rsidRPr="00012AC6">
        <w:rPr>
          <w:i/>
          <w:noProof/>
          <w:lang w:bidi="ar-SA"/>
        </w:rPr>
        <w:tab/>
        <w:t>Captive Spirit, Vol. I</w:t>
      </w:r>
      <w:r>
        <w:rPr>
          <w:noProof/>
          <w:lang w:bidi="ar-SA"/>
        </w:rPr>
        <w:t>, (Oxford: Oxford University Press, 2000), 124-25.</w:t>
      </w:r>
    </w:p>
    <w:p w:rsidR="00012AC6" w:rsidRDefault="00012AC6" w:rsidP="00012AC6">
      <w:pPr>
        <w:rPr>
          <w:noProof/>
          <w:lang w:bidi="ar-SA"/>
        </w:rPr>
      </w:pPr>
      <w:r>
        <w:rPr>
          <w:noProof/>
          <w:lang w:bidi="ar-SA"/>
        </w:rPr>
        <w:t xml:space="preserve">———, </w:t>
      </w:r>
      <w:r w:rsidRPr="00012AC6">
        <w:rPr>
          <w:i/>
          <w:noProof/>
          <w:lang w:bidi="ar-SA"/>
        </w:rPr>
        <w:t xml:space="preserve">Catalogue of Cycladic Antiques in the Ashmolean Museum: The Captive </w:t>
      </w:r>
      <w:r w:rsidRPr="00012AC6">
        <w:rPr>
          <w:i/>
          <w:noProof/>
          <w:lang w:bidi="ar-SA"/>
        </w:rPr>
        <w:tab/>
        <w:t>Spirit, Vol. II</w:t>
      </w:r>
      <w:r>
        <w:rPr>
          <w:noProof/>
          <w:lang w:bidi="ar-SA"/>
        </w:rPr>
        <w:t>, (Oxford: Oxford University Press, 2000), pls. 103-105; col. pl. 5.</w:t>
      </w:r>
    </w:p>
    <w:p w:rsidR="00AA0B13" w:rsidRDefault="00012AC6" w:rsidP="00012AC6">
      <w:pPr>
        <w:rPr>
          <w:noProof/>
          <w:lang w:bidi="ar-SA"/>
        </w:rPr>
      </w:pPr>
      <w:r>
        <w:rPr>
          <w:noProof/>
          <w:lang w:bidi="ar-SA"/>
        </w:rPr>
        <w:t xml:space="preserve">Yannis Galanakis, ed, </w:t>
      </w:r>
      <w:r w:rsidRPr="00012AC6">
        <w:rPr>
          <w:i/>
          <w:noProof/>
          <w:lang w:bidi="ar-SA"/>
        </w:rPr>
        <w:t>The Aegean World</w:t>
      </w:r>
      <w:r>
        <w:rPr>
          <w:noProof/>
          <w:lang w:bidi="ar-SA"/>
        </w:rPr>
        <w:t xml:space="preserve">, (Oxford: Ashmolean Museum, University of </w:t>
      </w:r>
      <w:r w:rsidR="0075642F">
        <w:rPr>
          <w:noProof/>
          <w:lang w:bidi="ar-SA"/>
        </w:rPr>
        <w:tab/>
      </w:r>
      <w:r>
        <w:rPr>
          <w:noProof/>
          <w:lang w:bidi="ar-SA"/>
        </w:rPr>
        <w:t>Oxford, 2013), 91-92.</w:t>
      </w: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012AC6" w:rsidRDefault="00012AC6" w:rsidP="00012AC6">
      <w:pPr>
        <w:rPr>
          <w:noProof/>
          <w:lang w:bidi="ar-SA"/>
        </w:rPr>
      </w:pPr>
    </w:p>
    <w:p w:rsidR="00111E02" w:rsidRDefault="00111E02" w:rsidP="00012AC6">
      <w:r>
        <w:rPr>
          <w:noProof/>
          <w:lang w:bidi="ar-SA"/>
        </w:rPr>
        <w:lastRenderedPageBreak/>
        <w:drawing>
          <wp:anchor distT="0" distB="0" distL="114300" distR="114300" simplePos="0" relativeHeight="251683840" behindDoc="0" locked="0" layoutInCell="1" allowOverlap="1">
            <wp:simplePos x="0" y="0"/>
            <wp:positionH relativeFrom="margin">
              <wp:align>left</wp:align>
            </wp:positionH>
            <wp:positionV relativeFrom="paragraph">
              <wp:posOffset>0</wp:posOffset>
            </wp:positionV>
            <wp:extent cx="2066925" cy="22764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66925" cy="2276475"/>
                    </a:xfrm>
                    <a:prstGeom prst="rect">
                      <a:avLst/>
                    </a:prstGeom>
                    <a:noFill/>
                  </pic:spPr>
                </pic:pic>
              </a:graphicData>
            </a:graphic>
          </wp:anchor>
        </w:drawing>
      </w:r>
      <w:r w:rsidRPr="00111E02">
        <w:t xml:space="preserve">Photo Credit: Thimme, </w:t>
      </w:r>
      <w:r w:rsidRPr="00211162">
        <w:rPr>
          <w:i/>
        </w:rPr>
        <w:t>Art and Culture of the Cyclades in the Third Millennium B.C</w:t>
      </w:r>
      <w:r w:rsidRPr="00111E02">
        <w:t>., 339.</w:t>
      </w:r>
    </w:p>
    <w:p w:rsidR="00012AC6" w:rsidRDefault="00012AC6" w:rsidP="00012AC6"/>
    <w:p w:rsidR="00111E02" w:rsidRDefault="00111E02" w:rsidP="00012AC6"/>
    <w:p w:rsidR="00111E02" w:rsidRDefault="00111E02" w:rsidP="00012AC6"/>
    <w:p w:rsidR="00111E02" w:rsidRDefault="00111E02" w:rsidP="00012AC6"/>
    <w:p w:rsidR="00111E02" w:rsidRDefault="00111E02" w:rsidP="00012AC6"/>
    <w:p w:rsidR="00111E02" w:rsidRPr="00211162" w:rsidRDefault="00111E02" w:rsidP="00111E02">
      <w:pPr>
        <w:rPr>
          <w:b/>
        </w:rPr>
      </w:pPr>
      <w:r w:rsidRPr="00211162">
        <w:rPr>
          <w:b/>
        </w:rPr>
        <w:t>V2. Sheep Kernos, fragment</w:t>
      </w:r>
    </w:p>
    <w:p w:rsidR="00111E02" w:rsidRDefault="000C7359" w:rsidP="00111E02">
      <w:r>
        <w:t>Medium: m</w:t>
      </w:r>
      <w:r w:rsidR="00111E02">
        <w:t>arble</w:t>
      </w:r>
    </w:p>
    <w:p w:rsidR="00111E02" w:rsidRDefault="00111E02" w:rsidP="00111E02">
      <w:r>
        <w:t>Period: EC I</w:t>
      </w:r>
    </w:p>
    <w:p w:rsidR="00111E02" w:rsidRDefault="00111E02" w:rsidP="00111E02">
      <w:r>
        <w:t>Date: 3200-2800 BCE</w:t>
      </w:r>
    </w:p>
    <w:p w:rsidR="00111E02" w:rsidRDefault="00111E02" w:rsidP="00111E02">
      <w:r>
        <w:t>Dems: H 7.6 cm, L 6.8 cm</w:t>
      </w:r>
    </w:p>
    <w:p w:rsidR="00111E02" w:rsidRDefault="00111E02" w:rsidP="00111E02">
      <w:r>
        <w:t>Provenance: “from Attica”</w:t>
      </w:r>
    </w:p>
    <w:p w:rsidR="00111E02" w:rsidRDefault="00111E02" w:rsidP="00111E02">
      <w:r>
        <w:t>Location/Access. no.: Private Collection, Germany</w:t>
      </w:r>
    </w:p>
    <w:p w:rsidR="00012AC6" w:rsidRDefault="00012AC6" w:rsidP="00012AC6">
      <w:r>
        <w:t>Description: “A fragmentary zoomorphic pyxis which originally had two receptacles carved out of its barrel-shaped body. The vessel has small v-shaped stump-like feet and a suspension hole in the hind end. The entire exterior surface is decorated with broad panels of carefully incised, superimposed chevrons or zigzags. The treatment of the surface of this vessel is similar to that of the zoomorphic double pyxis from Amorgos in Oxford...Condition: yellowish surface, partly heavily encrusted with brownish deposits and root marks. Only a portion of the rear end, with one receptacle, survives; the break surfaces are heavily encrusted.”  (Thimme, 523)</w:t>
      </w:r>
    </w:p>
    <w:p w:rsidR="00111E02" w:rsidRDefault="00111E02" w:rsidP="00012AC6">
      <w:pPr>
        <w:jc w:val="center"/>
      </w:pPr>
    </w:p>
    <w:p w:rsidR="00012AC6" w:rsidRDefault="0075642F" w:rsidP="00012AC6">
      <w:pPr>
        <w:jc w:val="center"/>
      </w:pPr>
      <w:r>
        <w:lastRenderedPageBreak/>
        <w:t>Notes</w:t>
      </w:r>
      <w:r w:rsidR="00012AC6">
        <w:t>:</w:t>
      </w:r>
    </w:p>
    <w:p w:rsidR="00012AC6" w:rsidRDefault="00012AC6" w:rsidP="00012AC6">
      <w:r>
        <w:t xml:space="preserve">Pat Getz-Gentle, Jack L. Davis and Elizabeth Oustinoff, </w:t>
      </w:r>
      <w:r w:rsidRPr="00012AC6">
        <w:rPr>
          <w:i/>
        </w:rPr>
        <w:t xml:space="preserve">Early Cycladic Art in North </w:t>
      </w:r>
      <w:r w:rsidRPr="00012AC6">
        <w:rPr>
          <w:i/>
        </w:rPr>
        <w:tab/>
        <w:t>American Collections,</w:t>
      </w:r>
      <w:r>
        <w:t xml:space="preserve"> (Richmond, VA: Virginia Museum of Fine Arts, 1987), </w:t>
      </w:r>
      <w:r>
        <w:tab/>
        <w:t xml:space="preserve">86, fn 6. </w:t>
      </w:r>
    </w:p>
    <w:p w:rsidR="00012AC6" w:rsidRDefault="00012AC6" w:rsidP="00012AC6">
      <w:r>
        <w:t xml:space="preserve">———, </w:t>
      </w:r>
      <w:r w:rsidRPr="00012AC6">
        <w:rPr>
          <w:i/>
        </w:rPr>
        <w:t>Stone Vessels of the Cyclades in the Early Bronze Age</w:t>
      </w:r>
      <w:r>
        <w:t>, (University Park, P</w:t>
      </w:r>
      <w:r w:rsidR="00683D2F">
        <w:t>A:</w:t>
      </w:r>
      <w:r w:rsidR="00683D2F">
        <w:tab/>
      </w:r>
      <w:r>
        <w:t xml:space="preserve">Penn State University Press, 1996), 347, pl. 78b; text, 138. Notes to Plates: </w:t>
      </w:r>
      <w:r>
        <w:tab/>
        <w:t xml:space="preserve">fragment to a vessel similar to Ashmolean Sheep; part of hind end with one </w:t>
      </w:r>
      <w:r>
        <w:tab/>
        <w:t>container; see also fig. 73b, p 137.</w:t>
      </w:r>
    </w:p>
    <w:p w:rsidR="00012AC6" w:rsidRDefault="00012AC6" w:rsidP="00012AC6">
      <w:r>
        <w:t xml:space="preserve">Jürgen Thimme, ed, </w:t>
      </w:r>
      <w:r w:rsidRPr="00012AC6">
        <w:rPr>
          <w:i/>
        </w:rPr>
        <w:t>Art and Culture of the Cyclades in the Third Millennium B.C.</w:t>
      </w:r>
      <w:r>
        <w:t>,</w:t>
      </w:r>
      <w:r>
        <w:tab/>
        <w:t xml:space="preserve"> trans. Pat Getz-Preziosi, (Chicago: University of Chicago Press, 1977), 339,</w:t>
      </w:r>
      <w:r>
        <w:tab/>
        <w:t xml:space="preserve"> 523; no.366.</w:t>
      </w:r>
    </w:p>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012AC6" w:rsidRDefault="00012AC6" w:rsidP="00012AC6"/>
    <w:p w:rsidR="00111E02" w:rsidRDefault="00111E02" w:rsidP="00111E02">
      <w:r w:rsidRPr="00111E02">
        <w:lastRenderedPageBreak/>
        <w:t>Photo Credit:</w:t>
      </w:r>
      <w:r>
        <w:t xml:space="preserve"> Renfrew, </w:t>
      </w:r>
      <w:r w:rsidRPr="00211162">
        <w:rPr>
          <w:i/>
        </w:rPr>
        <w:t>Cycladic Spirit</w:t>
      </w:r>
      <w:r>
        <w:t>, 166</w:t>
      </w:r>
      <w:r>
        <w:rPr>
          <w:noProof/>
          <w:lang w:bidi="ar-SA"/>
        </w:rPr>
        <w:drawing>
          <wp:anchor distT="0" distB="0" distL="114300" distR="114300" simplePos="0" relativeHeight="251684864" behindDoc="0" locked="0" layoutInCell="1" allowOverlap="1">
            <wp:simplePos x="1462088" y="914400"/>
            <wp:positionH relativeFrom="column">
              <wp:align>left</wp:align>
            </wp:positionH>
            <wp:positionV relativeFrom="paragraph">
              <wp:align>top</wp:align>
            </wp:positionV>
            <wp:extent cx="2856865" cy="1800225"/>
            <wp:effectExtent l="0" t="0" r="63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6865" cy="1800225"/>
                    </a:xfrm>
                    <a:prstGeom prst="rect">
                      <a:avLst/>
                    </a:prstGeom>
                    <a:noFill/>
                  </pic:spPr>
                </pic:pic>
              </a:graphicData>
            </a:graphic>
          </wp:anchor>
        </w:drawing>
      </w:r>
      <w:r>
        <w:t>.</w:t>
      </w:r>
      <w:r>
        <w:br w:type="textWrapping" w:clear="all"/>
      </w:r>
      <w:r w:rsidR="00012AC6">
        <w:br w:type="textWrapping" w:clear="all"/>
      </w:r>
      <w:r w:rsidRPr="00211162">
        <w:rPr>
          <w:b/>
        </w:rPr>
        <w:t>V3. Pig Pyxis</w:t>
      </w:r>
    </w:p>
    <w:p w:rsidR="00111E02" w:rsidRDefault="00111E02" w:rsidP="00111E02">
      <w:r>
        <w:t>Medium: marble</w:t>
      </w:r>
    </w:p>
    <w:p w:rsidR="00111E02" w:rsidRDefault="00111E02" w:rsidP="00111E02">
      <w:r>
        <w:t>Period: EC I, Grotta-Pelos, Plastiras Group</w:t>
      </w:r>
    </w:p>
    <w:p w:rsidR="00111E02" w:rsidRDefault="00111E02" w:rsidP="00111E02">
      <w:r>
        <w:t>Date: 3200-2300 BCE</w:t>
      </w:r>
    </w:p>
    <w:p w:rsidR="00111E02" w:rsidRDefault="00111E02" w:rsidP="00111E02">
      <w:r>
        <w:t xml:space="preserve">Dems: H. 4 </w:t>
      </w:r>
      <w:r w:rsidR="00211162">
        <w:t>cm,</w:t>
      </w:r>
      <w:r>
        <w:t xml:space="preserve"> L: 12.7 cm , W: 7.9 cm , D.rim: 4.5 cm</w:t>
      </w:r>
    </w:p>
    <w:p w:rsidR="00111E02" w:rsidRDefault="00111E02" w:rsidP="00111E02">
      <w:r>
        <w:t>Provenance: Unknown (Possibly Naxos)</w:t>
      </w:r>
    </w:p>
    <w:p w:rsidR="00111E02" w:rsidRDefault="00111E02" w:rsidP="00111E02">
      <w:r>
        <w:t>Location/Access. no.: Museum of Cycladic Art, NG0285</w:t>
      </w:r>
    </w:p>
    <w:p w:rsidR="00111E02" w:rsidRDefault="00111E02" w:rsidP="00111E02">
      <w:r>
        <w:t xml:space="preserve">Description: “A vessel in the form of a pig. The head is sculpted in the round with the ears and snout rendered in relief and small depressions probably for inset eyes. On the underside, four tiny protuberances represent the legs, on which the trotters are cloven by a fine incision. On the rear of the vase the rudimentary tail is carved in relief. A small hollow in the back constitutes the container. The quality of the workmanship and the naturalistic conception are characteristic of the Plastiras phase.” (Doumas, 77)  “The rim of the cavity is chamfered to receive the lid, now lost. Only three more intact and three fragmentary examples of marble zoomorphic pyxides are known, which represent sheep, pigs or hedgehogs, as well as a two-headed bird. Only clay zoomorphic askoi (flasks), usually in the form of a duck, are known from the Early Cycladic III period, </w:t>
      </w:r>
      <w:r>
        <w:lastRenderedPageBreak/>
        <w:t xml:space="preserve">while there are also sporadic examples in the form of a bovine or a snake.” (Museum of Cycladic Art, https://www.cycladic.gr/en/exhibit/ng0285-zoomorfi-pixida) </w:t>
      </w:r>
    </w:p>
    <w:p w:rsidR="00111E02" w:rsidRDefault="0075642F" w:rsidP="00111E02">
      <w:pPr>
        <w:jc w:val="center"/>
      </w:pPr>
      <w:r>
        <w:t>Notes</w:t>
      </w:r>
      <w:r w:rsidR="00111E02">
        <w:t>:</w:t>
      </w:r>
    </w:p>
    <w:p w:rsidR="00111E02" w:rsidRDefault="00111E02" w:rsidP="00111E02">
      <w:r>
        <w:t xml:space="preserve">Christos Doumas, </w:t>
      </w:r>
      <w:r w:rsidRPr="00111E02">
        <w:rPr>
          <w:i/>
        </w:rPr>
        <w:t xml:space="preserve">Cycladic Art: Ancient Sculpture and Pottery from the N.P. </w:t>
      </w:r>
      <w:r w:rsidRPr="00111E02">
        <w:rPr>
          <w:i/>
        </w:rPr>
        <w:tab/>
        <w:t>Goulandris Collection</w:t>
      </w:r>
      <w:r>
        <w:t>, (London: British Museum Press, 1996), 72.</w:t>
      </w:r>
    </w:p>
    <w:p w:rsidR="00111E02" w:rsidRDefault="00111E02" w:rsidP="00111E02">
      <w:r>
        <w:t xml:space="preserve">Colin Renfrew, </w:t>
      </w:r>
      <w:r w:rsidRPr="00111E02">
        <w:rPr>
          <w:i/>
        </w:rPr>
        <w:t xml:space="preserve">The Cycladic Spirit: Masterpieces from the Nicholas P. Goulandris </w:t>
      </w:r>
      <w:r w:rsidRPr="00111E02">
        <w:rPr>
          <w:i/>
        </w:rPr>
        <w:tab/>
        <w:t>Collection,</w:t>
      </w:r>
      <w:r>
        <w:t xml:space="preserve"> (New York: H.N. Abrams and Nicholas P Goulandris Foundation, </w:t>
      </w:r>
      <w:r>
        <w:tab/>
        <w:t>Museum of Cycladic Art, Athens, 1991), pl 110.</w:t>
      </w:r>
    </w:p>
    <w:p w:rsidR="00111E02" w:rsidRDefault="00111E02" w:rsidP="00111E02">
      <w:r>
        <w:t xml:space="preserve">———, </w:t>
      </w:r>
      <w:r w:rsidRPr="00111E02">
        <w:rPr>
          <w:i/>
        </w:rPr>
        <w:t>Early Cycladic Culture: The N.P. Goulandris Collection</w:t>
      </w:r>
      <w:r>
        <w:t xml:space="preserve">, (Athens: N.P. </w:t>
      </w:r>
      <w:r>
        <w:tab/>
        <w:t xml:space="preserve">Goulandris Foundation and Museum of Cycladic Art, 2000), 77, no. 39. </w:t>
      </w:r>
    </w:p>
    <w:p w:rsidR="00111E02" w:rsidRDefault="00111E02" w:rsidP="00111E02">
      <w:r>
        <w:t xml:space="preserve">Jürgen Thimme, ed., </w:t>
      </w:r>
      <w:r w:rsidRPr="00111E02">
        <w:rPr>
          <w:i/>
        </w:rPr>
        <w:t>Art and Culture of the Cyclades in the Third Millennium B.C.</w:t>
      </w:r>
      <w:r>
        <w:t xml:space="preserve">, </w:t>
      </w:r>
      <w:r>
        <w:tab/>
        <w:t xml:space="preserve">trans. Pat Getz-Preziosi, (Chicago: University of Chicago Press, 1977), 99, fig. </w:t>
      </w:r>
      <w:r>
        <w:tab/>
        <w:t>80.</w:t>
      </w:r>
    </w:p>
    <w:p w:rsidR="00012AC6" w:rsidRDefault="00111E02" w:rsidP="00111E02">
      <w:r>
        <w:t xml:space="preserve">Pat Getz-Gentle, Jack L. Davis and Elizabeth Oustinoff, </w:t>
      </w:r>
      <w:r w:rsidRPr="00111E02">
        <w:rPr>
          <w:i/>
        </w:rPr>
        <w:t xml:space="preserve">Early Cycladic Art in North </w:t>
      </w:r>
      <w:r>
        <w:rPr>
          <w:i/>
        </w:rPr>
        <w:tab/>
      </w:r>
      <w:r w:rsidRPr="00111E02">
        <w:rPr>
          <w:i/>
        </w:rPr>
        <w:t>American Collections</w:t>
      </w:r>
      <w:r>
        <w:t xml:space="preserve">, (Richmond, VA: Virginia Museum of Fine Arts, 1987), </w:t>
      </w:r>
      <w:r>
        <w:tab/>
        <w:t>70-71, figs. 38a, 38b.</w:t>
      </w:r>
    </w:p>
    <w:p w:rsidR="00111E02" w:rsidRDefault="00111E02" w:rsidP="00111E02"/>
    <w:p w:rsidR="00111E02" w:rsidRDefault="00111E02" w:rsidP="00111E02"/>
    <w:p w:rsidR="00111E02" w:rsidRDefault="00111E02" w:rsidP="00111E02"/>
    <w:p w:rsidR="00111E02" w:rsidRDefault="00111E02" w:rsidP="00111E02"/>
    <w:p w:rsidR="00111E02" w:rsidRDefault="00111E02" w:rsidP="00111E02"/>
    <w:p w:rsidR="00111E02" w:rsidRDefault="00111E02" w:rsidP="00111E02"/>
    <w:p w:rsidR="00111E02" w:rsidRDefault="00111E02" w:rsidP="00111E02"/>
    <w:p w:rsidR="00211162" w:rsidRDefault="00111E02" w:rsidP="00111E02">
      <w:r w:rsidRPr="00111E02">
        <w:lastRenderedPageBreak/>
        <w:t xml:space="preserve">Photo Credit: Renfrew, </w:t>
      </w:r>
      <w:r w:rsidRPr="00211162">
        <w:rPr>
          <w:i/>
        </w:rPr>
        <w:t>Cycladic Spirit</w:t>
      </w:r>
      <w:r w:rsidRPr="00111E02">
        <w:t>, 56.</w:t>
      </w:r>
      <w:r>
        <w:rPr>
          <w:noProof/>
          <w:lang w:bidi="ar-SA"/>
        </w:rPr>
        <w:drawing>
          <wp:anchor distT="0" distB="0" distL="114300" distR="114300" simplePos="0" relativeHeight="251685888" behindDoc="0" locked="0" layoutInCell="1" allowOverlap="1">
            <wp:simplePos x="1462088" y="914400"/>
            <wp:positionH relativeFrom="column">
              <wp:align>left</wp:align>
            </wp:positionH>
            <wp:positionV relativeFrom="paragraph">
              <wp:align>top</wp:align>
            </wp:positionV>
            <wp:extent cx="2381250" cy="22479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81250" cy="2247900"/>
                    </a:xfrm>
                    <a:prstGeom prst="rect">
                      <a:avLst/>
                    </a:prstGeom>
                    <a:noFill/>
                  </pic:spPr>
                </pic:pic>
              </a:graphicData>
            </a:graphic>
          </wp:anchor>
        </w:drawing>
      </w:r>
      <w:r>
        <w:br w:type="textWrapping" w:clear="all"/>
      </w:r>
    </w:p>
    <w:p w:rsidR="00111E02" w:rsidRPr="00211162" w:rsidRDefault="00111E02" w:rsidP="00111E02">
      <w:pPr>
        <w:rPr>
          <w:b/>
        </w:rPr>
      </w:pPr>
      <w:r w:rsidRPr="00211162">
        <w:rPr>
          <w:b/>
        </w:rPr>
        <w:t>J1. Zoomorphic Amulet</w:t>
      </w:r>
    </w:p>
    <w:p w:rsidR="00111E02" w:rsidRDefault="00111E02" w:rsidP="00111E02">
      <w:r>
        <w:t>Medium: pale green soft stone</w:t>
      </w:r>
    </w:p>
    <w:p w:rsidR="00111E02" w:rsidRDefault="00111E02" w:rsidP="00111E02">
      <w:r>
        <w:t>Period: EC I, Grotta-Pelos, Pelos Group</w:t>
      </w:r>
    </w:p>
    <w:p w:rsidR="00111E02" w:rsidRDefault="00111E02" w:rsidP="00111E02">
      <w:r>
        <w:t>Date: c. 3200-2800 BCE</w:t>
      </w:r>
    </w:p>
    <w:p w:rsidR="00111E02" w:rsidRDefault="00111E02" w:rsidP="00111E02">
      <w:r>
        <w:t>Dems: L: 1.7 cm</w:t>
      </w:r>
    </w:p>
    <w:p w:rsidR="00111E02" w:rsidRDefault="00111E02" w:rsidP="00111E02">
      <w:r>
        <w:t>Provenance: unknown</w:t>
      </w:r>
    </w:p>
    <w:p w:rsidR="00111E02" w:rsidRDefault="00111E02" w:rsidP="00111E02">
      <w:r>
        <w:t>Location/Access. no.: Museum of Cycladic Art, NG0184</w:t>
      </w:r>
    </w:p>
    <w:p w:rsidR="00111E02" w:rsidRDefault="00111E02" w:rsidP="00111E02">
      <w:r>
        <w:t>Description: “A quadruped. Triangular head on which the ears are indicated by a deep cut on the crown. Small protuberances in the lower part denote the legs. A horizontal suspension hole above the forelegs.” (Doumas, 69)</w:t>
      </w:r>
    </w:p>
    <w:p w:rsidR="00111E02" w:rsidRDefault="0075642F" w:rsidP="00111E02">
      <w:pPr>
        <w:jc w:val="center"/>
      </w:pPr>
      <w:r>
        <w:t>Notes:</w:t>
      </w:r>
    </w:p>
    <w:p w:rsidR="00111E02" w:rsidRDefault="00111E02" w:rsidP="00111E02">
      <w:r>
        <w:t xml:space="preserve">Christos Doumas, </w:t>
      </w:r>
      <w:r w:rsidRPr="00111E02">
        <w:rPr>
          <w:i/>
        </w:rPr>
        <w:t xml:space="preserve">Cycladic Art: Ancient Sculpture and Pottery from the N.P. </w:t>
      </w:r>
      <w:r w:rsidRPr="00111E02">
        <w:rPr>
          <w:i/>
        </w:rPr>
        <w:tab/>
        <w:t>Goulandris Collection</w:t>
      </w:r>
      <w:r>
        <w:t>, (London: British Museum Press, 1996), 63.</w:t>
      </w:r>
    </w:p>
    <w:p w:rsidR="00111E02" w:rsidRDefault="00111E02" w:rsidP="00111E02">
      <w:r>
        <w:t xml:space="preserve">———, </w:t>
      </w:r>
      <w:r w:rsidRPr="00111E02">
        <w:rPr>
          <w:i/>
        </w:rPr>
        <w:t>Early Cycladic Culture: The N.P. Goulandris Collection</w:t>
      </w:r>
      <w:r>
        <w:t xml:space="preserve">, (Athens: N.P. </w:t>
      </w:r>
      <w:r>
        <w:tab/>
        <w:t>Goulandris Foundation and Museum of Cycladic Art, 2000), 69, no. 17.</w:t>
      </w:r>
    </w:p>
    <w:p w:rsidR="00111E02" w:rsidRDefault="00111E02" w:rsidP="00111E02">
      <w:r>
        <w:lastRenderedPageBreak/>
        <w:t xml:space="preserve">Colin Renfrew, </w:t>
      </w:r>
      <w:r w:rsidRPr="00111E02">
        <w:rPr>
          <w:i/>
        </w:rPr>
        <w:t xml:space="preserve">The Cycladic Spirit: Masterpieces from the Nicholas P. Goulandris </w:t>
      </w:r>
      <w:r w:rsidRPr="00111E02">
        <w:rPr>
          <w:i/>
        </w:rPr>
        <w:tab/>
        <w:t>Collection</w:t>
      </w:r>
      <w:r>
        <w:t xml:space="preserve">, (New York: H.N. Abrams and Nicholas P Goulandris Foundation, </w:t>
      </w:r>
      <w:r>
        <w:tab/>
        <w:t>Museum of Cycladic Art, Athens, 1991), pl. 19.</w:t>
      </w:r>
    </w:p>
    <w:p w:rsidR="00111E02" w:rsidRDefault="00111E02" w:rsidP="00111E02">
      <w:r>
        <w:t xml:space="preserve">Nikolaos Stampolidis and Peggy Sotirakopoulou, </w:t>
      </w:r>
      <w:r w:rsidRPr="00111E02">
        <w:rPr>
          <w:i/>
        </w:rPr>
        <w:t xml:space="preserve">Aegean Waves: Artworks of the Early </w:t>
      </w:r>
      <w:r w:rsidRPr="00111E02">
        <w:rPr>
          <w:i/>
        </w:rPr>
        <w:tab/>
        <w:t>Cycladic Culture in the Museum of Cycladic Art at Athens</w:t>
      </w:r>
      <w:r>
        <w:t xml:space="preserve">, (Milano: Skira, </w:t>
      </w:r>
      <w:r>
        <w:tab/>
        <w:t>2007), pl. 2.</w:t>
      </w:r>
    </w:p>
    <w:p w:rsidR="00111E02" w:rsidRDefault="00111E02" w:rsidP="00111E02">
      <w:r>
        <w:t xml:space="preserve">Pat Getz-Gentle, </w:t>
      </w:r>
      <w:r w:rsidRPr="00111E02">
        <w:rPr>
          <w:i/>
        </w:rPr>
        <w:t>Stone Vessels of the Cyclades in the Early Bronze Age</w:t>
      </w:r>
      <w:r>
        <w:t xml:space="preserve">, (University </w:t>
      </w:r>
      <w:r>
        <w:tab/>
        <w:t>Park, PA: Penn State University Press, 1996), 186, 359, fig. 102 no. 25.</w:t>
      </w:r>
    </w:p>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p w:rsidR="0075642F" w:rsidRDefault="0075642F" w:rsidP="00111E02">
      <w:r>
        <w:lastRenderedPageBreak/>
        <w:t>P</w:t>
      </w:r>
      <w:r w:rsidRPr="0075642F">
        <w:t xml:space="preserve">hoto Credit: Marangou, </w:t>
      </w:r>
      <w:r w:rsidRPr="0075642F">
        <w:rPr>
          <w:i/>
        </w:rPr>
        <w:t>Cycladic Culture: Naxos in the 3rd Millennium, B.C</w:t>
      </w:r>
      <w:r w:rsidRPr="0075642F">
        <w:t xml:space="preserve">., 58-59, and Getz-Gentle, </w:t>
      </w:r>
      <w:r w:rsidRPr="0075642F">
        <w:rPr>
          <w:i/>
        </w:rPr>
        <w:t>Stone Vessels of the Cyclades in the Early Bronze Age</w:t>
      </w:r>
      <w:r w:rsidRPr="0075642F">
        <w:t>, 186.</w:t>
      </w:r>
      <w:r>
        <w:rPr>
          <w:noProof/>
          <w:lang w:bidi="ar-SA"/>
        </w:rPr>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5119687" cy="1725737"/>
            <wp:effectExtent l="0" t="0" r="5080" b="825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9687" cy="1725737"/>
                    </a:xfrm>
                    <a:prstGeom prst="rect">
                      <a:avLst/>
                    </a:prstGeom>
                    <a:noFill/>
                  </pic:spPr>
                </pic:pic>
              </a:graphicData>
            </a:graphic>
          </wp:anchor>
        </w:drawing>
      </w:r>
    </w:p>
    <w:p w:rsidR="0075642F" w:rsidRPr="00211162" w:rsidRDefault="0075642F" w:rsidP="0075642F">
      <w:pPr>
        <w:rPr>
          <w:b/>
        </w:rPr>
      </w:pPr>
      <w:r w:rsidRPr="00211162">
        <w:rPr>
          <w:b/>
        </w:rPr>
        <w:t>J2. Frog Amulet (splayed)</w:t>
      </w:r>
    </w:p>
    <w:p w:rsidR="0075642F" w:rsidRDefault="0075642F" w:rsidP="0075642F">
      <w:r>
        <w:t>Medium: jadelike, soft stone</w:t>
      </w:r>
    </w:p>
    <w:p w:rsidR="0075642F" w:rsidRDefault="0075642F" w:rsidP="0075642F">
      <w:r>
        <w:t>Period: EC I</w:t>
      </w:r>
    </w:p>
    <w:p w:rsidR="0075642F" w:rsidRDefault="0075642F" w:rsidP="0075642F">
      <w:r>
        <w:t>Date: ca. 3200-2700 BCE</w:t>
      </w:r>
    </w:p>
    <w:p w:rsidR="0075642F" w:rsidRDefault="0075642F" w:rsidP="0075642F">
      <w:r>
        <w:t>Dems: H. 1.4 mm, L. 1.1 mm</w:t>
      </w:r>
    </w:p>
    <w:p w:rsidR="0075642F" w:rsidRDefault="0075642F" w:rsidP="0075642F">
      <w:r>
        <w:t>Provenance: Naxos, Akrotiri cemetery, grave 8</w:t>
      </w:r>
    </w:p>
    <w:p w:rsidR="0075642F" w:rsidRDefault="0075642F" w:rsidP="0075642F">
      <w:r>
        <w:t>Location/Access. no.: Naxos Archaeological Museum, 2007</w:t>
      </w:r>
    </w:p>
    <w:p w:rsidR="0075642F" w:rsidRDefault="0075642F" w:rsidP="0075642F">
      <w:pPr>
        <w:jc w:val="center"/>
      </w:pPr>
      <w:r>
        <w:t>Notes:</w:t>
      </w:r>
    </w:p>
    <w:p w:rsidR="0075642F" w:rsidRDefault="0075642F" w:rsidP="0075642F">
      <w:r>
        <w:t xml:space="preserve">Lila Marangou, ed., </w:t>
      </w:r>
      <w:r w:rsidRPr="0075642F">
        <w:rPr>
          <w:i/>
        </w:rPr>
        <w:t>Cycladic Culture: Naxos in the 3rd Millennium, B.C.</w:t>
      </w:r>
      <w:r>
        <w:t xml:space="preserve">, (Athens: </w:t>
      </w:r>
      <w:r>
        <w:tab/>
        <w:t>Nicholas P. Goulandris Foundation, 1990), 58-59, no. 26.</w:t>
      </w:r>
    </w:p>
    <w:p w:rsidR="0075642F" w:rsidRDefault="0075642F" w:rsidP="0075642F">
      <w:r>
        <w:t xml:space="preserve">Nikolaos Stampolidis and Peggy Sotirakopoulou, </w:t>
      </w:r>
      <w:r w:rsidRPr="0075642F">
        <w:rPr>
          <w:i/>
        </w:rPr>
        <w:t xml:space="preserve">Aegean Waves: Artworks of the Early </w:t>
      </w:r>
      <w:r w:rsidRPr="0075642F">
        <w:rPr>
          <w:i/>
        </w:rPr>
        <w:tab/>
        <w:t>Cycladic Culture in the Museum of Cycladic Art at Athens</w:t>
      </w:r>
      <w:r>
        <w:t xml:space="preserve">, (Milano: Skira, </w:t>
      </w:r>
      <w:r>
        <w:tab/>
        <w:t>2007), 56 fig. 60.</w:t>
      </w:r>
    </w:p>
    <w:p w:rsidR="0075642F" w:rsidRDefault="0075642F" w:rsidP="0075642F">
      <w:r>
        <w:t xml:space="preserve">Pat Getz-Gentle, </w:t>
      </w:r>
      <w:r w:rsidRPr="0075642F">
        <w:rPr>
          <w:i/>
        </w:rPr>
        <w:t>Stone Vessels of the Cyclades in the Early Bronze Age</w:t>
      </w:r>
      <w:r>
        <w:t xml:space="preserve">, (University </w:t>
      </w:r>
      <w:r>
        <w:tab/>
        <w:t>Park, PA: Penn State University Press, 1996), 186, 359-60, fig. 102 no. 20.</w:t>
      </w:r>
    </w:p>
    <w:p w:rsidR="0075642F" w:rsidRDefault="0075642F" w:rsidP="0075642F"/>
    <w:p w:rsidR="0075642F" w:rsidRDefault="0075642F" w:rsidP="0075642F">
      <w:r w:rsidRPr="0075642F">
        <w:lastRenderedPageBreak/>
        <w:t xml:space="preserve">Photo Credit: Getz-Gentle, </w:t>
      </w:r>
      <w:r w:rsidRPr="0075642F">
        <w:rPr>
          <w:i/>
        </w:rPr>
        <w:t>Stone Vessels of the Cyclades in the Early Bronze Age</w:t>
      </w:r>
      <w:r w:rsidRPr="0075642F">
        <w:t>, 186.</w:t>
      </w:r>
      <w:r>
        <w:rPr>
          <w:noProof/>
          <w:lang w:bidi="ar-SA"/>
        </w:rPr>
        <w:drawing>
          <wp:anchor distT="0" distB="0" distL="114300" distR="114300" simplePos="0" relativeHeight="251688960" behindDoc="0" locked="0" layoutInCell="1" allowOverlap="1">
            <wp:simplePos x="0" y="0"/>
            <wp:positionH relativeFrom="margin">
              <wp:align>left</wp:align>
            </wp:positionH>
            <wp:positionV relativeFrom="paragraph">
              <wp:posOffset>0</wp:posOffset>
            </wp:positionV>
            <wp:extent cx="2907665" cy="1785620"/>
            <wp:effectExtent l="0" t="0" r="6985"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07665" cy="1785620"/>
                    </a:xfrm>
                    <a:prstGeom prst="rect">
                      <a:avLst/>
                    </a:prstGeom>
                    <a:noFill/>
                  </pic:spPr>
                </pic:pic>
              </a:graphicData>
            </a:graphic>
          </wp:anchor>
        </w:drawing>
      </w:r>
    </w:p>
    <w:p w:rsidR="0075642F" w:rsidRPr="0075642F" w:rsidRDefault="0075642F" w:rsidP="0075642F"/>
    <w:p w:rsidR="0075642F" w:rsidRDefault="0075642F" w:rsidP="0075642F"/>
    <w:p w:rsidR="0075642F" w:rsidRDefault="0075642F" w:rsidP="0075642F"/>
    <w:p w:rsidR="0075642F" w:rsidRPr="00211162" w:rsidRDefault="0075642F" w:rsidP="0075642F">
      <w:pPr>
        <w:rPr>
          <w:b/>
        </w:rPr>
      </w:pPr>
      <w:r w:rsidRPr="00211162">
        <w:rPr>
          <w:b/>
        </w:rPr>
        <w:t>J3. Dove Amulet</w:t>
      </w:r>
    </w:p>
    <w:p w:rsidR="0075642F" w:rsidRDefault="0075642F" w:rsidP="0075642F">
      <w:r>
        <w:t>Medium: jadelike, soft stone</w:t>
      </w:r>
    </w:p>
    <w:p w:rsidR="0075642F" w:rsidRDefault="0075642F" w:rsidP="0075642F">
      <w:r>
        <w:t>Period: EC I</w:t>
      </w:r>
    </w:p>
    <w:p w:rsidR="0075642F" w:rsidRDefault="0075642F" w:rsidP="0075642F">
      <w:r>
        <w:t>Date: 3200-2700 BCE</w:t>
      </w:r>
    </w:p>
    <w:p w:rsidR="0075642F" w:rsidRDefault="0075642F" w:rsidP="0075642F">
      <w:r>
        <w:t>Provenance: Ano Kouphonisi</w:t>
      </w:r>
    </w:p>
    <w:p w:rsidR="0075642F" w:rsidRDefault="0075642F" w:rsidP="0075642F">
      <w:r>
        <w:t>Location/Access. no.: Naxos Archaeological Museum</w:t>
      </w:r>
    </w:p>
    <w:p w:rsidR="0075642F" w:rsidRDefault="0075642F" w:rsidP="0075642F">
      <w:pPr>
        <w:jc w:val="center"/>
      </w:pPr>
      <w:r>
        <w:t>Notes:</w:t>
      </w:r>
    </w:p>
    <w:p w:rsidR="0075642F" w:rsidRDefault="0075642F" w:rsidP="0075642F">
      <w:r>
        <w:t xml:space="preserve">Pat Getz-Gentle, </w:t>
      </w:r>
      <w:r w:rsidRPr="0075642F">
        <w:rPr>
          <w:i/>
        </w:rPr>
        <w:t>Stone Vessels of the Cyclades in the Early Bronze Age</w:t>
      </w:r>
      <w:r>
        <w:t xml:space="preserve">, (University </w:t>
      </w:r>
      <w:r>
        <w:tab/>
        <w:t>Park, PA: Penn State University Press, 1996), 186, 359-60, fig. 102 no. 24.</w:t>
      </w:r>
    </w:p>
    <w:p w:rsidR="0075642F" w:rsidRDefault="0075642F" w:rsidP="0075642F"/>
    <w:p w:rsidR="0075642F" w:rsidRDefault="0075642F" w:rsidP="0075642F"/>
    <w:p w:rsidR="0075642F" w:rsidRDefault="0075642F" w:rsidP="0075642F"/>
    <w:p w:rsidR="0075642F" w:rsidRDefault="0075642F" w:rsidP="0075642F"/>
    <w:p w:rsidR="0075642F" w:rsidRDefault="0075642F" w:rsidP="0075642F"/>
    <w:p w:rsidR="0075642F" w:rsidRDefault="0075642F" w:rsidP="0075642F"/>
    <w:p w:rsidR="0075642F" w:rsidRDefault="0075642F" w:rsidP="0075642F"/>
    <w:p w:rsidR="0075642F" w:rsidRDefault="0075642F" w:rsidP="0075642F"/>
    <w:p w:rsidR="0075642F" w:rsidRDefault="0075642F" w:rsidP="0075642F">
      <w:r w:rsidRPr="0075642F">
        <w:lastRenderedPageBreak/>
        <w:t xml:space="preserve">Photo Credit: Getz-Gentle, </w:t>
      </w:r>
      <w:r w:rsidRPr="0075642F">
        <w:rPr>
          <w:i/>
        </w:rPr>
        <w:t>Stone Vessels of the Cyclades in the Early Bronze Age</w:t>
      </w:r>
      <w:r w:rsidRPr="0075642F">
        <w:t>, 186.</w:t>
      </w:r>
      <w:r>
        <w:rPr>
          <w:noProof/>
          <w:lang w:bidi="ar-SA"/>
        </w:rPr>
        <w:drawing>
          <wp:anchor distT="0" distB="0" distL="114300" distR="114300" simplePos="0" relativeHeight="251689984" behindDoc="0" locked="0" layoutInCell="1" allowOverlap="1">
            <wp:simplePos x="1462088" y="914400"/>
            <wp:positionH relativeFrom="column">
              <wp:align>left</wp:align>
            </wp:positionH>
            <wp:positionV relativeFrom="paragraph">
              <wp:align>top</wp:align>
            </wp:positionV>
            <wp:extent cx="2799715" cy="1971675"/>
            <wp:effectExtent l="0" t="0" r="63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9715" cy="1971675"/>
                    </a:xfrm>
                    <a:prstGeom prst="rect">
                      <a:avLst/>
                    </a:prstGeom>
                    <a:noFill/>
                  </pic:spPr>
                </pic:pic>
              </a:graphicData>
            </a:graphic>
          </wp:anchor>
        </w:drawing>
      </w:r>
      <w:r>
        <w:br w:type="textWrapping" w:clear="all"/>
      </w:r>
    </w:p>
    <w:p w:rsidR="0075642F" w:rsidRPr="00211162" w:rsidRDefault="0075642F" w:rsidP="0075642F">
      <w:pPr>
        <w:rPr>
          <w:b/>
        </w:rPr>
      </w:pPr>
      <w:r w:rsidRPr="00211162">
        <w:rPr>
          <w:b/>
        </w:rPr>
        <w:t xml:space="preserve">J4. Zoomorphic Amulet </w:t>
      </w:r>
    </w:p>
    <w:p w:rsidR="0075642F" w:rsidRDefault="0075642F" w:rsidP="0075642F">
      <w:r>
        <w:t>Medium: jadelike, soft stone</w:t>
      </w:r>
    </w:p>
    <w:p w:rsidR="0075642F" w:rsidRDefault="0075642F" w:rsidP="0075642F">
      <w:r>
        <w:t>Period: EC I</w:t>
      </w:r>
    </w:p>
    <w:p w:rsidR="0075642F" w:rsidRDefault="0075642F" w:rsidP="0075642F">
      <w:r>
        <w:t>Date: 3200-2700 BCE</w:t>
      </w:r>
    </w:p>
    <w:p w:rsidR="0075642F" w:rsidRDefault="0075642F" w:rsidP="0075642F">
      <w:r>
        <w:t>Dems: N/A</w:t>
      </w:r>
    </w:p>
    <w:p w:rsidR="0075642F" w:rsidRDefault="0075642F" w:rsidP="0075642F">
      <w:r>
        <w:t>Provenance: Ano Kouphonisi</w:t>
      </w:r>
    </w:p>
    <w:p w:rsidR="0075642F" w:rsidRDefault="0075642F" w:rsidP="0075642F">
      <w:r>
        <w:t>Location/Access. no.: Naxos Archaeological Museum</w:t>
      </w:r>
    </w:p>
    <w:p w:rsidR="0075642F" w:rsidRDefault="0075642F" w:rsidP="0075642F">
      <w:r>
        <w:t xml:space="preserve">Description: made of the same material, a soft green, jade-like stone as J1, J2, J3 and J9; this piece is fragmentary, missing the head which would help determine the species through identifying characteristics (i.e. presence of ram’s horns); all that can definitively be said is that it represents a quadruped.  However, similar to J10, the tail appears to be curled and a hole has been drilled in the abdomen, presumably for hanging on a string of beads as in both J2 and J10. </w:t>
      </w:r>
    </w:p>
    <w:p w:rsidR="0075642F" w:rsidRDefault="0075642F" w:rsidP="0075642F">
      <w:r>
        <w:t xml:space="preserve">From </w:t>
      </w:r>
      <w:r w:rsidRPr="0075642F">
        <w:rPr>
          <w:i/>
        </w:rPr>
        <w:t>Aegean Waves</w:t>
      </w:r>
      <w:r>
        <w:t xml:space="preserve">: “Necklaces had beads of silver, common or semiprecious stones, seashells and bone, while a single gold bead has been found in a tomb on Naxos. Amulets were made of semiprecious stones in the shape of quadrupeds, birds, stars, </w:t>
      </w:r>
      <w:r>
        <w:lastRenderedPageBreak/>
        <w:t>frogs, droplets, flies or phalluses, and were either worn in isolation or</w:t>
      </w:r>
      <w:r w:rsidR="002B01D9">
        <w:t xml:space="preserve"> strung as bead on necklaces.” </w:t>
      </w:r>
    </w:p>
    <w:p w:rsidR="0075642F" w:rsidRDefault="0075642F" w:rsidP="0075642F">
      <w:pPr>
        <w:jc w:val="center"/>
      </w:pPr>
      <w:r>
        <w:t>Notes:</w:t>
      </w:r>
    </w:p>
    <w:p w:rsidR="0075642F" w:rsidRDefault="0075642F" w:rsidP="0075642F">
      <w:r>
        <w:t xml:space="preserve">Pat Getz-Gentle, </w:t>
      </w:r>
      <w:r w:rsidRPr="002B01D9">
        <w:rPr>
          <w:i/>
        </w:rPr>
        <w:t>Stone Vessels of the Cyclades in the Early Bronze Age</w:t>
      </w:r>
      <w:r>
        <w:t xml:space="preserve">, (University </w:t>
      </w:r>
      <w:r w:rsidR="002B01D9">
        <w:tab/>
      </w:r>
      <w:r>
        <w:t>Park, PA: Penn State University Press, 1996), 186, 359-60, fig. 102 no. 21.</w:t>
      </w:r>
    </w:p>
    <w:p w:rsidR="002B01D9" w:rsidRDefault="002B01D9" w:rsidP="0075642F">
      <w:r w:rsidRPr="002B01D9">
        <w:t xml:space="preserve">Nikolaos Stampolidis and Peggy Sotirakopoulou, </w:t>
      </w:r>
      <w:r w:rsidRPr="002B01D9">
        <w:rPr>
          <w:i/>
        </w:rPr>
        <w:t xml:space="preserve">Aegean Waves: Artworks of the Early </w:t>
      </w:r>
      <w:r w:rsidRPr="002B01D9">
        <w:rPr>
          <w:i/>
        </w:rPr>
        <w:tab/>
        <w:t>Cycladic Culture in the Museum of Cycladic Art at Athens</w:t>
      </w:r>
      <w:r w:rsidRPr="002B01D9">
        <w:t xml:space="preserve">, (Milano: Skira, </w:t>
      </w:r>
      <w:r>
        <w:tab/>
      </w:r>
      <w:r w:rsidRPr="002B01D9">
        <w:t>2007), 70.</w:t>
      </w:r>
    </w:p>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p w:rsidR="002B01D9" w:rsidRDefault="002B01D9" w:rsidP="0075642F">
      <w:r w:rsidRPr="002B01D9">
        <w:lastRenderedPageBreak/>
        <w:t xml:space="preserve">Photo Credit: Katsarou and Schilardi, “Emerging Neolithic and Early Cycladic Settlements in Paros”, 29, fig. 5c. </w:t>
      </w:r>
      <w:r>
        <w:rPr>
          <w:noProof/>
          <w:lang w:bidi="ar-SA"/>
        </w:rPr>
        <w:drawing>
          <wp:anchor distT="0" distB="0" distL="114300" distR="114300" simplePos="0" relativeHeight="251691008" behindDoc="0" locked="0" layoutInCell="1" allowOverlap="1">
            <wp:simplePos x="1462088" y="914400"/>
            <wp:positionH relativeFrom="column">
              <wp:align>left</wp:align>
            </wp:positionH>
            <wp:positionV relativeFrom="paragraph">
              <wp:align>top</wp:align>
            </wp:positionV>
            <wp:extent cx="2471025" cy="2276475"/>
            <wp:effectExtent l="0" t="0" r="571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1025" cy="2276475"/>
                    </a:xfrm>
                    <a:prstGeom prst="rect">
                      <a:avLst/>
                    </a:prstGeom>
                    <a:noFill/>
                  </pic:spPr>
                </pic:pic>
              </a:graphicData>
            </a:graphic>
          </wp:anchor>
        </w:drawing>
      </w:r>
      <w:r>
        <w:br w:type="textWrapping" w:clear="all"/>
      </w:r>
    </w:p>
    <w:p w:rsidR="002B01D9" w:rsidRPr="00211162" w:rsidRDefault="002B01D9" w:rsidP="002B01D9">
      <w:pPr>
        <w:rPr>
          <w:b/>
        </w:rPr>
      </w:pPr>
      <w:r w:rsidRPr="00211162">
        <w:rPr>
          <w:b/>
        </w:rPr>
        <w:t>P1. Zoomorphic Head</w:t>
      </w:r>
    </w:p>
    <w:p w:rsidR="002B01D9" w:rsidRDefault="002B01D9" w:rsidP="002B01D9">
      <w:r>
        <w:t>Medium: clay</w:t>
      </w:r>
    </w:p>
    <w:p w:rsidR="002B01D9" w:rsidRDefault="002B01D9" w:rsidP="002B01D9">
      <w:r>
        <w:t>Period: EC I-II, Kampos phase</w:t>
      </w:r>
    </w:p>
    <w:p w:rsidR="002B01D9" w:rsidRDefault="002B01D9" w:rsidP="002B01D9">
      <w:r>
        <w:t>Date: 2700-2300 B.C.</w:t>
      </w:r>
    </w:p>
    <w:p w:rsidR="002B01D9" w:rsidRDefault="002B01D9" w:rsidP="002B01D9">
      <w:r>
        <w:t>Dems: H. 3 cm</w:t>
      </w:r>
    </w:p>
    <w:p w:rsidR="002B01D9" w:rsidRDefault="002B01D9" w:rsidP="002B01D9">
      <w:r>
        <w:t>Provenance: Paros, Koukournaries, Lower Plateau</w:t>
      </w:r>
    </w:p>
    <w:p w:rsidR="002B01D9" w:rsidRDefault="000C7359" w:rsidP="002B01D9">
      <w:r>
        <w:t>Description:</w:t>
      </w:r>
      <w:r w:rsidR="002B01D9">
        <w:t xml:space="preserve"> recovered from a secure and undisturbed context; excavated in 1991. Unusual in that it was not found in either a grave or associated with any architectural features.  The layer above was a mix of Mycenaean, Geometric and later pottery. Though the protome is hollowed out from the back, as if to pour liquids, no opening appears from the front and therefore it could not have been part of a rhyton.  The fabric is coarse clay, fired to a red-brown and gray color, with no signs of polishing or other treatment. “The cylindrical head narrows towards the lower front part denoting the animal’s muzzle. The rendering of the animal’s facial features is exceptionally naturalistic and expressive: a slightly plastic rib for the nose runs along the full length </w:t>
      </w:r>
      <w:r w:rsidR="002B01D9">
        <w:lastRenderedPageBreak/>
        <w:t>of the head. On either side the eyes are indicated by small deep incisions. At the front of the head-cylinder two small holes are made for nostrils, and a very deep groove denotes the animal’s open mouth. But none of the three apertures goes through to the interior of the vessel. Par of the upper left side of the head, which probably carried the animal’s horns, is missing. Below the head a thick rippled neck is a detail further strengthening the identification of the figurine as a bovine.” (“Recontextualized,” 414)</w:t>
      </w:r>
    </w:p>
    <w:p w:rsidR="002B01D9" w:rsidRDefault="002B01D9" w:rsidP="002B01D9">
      <w:r>
        <w:t>While the authors speculate that this represents a bovine, I propose that this is a feline representation, and the only one known to me in Early Cycladic three-dimensional art.  I point to the style of the ears, which are well defined and modelled.  They are not pricked forward, or laying elongated and flat, as we have seen in other representations of animals, whether wild or domesticates.  Additionally, the muzzle is not elongated.  The nasal bones of the skull are well-defined.  And the eyes are represented by two deep impressions which appear to be more linear, rather than rounded as in other representations. However, since this likely dates to the transitional Kampos period, either the feline or bovine representation could be appropriate since I have found no other comparative representations in Early Cycladic art.  However, for other comparisons see the quartzite lion cub figurine, Egyptian, Early Dynastic, c. 3100-2900 BCE, Gallatin Collection, The Metropolitan Museum of Art, New York, accession no. 66.99.2; and the Mother Goddess statuette from Çatalhöyük, c. 5750 BCE, The Museum of Anatolian Civilizations, Ankara.</w:t>
      </w:r>
    </w:p>
    <w:p w:rsidR="002B01D9" w:rsidRDefault="002B01D9" w:rsidP="002B01D9"/>
    <w:p w:rsidR="002B01D9" w:rsidRDefault="002B01D9" w:rsidP="002B01D9"/>
    <w:p w:rsidR="002B01D9" w:rsidRDefault="002B01D9" w:rsidP="002B01D9"/>
    <w:p w:rsidR="002B01D9" w:rsidRDefault="002B01D9" w:rsidP="002B01D9">
      <w:pPr>
        <w:jc w:val="center"/>
      </w:pPr>
      <w:r>
        <w:lastRenderedPageBreak/>
        <w:t>Notes:</w:t>
      </w:r>
    </w:p>
    <w:p w:rsidR="002B01D9" w:rsidRDefault="002B01D9" w:rsidP="002B01D9">
      <w:r>
        <w:t xml:space="preserve">Stella Katsarou-Tzeveleki and Demetrius U. Schilardi, “Emerging Neolithic and Early </w:t>
      </w:r>
      <w:r>
        <w:tab/>
        <w:t xml:space="preserve">Cycladic Settlements in Paros: Koukounaries and Sklavouna,” </w:t>
      </w:r>
      <w:r w:rsidRPr="002B01D9">
        <w:rPr>
          <w:i/>
        </w:rPr>
        <w:t xml:space="preserve">The Annual of </w:t>
      </w:r>
      <w:r w:rsidRPr="002B01D9">
        <w:rPr>
          <w:i/>
        </w:rPr>
        <w:tab/>
        <w:t xml:space="preserve">the British School at Athens </w:t>
      </w:r>
      <w:r>
        <w:t>99 (2004): 23-48. Accessed 7-26-2016, http://</w:t>
      </w:r>
    </w:p>
    <w:p w:rsidR="002B01D9" w:rsidRDefault="002B01D9" w:rsidP="002B01D9">
      <w:pPr>
        <w:ind w:firstLine="720"/>
      </w:pPr>
      <w:r>
        <w:t>www.jstor.org/stable/30071530. See figure 5c on page 29, text page 36, fn 71-</w:t>
      </w:r>
      <w:r>
        <w:tab/>
        <w:t>75.</w:t>
      </w:r>
    </w:p>
    <w:p w:rsidR="002B01D9" w:rsidRDefault="002B01D9" w:rsidP="002B01D9">
      <w:r>
        <w:t xml:space="preserve">Stella Katsarou-Tzeveleki and Demetrius U. Schilardi, “Some Reflections on EC </w:t>
      </w:r>
      <w:r>
        <w:tab/>
        <w:t xml:space="preserve">Domestic Space Arising from Observations at Koukounaries, Paros,” in </w:t>
      </w:r>
      <w:r>
        <w:tab/>
      </w:r>
      <w:r w:rsidRPr="002B01D9">
        <w:rPr>
          <w:i/>
        </w:rPr>
        <w:t>Horizon: A Colloquium on the Prehistory of the Cyclades</w:t>
      </w:r>
      <w:r>
        <w:t xml:space="preserve">, eds. Neil Brodie et </w:t>
      </w:r>
      <w:r>
        <w:tab/>
        <w:t xml:space="preserve">al., 61-70, (Oxford: McDonald Institute for Archaeological Research, 2008), 67, </w:t>
      </w:r>
      <w:r>
        <w:tab/>
        <w:t>fig 8.5c.</w:t>
      </w:r>
    </w:p>
    <w:p w:rsidR="002B01D9" w:rsidRDefault="002B01D9" w:rsidP="002B01D9">
      <w:r>
        <w:t xml:space="preserve">Stella Katsarou and Demetrius U. Schilardi. “Recontextualized Neolithic and Early </w:t>
      </w:r>
      <w:r>
        <w:tab/>
        <w:t xml:space="preserve">Cycladic Figurines at the Acropolis of Koukounaries, Paros.” in </w:t>
      </w:r>
      <w:r w:rsidRPr="002B01D9">
        <w:rPr>
          <w:i/>
        </w:rPr>
        <w:t xml:space="preserve">Early Cycladic </w:t>
      </w:r>
      <w:r w:rsidRPr="002B01D9">
        <w:rPr>
          <w:i/>
        </w:rPr>
        <w:tab/>
        <w:t>Sculpture in Context</w:t>
      </w:r>
      <w:r>
        <w:t xml:space="preserve">, eds. Marisa Marthari, Colin Renfrew, Michael Boyd, </w:t>
      </w:r>
      <w:r>
        <w:tab/>
        <w:t>410-420, (Oxford: Oxbow, 2017), 414-415.</w:t>
      </w:r>
    </w:p>
    <w:p w:rsidR="002B01D9" w:rsidRDefault="002B01D9" w:rsidP="002B01D9"/>
    <w:p w:rsidR="002B01D9" w:rsidRDefault="002B01D9" w:rsidP="002B01D9"/>
    <w:p w:rsidR="002B01D9" w:rsidRDefault="002B01D9" w:rsidP="002B01D9"/>
    <w:p w:rsidR="002B01D9" w:rsidRDefault="002B01D9" w:rsidP="002B01D9"/>
    <w:p w:rsidR="002B01D9" w:rsidRDefault="002B01D9" w:rsidP="002B01D9"/>
    <w:p w:rsidR="002B01D9" w:rsidRDefault="002B01D9" w:rsidP="002B01D9"/>
    <w:p w:rsidR="002B01D9" w:rsidRDefault="002B01D9" w:rsidP="002B01D9"/>
    <w:p w:rsidR="002B01D9" w:rsidRDefault="002B01D9" w:rsidP="002B01D9"/>
    <w:p w:rsidR="002B01D9" w:rsidRDefault="002B01D9" w:rsidP="002B01D9">
      <w:pPr>
        <w:pStyle w:val="Heading2"/>
      </w:pPr>
      <w:bookmarkStart w:id="123" w:name="_Toc482206698"/>
      <w:r>
        <w:lastRenderedPageBreak/>
        <w:t>Early Cycladic II (2800/2700 BCE-2400/2300 BCE)</w:t>
      </w:r>
      <w:bookmarkEnd w:id="123"/>
    </w:p>
    <w:p w:rsidR="002B01D9" w:rsidRDefault="002B01D9" w:rsidP="002B01D9">
      <w:r w:rsidRPr="002B01D9">
        <w:t xml:space="preserve">Photo Credit: Stampolidis and Sotirakopoulou, </w:t>
      </w:r>
      <w:r w:rsidRPr="002B01D9">
        <w:rPr>
          <w:i/>
        </w:rPr>
        <w:t>Aegean Waves</w:t>
      </w:r>
      <w:r w:rsidRPr="002B01D9">
        <w:t>, pl. 59.</w:t>
      </w:r>
      <w:r>
        <w:rPr>
          <w:noProof/>
          <w:lang w:bidi="ar-SA"/>
        </w:rPr>
        <w:drawing>
          <wp:anchor distT="0" distB="0" distL="114300" distR="114300" simplePos="0" relativeHeight="251692032" behindDoc="0" locked="0" layoutInCell="1" allowOverlap="1">
            <wp:simplePos x="1462088" y="1266825"/>
            <wp:positionH relativeFrom="column">
              <wp:align>left</wp:align>
            </wp:positionH>
            <wp:positionV relativeFrom="paragraph">
              <wp:align>top</wp:align>
            </wp:positionV>
            <wp:extent cx="2860583" cy="17526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60583" cy="1752600"/>
                    </a:xfrm>
                    <a:prstGeom prst="rect">
                      <a:avLst/>
                    </a:prstGeom>
                    <a:noFill/>
                  </pic:spPr>
                </pic:pic>
              </a:graphicData>
            </a:graphic>
          </wp:anchor>
        </w:drawing>
      </w:r>
      <w:r>
        <w:br w:type="textWrapping" w:clear="all"/>
      </w:r>
    </w:p>
    <w:p w:rsidR="002B01D9" w:rsidRPr="00211162" w:rsidRDefault="002B01D9" w:rsidP="002B01D9">
      <w:pPr>
        <w:rPr>
          <w:b/>
        </w:rPr>
      </w:pPr>
      <w:r w:rsidRPr="00211162">
        <w:rPr>
          <w:b/>
        </w:rPr>
        <w:t xml:space="preserve">V4. Large Plate, “Dove Tray” </w:t>
      </w:r>
    </w:p>
    <w:p w:rsidR="002B01D9" w:rsidRDefault="002B01D9" w:rsidP="002B01D9">
      <w:r>
        <w:t>Medium: marble</w:t>
      </w:r>
    </w:p>
    <w:p w:rsidR="002B01D9" w:rsidRDefault="002B01D9" w:rsidP="002B01D9">
      <w:r>
        <w:t>Period: EC II, Keros-Syros, Syros Group</w:t>
      </w:r>
    </w:p>
    <w:p w:rsidR="002B01D9" w:rsidRDefault="002B01D9" w:rsidP="002B01D9">
      <w:r>
        <w:t>Date: 2800-2300 BCE</w:t>
      </w:r>
    </w:p>
    <w:p w:rsidR="002B01D9" w:rsidRDefault="002B01D9" w:rsidP="002B01D9">
      <w:r>
        <w:t>Dems: H.: 5.1 cm, D.rim: 39 cm , D.base: 41.5 cm</w:t>
      </w:r>
    </w:p>
    <w:p w:rsidR="002B01D9" w:rsidRDefault="002B01D9" w:rsidP="002B01D9">
      <w:r>
        <w:t>Provenance: possibly Keros</w:t>
      </w:r>
    </w:p>
    <w:p w:rsidR="002B01D9" w:rsidRDefault="002B01D9" w:rsidP="002B01D9">
      <w:r>
        <w:t>Location/Access. no.: Museum of Cycladic Art, NG0329</w:t>
      </w:r>
    </w:p>
    <w:p w:rsidR="002B01D9" w:rsidRDefault="002B01D9" w:rsidP="002B01D9">
      <w:r>
        <w:t xml:space="preserve">Description: “The slightly convex base of the dish projects about 5 mm beyond the walls. The rolled rim is emphasized outside by a shallow groove…In addition there is a row of integral birds on its internal diameter. It seems that when the dish was carved a strip of marble of the same height was left…which was then divided by notches into sixteen sections of unequal thickness.  Each section was subsequently worked to form a bird. The process is attested by chisel marks on the sides of the birds. The differing heights of the birds also indicated that each was carved independently. The discovery of fragments of a similar vessel on Keros hints at the possible provenance of the ‘dove vase.’” (Doumas, 129) </w:t>
      </w:r>
    </w:p>
    <w:p w:rsidR="002B01D9" w:rsidRDefault="002B01D9" w:rsidP="002B01D9">
      <w:pPr>
        <w:jc w:val="center"/>
      </w:pPr>
      <w:r>
        <w:lastRenderedPageBreak/>
        <w:t>Notes:</w:t>
      </w:r>
    </w:p>
    <w:p w:rsidR="002B01D9" w:rsidRDefault="002B01D9" w:rsidP="002B01D9">
      <w:r>
        <w:t xml:space="preserve">Christos Doumas, </w:t>
      </w:r>
      <w:r w:rsidRPr="002B01D9">
        <w:rPr>
          <w:i/>
        </w:rPr>
        <w:t xml:space="preserve">Cycladic Art: Ancient Sculpture and Pottery from the N.P. </w:t>
      </w:r>
      <w:r w:rsidRPr="002B01D9">
        <w:rPr>
          <w:i/>
        </w:rPr>
        <w:tab/>
        <w:t>Goulandris Collection</w:t>
      </w:r>
      <w:r>
        <w:t>, (London: British Museum Press, 1996), 134.</w:t>
      </w:r>
    </w:p>
    <w:p w:rsidR="002B01D9" w:rsidRDefault="002B01D9" w:rsidP="002B01D9">
      <w:r>
        <w:t xml:space="preserve">———, </w:t>
      </w:r>
      <w:r w:rsidRPr="002B01D9">
        <w:rPr>
          <w:i/>
        </w:rPr>
        <w:t>Early Cycladic Culture: The N.P. Goulandris Collection</w:t>
      </w:r>
      <w:r>
        <w:t xml:space="preserve">, (Athens: N.P. </w:t>
      </w:r>
      <w:r>
        <w:tab/>
        <w:t xml:space="preserve">Goulandris Foundation and Museum of Cycladic Art, 2000), 129, no.168. </w:t>
      </w:r>
    </w:p>
    <w:p w:rsidR="002B01D9" w:rsidRDefault="002B01D9" w:rsidP="002B01D9">
      <w:r>
        <w:t xml:space="preserve">Colin Renfrew, </w:t>
      </w:r>
      <w:r w:rsidRPr="002B01D9">
        <w:rPr>
          <w:i/>
        </w:rPr>
        <w:t xml:space="preserve">The Cycladic Spirit: Masterpieces from the Nicholas P. Goulandris </w:t>
      </w:r>
      <w:r w:rsidRPr="002B01D9">
        <w:rPr>
          <w:i/>
        </w:rPr>
        <w:tab/>
        <w:t>Collection</w:t>
      </w:r>
      <w:r>
        <w:t xml:space="preserve">, (New York: H.N. Abrams and Nicholas P Goulandris Foundation, </w:t>
      </w:r>
      <w:r>
        <w:tab/>
        <w:t>Museum of Cycladic Art, Athens, 1991), pl 112.</w:t>
      </w:r>
    </w:p>
    <w:p w:rsidR="002B01D9" w:rsidRDefault="002B01D9" w:rsidP="002B01D9">
      <w:r>
        <w:t xml:space="preserve">Jürgen Thimme, ed., </w:t>
      </w:r>
      <w:r w:rsidRPr="002B01D9">
        <w:rPr>
          <w:i/>
        </w:rPr>
        <w:t>Art and Culture of the Cyclades in the Third Millennium B.C</w:t>
      </w:r>
      <w:r>
        <w:t xml:space="preserve">., </w:t>
      </w:r>
      <w:r>
        <w:tab/>
        <w:t xml:space="preserve">trans. Pat Getz-Preziosi, (Chicago: University of Chicago Press, 1977), 101, fig. </w:t>
      </w:r>
      <w:r>
        <w:tab/>
        <w:t>82.</w:t>
      </w:r>
    </w:p>
    <w:p w:rsidR="002B01D9" w:rsidRDefault="002B01D9" w:rsidP="002B01D9">
      <w:r>
        <w:t xml:space="preserve">Nikolaos Stampolidis and Peggy Sotirakopoulou, </w:t>
      </w:r>
      <w:r w:rsidRPr="002B01D9">
        <w:rPr>
          <w:i/>
        </w:rPr>
        <w:t>Aegean Waves: Artworks of the Early</w:t>
      </w:r>
      <w:r w:rsidRPr="002B01D9">
        <w:rPr>
          <w:i/>
        </w:rPr>
        <w:tab/>
        <w:t xml:space="preserve"> Cycladic Culture in the Museum of Cycladic Art at Athens</w:t>
      </w:r>
      <w:r>
        <w:t xml:space="preserve">, (Milano: Skira, </w:t>
      </w:r>
      <w:r>
        <w:tab/>
        <w:t>2007), pl. 59.</w:t>
      </w:r>
    </w:p>
    <w:p w:rsidR="002B01D9" w:rsidRDefault="002B01D9" w:rsidP="002B01D9">
      <w:r>
        <w:t xml:space="preserve">Pat Getz-Gentle, Jack L. Davis and Elizabeth Oustinoff, </w:t>
      </w:r>
      <w:r w:rsidRPr="007D767B">
        <w:rPr>
          <w:i/>
        </w:rPr>
        <w:t xml:space="preserve">Early Cycladic Art in North </w:t>
      </w:r>
      <w:r w:rsidR="007D767B" w:rsidRPr="007D767B">
        <w:rPr>
          <w:i/>
        </w:rPr>
        <w:tab/>
      </w:r>
      <w:r w:rsidRPr="007D767B">
        <w:rPr>
          <w:i/>
        </w:rPr>
        <w:t>American Collections</w:t>
      </w:r>
      <w:r>
        <w:t>, (Richmond, VA: Virginia Museum of Fine Arts, 1987</w:t>
      </w:r>
      <w:r w:rsidR="007D767B">
        <w:t xml:space="preserve">), </w:t>
      </w:r>
      <w:r w:rsidR="007D767B">
        <w:tab/>
        <w:t>69</w:t>
      </w:r>
      <w:r>
        <w:t xml:space="preserve">, fig 37a. See page 314: “Several fragments of another example, measuring 38 </w:t>
      </w:r>
      <w:r w:rsidR="007D767B">
        <w:tab/>
      </w:r>
      <w:r>
        <w:t xml:space="preserve">cm across and having a row of perhaps 15 doves were found during </w:t>
      </w:r>
      <w:r w:rsidR="007D767B">
        <w:tab/>
      </w:r>
      <w:r>
        <w:t xml:space="preserve">investigations on Keros, along with fragments of two or three other vessels of </w:t>
      </w:r>
      <w:r w:rsidR="007D767B">
        <w:tab/>
      </w:r>
      <w:r>
        <w:t>the same type.”  See also F3 and V5.</w:t>
      </w:r>
    </w:p>
    <w:p w:rsidR="002B01D9" w:rsidRDefault="002B01D9" w:rsidP="002B01D9">
      <w:r>
        <w:t xml:space="preserve">———, </w:t>
      </w:r>
      <w:r w:rsidRPr="007D767B">
        <w:rPr>
          <w:i/>
        </w:rPr>
        <w:t>Stone Vessels of the Cyclades in the Early Bronze Age</w:t>
      </w:r>
      <w:r>
        <w:t xml:space="preserve">, (University Park, PA: </w:t>
      </w:r>
      <w:r w:rsidR="007D767B">
        <w:tab/>
      </w:r>
      <w:r>
        <w:t>Penn State University Press, 1996), pl. 71; 124-26; fig. 65b; p. 346-47.</w:t>
      </w:r>
    </w:p>
    <w:p w:rsidR="007D767B" w:rsidRDefault="007D767B" w:rsidP="002B01D9"/>
    <w:p w:rsidR="007D767B" w:rsidRDefault="00886A75" w:rsidP="002B01D9">
      <w:r w:rsidRPr="00886A75">
        <w:lastRenderedPageBreak/>
        <w:t xml:space="preserve">Photo Credit: Renfrew, </w:t>
      </w:r>
      <w:r w:rsidRPr="00886A75">
        <w:rPr>
          <w:i/>
        </w:rPr>
        <w:t>Cycladic Spirit</w:t>
      </w:r>
      <w:r w:rsidRPr="00886A75">
        <w:t>, 167.</w:t>
      </w:r>
      <w:r>
        <w:rPr>
          <w:noProof/>
          <w:lang w:bidi="ar-SA"/>
        </w:rPr>
        <w:drawing>
          <wp:anchor distT="0" distB="0" distL="114300" distR="114300" simplePos="0" relativeHeight="251693056" behindDoc="0" locked="0" layoutInCell="1" allowOverlap="1">
            <wp:simplePos x="1462088" y="914400"/>
            <wp:positionH relativeFrom="column">
              <wp:align>left</wp:align>
            </wp:positionH>
            <wp:positionV relativeFrom="paragraph">
              <wp:align>top</wp:align>
            </wp:positionV>
            <wp:extent cx="2257425" cy="2219325"/>
            <wp:effectExtent l="0" t="0" r="9525" b="952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7425" cy="2219325"/>
                    </a:xfrm>
                    <a:prstGeom prst="rect">
                      <a:avLst/>
                    </a:prstGeom>
                    <a:noFill/>
                  </pic:spPr>
                </pic:pic>
              </a:graphicData>
            </a:graphic>
          </wp:anchor>
        </w:drawing>
      </w:r>
      <w:r>
        <w:br w:type="textWrapping" w:clear="all"/>
      </w:r>
    </w:p>
    <w:p w:rsidR="00886A75" w:rsidRPr="00211162" w:rsidRDefault="00886A75" w:rsidP="00886A75">
      <w:pPr>
        <w:rPr>
          <w:b/>
        </w:rPr>
      </w:pPr>
      <w:r w:rsidRPr="00211162">
        <w:rPr>
          <w:b/>
        </w:rPr>
        <w:t xml:space="preserve">F1.  Dove Tray Fragment </w:t>
      </w:r>
    </w:p>
    <w:p w:rsidR="00886A75" w:rsidRDefault="00886A75" w:rsidP="00886A75">
      <w:r>
        <w:t>Medium: marble</w:t>
      </w:r>
    </w:p>
    <w:p w:rsidR="00886A75" w:rsidRDefault="00886A75" w:rsidP="00886A75">
      <w:r>
        <w:t>Period: EC II, Keros-Syros, Syros Group</w:t>
      </w:r>
    </w:p>
    <w:p w:rsidR="00886A75" w:rsidRDefault="00886A75" w:rsidP="00886A75">
      <w:r>
        <w:t>Date: 2800-2300 BCE</w:t>
      </w:r>
    </w:p>
    <w:p w:rsidR="00886A75" w:rsidRDefault="00886A75" w:rsidP="00886A75">
      <w:r>
        <w:t>Dems: H.: 4 cm, L: 5.3 cm</w:t>
      </w:r>
    </w:p>
    <w:p w:rsidR="00886A75" w:rsidRDefault="00886A75" w:rsidP="00886A75">
      <w:r>
        <w:t>Provenance: possibly Keros</w:t>
      </w:r>
    </w:p>
    <w:p w:rsidR="00886A75" w:rsidRDefault="00886A75" w:rsidP="00886A75">
      <w:r>
        <w:t>Location/Access. no.: Museum of Cycladic Art, 305</w:t>
      </w:r>
    </w:p>
    <w:p w:rsidR="00886A75" w:rsidRDefault="00886A75" w:rsidP="00886A75">
      <w:r>
        <w:t>Description: “A schematically rendered bird. The chisel marks on its sides suggest that it comes from a vessel similar to” the so-called Dove Vase/Tray. (Doumas, 130)</w:t>
      </w:r>
    </w:p>
    <w:p w:rsidR="00886A75" w:rsidRDefault="00886A75" w:rsidP="00886A75">
      <w:pPr>
        <w:jc w:val="center"/>
      </w:pPr>
      <w:r>
        <w:t>Notes:</w:t>
      </w:r>
    </w:p>
    <w:p w:rsidR="00886A75" w:rsidRDefault="00886A75" w:rsidP="00886A75">
      <w:r>
        <w:t xml:space="preserve">Christos Doumas, </w:t>
      </w:r>
      <w:r w:rsidRPr="00886A75">
        <w:rPr>
          <w:i/>
        </w:rPr>
        <w:t xml:space="preserve">Cycladic Art: Ancient Sculpture and Pottery from the N.P. </w:t>
      </w:r>
      <w:r w:rsidRPr="00886A75">
        <w:rPr>
          <w:i/>
        </w:rPr>
        <w:tab/>
        <w:t>Goulandris Collection</w:t>
      </w:r>
      <w:r>
        <w:t>, (London: British Museum Press, 1996), 130.</w:t>
      </w:r>
    </w:p>
    <w:p w:rsidR="00886A75" w:rsidRDefault="00886A75" w:rsidP="00886A75">
      <w:r>
        <w:t xml:space="preserve">———, </w:t>
      </w:r>
      <w:r w:rsidRPr="00886A75">
        <w:rPr>
          <w:i/>
        </w:rPr>
        <w:t>Early Cycladic Culture: The N.P. Goulandris Collection</w:t>
      </w:r>
      <w:r>
        <w:t xml:space="preserve">, (Athens: N.P. </w:t>
      </w:r>
      <w:r>
        <w:tab/>
        <w:t>Goulandris Foundation and Museum of Cycladic Art, 2000), 130, no.169.</w:t>
      </w:r>
    </w:p>
    <w:p w:rsidR="00886A75" w:rsidRDefault="00886A75" w:rsidP="00886A75">
      <w:r>
        <w:lastRenderedPageBreak/>
        <w:t xml:space="preserve">Colin Renfrew, </w:t>
      </w:r>
      <w:r w:rsidRPr="00886A75">
        <w:rPr>
          <w:i/>
        </w:rPr>
        <w:t xml:space="preserve">The Cycladic Spirit: Masterpieces from the Nicholas P. Goulandris </w:t>
      </w:r>
      <w:r w:rsidRPr="00886A75">
        <w:rPr>
          <w:i/>
        </w:rPr>
        <w:tab/>
        <w:t>Collection</w:t>
      </w:r>
      <w:r>
        <w:t xml:space="preserve">, (New York: H.N. Abrams and Nicholas P Goulandris Foundation, </w:t>
      </w:r>
      <w:r>
        <w:tab/>
        <w:t>Museum of Cycladic Art, Athens, 1991), pl. 111.</w:t>
      </w:r>
    </w:p>
    <w:p w:rsidR="00886A75" w:rsidRDefault="00886A75" w:rsidP="00886A75">
      <w:r>
        <w:t xml:space="preserve">Pat Getz-Gentle, Jack L. Davis and Elizabeth Oustinoff, </w:t>
      </w:r>
      <w:r w:rsidRPr="00886A75">
        <w:rPr>
          <w:i/>
        </w:rPr>
        <w:t xml:space="preserve">Early Cycladic Art in North </w:t>
      </w:r>
      <w:r w:rsidRPr="00886A75">
        <w:rPr>
          <w:i/>
        </w:rPr>
        <w:tab/>
        <w:t>American Collections</w:t>
      </w:r>
      <w:r>
        <w:t xml:space="preserve">, (Richmond, VA: Virginia Museum of Fine Arts, 1987), </w:t>
      </w:r>
      <w:r>
        <w:tab/>
        <w:t>69, fig 37b.</w:t>
      </w:r>
    </w:p>
    <w:p w:rsidR="00886A75" w:rsidRDefault="00886A75" w:rsidP="00886A75">
      <w:r>
        <w:t xml:space="preserve">———, </w:t>
      </w:r>
      <w:r w:rsidRPr="00886A75">
        <w:rPr>
          <w:i/>
        </w:rPr>
        <w:t>Stone Vessels of the Cyclades in the Early Bronze Age</w:t>
      </w:r>
      <w:r>
        <w:t xml:space="preserve">, (University Park, PA: </w:t>
      </w:r>
      <w:r>
        <w:tab/>
        <w:t>Penn State University Press, 1996), pl. 71; 124-26; fig. 65d; 347.</w:t>
      </w:r>
    </w:p>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r w:rsidRPr="00886A75">
        <w:lastRenderedPageBreak/>
        <w:t xml:space="preserve">Photo Credit: Getz-Gentle, </w:t>
      </w:r>
      <w:r w:rsidRPr="00886A75">
        <w:rPr>
          <w:i/>
        </w:rPr>
        <w:t>Early Cycladic Art in North American Collections</w:t>
      </w:r>
      <w:r w:rsidRPr="00886A75">
        <w:t>, 314.</w:t>
      </w:r>
      <w:r>
        <w:rPr>
          <w:noProof/>
          <w:lang w:bidi="ar-SA"/>
        </w:rPr>
        <w:drawing>
          <wp:anchor distT="0" distB="0" distL="114300" distR="114300" simplePos="0" relativeHeight="251694080" behindDoc="0" locked="0" layoutInCell="1" allowOverlap="1">
            <wp:simplePos x="1462088" y="914400"/>
            <wp:positionH relativeFrom="column">
              <wp:align>left</wp:align>
            </wp:positionH>
            <wp:positionV relativeFrom="paragraph">
              <wp:align>top</wp:align>
            </wp:positionV>
            <wp:extent cx="2490118" cy="1500188"/>
            <wp:effectExtent l="0" t="0" r="5715" b="50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90118" cy="1500188"/>
                    </a:xfrm>
                    <a:prstGeom prst="rect">
                      <a:avLst/>
                    </a:prstGeom>
                    <a:noFill/>
                  </pic:spPr>
                </pic:pic>
              </a:graphicData>
            </a:graphic>
          </wp:anchor>
        </w:drawing>
      </w:r>
      <w:r>
        <w:br w:type="textWrapping" w:clear="all"/>
      </w:r>
    </w:p>
    <w:p w:rsidR="00886A75" w:rsidRPr="00211162" w:rsidRDefault="00886A75" w:rsidP="00886A75">
      <w:pPr>
        <w:rPr>
          <w:b/>
        </w:rPr>
      </w:pPr>
      <w:r w:rsidRPr="00211162">
        <w:rPr>
          <w:b/>
        </w:rPr>
        <w:t>F2.  Dove Tray Fragment</w:t>
      </w:r>
    </w:p>
    <w:p w:rsidR="00886A75" w:rsidRDefault="000C7359" w:rsidP="00886A75">
      <w:r>
        <w:t>Medium: m</w:t>
      </w:r>
      <w:r w:rsidR="00886A75">
        <w:t>arble</w:t>
      </w:r>
    </w:p>
    <w:p w:rsidR="00886A75" w:rsidRDefault="00886A75" w:rsidP="00886A75">
      <w:r>
        <w:t>Period: EC II</w:t>
      </w:r>
    </w:p>
    <w:p w:rsidR="00886A75" w:rsidRDefault="00886A75" w:rsidP="00886A75">
      <w:r>
        <w:t>Date: 2700-2200 BCE</w:t>
      </w:r>
    </w:p>
    <w:p w:rsidR="00886A75" w:rsidRDefault="00886A75" w:rsidP="00886A75">
      <w:r>
        <w:t>Dems: H 3.4 cm, L 6.2 cm, W 2 cm</w:t>
      </w:r>
    </w:p>
    <w:p w:rsidR="00886A75" w:rsidRDefault="00886A75" w:rsidP="00886A75">
      <w:r>
        <w:t xml:space="preserve">Provenance: possibly Keros </w:t>
      </w:r>
    </w:p>
    <w:p w:rsidR="00886A75" w:rsidRDefault="00886A75" w:rsidP="00886A75">
      <w:r>
        <w:t>Location/Access. no.: Private Collection</w:t>
      </w:r>
    </w:p>
    <w:p w:rsidR="00886A75" w:rsidRDefault="00886A75" w:rsidP="00886A75"/>
    <w:p w:rsidR="00886A75" w:rsidRDefault="00886A75" w:rsidP="00886A75">
      <w:r>
        <w:t>Description: “Schematic in form, the bird is nevertheless carefully shaped: when viewed from the top, it narrows toward the head and tail and at the top of the back. The head is set off by a short groove and on one side the wing is suggested; the body is distinguished from the slightly broader base by light incision. This is lower on the left side than on the right side.</w:t>
      </w:r>
      <w:r w:rsidR="00683D2F">
        <w:t>”</w:t>
      </w:r>
      <w:r>
        <w:t xml:space="preserve"> (Getz-Gentle, Early Cycladic Art in North American Collections, 314.)</w:t>
      </w:r>
    </w:p>
    <w:p w:rsidR="00886A75" w:rsidRDefault="00886A75" w:rsidP="00886A75"/>
    <w:p w:rsidR="00886A75" w:rsidRDefault="00886A75" w:rsidP="00886A75"/>
    <w:p w:rsidR="00886A75" w:rsidRDefault="00886A75" w:rsidP="00886A75"/>
    <w:p w:rsidR="00886A75" w:rsidRDefault="00886A75" w:rsidP="00886A75">
      <w:pPr>
        <w:jc w:val="center"/>
      </w:pPr>
      <w:r>
        <w:lastRenderedPageBreak/>
        <w:t>Notes:</w:t>
      </w:r>
    </w:p>
    <w:p w:rsidR="00886A75" w:rsidRDefault="00886A75" w:rsidP="00886A75">
      <w:r>
        <w:t xml:space="preserve">Pat Getz-Gentle, Jack L. Davis and Elizabeth Oustinoff, </w:t>
      </w:r>
      <w:r w:rsidRPr="00886A75">
        <w:rPr>
          <w:i/>
        </w:rPr>
        <w:t xml:space="preserve">Early Cycladic Art in North </w:t>
      </w:r>
      <w:r w:rsidRPr="00886A75">
        <w:rPr>
          <w:i/>
        </w:rPr>
        <w:tab/>
        <w:t>American Collections</w:t>
      </w:r>
      <w:r>
        <w:t xml:space="preserve">, (Richmond, VA: Virginia Museum of Fine Arts, 1987), </w:t>
      </w:r>
      <w:r>
        <w:tab/>
        <w:t>314, no.135; does not appear to belong to any known dove tray.</w:t>
      </w:r>
    </w:p>
    <w:p w:rsidR="00886A75" w:rsidRDefault="00886A75" w:rsidP="00886A75">
      <w:r>
        <w:t xml:space="preserve">———, </w:t>
      </w:r>
      <w:r w:rsidRPr="00886A75">
        <w:rPr>
          <w:i/>
        </w:rPr>
        <w:t>Stone Vessels of the Cyclades in the Early Bronze Age</w:t>
      </w:r>
      <w:r>
        <w:t xml:space="preserve">, (University Park, PA: </w:t>
      </w:r>
      <w:r>
        <w:tab/>
        <w:t>Penn State University Press, 1996), 124-26, fig. 65c, p. 357.</w:t>
      </w:r>
    </w:p>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p w:rsidR="00886A75" w:rsidRDefault="00886A75" w:rsidP="00886A75">
      <w:r>
        <w:rPr>
          <w:noProof/>
          <w:lang w:bidi="ar-SA"/>
        </w:rPr>
        <w:lastRenderedPageBreak/>
        <w:drawing>
          <wp:inline distT="0" distB="0" distL="0" distR="0" wp14:anchorId="1138DD1C">
            <wp:extent cx="5121290" cy="1519238"/>
            <wp:effectExtent l="0" t="0" r="317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39537" cy="1524651"/>
                    </a:xfrm>
                    <a:prstGeom prst="rect">
                      <a:avLst/>
                    </a:prstGeom>
                    <a:noFill/>
                  </pic:spPr>
                </pic:pic>
              </a:graphicData>
            </a:graphic>
          </wp:inline>
        </w:drawing>
      </w:r>
    </w:p>
    <w:p w:rsidR="00886A75" w:rsidRDefault="00886A75" w:rsidP="00886A75">
      <w:r w:rsidRPr="00886A75">
        <w:t>Photo Credit: Zafiropoulou, “Cycladic Finds from Keros,” 100, figs 5-6.</w:t>
      </w:r>
    </w:p>
    <w:p w:rsidR="00886A75" w:rsidRPr="00211162" w:rsidRDefault="00886A75" w:rsidP="00886A75">
      <w:pPr>
        <w:rPr>
          <w:b/>
        </w:rPr>
      </w:pPr>
      <w:r w:rsidRPr="00211162">
        <w:rPr>
          <w:b/>
        </w:rPr>
        <w:t>F3. Doves, Tray Fragments</w:t>
      </w:r>
    </w:p>
    <w:p w:rsidR="00886A75" w:rsidRDefault="00886A75" w:rsidP="00886A75">
      <w:r>
        <w:t>Medium: marble</w:t>
      </w:r>
    </w:p>
    <w:p w:rsidR="00886A75" w:rsidRDefault="00886A75" w:rsidP="00886A75">
      <w:r>
        <w:t>Period: EC II, Keros-Syros, Syros Group</w:t>
      </w:r>
    </w:p>
    <w:p w:rsidR="00886A75" w:rsidRDefault="00886A75" w:rsidP="00886A75">
      <w:r>
        <w:t>Date: 2800-2300 BCE</w:t>
      </w:r>
    </w:p>
    <w:p w:rsidR="00886A75" w:rsidRDefault="00886A75" w:rsidP="00886A75">
      <w:r>
        <w:t>Dems: N/A</w:t>
      </w:r>
    </w:p>
    <w:p w:rsidR="00886A75" w:rsidRDefault="00886A75" w:rsidP="00886A75">
      <w:r>
        <w:t>Provenance: Keros</w:t>
      </w:r>
    </w:p>
    <w:p w:rsidR="00886A75" w:rsidRDefault="00886A75" w:rsidP="00886A75">
      <w:pPr>
        <w:jc w:val="center"/>
      </w:pPr>
      <w:r>
        <w:t>Notes:</w:t>
      </w:r>
    </w:p>
    <w:p w:rsidR="00886A75" w:rsidRDefault="00886A75" w:rsidP="00886A75">
      <w:r>
        <w:t xml:space="preserve">Pat Getz-Gentle, Jack L. Davis and Elizabeth Oustinoff, </w:t>
      </w:r>
      <w:r w:rsidRPr="00886A75">
        <w:rPr>
          <w:i/>
        </w:rPr>
        <w:t xml:space="preserve">Early Cycladic Art in North </w:t>
      </w:r>
      <w:r w:rsidRPr="00886A75">
        <w:rPr>
          <w:i/>
        </w:rPr>
        <w:tab/>
        <w:t>American Collections</w:t>
      </w:r>
      <w:r>
        <w:t xml:space="preserve">, (Richmond, VA: Virginia Museum of Fine Arts, 1987), </w:t>
      </w:r>
      <w:r>
        <w:tab/>
        <w:t xml:space="preserve">69, fig. 37a. See page 314: “Several fragments of another example, measuring </w:t>
      </w:r>
      <w:r>
        <w:tab/>
        <w:t xml:space="preserve">38 cm across and having a row of perhaps 15 doves were found during </w:t>
      </w:r>
      <w:r>
        <w:tab/>
        <w:t xml:space="preserve">investigations on Keros, along with fragments of two or three other vessels of </w:t>
      </w:r>
      <w:r>
        <w:tab/>
        <w:t xml:space="preserve">the same type.” </w:t>
      </w:r>
    </w:p>
    <w:p w:rsidR="00886A75" w:rsidRDefault="00886A75" w:rsidP="00886A75">
      <w:r>
        <w:t xml:space="preserve">F. Zafiropoulou, “Cycladic Finds from Keros”, </w:t>
      </w:r>
      <w:r w:rsidRPr="00886A75">
        <w:rPr>
          <w:i/>
        </w:rPr>
        <w:t>Athens Annals of Archaeology</w:t>
      </w:r>
      <w:r>
        <w:t xml:space="preserve"> 1 </w:t>
      </w:r>
      <w:r>
        <w:tab/>
        <w:t>(1968): 100, figs 5-6.</w:t>
      </w:r>
    </w:p>
    <w:p w:rsidR="002D5618" w:rsidRDefault="002D5618" w:rsidP="00886A75"/>
    <w:p w:rsidR="002D5618" w:rsidRDefault="002D5618" w:rsidP="00886A75"/>
    <w:p w:rsidR="002D5618" w:rsidRDefault="002D5618" w:rsidP="00886A75">
      <w:r w:rsidRPr="002D5618">
        <w:lastRenderedPageBreak/>
        <w:t>Photo Credit: Zafiropoulou, “Cycladic Finds from Keros,” 100, figs 5-6.</w:t>
      </w:r>
      <w:r>
        <w:rPr>
          <w:noProof/>
          <w:lang w:bidi="ar-SA"/>
        </w:rPr>
        <w:drawing>
          <wp:anchor distT="0" distB="0" distL="114300" distR="114300" simplePos="0" relativeHeight="251695104" behindDoc="0" locked="0" layoutInCell="1" allowOverlap="1">
            <wp:simplePos x="1462088" y="914400"/>
            <wp:positionH relativeFrom="column">
              <wp:align>left</wp:align>
            </wp:positionH>
            <wp:positionV relativeFrom="paragraph">
              <wp:align>top</wp:align>
            </wp:positionV>
            <wp:extent cx="2952115" cy="2733040"/>
            <wp:effectExtent l="0" t="0" r="63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52115" cy="2733040"/>
                    </a:xfrm>
                    <a:prstGeom prst="rect">
                      <a:avLst/>
                    </a:prstGeom>
                    <a:noFill/>
                  </pic:spPr>
                </pic:pic>
              </a:graphicData>
            </a:graphic>
          </wp:anchor>
        </w:drawing>
      </w:r>
      <w:r>
        <w:br w:type="textWrapping" w:clear="all"/>
      </w:r>
    </w:p>
    <w:p w:rsidR="002D5618" w:rsidRPr="00211162" w:rsidRDefault="002D5618" w:rsidP="002D5618">
      <w:pPr>
        <w:rPr>
          <w:b/>
        </w:rPr>
      </w:pPr>
      <w:r w:rsidRPr="00211162">
        <w:rPr>
          <w:b/>
        </w:rPr>
        <w:t>V5. Large Plate, Dove Tray Fragments</w:t>
      </w:r>
    </w:p>
    <w:p w:rsidR="002D5618" w:rsidRDefault="002D5618" w:rsidP="002D5618">
      <w:r>
        <w:t>Medium: marble</w:t>
      </w:r>
    </w:p>
    <w:p w:rsidR="002D5618" w:rsidRDefault="002D5618" w:rsidP="002D5618">
      <w:r>
        <w:t>Period: EC II, Keros-Syros, Syros Group</w:t>
      </w:r>
    </w:p>
    <w:p w:rsidR="002D5618" w:rsidRDefault="002D5618" w:rsidP="002D5618">
      <w:r>
        <w:t>Date: 2800-2300 BCE</w:t>
      </w:r>
    </w:p>
    <w:p w:rsidR="002D5618" w:rsidRDefault="002D5618" w:rsidP="002D5618">
      <w:r>
        <w:t>Provenance: Keros</w:t>
      </w:r>
    </w:p>
    <w:p w:rsidR="002D5618" w:rsidRDefault="002D5618" w:rsidP="002D5618">
      <w:pPr>
        <w:jc w:val="center"/>
      </w:pPr>
      <w:r>
        <w:t>Notes:</w:t>
      </w:r>
    </w:p>
    <w:p w:rsidR="002D5618" w:rsidRDefault="002D5618" w:rsidP="002D5618">
      <w:r>
        <w:t xml:space="preserve">Pat Getz-Gentle, Jack L. Davis and Elizabeth Oustinoff, </w:t>
      </w:r>
      <w:r w:rsidRPr="002D5618">
        <w:rPr>
          <w:i/>
        </w:rPr>
        <w:t xml:space="preserve">Early Cycladic Art in North </w:t>
      </w:r>
      <w:r w:rsidRPr="002D5618">
        <w:rPr>
          <w:i/>
        </w:rPr>
        <w:tab/>
        <w:t>American Collections</w:t>
      </w:r>
      <w:r>
        <w:t xml:space="preserve">, (Richmond, VA: Virginia Museum of Fine Arts, 1987), </w:t>
      </w:r>
      <w:r>
        <w:tab/>
        <w:t xml:space="preserve">69, fig 37a. See page 314: “Several fragments of another example, measuring 38 </w:t>
      </w:r>
      <w:r>
        <w:tab/>
        <w:t xml:space="preserve">cm across and having a row of perhaps 15 doves were found during </w:t>
      </w:r>
      <w:r>
        <w:tab/>
        <w:t xml:space="preserve">investigations on Keros, along with fragments of two or three other vessels of </w:t>
      </w:r>
      <w:r>
        <w:tab/>
        <w:t xml:space="preserve">the same type.” </w:t>
      </w:r>
    </w:p>
    <w:p w:rsidR="002D5618" w:rsidRDefault="002D5618" w:rsidP="002D5618">
      <w:r>
        <w:t xml:space="preserve">F. Zafiropoulou, “Cycladic Finds from Keros”, </w:t>
      </w:r>
      <w:r w:rsidRPr="002D5618">
        <w:rPr>
          <w:i/>
        </w:rPr>
        <w:t>Athens Annals of Archaeology</w:t>
      </w:r>
      <w:r>
        <w:t xml:space="preserve"> 1 </w:t>
      </w:r>
      <w:r>
        <w:tab/>
        <w:t>(1968): 100, figs 5-6.</w:t>
      </w:r>
    </w:p>
    <w:p w:rsidR="002D5618" w:rsidRDefault="002D5618" w:rsidP="002D5618">
      <w:r w:rsidRPr="002D5618">
        <w:lastRenderedPageBreak/>
        <w:t xml:space="preserve">Photo Credit: Getz-Gentle, </w:t>
      </w:r>
      <w:r w:rsidRPr="002D5618">
        <w:rPr>
          <w:i/>
        </w:rPr>
        <w:t>Early Cycladic Art in North American Collections</w:t>
      </w:r>
      <w:r w:rsidRPr="002D5618">
        <w:t>, 313.</w:t>
      </w:r>
      <w:r>
        <w:rPr>
          <w:noProof/>
          <w:lang w:bidi="ar-SA"/>
        </w:rPr>
        <w:drawing>
          <wp:anchor distT="0" distB="0" distL="114300" distR="114300" simplePos="0" relativeHeight="251696128" behindDoc="0" locked="0" layoutInCell="1" allowOverlap="1">
            <wp:simplePos x="1462088" y="914400"/>
            <wp:positionH relativeFrom="column">
              <wp:align>left</wp:align>
            </wp:positionH>
            <wp:positionV relativeFrom="paragraph">
              <wp:align>top</wp:align>
            </wp:positionV>
            <wp:extent cx="1971675" cy="2409825"/>
            <wp:effectExtent l="0" t="0" r="952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71675" cy="2409825"/>
                    </a:xfrm>
                    <a:prstGeom prst="rect">
                      <a:avLst/>
                    </a:prstGeom>
                    <a:noFill/>
                  </pic:spPr>
                </pic:pic>
              </a:graphicData>
            </a:graphic>
          </wp:anchor>
        </w:drawing>
      </w:r>
      <w:r>
        <w:br w:type="textWrapping" w:clear="all"/>
      </w:r>
    </w:p>
    <w:p w:rsidR="002D5618" w:rsidRPr="00211162" w:rsidRDefault="002D5618" w:rsidP="002D5618">
      <w:pPr>
        <w:rPr>
          <w:b/>
        </w:rPr>
      </w:pPr>
      <w:r w:rsidRPr="00211162">
        <w:rPr>
          <w:b/>
        </w:rPr>
        <w:t>V6. Dove Lid, Spool Pyxis</w:t>
      </w:r>
    </w:p>
    <w:p w:rsidR="002D5618" w:rsidRDefault="000C7359" w:rsidP="002D5618">
      <w:r>
        <w:t>Medium: m</w:t>
      </w:r>
      <w:r w:rsidR="002D5618">
        <w:t>arble</w:t>
      </w:r>
    </w:p>
    <w:p w:rsidR="002D5618" w:rsidRDefault="002D5618" w:rsidP="002D5618">
      <w:r>
        <w:t>Period: EC II</w:t>
      </w:r>
    </w:p>
    <w:p w:rsidR="002D5618" w:rsidRDefault="002D5618" w:rsidP="002D5618">
      <w:r>
        <w:t>Date: 2700-2200 BCE</w:t>
      </w:r>
    </w:p>
    <w:p w:rsidR="002D5618" w:rsidRDefault="002D5618" w:rsidP="002D5618">
      <w:r>
        <w:t>Dems: H: 8.1 cm, 4.4 cm height of vessel</w:t>
      </w:r>
    </w:p>
    <w:p w:rsidR="002D5618" w:rsidRDefault="002D5618" w:rsidP="002D5618">
      <w:r>
        <w:t xml:space="preserve">Provenance: possibly Naxos </w:t>
      </w:r>
    </w:p>
    <w:p w:rsidR="002D5618" w:rsidRDefault="002D5618" w:rsidP="002D5618">
      <w:r>
        <w:t>Location/Access. no.: Menil Collection, CA 5207</w:t>
      </w:r>
    </w:p>
    <w:p w:rsidR="002D5618" w:rsidRDefault="002D5618" w:rsidP="002D5618">
      <w:r>
        <w:t xml:space="preserve">Description: “A small cylindrical spool-shaped pyxis decorated with encircling grooves…, but with two aligned string holes…The lid exhibits a cylindrical knob crowned by a dove, which is at present unparalleled. The bird may be compared to the free-standing marble dove in the Ortiz Collection…Condition: brownish, encrusted surface with root marks; the floor is heavily encrusted. Intact except for minor damage along the rim of the lid and base.” (Thimme, 517) </w:t>
      </w:r>
    </w:p>
    <w:p w:rsidR="002D5618" w:rsidRDefault="002D5618" w:rsidP="002D5618"/>
    <w:p w:rsidR="00211162" w:rsidRDefault="00211162" w:rsidP="002D5618">
      <w:pPr>
        <w:jc w:val="center"/>
      </w:pPr>
    </w:p>
    <w:p w:rsidR="002D5618" w:rsidRDefault="002D5618" w:rsidP="002D5618">
      <w:pPr>
        <w:jc w:val="center"/>
      </w:pPr>
      <w:r>
        <w:lastRenderedPageBreak/>
        <w:t>Notes:</w:t>
      </w:r>
    </w:p>
    <w:p w:rsidR="002D5618" w:rsidRDefault="002D5618" w:rsidP="002D5618">
      <w:r>
        <w:t xml:space="preserve">Jürgen Thimme, ed., </w:t>
      </w:r>
      <w:r w:rsidRPr="002D5618">
        <w:rPr>
          <w:i/>
        </w:rPr>
        <w:t>Art and Culture of the Cyclades in the Third Millennium B.C</w:t>
      </w:r>
      <w:r>
        <w:t xml:space="preserve">., </w:t>
      </w:r>
      <w:r>
        <w:tab/>
        <w:t xml:space="preserve">translated by Pat Getz-Preziosi, (Chicago: University of Chicago Press, 1977), </w:t>
      </w:r>
      <w:r>
        <w:tab/>
        <w:t>99, fig. 80.</w:t>
      </w:r>
    </w:p>
    <w:p w:rsidR="002D5618" w:rsidRDefault="002D5618" w:rsidP="002D5618">
      <w:r>
        <w:t xml:space="preserve">Pat Getz-Gentle, Jack L. Davis and Elizabeth Oustinoff, </w:t>
      </w:r>
      <w:r w:rsidRPr="002D5618">
        <w:rPr>
          <w:i/>
        </w:rPr>
        <w:t xml:space="preserve">Early Cycladic Art in North </w:t>
      </w:r>
      <w:r w:rsidRPr="002D5618">
        <w:rPr>
          <w:i/>
        </w:rPr>
        <w:tab/>
        <w:t>American Collections</w:t>
      </w:r>
      <w:r>
        <w:t xml:space="preserve">, (Richmond, VA: Virginia Museum of Fine Arts, 1987), </w:t>
      </w:r>
      <w:r>
        <w:tab/>
        <w:t>70-71, figs. 38a, 38b.</w:t>
      </w:r>
    </w:p>
    <w:p w:rsidR="002D5618" w:rsidRDefault="002D5618" w:rsidP="002D5618">
      <w:r>
        <w:t xml:space="preserve">———, </w:t>
      </w:r>
      <w:r w:rsidRPr="002D5618">
        <w:rPr>
          <w:i/>
        </w:rPr>
        <w:t>Stone Vessels of the Cyclades in the Early Bronze Age</w:t>
      </w:r>
      <w:r>
        <w:t xml:space="preserve">, (University Park, PA: </w:t>
      </w:r>
      <w:r>
        <w:tab/>
        <w:t xml:space="preserve">Penn State University Press, 1996), 284 (J5): “The dove knob is at present </w:t>
      </w:r>
      <w:r>
        <w:tab/>
        <w:t>unparalleled” listed with Menil Collection, acquired before 1964.</w:t>
      </w:r>
    </w:p>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r w:rsidRPr="002D5618">
        <w:lastRenderedPageBreak/>
        <w:t xml:space="preserve">Photo Credit: Getz-Gentle, </w:t>
      </w:r>
      <w:r w:rsidRPr="002D5618">
        <w:rPr>
          <w:i/>
        </w:rPr>
        <w:t>Stone Vessels of the Cyclades in the Early Bronze Age</w:t>
      </w:r>
      <w:r w:rsidRPr="002D5618">
        <w:t xml:space="preserve">, 348. </w:t>
      </w:r>
      <w:r>
        <w:rPr>
          <w:noProof/>
          <w:lang w:bidi="ar-SA"/>
        </w:rPr>
        <w:drawing>
          <wp:anchor distT="0" distB="0" distL="114300" distR="114300" simplePos="0" relativeHeight="251697152" behindDoc="0" locked="0" layoutInCell="1" allowOverlap="1">
            <wp:simplePos x="1462088" y="914400"/>
            <wp:positionH relativeFrom="column">
              <wp:align>left</wp:align>
            </wp:positionH>
            <wp:positionV relativeFrom="paragraph">
              <wp:align>top</wp:align>
            </wp:positionV>
            <wp:extent cx="2542540" cy="2742565"/>
            <wp:effectExtent l="0" t="0" r="0" b="63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2540" cy="2742565"/>
                    </a:xfrm>
                    <a:prstGeom prst="rect">
                      <a:avLst/>
                    </a:prstGeom>
                    <a:noFill/>
                  </pic:spPr>
                </pic:pic>
              </a:graphicData>
            </a:graphic>
          </wp:anchor>
        </w:drawing>
      </w:r>
      <w:r>
        <w:br w:type="textWrapping" w:clear="all"/>
      </w:r>
    </w:p>
    <w:p w:rsidR="002D5618" w:rsidRPr="00211162" w:rsidRDefault="002D5618" w:rsidP="002D5618">
      <w:pPr>
        <w:rPr>
          <w:b/>
        </w:rPr>
      </w:pPr>
      <w:r w:rsidRPr="00211162">
        <w:rPr>
          <w:b/>
        </w:rPr>
        <w:t xml:space="preserve">V7. Two-headed Bird Pyxis </w:t>
      </w:r>
    </w:p>
    <w:p w:rsidR="002D5618" w:rsidRDefault="002D5618" w:rsidP="002D5618">
      <w:r>
        <w:t>Medium: marble</w:t>
      </w:r>
    </w:p>
    <w:p w:rsidR="002D5618" w:rsidRDefault="002D5618" w:rsidP="002D5618">
      <w:r>
        <w:t>Period: EC II</w:t>
      </w:r>
    </w:p>
    <w:p w:rsidR="002D5618" w:rsidRDefault="002D5618" w:rsidP="002D5618">
      <w:r>
        <w:t>Date: 2700-2300 BCE</w:t>
      </w:r>
    </w:p>
    <w:p w:rsidR="002D5618" w:rsidRDefault="002D5618" w:rsidP="002D5618">
      <w:r>
        <w:t>Dems: H: 6.7 cm, L: 14.6 cm</w:t>
      </w:r>
    </w:p>
    <w:p w:rsidR="002D5618" w:rsidRDefault="002D5618" w:rsidP="002D5618">
      <w:r>
        <w:t>Provenance: unknown</w:t>
      </w:r>
    </w:p>
    <w:p w:rsidR="002D5618" w:rsidRDefault="002D5618" w:rsidP="002D5618">
      <w:r>
        <w:t>Location/Access. no.: Badisches Landesmuseum Karlsruhe, 80/97</w:t>
      </w:r>
    </w:p>
    <w:p w:rsidR="002D5618" w:rsidRDefault="002D5618" w:rsidP="002D5618">
      <w:r>
        <w:t>Description:  Like the marble pig pyxis from the Museum of Cycladic Art, the cavity is chamfered to receive a lid, now lost.   Getz-Gentle describes this pyxis as “fanciful or mythical twin-headed bird, the heads set on long, rather erect necks on one side, the opposite side elongated into a tail, and the underside provided with a pair of partially preserved elongated feet.” (Getz-Gentle, Stone Vessels of the Cyclades in the Early Bronze Age, 141.)</w:t>
      </w:r>
    </w:p>
    <w:p w:rsidR="002D5618" w:rsidRDefault="002D5618" w:rsidP="002D5618"/>
    <w:p w:rsidR="002D5618" w:rsidRDefault="002D5618" w:rsidP="002D5618">
      <w:pPr>
        <w:jc w:val="center"/>
      </w:pPr>
      <w:r>
        <w:lastRenderedPageBreak/>
        <w:t>Notes:</w:t>
      </w:r>
    </w:p>
    <w:p w:rsidR="002D5618" w:rsidRDefault="002D5618" w:rsidP="002D5618">
      <w:r>
        <w:t xml:space="preserve">Pat Getz-Gentle, Jack L. Davis and Elizabeth Oustinoff, </w:t>
      </w:r>
      <w:r w:rsidRPr="002D5618">
        <w:rPr>
          <w:i/>
        </w:rPr>
        <w:t xml:space="preserve">Early Cycladic Art in North </w:t>
      </w:r>
      <w:r w:rsidRPr="002D5618">
        <w:rPr>
          <w:i/>
        </w:rPr>
        <w:tab/>
        <w:t>American Collections</w:t>
      </w:r>
      <w:r>
        <w:t xml:space="preserve">, (Richmond, VA: Virginia Museum of Fine Arts, 1987), </w:t>
      </w:r>
      <w:r>
        <w:tab/>
        <w:t>70-71, fig. 38c.</w:t>
      </w:r>
    </w:p>
    <w:p w:rsidR="002D5618" w:rsidRDefault="002D5618" w:rsidP="002D5618">
      <w:r>
        <w:t xml:space="preserve">———, </w:t>
      </w:r>
      <w:r w:rsidRPr="002D5618">
        <w:rPr>
          <w:i/>
        </w:rPr>
        <w:t>Stone Vessels of the Cyclades in the Early Bronze Age</w:t>
      </w:r>
      <w:r>
        <w:t xml:space="preserve">, (University Park, PA: </w:t>
      </w:r>
      <w:r>
        <w:tab/>
        <w:t>Penn State University Press, 1996), pl. 79c, p. 348, text 141.</w:t>
      </w:r>
    </w:p>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r>
        <w:rPr>
          <w:noProof/>
          <w:lang w:bidi="ar-SA"/>
        </w:rPr>
        <w:lastRenderedPageBreak/>
        <w:drawing>
          <wp:anchor distT="0" distB="0" distL="114300" distR="114300" simplePos="0" relativeHeight="251698176" behindDoc="0" locked="0" layoutInCell="1" allowOverlap="1">
            <wp:simplePos x="0" y="0"/>
            <wp:positionH relativeFrom="margin">
              <wp:align>left</wp:align>
            </wp:positionH>
            <wp:positionV relativeFrom="paragraph">
              <wp:align>top</wp:align>
            </wp:positionV>
            <wp:extent cx="2693670" cy="2576195"/>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3670" cy="2576195"/>
                    </a:xfrm>
                    <a:prstGeom prst="rect">
                      <a:avLst/>
                    </a:prstGeom>
                    <a:noFill/>
                  </pic:spPr>
                </pic:pic>
              </a:graphicData>
            </a:graphic>
            <wp14:sizeRelH relativeFrom="margin">
              <wp14:pctWidth>0</wp14:pctWidth>
            </wp14:sizeRelH>
            <wp14:sizeRelV relativeFrom="margin">
              <wp14:pctHeight>0</wp14:pctHeight>
            </wp14:sizeRelV>
          </wp:anchor>
        </w:drawing>
      </w:r>
      <w:r w:rsidRPr="002D5618">
        <w:t xml:space="preserve">Photo Credit: Thimme, </w:t>
      </w:r>
      <w:r w:rsidRPr="002D5618">
        <w:rPr>
          <w:i/>
        </w:rPr>
        <w:t xml:space="preserve">Art and Culture of the Cyclades in the Third Millennium B.C. </w:t>
      </w:r>
      <w:r>
        <w:t xml:space="preserve">124-25; </w:t>
      </w:r>
      <w:r w:rsidRPr="002D5618">
        <w:t xml:space="preserve">Hekman, “The Early Bronze Age Cemetery at Chalandriani on Syros,” 349; Sapouna-Sakellariakis, </w:t>
      </w:r>
      <w:r w:rsidRPr="002D5618">
        <w:rPr>
          <w:i/>
        </w:rPr>
        <w:t>Cycladic Civilization and the Cycladic Collection of the National Archaeological Museum of Athens</w:t>
      </w:r>
      <w:r w:rsidRPr="002D5618">
        <w:t>, pl. 26.</w:t>
      </w:r>
      <w:r>
        <w:br w:type="textWrapping" w:clear="all"/>
      </w:r>
      <w:r w:rsidRPr="00211162">
        <w:rPr>
          <w:b/>
        </w:rPr>
        <w:t>J5. Pin</w:t>
      </w:r>
      <w:r>
        <w:t xml:space="preserve"> </w:t>
      </w:r>
    </w:p>
    <w:p w:rsidR="002D5618" w:rsidRDefault="002D5618" w:rsidP="002D5618">
      <w:r>
        <w:t>Medium: bone</w:t>
      </w:r>
    </w:p>
    <w:p w:rsidR="002D5618" w:rsidRDefault="002D5618" w:rsidP="002D5618">
      <w:r>
        <w:t>Period: EC II</w:t>
      </w:r>
    </w:p>
    <w:p w:rsidR="002D5618" w:rsidRDefault="002D5618" w:rsidP="002D5618">
      <w:r>
        <w:t>Date: 2800/2700 BCE-2400/2300 BCE</w:t>
      </w:r>
    </w:p>
    <w:p w:rsidR="002D5618" w:rsidRDefault="002D5618" w:rsidP="002D5618">
      <w:r>
        <w:t>Dems: L: 0.113 m</w:t>
      </w:r>
    </w:p>
    <w:p w:rsidR="002D5618" w:rsidRDefault="002D5618" w:rsidP="002D5618">
      <w:r>
        <w:t>Provenance: Syros, Chalandriani, Grave 355</w:t>
      </w:r>
    </w:p>
    <w:p w:rsidR="002D5618" w:rsidRDefault="002D5618" w:rsidP="002D5618">
      <w:r>
        <w:t>Location/Access. no.: National Archaeological Museum Athens, 5120</w:t>
      </w:r>
    </w:p>
    <w:p w:rsidR="002D5618" w:rsidRDefault="002D5618" w:rsidP="002D5618">
      <w:r>
        <w:t>Description: “Yellow-white bone, probably of sheep or goat. Broken into three pieces, mended. Think brittle boen pin with a small bird at the top.” (Hekman, 236)</w:t>
      </w:r>
    </w:p>
    <w:p w:rsidR="002D5618" w:rsidRDefault="002D5618" w:rsidP="002D5618">
      <w:pPr>
        <w:jc w:val="center"/>
      </w:pPr>
      <w:r>
        <w:t>Notes:</w:t>
      </w:r>
    </w:p>
    <w:p w:rsidR="002D5618" w:rsidRDefault="002D5618" w:rsidP="002D5618">
      <w:r>
        <w:t xml:space="preserve">E. Sapouna-Sakellariakis, </w:t>
      </w:r>
      <w:r w:rsidRPr="002D5618">
        <w:rPr>
          <w:i/>
        </w:rPr>
        <w:t xml:space="preserve">Cycladic Civilization and the Cycladic Collection of the </w:t>
      </w:r>
      <w:r w:rsidRPr="002D5618">
        <w:rPr>
          <w:i/>
        </w:rPr>
        <w:tab/>
        <w:t>National Archaeological Museum of Athens</w:t>
      </w:r>
      <w:r>
        <w:t xml:space="preserve">, (Athens: Apollo Editions, 1973), </w:t>
      </w:r>
      <w:r>
        <w:tab/>
        <w:t>26, pl. 26.</w:t>
      </w:r>
    </w:p>
    <w:p w:rsidR="002D5618" w:rsidRDefault="002D5618" w:rsidP="002D5618">
      <w:r>
        <w:t xml:space="preserve">G. Papathanasopoulos, </w:t>
      </w:r>
      <w:r w:rsidRPr="002D5618">
        <w:rPr>
          <w:i/>
        </w:rPr>
        <w:t xml:space="preserve">National Archaeological Museum: Catalogue of Neolithic and </w:t>
      </w:r>
      <w:r w:rsidRPr="002D5618">
        <w:rPr>
          <w:i/>
        </w:rPr>
        <w:tab/>
        <w:t>Cycladic Collections</w:t>
      </w:r>
      <w:r>
        <w:t>, (Athens: "Melissa" editions, 1981), 134-135, pl. 62.3.</w:t>
      </w:r>
    </w:p>
    <w:p w:rsidR="002D5618" w:rsidRDefault="002D5618" w:rsidP="002D5618">
      <w:r>
        <w:lastRenderedPageBreak/>
        <w:t xml:space="preserve">Jan Jakob Hekman, “The Early Bronze Age Cemetery at Chalandriani on Syros,” PhD. </w:t>
      </w:r>
      <w:r>
        <w:tab/>
        <w:t xml:space="preserve">Diss., Rijksuniversiteit Groningen, 2003, accessed 02-07-16, </w:t>
      </w:r>
      <w:r w:rsidRPr="002D5618">
        <w:t>http://www.rug.nl/</w:t>
      </w:r>
      <w:r>
        <w:tab/>
        <w:t>research/portal/publications/the-early-bronze-age-cemetery-at-chalandriani-on-</w:t>
      </w:r>
      <w:r>
        <w:tab/>
        <w:t xml:space="preserve">syros-cyclades-greece(8dd13d8e-d4a4-40bc-91a6-1bb57ce032c5).html,  236, </w:t>
      </w:r>
      <w:r>
        <w:tab/>
        <w:t>349.</w:t>
      </w:r>
    </w:p>
    <w:p w:rsidR="002D5618" w:rsidRDefault="002D5618" w:rsidP="002D5618">
      <w:r>
        <w:t xml:space="preserve">Jürgen Thimme, ed., </w:t>
      </w:r>
      <w:r w:rsidRPr="002D5618">
        <w:rPr>
          <w:i/>
        </w:rPr>
        <w:t>Art and Culture of the Cyclades in the Third Millennium B.C</w:t>
      </w:r>
      <w:r>
        <w:t xml:space="preserve">., </w:t>
      </w:r>
      <w:r>
        <w:tab/>
        <w:t xml:space="preserve">translated by Pat Getz-Preziosi, (Chicago: University of Chicago Press, 1977), </w:t>
      </w:r>
      <w:r>
        <w:tab/>
        <w:t>124-125, fig. 97.</w:t>
      </w:r>
    </w:p>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2D5618" w:rsidP="002D5618"/>
    <w:p w:rsidR="002D5618" w:rsidRDefault="0072358B" w:rsidP="002D5618">
      <w:r w:rsidRPr="0072358B">
        <w:lastRenderedPageBreak/>
        <w:t xml:space="preserve">Photo Credit: Thimme, </w:t>
      </w:r>
      <w:r w:rsidRPr="0072358B">
        <w:rPr>
          <w:i/>
        </w:rPr>
        <w:t>Art and Culture of the Cyclades in the Third Millennium B.C</w:t>
      </w:r>
      <w:r w:rsidRPr="0072358B">
        <w:t>., 124-25</w:t>
      </w:r>
      <w:r>
        <w:t>;</w:t>
      </w:r>
      <w:r w:rsidRPr="0072358B">
        <w:t xml:space="preserve"> Hekman, “The Early Bronze Age Cemetery at Chalandriani on Syros,” 350.</w:t>
      </w:r>
      <w:r>
        <w:rPr>
          <w:noProof/>
          <w:lang w:bidi="ar-SA"/>
        </w:rPr>
        <w:drawing>
          <wp:anchor distT="0" distB="0" distL="114300" distR="114300" simplePos="0" relativeHeight="251699200" behindDoc="0" locked="0" layoutInCell="1" allowOverlap="1">
            <wp:simplePos x="1462088" y="914400"/>
            <wp:positionH relativeFrom="column">
              <wp:align>left</wp:align>
            </wp:positionH>
            <wp:positionV relativeFrom="paragraph">
              <wp:align>top</wp:align>
            </wp:positionV>
            <wp:extent cx="1381125" cy="3418840"/>
            <wp:effectExtent l="0" t="0" r="9525"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81125" cy="3418840"/>
                    </a:xfrm>
                    <a:prstGeom prst="rect">
                      <a:avLst/>
                    </a:prstGeom>
                    <a:noFill/>
                  </pic:spPr>
                </pic:pic>
              </a:graphicData>
            </a:graphic>
          </wp:anchor>
        </w:drawing>
      </w:r>
      <w:r>
        <w:br w:type="textWrapping" w:clear="all"/>
      </w:r>
    </w:p>
    <w:p w:rsidR="0072358B" w:rsidRPr="00211162" w:rsidRDefault="0072358B" w:rsidP="0072358B">
      <w:pPr>
        <w:rPr>
          <w:b/>
        </w:rPr>
      </w:pPr>
      <w:r w:rsidRPr="00211162">
        <w:rPr>
          <w:b/>
        </w:rPr>
        <w:t>J6. Pin</w:t>
      </w:r>
    </w:p>
    <w:p w:rsidR="0072358B" w:rsidRDefault="0072358B" w:rsidP="0072358B">
      <w:r>
        <w:t>Medium: bone</w:t>
      </w:r>
    </w:p>
    <w:p w:rsidR="0072358B" w:rsidRDefault="0072358B" w:rsidP="0072358B">
      <w:r>
        <w:t>Period: EC II</w:t>
      </w:r>
    </w:p>
    <w:p w:rsidR="0072358B" w:rsidRDefault="0072358B" w:rsidP="0072358B">
      <w:r>
        <w:t>Date: 2800/2700 BCE-2400/2300 BCE</w:t>
      </w:r>
    </w:p>
    <w:p w:rsidR="0072358B" w:rsidRDefault="0072358B" w:rsidP="0072358B">
      <w:r>
        <w:t>Dems: L: .10 m</w:t>
      </w:r>
    </w:p>
    <w:p w:rsidR="0072358B" w:rsidRDefault="0072358B" w:rsidP="0072358B">
      <w:r>
        <w:t>Provenance: Syros, Chalandriani, Grave 356</w:t>
      </w:r>
    </w:p>
    <w:p w:rsidR="002D5618" w:rsidRDefault="0072358B" w:rsidP="0072358B">
      <w:r>
        <w:t>Location/Access. no.: National Archaeological Museum Athens, 5294</w:t>
      </w:r>
    </w:p>
    <w:p w:rsidR="0072358B" w:rsidRDefault="0072358B" w:rsidP="0072358B">
      <w:r>
        <w:t>Description: “Long thin pin with circular section narrowing towards the pointed tip; the head mounted with carved bird. Complete, mended from several fragments.”  (Hekman, 237)</w:t>
      </w:r>
    </w:p>
    <w:p w:rsidR="0072358B" w:rsidRDefault="0072358B" w:rsidP="0072358B"/>
    <w:p w:rsidR="0072358B" w:rsidRDefault="0072358B" w:rsidP="0072358B"/>
    <w:p w:rsidR="0072358B" w:rsidRDefault="0072358B" w:rsidP="0072358B">
      <w:pPr>
        <w:jc w:val="center"/>
      </w:pPr>
      <w:r>
        <w:lastRenderedPageBreak/>
        <w:t>Notes:</w:t>
      </w:r>
    </w:p>
    <w:p w:rsidR="0072358B" w:rsidRDefault="0072358B" w:rsidP="0072358B">
      <w:r>
        <w:t xml:space="preserve">Jan Jakob Hekman, “The Early Bronze Age Cemetery at Chalandriani on Syros,” PhD. </w:t>
      </w:r>
      <w:r>
        <w:tab/>
        <w:t xml:space="preserve">Diss., Rijksuniversiteit Groningen, 2003, accessed 02-07-16, </w:t>
      </w:r>
      <w:r w:rsidRPr="0072358B">
        <w:t>http://www.rug.nl</w:t>
      </w:r>
      <w:r>
        <w:tab/>
        <w:t>/research/portal/publications/the-early-bronze-age-cemetery-at-chalandriani-on-</w:t>
      </w:r>
      <w:r>
        <w:tab/>
        <w:t xml:space="preserve">syros-cyclades-greece(8dd13d8e-d4a4-40bc-91a6-1bb57ce032c5).html, 237, </w:t>
      </w:r>
      <w:r>
        <w:tab/>
        <w:t>350.</w:t>
      </w:r>
    </w:p>
    <w:p w:rsidR="0072358B" w:rsidRDefault="0072358B" w:rsidP="0072358B">
      <w:r>
        <w:t xml:space="preserve">Jürgen Thimme, ed., </w:t>
      </w:r>
      <w:r w:rsidRPr="0072358B">
        <w:rPr>
          <w:i/>
        </w:rPr>
        <w:t>Art and Culture of the Cyclades in the Third Millennium B.C</w:t>
      </w:r>
      <w:r>
        <w:t xml:space="preserve">., </w:t>
      </w:r>
      <w:r>
        <w:tab/>
        <w:t xml:space="preserve">translated by Pat Getz-Preziosi, (Chicago: University of Chicago Press, 1977), </w:t>
      </w:r>
      <w:r>
        <w:tab/>
        <w:t>124-125, fig. 97.</w:t>
      </w:r>
    </w:p>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r w:rsidRPr="0072358B">
        <w:lastRenderedPageBreak/>
        <w:t xml:space="preserve">Photo Credit: Thimme, </w:t>
      </w:r>
      <w:r w:rsidRPr="0072358B">
        <w:rPr>
          <w:i/>
        </w:rPr>
        <w:t>Art and Culture of the Cyclades in the Third Millennium B.C</w:t>
      </w:r>
      <w:r w:rsidRPr="0072358B">
        <w:t>., 124-25</w:t>
      </w:r>
      <w:r>
        <w:t>;</w:t>
      </w:r>
      <w:r w:rsidRPr="0072358B">
        <w:t xml:space="preserve"> Hekman, “The Early Bronze Age Cemetery at Chalandriani on Syros,” 351.</w:t>
      </w:r>
      <w:r>
        <w:rPr>
          <w:noProof/>
          <w:lang w:bidi="ar-SA"/>
        </w:rPr>
        <w:drawing>
          <wp:anchor distT="0" distB="0" distL="114300" distR="114300" simplePos="0" relativeHeight="251700224" behindDoc="0" locked="0" layoutInCell="1" allowOverlap="1">
            <wp:simplePos x="1462088" y="914400"/>
            <wp:positionH relativeFrom="column">
              <wp:align>left</wp:align>
            </wp:positionH>
            <wp:positionV relativeFrom="paragraph">
              <wp:align>top</wp:align>
            </wp:positionV>
            <wp:extent cx="1752600" cy="3142615"/>
            <wp:effectExtent l="0" t="0" r="0" b="63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52600" cy="3142615"/>
                    </a:xfrm>
                    <a:prstGeom prst="rect">
                      <a:avLst/>
                    </a:prstGeom>
                    <a:noFill/>
                  </pic:spPr>
                </pic:pic>
              </a:graphicData>
            </a:graphic>
          </wp:anchor>
        </w:drawing>
      </w:r>
      <w:r>
        <w:br w:type="textWrapping" w:clear="all"/>
      </w:r>
    </w:p>
    <w:p w:rsidR="0072358B" w:rsidRPr="00211162" w:rsidRDefault="0072358B" w:rsidP="0072358B">
      <w:pPr>
        <w:rPr>
          <w:b/>
        </w:rPr>
      </w:pPr>
      <w:r w:rsidRPr="00211162">
        <w:rPr>
          <w:b/>
        </w:rPr>
        <w:t xml:space="preserve">J7.  Pin </w:t>
      </w:r>
    </w:p>
    <w:p w:rsidR="0072358B" w:rsidRDefault="0072358B" w:rsidP="0072358B">
      <w:r>
        <w:t>Medium: bone</w:t>
      </w:r>
    </w:p>
    <w:p w:rsidR="0072358B" w:rsidRDefault="0072358B" w:rsidP="0072358B">
      <w:r>
        <w:t>Period: EC II</w:t>
      </w:r>
    </w:p>
    <w:p w:rsidR="0072358B" w:rsidRDefault="0072358B" w:rsidP="0072358B">
      <w:r>
        <w:t>Date: 2800/2700 BCE-2400/2300 BCE</w:t>
      </w:r>
    </w:p>
    <w:p w:rsidR="0072358B" w:rsidRDefault="0072358B" w:rsidP="0072358B">
      <w:r>
        <w:t>Dems: L 0.061 m</w:t>
      </w:r>
    </w:p>
    <w:p w:rsidR="0072358B" w:rsidRDefault="0072358B" w:rsidP="0072358B">
      <w:r>
        <w:t>Provenance: Syros, Chalandriani, Grave 359</w:t>
      </w:r>
    </w:p>
    <w:p w:rsidR="0072358B" w:rsidRDefault="0072358B" w:rsidP="0072358B">
      <w:r>
        <w:t>Location/Access. no.: NAMA, 5132</w:t>
      </w:r>
    </w:p>
    <w:p w:rsidR="0072358B" w:rsidRDefault="0072358B" w:rsidP="0072358B">
      <w:r>
        <w:t>Description: “Thin pin with circular section, and small bird on the head. Mended.” (Hekman, 238)</w:t>
      </w:r>
    </w:p>
    <w:p w:rsidR="0072358B" w:rsidRDefault="0072358B" w:rsidP="0072358B"/>
    <w:p w:rsidR="0072358B" w:rsidRDefault="0072358B" w:rsidP="0072358B"/>
    <w:p w:rsidR="0072358B" w:rsidRDefault="0072358B" w:rsidP="0072358B"/>
    <w:p w:rsidR="0072358B" w:rsidRDefault="0072358B" w:rsidP="0072358B"/>
    <w:p w:rsidR="0072358B" w:rsidRDefault="0072358B" w:rsidP="0072358B">
      <w:pPr>
        <w:jc w:val="center"/>
      </w:pPr>
      <w:r>
        <w:lastRenderedPageBreak/>
        <w:t>Notes:</w:t>
      </w:r>
    </w:p>
    <w:p w:rsidR="0072358B" w:rsidRDefault="0072358B" w:rsidP="0072358B">
      <w:r>
        <w:t xml:space="preserve">Jürgen Thimme, ed., </w:t>
      </w:r>
      <w:r w:rsidRPr="0072358B">
        <w:rPr>
          <w:i/>
        </w:rPr>
        <w:t>Art and Culture of the Cyclades in the Third Millennium B.C</w:t>
      </w:r>
      <w:r>
        <w:t xml:space="preserve">., </w:t>
      </w:r>
      <w:r>
        <w:tab/>
        <w:t xml:space="preserve">translated by Pat Getz-Preziosi, (Chicago: University of Chicago Press, 1977), </w:t>
      </w:r>
      <w:r>
        <w:tab/>
        <w:t>124-125, fig. 97.</w:t>
      </w:r>
    </w:p>
    <w:p w:rsidR="0072358B" w:rsidRDefault="0072358B" w:rsidP="0072358B">
      <w:r>
        <w:t xml:space="preserve">Jan Jakob Hekman, “The Early Bronze Age Cemetery at Chalandriani on Syros,” PhD. </w:t>
      </w:r>
      <w:r>
        <w:tab/>
        <w:t xml:space="preserve">Diss., Rijksuniversiteit Groningen, 2003, accessed 02-07-16, </w:t>
      </w:r>
      <w:r w:rsidRPr="0072358B">
        <w:t>http://www.rug.nl</w:t>
      </w:r>
      <w:r>
        <w:tab/>
        <w:t>/research/portal/publications/the-early-bronze-age-cemetery-at-chalandriani-on-</w:t>
      </w:r>
      <w:r>
        <w:tab/>
        <w:t xml:space="preserve">syros-cyclades-greece(8dd13d8e-d4a4-40bc-91a6-1bb57ce032c5).html, 238, </w:t>
      </w:r>
      <w:r>
        <w:tab/>
        <w:t>351.</w:t>
      </w:r>
    </w:p>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p w:rsidR="0072358B" w:rsidRDefault="0072358B" w:rsidP="0072358B">
      <w:r w:rsidRPr="0072358B">
        <w:lastRenderedPageBreak/>
        <w:t>Photo Credit: Hekman, “The Early Bronze Age Cemetery at Chalandriani on Syros,” 337.</w:t>
      </w:r>
      <w:r>
        <w:rPr>
          <w:noProof/>
          <w:lang w:bidi="ar-SA"/>
        </w:rPr>
        <w:drawing>
          <wp:anchor distT="0" distB="0" distL="114300" distR="114300" simplePos="0" relativeHeight="251701248" behindDoc="0" locked="0" layoutInCell="1" allowOverlap="1">
            <wp:simplePos x="0" y="0"/>
            <wp:positionH relativeFrom="margin">
              <wp:align>left</wp:align>
            </wp:positionH>
            <wp:positionV relativeFrom="paragraph">
              <wp:posOffset>2857</wp:posOffset>
            </wp:positionV>
            <wp:extent cx="914400" cy="169545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1695450"/>
                    </a:xfrm>
                    <a:prstGeom prst="rect">
                      <a:avLst/>
                    </a:prstGeom>
                    <a:noFill/>
                  </pic:spPr>
                </pic:pic>
              </a:graphicData>
            </a:graphic>
          </wp:anchor>
        </w:drawing>
      </w:r>
    </w:p>
    <w:p w:rsidR="00211162" w:rsidRDefault="0072358B" w:rsidP="0072358B">
      <w:r>
        <w:br w:type="textWrapping" w:clear="all"/>
      </w:r>
    </w:p>
    <w:p w:rsidR="0072358B" w:rsidRPr="00211162" w:rsidRDefault="0072358B" w:rsidP="0072358B">
      <w:pPr>
        <w:rPr>
          <w:b/>
        </w:rPr>
      </w:pPr>
      <w:r w:rsidRPr="00211162">
        <w:rPr>
          <w:b/>
        </w:rPr>
        <w:t xml:space="preserve">J8.  Pin </w:t>
      </w:r>
    </w:p>
    <w:p w:rsidR="0072358B" w:rsidRDefault="0072358B" w:rsidP="0072358B">
      <w:r>
        <w:t>Medium: bone</w:t>
      </w:r>
    </w:p>
    <w:p w:rsidR="0072358B" w:rsidRDefault="0072358B" w:rsidP="0072358B">
      <w:r>
        <w:t>Period: EC II</w:t>
      </w:r>
    </w:p>
    <w:p w:rsidR="0072358B" w:rsidRDefault="0072358B" w:rsidP="0072358B">
      <w:r>
        <w:t>Date: 2800/2700 BCE-2400/2300 BCE</w:t>
      </w:r>
    </w:p>
    <w:p w:rsidR="0072358B" w:rsidRDefault="0072358B" w:rsidP="0072358B">
      <w:r>
        <w:t>Dems: L 0.074 m</w:t>
      </w:r>
    </w:p>
    <w:p w:rsidR="0072358B" w:rsidRDefault="0072358B" w:rsidP="0072358B">
      <w:r>
        <w:t>Provenance: Syros, Chalandriani, Grave 242</w:t>
      </w:r>
    </w:p>
    <w:p w:rsidR="0072358B" w:rsidRDefault="0072358B" w:rsidP="0072358B">
      <w:r>
        <w:t>Location/Access. no.: National Archaeological Museum Athens, 11846.1</w:t>
      </w:r>
    </w:p>
    <w:p w:rsidR="0072358B" w:rsidRDefault="0072358B" w:rsidP="0072358B">
      <w:r>
        <w:t>Description: “Short pin with round section preserved in three pieces, probably incomplete; top mounted with small bird, possibly a dove. Encrustation of blue pigment on the surface.” (Hekman, 216)</w:t>
      </w:r>
    </w:p>
    <w:p w:rsidR="0072358B" w:rsidRDefault="0072358B" w:rsidP="0072358B"/>
    <w:p w:rsidR="0072358B" w:rsidRDefault="0072358B" w:rsidP="0072358B">
      <w:pPr>
        <w:jc w:val="center"/>
      </w:pPr>
      <w:r>
        <w:t>Notes:</w:t>
      </w:r>
    </w:p>
    <w:p w:rsidR="0072358B" w:rsidRDefault="0072358B" w:rsidP="0072358B">
      <w:r>
        <w:t xml:space="preserve">Jan Jakob Hekman, “The Early Bronze Age Cemetery at Chalandriani on Syros,” PhD. </w:t>
      </w:r>
      <w:r>
        <w:tab/>
        <w:t xml:space="preserve">Diss., Rijksuniversiteit Groningen, 2003, accessed 02-07-16, </w:t>
      </w:r>
      <w:r w:rsidRPr="0072358B">
        <w:t>http://www.rug.nl</w:t>
      </w:r>
      <w:r>
        <w:tab/>
        <w:t>/research/portal/publications/the-early-bronze-age-cemetery-at-chalandriani-on-</w:t>
      </w:r>
      <w:r>
        <w:tab/>
        <w:t xml:space="preserve">syros-cyclades-greece(8dd13d8e-d4a4-40bc-91a6-1bb57ce032c5).html,  216, </w:t>
      </w:r>
      <w:r>
        <w:tab/>
        <w:t>337.</w:t>
      </w:r>
    </w:p>
    <w:p w:rsidR="0072358B" w:rsidRDefault="0072358B" w:rsidP="0072358B">
      <w:r>
        <w:rPr>
          <w:noProof/>
          <w:lang w:bidi="ar-SA"/>
        </w:rPr>
        <w:lastRenderedPageBreak/>
        <w:drawing>
          <wp:anchor distT="0" distB="0" distL="114300" distR="114300" simplePos="0" relativeHeight="251702272" behindDoc="0" locked="0" layoutInCell="1" allowOverlap="1">
            <wp:simplePos x="0" y="0"/>
            <wp:positionH relativeFrom="margin">
              <wp:align>left</wp:align>
            </wp:positionH>
            <wp:positionV relativeFrom="paragraph">
              <wp:posOffset>2858</wp:posOffset>
            </wp:positionV>
            <wp:extent cx="2717284" cy="2128838"/>
            <wp:effectExtent l="0" t="0" r="6985" b="508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17284" cy="2128838"/>
                    </a:xfrm>
                    <a:prstGeom prst="rect">
                      <a:avLst/>
                    </a:prstGeom>
                    <a:noFill/>
                  </pic:spPr>
                </pic:pic>
              </a:graphicData>
            </a:graphic>
          </wp:anchor>
        </w:drawing>
      </w:r>
      <w:r w:rsidRPr="0072358B">
        <w:t>Photo Credit: The George Ortiz Collection, https://www.georgeortiz.</w:t>
      </w:r>
    </w:p>
    <w:p w:rsidR="0072358B" w:rsidRDefault="0072358B" w:rsidP="0072358B">
      <w:r w:rsidRPr="0072358B">
        <w:t>com/objects/greek-world/048-bird-dove-or-partridge-cycladic/</w:t>
      </w:r>
      <w:r>
        <w:t>.</w:t>
      </w:r>
      <w:r>
        <w:br w:type="textWrapping" w:clear="all"/>
      </w:r>
    </w:p>
    <w:p w:rsidR="0072358B" w:rsidRPr="00211162" w:rsidRDefault="0072358B" w:rsidP="0072358B">
      <w:pPr>
        <w:rPr>
          <w:b/>
        </w:rPr>
      </w:pPr>
      <w:r w:rsidRPr="00211162">
        <w:rPr>
          <w:b/>
        </w:rPr>
        <w:t>F4. Bird Figurine</w:t>
      </w:r>
    </w:p>
    <w:p w:rsidR="0072358B" w:rsidRDefault="0072358B" w:rsidP="0072358B">
      <w:r>
        <w:t>Medium: marble</w:t>
      </w:r>
    </w:p>
    <w:p w:rsidR="0072358B" w:rsidRDefault="0072358B" w:rsidP="0072358B">
      <w:r>
        <w:t>Period: EC II</w:t>
      </w:r>
    </w:p>
    <w:p w:rsidR="0072358B" w:rsidRDefault="0072358B" w:rsidP="0072358B">
      <w:r>
        <w:t>Date: 2700-2300 B.C.</w:t>
      </w:r>
    </w:p>
    <w:p w:rsidR="0072358B" w:rsidRDefault="0072358B" w:rsidP="0072358B">
      <w:r>
        <w:t>Dems: H.: 13.4cm, L: 17.4 cm</w:t>
      </w:r>
    </w:p>
    <w:p w:rsidR="0072358B" w:rsidRDefault="0072358B" w:rsidP="0072358B">
      <w:r>
        <w:t>Provenance: Unknown</w:t>
      </w:r>
    </w:p>
    <w:p w:rsidR="0072358B" w:rsidRDefault="0072358B" w:rsidP="0072358B">
      <w:r>
        <w:t>Location/Access. no.: 48, Geneva, The George Ortiz Collection</w:t>
      </w:r>
    </w:p>
    <w:p w:rsidR="0072358B" w:rsidRDefault="0072358B" w:rsidP="0072358B">
      <w:r>
        <w:t xml:space="preserve">Description: “Condition: whitish marble with smooth surface, polished in parts, one side thickly incrusted with hard brown deposits with root marks. It seems that both the dove and the partridge were indigenous to the Cyclades and to Anatolia. This unique figure has always been described as a dove and Cycladic, but both description and attribution are open to discussion. Crete was also once given as a provenance. The marble itself, the very hard incrusted brown limestone deposits, sculptural characteristics such as the way the flat bottom tails up, the modelling of the head, the abstract and schematic appearance of the whole and the indication of an originally white polished surface might suggest a work from Anatolia, contemporary with the Kilia-type </w:t>
      </w:r>
      <w:r>
        <w:lastRenderedPageBreak/>
        <w:t>anthropomorphic idols. The bird might be attributed to Crete or the Cyclades, since it is in keepi</w:t>
      </w:r>
      <w:r w:rsidR="00683D2F">
        <w:t>ng with their ritual customs</w:t>
      </w:r>
      <w:r>
        <w:t>, and it may be added that there is no definite parallel from elsewhere.</w:t>
      </w:r>
      <w:r w:rsidR="00683D2F">
        <w:t>”</w:t>
      </w:r>
      <w:r>
        <w:t xml:space="preserve">  On view: Musée d'Art et d'Histoire, Geneva: 1971-1973 (Ortiz Collection Website)</w:t>
      </w:r>
    </w:p>
    <w:p w:rsidR="0072358B" w:rsidRDefault="0072358B" w:rsidP="0072358B">
      <w:pPr>
        <w:jc w:val="center"/>
      </w:pPr>
      <w:r>
        <w:t>Notes:</w:t>
      </w:r>
    </w:p>
    <w:p w:rsidR="0072358B" w:rsidRDefault="0072358B" w:rsidP="0072358B">
      <w:r>
        <w:t xml:space="preserve">Jürgen Thimme, ed., </w:t>
      </w:r>
      <w:r w:rsidRPr="006B4F27">
        <w:rPr>
          <w:i/>
        </w:rPr>
        <w:t>Art and Culture of the Cyclades in the Third Millennium B.C</w:t>
      </w:r>
      <w:r>
        <w:t>.</w:t>
      </w:r>
      <w:r w:rsidR="006B4F27">
        <w:t>,</w:t>
      </w:r>
      <w:r w:rsidR="006B4F27">
        <w:tab/>
      </w:r>
      <w:r>
        <w:t xml:space="preserve"> </w:t>
      </w:r>
      <w:r w:rsidR="006B4F27">
        <w:t>trans. Pat Getz-Preziosi,</w:t>
      </w:r>
      <w:r>
        <w:t xml:space="preserve"> (Chicago: University of Chicago Press, 1977), 365, </w:t>
      </w:r>
      <w:r w:rsidR="006B4F27">
        <w:tab/>
      </w:r>
      <w:r>
        <w:t>540, no.433.</w:t>
      </w:r>
    </w:p>
    <w:p w:rsidR="0072358B" w:rsidRDefault="006B4F27" w:rsidP="0072358B">
      <w:r>
        <w:t>“</w:t>
      </w:r>
      <w:r w:rsidR="0072358B">
        <w:t>The George Ortiz Collection</w:t>
      </w:r>
      <w:r>
        <w:t>”</w:t>
      </w:r>
      <w:r w:rsidR="0072358B">
        <w:t xml:space="preserve">, accessed 01/21/2017, </w:t>
      </w:r>
      <w:r w:rsidRPr="006B4F27">
        <w:t>https://www.georgeortiz.com</w:t>
      </w:r>
      <w:r>
        <w:tab/>
      </w:r>
      <w:r>
        <w:tab/>
      </w:r>
      <w:r w:rsidR="0072358B">
        <w:t>/objects/greek-world/048-bird-dove-or-partridge-cycladic/.</w:t>
      </w:r>
    </w:p>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6B4F27" w:rsidRDefault="006B4F27" w:rsidP="0072358B"/>
    <w:p w:rsidR="00211162" w:rsidRDefault="00211162" w:rsidP="0072358B"/>
    <w:p w:rsidR="006B4F27" w:rsidRDefault="006B4F27" w:rsidP="0072358B">
      <w:r w:rsidRPr="006B4F27">
        <w:lastRenderedPageBreak/>
        <w:t xml:space="preserve">Photo Credit: Hellenic Ministry of Culture and Sapouna-Sakellariakis, </w:t>
      </w:r>
      <w:r w:rsidRPr="006B4F27">
        <w:rPr>
          <w:i/>
        </w:rPr>
        <w:t>Cycladic Civilization and the Cycladic Collection of the National Archaeological Museum of Athens.</w:t>
      </w:r>
      <w:r w:rsidRPr="006B4F27">
        <w:t>, pl. 23.</w:t>
      </w:r>
      <w:r>
        <w:rPr>
          <w:noProof/>
          <w:lang w:bidi="ar-SA"/>
        </w:rPr>
        <w:drawing>
          <wp:anchor distT="0" distB="0" distL="114300" distR="114300" simplePos="0" relativeHeight="251703296" behindDoc="0" locked="0" layoutInCell="1" allowOverlap="1">
            <wp:simplePos x="1462088" y="914400"/>
            <wp:positionH relativeFrom="column">
              <wp:align>left</wp:align>
            </wp:positionH>
            <wp:positionV relativeFrom="paragraph">
              <wp:align>top</wp:align>
            </wp:positionV>
            <wp:extent cx="2666365" cy="2228850"/>
            <wp:effectExtent l="0" t="0" r="635"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66365" cy="2228850"/>
                    </a:xfrm>
                    <a:prstGeom prst="rect">
                      <a:avLst/>
                    </a:prstGeom>
                    <a:noFill/>
                  </pic:spPr>
                </pic:pic>
              </a:graphicData>
            </a:graphic>
          </wp:anchor>
        </w:drawing>
      </w:r>
      <w:r>
        <w:br w:type="textWrapping" w:clear="all"/>
      </w:r>
    </w:p>
    <w:p w:rsidR="006B4F27" w:rsidRPr="00211162" w:rsidRDefault="006B4F27" w:rsidP="006B4F27">
      <w:pPr>
        <w:rPr>
          <w:b/>
        </w:rPr>
      </w:pPr>
      <w:r w:rsidRPr="00211162">
        <w:rPr>
          <w:b/>
        </w:rPr>
        <w:t>J9.  Bird Periapt</w:t>
      </w:r>
    </w:p>
    <w:p w:rsidR="006B4F27" w:rsidRDefault="000C7359" w:rsidP="006B4F27">
      <w:r>
        <w:t>Medium: g</w:t>
      </w:r>
      <w:r w:rsidR="006B4F27">
        <w:t>reen</w:t>
      </w:r>
      <w:r>
        <w:t xml:space="preserve"> </w:t>
      </w:r>
      <w:r w:rsidR="006B4F27">
        <w:t>stone</w:t>
      </w:r>
    </w:p>
    <w:p w:rsidR="006B4F27" w:rsidRDefault="006B4F27" w:rsidP="006B4F27">
      <w:r>
        <w:t>Period: EC II</w:t>
      </w:r>
    </w:p>
    <w:p w:rsidR="006B4F27" w:rsidRDefault="006B4F27" w:rsidP="006B4F27">
      <w:r>
        <w:t>Date: 2800-2300 BCE</w:t>
      </w:r>
    </w:p>
    <w:p w:rsidR="006B4F27" w:rsidRDefault="006B4F27" w:rsidP="006B4F27">
      <w:r>
        <w:t>Dems: L. .038m</w:t>
      </w:r>
    </w:p>
    <w:p w:rsidR="006B4F27" w:rsidRDefault="006B4F27" w:rsidP="006B4F27">
      <w:r>
        <w:t>Provenance: Paros, Pyrgos cemetery (grave 105)</w:t>
      </w:r>
    </w:p>
    <w:p w:rsidR="006B4F27" w:rsidRDefault="006B4F27" w:rsidP="006B4F27">
      <w:r>
        <w:t xml:space="preserve">Location/Access. no.: National Archaeological Museum </w:t>
      </w:r>
      <w:r w:rsidR="00683D2F">
        <w:t>Athens,</w:t>
      </w:r>
      <w:r>
        <w:t xml:space="preserve"> 4825</w:t>
      </w:r>
    </w:p>
    <w:p w:rsidR="006B4F27" w:rsidRDefault="006B4F27" w:rsidP="006B4F27">
      <w:r>
        <w:t xml:space="preserve">Description: “Elegant miniature stone bird resembling a dove, of translucent greenish stone. An exceptional example of the high standard of Cycladic lapidary work. At the bottom of the body there is a hole, most probably for hanging from the neck (periapt). It was in the same grave as the other periapts and various beads which adorn the dead.” (Papathanasopoulos, 137) </w:t>
      </w:r>
    </w:p>
    <w:p w:rsidR="006B4F27" w:rsidRDefault="006B4F27" w:rsidP="006B4F27">
      <w:pPr>
        <w:jc w:val="center"/>
      </w:pPr>
      <w:r>
        <w:t>Notes:</w:t>
      </w:r>
    </w:p>
    <w:p w:rsidR="006B4F27" w:rsidRDefault="006B4F27" w:rsidP="006B4F27">
      <w:r>
        <w:t xml:space="preserve">Cyprian Broodbank, </w:t>
      </w:r>
      <w:r w:rsidRPr="006B4F27">
        <w:rPr>
          <w:i/>
        </w:rPr>
        <w:t>An Island Archaeology of the Early Cyclades</w:t>
      </w:r>
      <w:r>
        <w:t xml:space="preserve">, (Cambridge: </w:t>
      </w:r>
      <w:r>
        <w:tab/>
        <w:t xml:space="preserve">Cambridge University Press, 2000), 252, fig. 81c. </w:t>
      </w:r>
    </w:p>
    <w:p w:rsidR="006B4F27" w:rsidRDefault="006B4F27" w:rsidP="006B4F27">
      <w:r>
        <w:lastRenderedPageBreak/>
        <w:t xml:space="preserve">E. Sapouna-Sakellariakis, </w:t>
      </w:r>
      <w:r w:rsidRPr="006B4F27">
        <w:rPr>
          <w:i/>
        </w:rPr>
        <w:t xml:space="preserve">Cycladic Civilization and the Cycladic Collection of the </w:t>
      </w:r>
      <w:r w:rsidRPr="006B4F27">
        <w:rPr>
          <w:i/>
        </w:rPr>
        <w:tab/>
        <w:t>National Archaeological Museum of Athens</w:t>
      </w:r>
      <w:r>
        <w:t xml:space="preserve">, (Athens: Apollo Editions, 1973), </w:t>
      </w:r>
      <w:r>
        <w:tab/>
        <w:t>26, pl. 23.</w:t>
      </w:r>
    </w:p>
    <w:p w:rsidR="006B4F27" w:rsidRDefault="006B4F27" w:rsidP="006B4F27">
      <w:r>
        <w:t xml:space="preserve">G. Papathanasopoulos, </w:t>
      </w:r>
      <w:r w:rsidRPr="006B4F27">
        <w:rPr>
          <w:i/>
        </w:rPr>
        <w:t xml:space="preserve">National Archaeological Museum: Catalogue of Neolithic and </w:t>
      </w:r>
      <w:r w:rsidRPr="006B4F27">
        <w:rPr>
          <w:i/>
        </w:rPr>
        <w:tab/>
        <w:t>Cycladic Collections</w:t>
      </w:r>
      <w:r>
        <w:t xml:space="preserve">, (Athens: "Melissa" editions, 1981), 137, fig. 65. </w:t>
      </w:r>
    </w:p>
    <w:p w:rsidR="006B4F27" w:rsidRDefault="006B4F27" w:rsidP="006B4F27">
      <w:r>
        <w:t xml:space="preserve">Pat Getz-Gentle, </w:t>
      </w:r>
      <w:r w:rsidRPr="006B4F27">
        <w:rPr>
          <w:i/>
        </w:rPr>
        <w:t>Stone Vessels of the Cyclades in the Early Bronze Age</w:t>
      </w:r>
      <w:r>
        <w:t xml:space="preserve">, (University </w:t>
      </w:r>
      <w:r>
        <w:tab/>
        <w:t>Park, PA: Penn State University Press, 1996), 186, 359, fig. 102 no. 1.</w:t>
      </w:r>
    </w:p>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r w:rsidRPr="006B4F27">
        <w:lastRenderedPageBreak/>
        <w:t xml:space="preserve">Photo Credit: Sapouna-Sakellariakis, </w:t>
      </w:r>
      <w:r w:rsidRPr="006B4F27">
        <w:rPr>
          <w:i/>
        </w:rPr>
        <w:t>Cycladic Civilization and the Cycladic Collection of the National Archaeological Museum of Athens</w:t>
      </w:r>
      <w:r w:rsidRPr="006B4F27">
        <w:t>, pl. 55.</w:t>
      </w:r>
      <w:r>
        <w:rPr>
          <w:noProof/>
          <w:lang w:bidi="ar-SA"/>
        </w:rPr>
        <w:drawing>
          <wp:anchor distT="0" distB="0" distL="114300" distR="114300" simplePos="0" relativeHeight="251704320" behindDoc="0" locked="0" layoutInCell="1" allowOverlap="1">
            <wp:simplePos x="1462088" y="914400"/>
            <wp:positionH relativeFrom="column">
              <wp:align>left</wp:align>
            </wp:positionH>
            <wp:positionV relativeFrom="paragraph">
              <wp:align>top</wp:align>
            </wp:positionV>
            <wp:extent cx="2964137" cy="1843088"/>
            <wp:effectExtent l="0" t="0" r="8255" b="508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64137" cy="1843088"/>
                    </a:xfrm>
                    <a:prstGeom prst="rect">
                      <a:avLst/>
                    </a:prstGeom>
                    <a:noFill/>
                  </pic:spPr>
                </pic:pic>
              </a:graphicData>
            </a:graphic>
          </wp:anchor>
        </w:drawing>
      </w:r>
      <w:r>
        <w:br w:type="textWrapping" w:clear="all"/>
      </w:r>
    </w:p>
    <w:p w:rsidR="006B4F27" w:rsidRPr="00211162" w:rsidRDefault="006B4F27" w:rsidP="006B4F27">
      <w:pPr>
        <w:rPr>
          <w:b/>
        </w:rPr>
      </w:pPr>
      <w:r w:rsidRPr="00211162">
        <w:rPr>
          <w:b/>
        </w:rPr>
        <w:t>F5-6. Bird Figurines</w:t>
      </w:r>
    </w:p>
    <w:p w:rsidR="006B4F27" w:rsidRDefault="006B4F27" w:rsidP="006B4F27">
      <w:r>
        <w:t>Medium: stone</w:t>
      </w:r>
    </w:p>
    <w:p w:rsidR="006B4F27" w:rsidRDefault="006B4F27" w:rsidP="006B4F27">
      <w:r>
        <w:t>Period: EC I-II</w:t>
      </w:r>
    </w:p>
    <w:p w:rsidR="006B4F27" w:rsidRDefault="006B4F27" w:rsidP="006B4F27">
      <w:r>
        <w:t>Date: 3200 BCE-2300 BCE</w:t>
      </w:r>
    </w:p>
    <w:p w:rsidR="006B4F27" w:rsidRDefault="006B4F27" w:rsidP="006B4F27">
      <w:r>
        <w:t>Dems: N/A</w:t>
      </w:r>
    </w:p>
    <w:p w:rsidR="006B4F27" w:rsidRDefault="006B4F27" w:rsidP="006B4F27">
      <w:r>
        <w:t>Provenance: Akrotiraki, Siphnos</w:t>
      </w:r>
    </w:p>
    <w:p w:rsidR="006B4F27" w:rsidRDefault="006B4F27" w:rsidP="006B4F27">
      <w:r>
        <w:t>Location/Access. National Archaeological Museum Athens, 4947</w:t>
      </w:r>
    </w:p>
    <w:p w:rsidR="006B4F27" w:rsidRDefault="006B4F27" w:rsidP="006B4F27">
      <w:r>
        <w:t xml:space="preserve">Description: Thimme describes these as the largest of the known bird examples (except for the bird from the Ortiz Collection, F7).  He refers to three examples from Siphinos (two pictured here), “found in a grave together with red colored matter, a shell bowl, and spherical grinders.” Thimme speculates that these birds, too, were used as grinders. (Thimme 540)  </w:t>
      </w:r>
    </w:p>
    <w:p w:rsidR="006B4F27" w:rsidRDefault="006B4F27" w:rsidP="006B4F27">
      <w:pPr>
        <w:jc w:val="center"/>
      </w:pPr>
      <w:r>
        <w:t>Notes:</w:t>
      </w:r>
    </w:p>
    <w:p w:rsidR="006B4F27" w:rsidRDefault="006B4F27" w:rsidP="006B4F27">
      <w:r>
        <w:t xml:space="preserve">E. Sapouna-Sakellariakis, </w:t>
      </w:r>
      <w:r w:rsidRPr="006B4F27">
        <w:rPr>
          <w:i/>
        </w:rPr>
        <w:t xml:space="preserve">Cycladic Civilization and the Cycladic Collection of the </w:t>
      </w:r>
      <w:r w:rsidRPr="006B4F27">
        <w:rPr>
          <w:i/>
        </w:rPr>
        <w:tab/>
        <w:t>National Archaeological Museum of Athens</w:t>
      </w:r>
      <w:r>
        <w:t xml:space="preserve">, (Athens: Apollo Editions, 1973), </w:t>
      </w:r>
      <w:r>
        <w:tab/>
        <w:t>29, pl. 55.</w:t>
      </w:r>
    </w:p>
    <w:p w:rsidR="006B4F27" w:rsidRDefault="006B4F27" w:rsidP="006B4F27">
      <w:r>
        <w:lastRenderedPageBreak/>
        <w:t xml:space="preserve">Jürgen Thimme, ed., </w:t>
      </w:r>
      <w:r w:rsidRPr="006B4F27">
        <w:rPr>
          <w:i/>
        </w:rPr>
        <w:t>Art and Culture of the Cyclades in the Third Millennium B.C</w:t>
      </w:r>
      <w:r>
        <w:t xml:space="preserve">., </w:t>
      </w:r>
      <w:r>
        <w:tab/>
        <w:t xml:space="preserve">translated by Pat Getz-Preziosi, (Chicago: University of Chicago Press, 1977), </w:t>
      </w:r>
      <w:r>
        <w:tab/>
        <w:t>540.</w:t>
      </w:r>
    </w:p>
    <w:p w:rsidR="006B4F27" w:rsidRDefault="006B4F27" w:rsidP="006B4F27">
      <w:r>
        <w:t xml:space="preserve">Zozi D. Papadopoulou, “Sculptures from Akrotiraki, Siphnos and Its Cemetery,” in </w:t>
      </w:r>
      <w:r>
        <w:tab/>
      </w:r>
      <w:r w:rsidRPr="006B4F27">
        <w:rPr>
          <w:i/>
        </w:rPr>
        <w:t>Early Cycladic Sculpture in Context</w:t>
      </w:r>
      <w:r>
        <w:t xml:space="preserve">, eds. Marthari, Marisa, Colin Renfrew and </w:t>
      </w:r>
      <w:r>
        <w:tab/>
        <w:t>Michael J. Boyd, (Oxford: Oxbow Books, 2017), 115.</w:t>
      </w:r>
    </w:p>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r w:rsidRPr="006B4F27">
        <w:lastRenderedPageBreak/>
        <w:t>Photo Credit: The George Ortiz Collection, https://www.georgeortiz.com/objects/greek-world/047-egg-cycladic/</w:t>
      </w:r>
      <w:r>
        <w:rPr>
          <w:noProof/>
          <w:lang w:bidi="ar-SA"/>
        </w:rPr>
        <w:drawing>
          <wp:anchor distT="0" distB="0" distL="114300" distR="114300" simplePos="0" relativeHeight="251705344" behindDoc="0" locked="0" layoutInCell="1" allowOverlap="1">
            <wp:simplePos x="1462088" y="914400"/>
            <wp:positionH relativeFrom="column">
              <wp:align>left</wp:align>
            </wp:positionH>
            <wp:positionV relativeFrom="paragraph">
              <wp:align>top</wp:align>
            </wp:positionV>
            <wp:extent cx="2138362" cy="2678788"/>
            <wp:effectExtent l="0" t="0" r="0" b="762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38362" cy="2678788"/>
                    </a:xfrm>
                    <a:prstGeom prst="rect">
                      <a:avLst/>
                    </a:prstGeom>
                    <a:noFill/>
                  </pic:spPr>
                </pic:pic>
              </a:graphicData>
            </a:graphic>
          </wp:anchor>
        </w:drawing>
      </w:r>
      <w:r>
        <w:t>.</w:t>
      </w:r>
      <w:r>
        <w:br w:type="textWrapping" w:clear="all"/>
      </w:r>
    </w:p>
    <w:p w:rsidR="006B4F27" w:rsidRPr="00211162" w:rsidRDefault="000C7359" w:rsidP="006B4F27">
      <w:pPr>
        <w:rPr>
          <w:b/>
        </w:rPr>
      </w:pPr>
      <w:r>
        <w:rPr>
          <w:b/>
        </w:rPr>
        <w:t>F7. Egg F</w:t>
      </w:r>
      <w:r w:rsidR="006B4F27" w:rsidRPr="00211162">
        <w:rPr>
          <w:b/>
        </w:rPr>
        <w:t>igurine</w:t>
      </w:r>
    </w:p>
    <w:p w:rsidR="006B4F27" w:rsidRDefault="006B4F27" w:rsidP="006B4F27">
      <w:r>
        <w:t>Medium: marble</w:t>
      </w:r>
    </w:p>
    <w:p w:rsidR="006B4F27" w:rsidRDefault="006B4F27" w:rsidP="006B4F27">
      <w:r>
        <w:t>Period: Early Cycladic</w:t>
      </w:r>
    </w:p>
    <w:p w:rsidR="006B4F27" w:rsidRDefault="006B4F27" w:rsidP="006B4F27">
      <w:r>
        <w:t>Date: 3200-2100 B.C.</w:t>
      </w:r>
    </w:p>
    <w:p w:rsidR="006B4F27" w:rsidRDefault="006B4F27" w:rsidP="006B4F27">
      <w:r>
        <w:t>Dems: H.: 4.5 cm</w:t>
      </w:r>
    </w:p>
    <w:p w:rsidR="006B4F27" w:rsidRDefault="006B4F27" w:rsidP="006B4F27">
      <w:r>
        <w:t>Provenance: Unknown</w:t>
      </w:r>
    </w:p>
    <w:p w:rsidR="006B4F27" w:rsidRDefault="006B4F27" w:rsidP="006B4F27">
      <w:r>
        <w:t>Location/Access. no.: 47, Geneva, The George Ortiz Collection</w:t>
      </w:r>
    </w:p>
    <w:p w:rsidR="006B4F27" w:rsidRDefault="006B4F27" w:rsidP="006B4F27">
      <w:r>
        <w:t xml:space="preserve">Description: “Condition: slight weathering and partially incrusted with ochre limestone deposits. The purpose of this object is not known. Pierced with a hole 4 mm in diameter and 9.5 mm deep1, it might have served as a knob or finial. Exhibited and Published: Kunst der Kykladen, cat. no. 473, pp. 542, 374 ill.”  (The George Ortiz Collection Website) </w:t>
      </w:r>
    </w:p>
    <w:p w:rsidR="006B4F27" w:rsidRDefault="006B4F27" w:rsidP="006B4F27">
      <w:pPr>
        <w:jc w:val="center"/>
      </w:pPr>
    </w:p>
    <w:p w:rsidR="006B4F27" w:rsidRDefault="006B4F27" w:rsidP="006B4F27">
      <w:pPr>
        <w:jc w:val="center"/>
      </w:pPr>
    </w:p>
    <w:p w:rsidR="006B4F27" w:rsidRDefault="006B4F27" w:rsidP="006B4F27">
      <w:pPr>
        <w:jc w:val="center"/>
      </w:pPr>
      <w:r>
        <w:lastRenderedPageBreak/>
        <w:t>Notes:</w:t>
      </w:r>
    </w:p>
    <w:p w:rsidR="006B4F27" w:rsidRDefault="006B4F27" w:rsidP="006B4F27">
      <w:r>
        <w:t xml:space="preserve">“The George Ortiz Collection”, accessed 01/21/2017, </w:t>
      </w:r>
      <w:r w:rsidRPr="006B4F27">
        <w:t>https://www.georgeortiz</w:t>
      </w:r>
      <w:r>
        <w:t>.</w:t>
      </w:r>
      <w:r>
        <w:tab/>
      </w:r>
      <w:r>
        <w:tab/>
        <w:t>com/objects/greek-world/047-egg-cycladic/.</w:t>
      </w:r>
    </w:p>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p w:rsidR="006B4F27" w:rsidRDefault="006B4F27" w:rsidP="006B4F27">
      <w:r>
        <w:rPr>
          <w:noProof/>
          <w:lang w:bidi="ar-SA"/>
        </w:rPr>
        <w:lastRenderedPageBreak/>
        <w:drawing>
          <wp:inline distT="0" distB="0" distL="0" distR="0" wp14:anchorId="794ADE0F">
            <wp:extent cx="5290503" cy="1231649"/>
            <wp:effectExtent l="0" t="0" r="5715"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1083" cy="1238768"/>
                    </a:xfrm>
                    <a:prstGeom prst="rect">
                      <a:avLst/>
                    </a:prstGeom>
                    <a:noFill/>
                  </pic:spPr>
                </pic:pic>
              </a:graphicData>
            </a:graphic>
          </wp:inline>
        </w:drawing>
      </w:r>
    </w:p>
    <w:p w:rsidR="006B4F27" w:rsidRDefault="006B4F27" w:rsidP="006B4F27">
      <w:r w:rsidRPr="006B4F27">
        <w:t xml:space="preserve">Photo Credit: Marangou, </w:t>
      </w:r>
      <w:r w:rsidRPr="00350400">
        <w:rPr>
          <w:i/>
        </w:rPr>
        <w:t>Cycladica</w:t>
      </w:r>
      <w:r w:rsidRPr="006B4F27">
        <w:t>, 112, fig. 19</w:t>
      </w:r>
      <w:r>
        <w:t>.</w:t>
      </w:r>
    </w:p>
    <w:p w:rsidR="006B4F27" w:rsidRPr="00211162" w:rsidRDefault="006B4F27" w:rsidP="006B4F27">
      <w:pPr>
        <w:rPr>
          <w:b/>
        </w:rPr>
      </w:pPr>
      <w:r w:rsidRPr="00211162">
        <w:rPr>
          <w:b/>
        </w:rPr>
        <w:t>V8. Bird Pyxis</w:t>
      </w:r>
    </w:p>
    <w:p w:rsidR="006B4F27" w:rsidRDefault="006B4F27" w:rsidP="006B4F27">
      <w:r>
        <w:t>Medium: clay</w:t>
      </w:r>
    </w:p>
    <w:p w:rsidR="006B4F27" w:rsidRDefault="006B4F27" w:rsidP="006B4F27">
      <w:r>
        <w:t>Dems: H 7.5 cm; L. 14 cm</w:t>
      </w:r>
    </w:p>
    <w:p w:rsidR="006B4F27" w:rsidRDefault="006B4F27" w:rsidP="006B4F27">
      <w:r>
        <w:t>Provenance: Amorgos; Presented by N. Sigalas, 1952</w:t>
      </w:r>
    </w:p>
    <w:p w:rsidR="006B4F27" w:rsidRDefault="006B4F27" w:rsidP="006B4F27">
      <w:r>
        <w:t>Location/Access. no.: Museum of Chora, Katapola Collection, inv. No. K32</w:t>
      </w:r>
    </w:p>
    <w:p w:rsidR="006B4F27" w:rsidRDefault="006B4F27" w:rsidP="006B4F27">
      <w:r>
        <w:t xml:space="preserve">Description: “Small, zoomorphic, bird-like pyxis. Three small protuberances on the bottom of the object represent feet. The back is hollowed out to form a sort of bowl (rhyton?); the head is missing. Black clay, with incised lines forming stylized leaves filled with white slip. The decoration is perhaps intended to emphasize the bird-like qualities of the vase.”  This is one of eight clay vases brought into the museum by inhabitants of Amorgos, probably found in their fields.  (Marangou, 100-101) </w:t>
      </w:r>
    </w:p>
    <w:p w:rsidR="006B4F27" w:rsidRDefault="006B4F27" w:rsidP="006B4F27">
      <w:pPr>
        <w:jc w:val="center"/>
      </w:pPr>
      <w:r>
        <w:t>Notes:</w:t>
      </w:r>
    </w:p>
    <w:p w:rsidR="006B4F27" w:rsidRDefault="006B4F27" w:rsidP="006B4F27">
      <w:r>
        <w:t xml:space="preserve">L. Marangou, “Evidence for the Early Cycladic Period on Amorgos,” in </w:t>
      </w:r>
      <w:r w:rsidRPr="006B4F27">
        <w:rPr>
          <w:i/>
        </w:rPr>
        <w:t>Cycladica</w:t>
      </w:r>
      <w:r>
        <w:t xml:space="preserve">, </w:t>
      </w:r>
      <w:r>
        <w:tab/>
        <w:t>ed. J.L. Fitton, (London: British Museum Publications, 1984), 99-115.</w:t>
      </w:r>
    </w:p>
    <w:p w:rsidR="006B4F27" w:rsidRDefault="006B4F27" w:rsidP="006B4F27"/>
    <w:p w:rsidR="006B4F27" w:rsidRDefault="006B4F27" w:rsidP="006B4F27"/>
    <w:p w:rsidR="006B4F27" w:rsidRDefault="006B4F27" w:rsidP="006B4F27"/>
    <w:p w:rsidR="006B4F27" w:rsidRDefault="006B4F27" w:rsidP="006B4F27"/>
    <w:p w:rsidR="006B4F27" w:rsidRDefault="006B4F27" w:rsidP="006B4F27">
      <w:r w:rsidRPr="006B4F27">
        <w:lastRenderedPageBreak/>
        <w:t xml:space="preserve">Photo Credit: Thimme, </w:t>
      </w:r>
      <w:r w:rsidRPr="006B4F27">
        <w:rPr>
          <w:i/>
        </w:rPr>
        <w:t>Art and Culture of the Cyclades in the Third Millennium B.C.</w:t>
      </w:r>
      <w:r w:rsidR="008D135E">
        <w:rPr>
          <w:i/>
        </w:rPr>
        <w:t>,</w:t>
      </w:r>
      <w:r w:rsidRPr="006B4F27">
        <w:t xml:space="preserve"> 339.</w:t>
      </w:r>
      <w:r>
        <w:rPr>
          <w:noProof/>
          <w:lang w:bidi="ar-SA"/>
        </w:rPr>
        <w:drawing>
          <wp:anchor distT="0" distB="0" distL="114300" distR="114300" simplePos="0" relativeHeight="251706368" behindDoc="0" locked="0" layoutInCell="1" allowOverlap="1">
            <wp:simplePos x="1462088" y="914400"/>
            <wp:positionH relativeFrom="column">
              <wp:align>left</wp:align>
            </wp:positionH>
            <wp:positionV relativeFrom="paragraph">
              <wp:align>top</wp:align>
            </wp:positionV>
            <wp:extent cx="2547853" cy="1690688"/>
            <wp:effectExtent l="0" t="0" r="5080" b="508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7853" cy="1690688"/>
                    </a:xfrm>
                    <a:prstGeom prst="rect">
                      <a:avLst/>
                    </a:prstGeom>
                    <a:noFill/>
                  </pic:spPr>
                </pic:pic>
              </a:graphicData>
            </a:graphic>
          </wp:anchor>
        </w:drawing>
      </w:r>
      <w:r>
        <w:br w:type="textWrapping" w:clear="all"/>
      </w:r>
    </w:p>
    <w:p w:rsidR="008D135E" w:rsidRPr="00211162" w:rsidRDefault="008D135E" w:rsidP="008D135E">
      <w:pPr>
        <w:rPr>
          <w:b/>
        </w:rPr>
      </w:pPr>
      <w:r w:rsidRPr="00211162">
        <w:rPr>
          <w:b/>
        </w:rPr>
        <w:t>V9. Bird Pyx</w:t>
      </w:r>
      <w:r w:rsidR="00350400">
        <w:rPr>
          <w:b/>
        </w:rPr>
        <w:t>is F</w:t>
      </w:r>
      <w:r w:rsidRPr="00211162">
        <w:rPr>
          <w:b/>
        </w:rPr>
        <w:t>ragment</w:t>
      </w:r>
    </w:p>
    <w:p w:rsidR="008D135E" w:rsidRDefault="008D135E" w:rsidP="008D135E">
      <w:r>
        <w:t>Medium: chlorite-schist</w:t>
      </w:r>
    </w:p>
    <w:p w:rsidR="008D135E" w:rsidRDefault="008D135E" w:rsidP="008D135E">
      <w:r>
        <w:t>Period: EC II-III</w:t>
      </w:r>
    </w:p>
    <w:p w:rsidR="008D135E" w:rsidRDefault="008D135E" w:rsidP="008D135E">
      <w:r>
        <w:t>Date: 2800-2000 BCE</w:t>
      </w:r>
    </w:p>
    <w:p w:rsidR="008D135E" w:rsidRDefault="008D135E" w:rsidP="008D135E">
      <w:r>
        <w:t>Dems: H: 4.2 cm, L: 8.1 cm</w:t>
      </w:r>
    </w:p>
    <w:p w:rsidR="008D135E" w:rsidRDefault="008D135E" w:rsidP="008D135E">
      <w:r>
        <w:t>Provenance: “from Attica”</w:t>
      </w:r>
    </w:p>
    <w:p w:rsidR="008D135E" w:rsidRDefault="008D135E" w:rsidP="008D135E">
      <w:r>
        <w:t>Location/Access. no.: Private Collection, Germany</w:t>
      </w:r>
    </w:p>
    <w:p w:rsidR="008D135E" w:rsidRDefault="008D135E" w:rsidP="008D135E">
      <w:r>
        <w:t xml:space="preserve"> Description: “A fragmentary zoomorphic pyxis with an ellipsoidal body which is flat at the ends. On one end the remains of a thin flat segment-shaped disk project at right angles. The decoration consists of two bands of Kerbschnitt which encircle the front and back of the body, continuing onto the feet. Condition: gray-blue, weathered surface. Half of the vase and the ends of the feet are missing; part of the projecting disk is broken away. The material was identified by x-ray examination at the Institut für Petrographie und Geochemie of Karlsruhe University.”  (Thimme, 523)</w:t>
      </w:r>
    </w:p>
    <w:p w:rsidR="008D135E" w:rsidRDefault="008D135E" w:rsidP="008D135E"/>
    <w:p w:rsidR="008D135E" w:rsidRDefault="008D135E" w:rsidP="008D135E"/>
    <w:p w:rsidR="008D135E" w:rsidRDefault="008D135E" w:rsidP="008D135E"/>
    <w:p w:rsidR="008D135E" w:rsidRDefault="008D135E" w:rsidP="008D135E">
      <w:pPr>
        <w:jc w:val="center"/>
      </w:pPr>
      <w:r>
        <w:lastRenderedPageBreak/>
        <w:t>Notes:</w:t>
      </w:r>
    </w:p>
    <w:p w:rsidR="008D135E" w:rsidRDefault="008D135E" w:rsidP="008D135E">
      <w:r>
        <w:t xml:space="preserve">Jürgen Thimme, ed., </w:t>
      </w:r>
      <w:r w:rsidRPr="008D135E">
        <w:rPr>
          <w:i/>
        </w:rPr>
        <w:t>Art and Culture of the Cyclades in the Third Millennium B.C.</w:t>
      </w:r>
      <w:r>
        <w:t xml:space="preserve">, </w:t>
      </w:r>
      <w:r>
        <w:tab/>
        <w:t xml:space="preserve">trans. Pat Getz-Preziosi, (Chicago: University of Chicago Press, 1977), 339, </w:t>
      </w:r>
      <w:r>
        <w:tab/>
        <w:t>523, no.367.</w:t>
      </w:r>
    </w:p>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r>
        <w:rPr>
          <w:noProof/>
          <w:lang w:bidi="ar-SA"/>
        </w:rPr>
        <w:lastRenderedPageBreak/>
        <mc:AlternateContent>
          <mc:Choice Requires="wps">
            <w:drawing>
              <wp:anchor distT="45720" distB="45720" distL="114300" distR="114300" simplePos="0" relativeHeight="251709440" behindDoc="0" locked="0" layoutInCell="1" allowOverlap="1">
                <wp:simplePos x="0" y="0"/>
                <wp:positionH relativeFrom="margin">
                  <wp:posOffset>-952</wp:posOffset>
                </wp:positionH>
                <wp:positionV relativeFrom="paragraph">
                  <wp:posOffset>317</wp:posOffset>
                </wp:positionV>
                <wp:extent cx="2134870" cy="2203450"/>
                <wp:effectExtent l="0" t="0" r="1397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2203450"/>
                        </a:xfrm>
                        <a:prstGeom prst="rect">
                          <a:avLst/>
                        </a:prstGeom>
                        <a:solidFill>
                          <a:srgbClr val="FFFFFF"/>
                        </a:solidFill>
                        <a:ln w="9525">
                          <a:solidFill>
                            <a:srgbClr val="000000"/>
                          </a:solidFill>
                          <a:miter lim="800000"/>
                          <a:headEnd/>
                          <a:tailEnd/>
                        </a:ln>
                      </wps:spPr>
                      <wps:txbx>
                        <w:txbxContent>
                          <w:p w:rsidR="00350400" w:rsidRPr="008D135E" w:rsidRDefault="00350400" w:rsidP="008D135E">
                            <w:pPr>
                              <w:jc w:val="center"/>
                              <w:rPr>
                                <w:b/>
                              </w:rPr>
                            </w:pPr>
                            <w:r w:rsidRPr="008D135E">
                              <w:rPr>
                                <w:b/>
                              </w:rPr>
                              <w:t>Photo Not Available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35" type="#_x0000_t202" style="position:absolute;margin-left:-.05pt;margin-top:0;width:168.1pt;height:173.5pt;z-index:25170944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">
                <v:textbox style="mso-fit-shape-to-text:t">
                  <w:txbxContent>
                    <w:p w:rsidR="00350400" w:rsidRPr="008D135E" w:rsidRDefault="00350400" w:rsidP="008D135E">
                      <w:pPr>
                        <w:jc w:val="center"/>
                        <w:rPr>
                          <w:b/>
                        </w:rPr>
                      </w:pPr>
                      <w:r w:rsidRPr="008D135E">
                        <w:rPr>
                          <w:b/>
                        </w:rPr>
                        <w:t>Photo Not Available</w:t>
                      </w:r>
                    </w:p>
                  </w:txbxContent>
                </v:textbox>
                <w10:wrap type="square" anchorx="margin"/>
              </v:shape>
            </w:pict>
          </mc:Fallback>
        </mc:AlternateContent>
      </w:r>
    </w:p>
    <w:p w:rsidR="008D135E" w:rsidRDefault="008D135E" w:rsidP="008D135E"/>
    <w:p w:rsidR="008D135E" w:rsidRPr="00211162" w:rsidRDefault="008D135E" w:rsidP="008D135E">
      <w:pPr>
        <w:rPr>
          <w:b/>
        </w:rPr>
      </w:pPr>
      <w:r w:rsidRPr="00211162">
        <w:rPr>
          <w:b/>
        </w:rPr>
        <w:t>V10. Bird Askos</w:t>
      </w:r>
    </w:p>
    <w:p w:rsidR="008D135E" w:rsidRDefault="008D135E" w:rsidP="008D135E">
      <w:r>
        <w:t>Description: Referring to the twin-headed bird pyxis (V7), Getz-Gentle writes, “The closest parallels for the piece are an Early Cycladic terracotta askos in the form of a bird—perhaps a dove—found in a cemetery context on Ano Kouphonisi that in turn closely resembles another askos from the cemetery at Koumasa on Crete (Betancourt, fig 29c. History of Minoan Pottery, Princeton, 1985) and two typical EC I-II/EM I-II incised terracotta bottles, transformed into three-footed long-necked birds, also found on Crete, in the cemetery of Aghia Photia near Siteia.” The larger one is illustrated below.</w:t>
      </w:r>
    </w:p>
    <w:p w:rsidR="008D135E" w:rsidRDefault="008D135E" w:rsidP="008D135E">
      <w:r>
        <w:rPr>
          <w:noProof/>
          <w:lang w:bidi="ar-SA"/>
        </w:rPr>
        <w:drawing>
          <wp:anchor distT="0" distB="0" distL="114300" distR="114300" simplePos="0" relativeHeight="251707392" behindDoc="0" locked="0" layoutInCell="1" allowOverlap="1">
            <wp:simplePos x="1462088" y="4067175"/>
            <wp:positionH relativeFrom="column">
              <wp:align>left</wp:align>
            </wp:positionH>
            <wp:positionV relativeFrom="paragraph">
              <wp:align>top</wp:align>
            </wp:positionV>
            <wp:extent cx="2438400" cy="2162175"/>
            <wp:effectExtent l="0" t="0" r="0" b="952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38400" cy="2162175"/>
                    </a:xfrm>
                    <a:prstGeom prst="rect">
                      <a:avLst/>
                    </a:prstGeom>
                    <a:noFill/>
                  </pic:spPr>
                </pic:pic>
              </a:graphicData>
            </a:graphic>
          </wp:anchor>
        </w:drawing>
      </w:r>
      <w:r w:rsidRPr="008D135E">
        <w:t xml:space="preserve">Photo Credit: Getz-Gentle, </w:t>
      </w:r>
      <w:r w:rsidRPr="008D135E">
        <w:rPr>
          <w:i/>
        </w:rPr>
        <w:t>Stone Vessels of the Cyclades in the Early Bronze Age</w:t>
      </w:r>
      <w:r w:rsidRPr="008D135E">
        <w:t>, 141.</w:t>
      </w:r>
      <w:r>
        <w:br w:type="textWrapping" w:clear="all"/>
      </w:r>
    </w:p>
    <w:p w:rsidR="008D135E" w:rsidRDefault="008D135E" w:rsidP="008D135E">
      <w:pPr>
        <w:jc w:val="center"/>
      </w:pPr>
      <w:r>
        <w:t>Notes:</w:t>
      </w:r>
    </w:p>
    <w:p w:rsidR="008D135E" w:rsidRDefault="008D135E" w:rsidP="008D135E">
      <w:r>
        <w:t xml:space="preserve">Pat Getz-Gentle, </w:t>
      </w:r>
      <w:r w:rsidRPr="008D135E">
        <w:rPr>
          <w:i/>
        </w:rPr>
        <w:t>Stone Vessels of the Cyclades in the Early Bronze Age</w:t>
      </w:r>
      <w:r>
        <w:t xml:space="preserve">, (University </w:t>
      </w:r>
      <w:r>
        <w:tab/>
        <w:t>Park, PA: Penn State University Press, 1996), 141.</w:t>
      </w:r>
    </w:p>
    <w:p w:rsidR="008D135E" w:rsidRDefault="008D135E" w:rsidP="008D135E"/>
    <w:p w:rsidR="008D135E" w:rsidRDefault="008D135E" w:rsidP="008D135E">
      <w:r w:rsidRPr="008D135E">
        <w:lastRenderedPageBreak/>
        <w:t xml:space="preserve">Photo Credit: Papathanasopoulos, </w:t>
      </w:r>
      <w:r w:rsidRPr="008D135E">
        <w:rPr>
          <w:i/>
        </w:rPr>
        <w:t>National Archaeological Museum: Catalogue of Neolithic and Cycladic Collections</w:t>
      </w:r>
      <w:r w:rsidRPr="008D135E">
        <w:t>, 165, fig. 87</w:t>
      </w:r>
      <w:r>
        <w:t xml:space="preserve">; </w:t>
      </w:r>
      <w:r w:rsidRPr="008D135E">
        <w:t xml:space="preserve">Stampolidis and Sotirakopoulou, </w:t>
      </w:r>
      <w:r w:rsidRPr="008D135E">
        <w:rPr>
          <w:i/>
        </w:rPr>
        <w:t>Aegean Waves</w:t>
      </w:r>
      <w:r w:rsidRPr="008D135E">
        <w:t>, 36.</w:t>
      </w:r>
      <w:r>
        <w:rPr>
          <w:noProof/>
          <w:lang w:bidi="ar-SA"/>
        </w:rPr>
        <w:drawing>
          <wp:anchor distT="0" distB="0" distL="114300" distR="114300" simplePos="0" relativeHeight="251710464" behindDoc="0" locked="0" layoutInCell="1" allowOverlap="1">
            <wp:simplePos x="1462088" y="914400"/>
            <wp:positionH relativeFrom="column">
              <wp:align>left</wp:align>
            </wp:positionH>
            <wp:positionV relativeFrom="paragraph">
              <wp:align>top</wp:align>
            </wp:positionV>
            <wp:extent cx="2779686" cy="1709738"/>
            <wp:effectExtent l="0" t="0" r="1905" b="508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79686" cy="1709738"/>
                    </a:xfrm>
                    <a:prstGeom prst="rect">
                      <a:avLst/>
                    </a:prstGeom>
                    <a:noFill/>
                  </pic:spPr>
                </pic:pic>
              </a:graphicData>
            </a:graphic>
          </wp:anchor>
        </w:drawing>
      </w:r>
      <w:r>
        <w:br w:type="textWrapping" w:clear="all"/>
      </w:r>
    </w:p>
    <w:p w:rsidR="008D135E" w:rsidRPr="00211162" w:rsidRDefault="008D135E" w:rsidP="008D135E">
      <w:pPr>
        <w:rPr>
          <w:b/>
        </w:rPr>
      </w:pPr>
      <w:r w:rsidRPr="00211162">
        <w:rPr>
          <w:b/>
        </w:rPr>
        <w:t>V11.  Hedgehog Vessel</w:t>
      </w:r>
    </w:p>
    <w:p w:rsidR="008D135E" w:rsidRDefault="008D135E" w:rsidP="008D135E">
      <w:r>
        <w:t>Medium: clay</w:t>
      </w:r>
    </w:p>
    <w:p w:rsidR="008D135E" w:rsidRDefault="008D135E" w:rsidP="008D135E">
      <w:r>
        <w:t>Period: EC II, Keros-Syros Culture</w:t>
      </w:r>
    </w:p>
    <w:p w:rsidR="008D135E" w:rsidRDefault="008D135E" w:rsidP="008D135E">
      <w:r>
        <w:t>Date: 2800-2300 BCE</w:t>
      </w:r>
    </w:p>
    <w:p w:rsidR="008D135E" w:rsidRDefault="008D135E" w:rsidP="008D135E">
      <w:r>
        <w:t>Dems: H: 10.8 cm</w:t>
      </w:r>
    </w:p>
    <w:p w:rsidR="008D135E" w:rsidRDefault="008D135E" w:rsidP="008D135E">
      <w:r>
        <w:t>Provenance: Chalandriani, Syros</w:t>
      </w:r>
    </w:p>
    <w:p w:rsidR="008D135E" w:rsidRDefault="008D135E" w:rsidP="008D135E">
      <w:r>
        <w:t>Location/Access. no.: National Archaeological Museum, Athens, 6176</w:t>
      </w:r>
    </w:p>
    <w:p w:rsidR="008D135E" w:rsidRDefault="008D135E" w:rsidP="008D135E">
      <w:r>
        <w:t xml:space="preserve">Description: </w:t>
      </w:r>
      <w:r w:rsidR="00683D2F">
        <w:t>“</w:t>
      </w:r>
      <w:r>
        <w:t xml:space="preserve">Fine-medium, light brown fabric with similar core. Light yellow slipped surface with painted decoration in dark grey-brown. A sitting hedgehog with legs spread in front and holding a conical cup between extended arms. Hole through the back of the cup into hollow body of animal. On the body are vertical, horizontal and oblique lines; the head is painted with anatomical details: eyes, nose and ears; on the conical cup a solid line runs along the rim and horizontal lines across the body. The animal is probably a hedgehog of the species </w:t>
      </w:r>
      <w:r w:rsidRPr="00683D2F">
        <w:rPr>
          <w:i/>
        </w:rPr>
        <w:t>Erinaceus concolar</w:t>
      </w:r>
      <w:r>
        <w:t>, which is still found in the Cyclades. The back is decorated with a netted pattern of crossing lines, perhaps representing the spikes. In its paws it holds a common conical cup which is connected through an opening to the hollow body of the animal.” (Hekman, 132, 277)</w:t>
      </w:r>
    </w:p>
    <w:p w:rsidR="008D135E" w:rsidRDefault="008D135E" w:rsidP="008D135E">
      <w:pPr>
        <w:jc w:val="center"/>
      </w:pPr>
      <w:r>
        <w:lastRenderedPageBreak/>
        <w:t>Notes:</w:t>
      </w:r>
    </w:p>
    <w:p w:rsidR="008D135E" w:rsidRDefault="008D135E" w:rsidP="008D135E">
      <w:r>
        <w:t xml:space="preserve">Cyprian Broodbank, </w:t>
      </w:r>
      <w:r w:rsidRPr="008D135E">
        <w:rPr>
          <w:i/>
        </w:rPr>
        <w:t>An Island Archaeology</w:t>
      </w:r>
      <w:r>
        <w:t xml:space="preserve">, (Cambridge: Cambridge University Press, </w:t>
      </w:r>
      <w:r>
        <w:tab/>
        <w:t xml:space="preserve">2000), 215-16. </w:t>
      </w:r>
    </w:p>
    <w:p w:rsidR="008D135E" w:rsidRDefault="008D135E" w:rsidP="008D135E">
      <w:r>
        <w:t xml:space="preserve">G. Papathanasopoulos, </w:t>
      </w:r>
      <w:r w:rsidRPr="008D135E">
        <w:rPr>
          <w:i/>
        </w:rPr>
        <w:t xml:space="preserve">National Archaeological Museum: Catalogue of Neolithic and </w:t>
      </w:r>
      <w:r w:rsidRPr="008D135E">
        <w:rPr>
          <w:i/>
        </w:rPr>
        <w:tab/>
        <w:t>Cycladic Collections</w:t>
      </w:r>
      <w:r>
        <w:t xml:space="preserve">, (Athens: Melissa Editions, 1981), 165, fig. 87. </w:t>
      </w:r>
    </w:p>
    <w:p w:rsidR="008D135E" w:rsidRDefault="008D135E" w:rsidP="008D135E">
      <w:r>
        <w:t xml:space="preserve">Jan Jakob Hekman, “The Early Bronze Age Cemetery at Chalandriani on Syros,” PhD. </w:t>
      </w:r>
      <w:r>
        <w:tab/>
        <w:t xml:space="preserve">Diss., Rijksuniversiteit Groningen, 2003, accessed 02-07-16, </w:t>
      </w:r>
      <w:r w:rsidRPr="008D135E">
        <w:t>http://www.rug.nl</w:t>
      </w:r>
      <w:r>
        <w:tab/>
        <w:t>/research/portal/publications/the-early-bronze-age-cemetery-at-chalandriani-on-</w:t>
      </w:r>
      <w:r>
        <w:tab/>
        <w:t>syros-cyclades-greece(8dd13d8e-d4a4-40bc-91a6-1bb57ce032c5).html.</w:t>
      </w:r>
    </w:p>
    <w:p w:rsidR="008D135E" w:rsidRDefault="008D135E" w:rsidP="008D135E">
      <w:r>
        <w:t xml:space="preserve">Jürgen Thimme, ed., </w:t>
      </w:r>
      <w:r w:rsidRPr="008D135E">
        <w:rPr>
          <w:i/>
        </w:rPr>
        <w:t>Art and Culture of the Cyclades in the Third Millennium B.C.</w:t>
      </w:r>
      <w:r>
        <w:t xml:space="preserve">, </w:t>
      </w:r>
      <w:r>
        <w:tab/>
        <w:t>trans. Pat Getz-Preziosi, (Chicago: University of Chicago Press, 1977), 47, fig.</w:t>
      </w:r>
      <w:r>
        <w:tab/>
        <w:t xml:space="preserve"> 27.</w:t>
      </w:r>
    </w:p>
    <w:p w:rsidR="008D135E" w:rsidRDefault="008D135E" w:rsidP="008D135E">
      <w:r>
        <w:t xml:space="preserve">Nikolaos Stampolidis and Peggy Sotirakopoulou, </w:t>
      </w:r>
      <w:r w:rsidRPr="008D135E">
        <w:rPr>
          <w:i/>
        </w:rPr>
        <w:t xml:space="preserve">Aegean Waves: Artworks of the Early </w:t>
      </w:r>
      <w:r w:rsidRPr="008D135E">
        <w:rPr>
          <w:i/>
        </w:rPr>
        <w:tab/>
        <w:t>Cycladic Culture in the Museum of Cycladic Art at Athens</w:t>
      </w:r>
      <w:r>
        <w:t xml:space="preserve">, (Milano: Skira, </w:t>
      </w:r>
      <w:r>
        <w:tab/>
        <w:t>2007), 36.</w:t>
      </w:r>
    </w:p>
    <w:p w:rsidR="008D135E" w:rsidRDefault="008D135E" w:rsidP="008D135E">
      <w:r>
        <w:t xml:space="preserve">Pat Getz-Gentle, Jack L. Davis and Elizabeth Oustinoff, </w:t>
      </w:r>
      <w:r w:rsidRPr="008D135E">
        <w:rPr>
          <w:i/>
        </w:rPr>
        <w:t xml:space="preserve">Early Cycladic Art in North </w:t>
      </w:r>
      <w:r w:rsidRPr="008D135E">
        <w:rPr>
          <w:i/>
        </w:rPr>
        <w:tab/>
        <w:t>American Collections</w:t>
      </w:r>
      <w:r>
        <w:t xml:space="preserve">, (Richmond, VA: Virginia Museum of Fine Arts, 1987), </w:t>
      </w:r>
      <w:r>
        <w:tab/>
        <w:t>28-29, fig 20.</w:t>
      </w:r>
    </w:p>
    <w:p w:rsidR="008D135E" w:rsidRDefault="008D135E" w:rsidP="008D135E"/>
    <w:p w:rsidR="008D135E" w:rsidRDefault="008D135E" w:rsidP="008D135E"/>
    <w:p w:rsidR="008D135E" w:rsidRDefault="008D135E" w:rsidP="008D135E"/>
    <w:p w:rsidR="008D135E" w:rsidRDefault="008D135E" w:rsidP="008D135E"/>
    <w:p w:rsidR="008D135E" w:rsidRDefault="008D135E" w:rsidP="008D135E"/>
    <w:p w:rsidR="008D135E" w:rsidRDefault="008D135E" w:rsidP="008D135E">
      <w:r w:rsidRPr="008D135E">
        <w:lastRenderedPageBreak/>
        <w:t xml:space="preserve">Photo Credit: Fitton, </w:t>
      </w:r>
      <w:r w:rsidRPr="008D135E">
        <w:rPr>
          <w:i/>
        </w:rPr>
        <w:t>Cycladic Art</w:t>
      </w:r>
      <w:r w:rsidRPr="008D135E">
        <w:t xml:space="preserve">, 36. </w:t>
      </w:r>
      <w:r>
        <w:rPr>
          <w:noProof/>
          <w:lang w:bidi="ar-SA"/>
        </w:rPr>
        <w:drawing>
          <wp:anchor distT="0" distB="0" distL="114300" distR="114300" simplePos="0" relativeHeight="251711488" behindDoc="0" locked="0" layoutInCell="1" allowOverlap="1">
            <wp:simplePos x="1462088" y="914400"/>
            <wp:positionH relativeFrom="column">
              <wp:align>left</wp:align>
            </wp:positionH>
            <wp:positionV relativeFrom="paragraph">
              <wp:align>top</wp:align>
            </wp:positionV>
            <wp:extent cx="1866900" cy="2742565"/>
            <wp:effectExtent l="0" t="0" r="0" b="63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66900" cy="2742565"/>
                    </a:xfrm>
                    <a:prstGeom prst="rect">
                      <a:avLst/>
                    </a:prstGeom>
                    <a:noFill/>
                  </pic:spPr>
                </pic:pic>
              </a:graphicData>
            </a:graphic>
          </wp:anchor>
        </w:drawing>
      </w:r>
      <w:r>
        <w:br w:type="textWrapping" w:clear="all"/>
      </w:r>
    </w:p>
    <w:p w:rsidR="008D135E" w:rsidRPr="00211162" w:rsidRDefault="008D135E" w:rsidP="008D135E">
      <w:pPr>
        <w:rPr>
          <w:b/>
        </w:rPr>
      </w:pPr>
      <w:r w:rsidRPr="00211162">
        <w:rPr>
          <w:b/>
        </w:rPr>
        <w:t>V12. Hedgehog Vessel</w:t>
      </w:r>
    </w:p>
    <w:p w:rsidR="008D135E" w:rsidRDefault="008D135E" w:rsidP="008D135E">
      <w:r>
        <w:t>Medium: clay</w:t>
      </w:r>
    </w:p>
    <w:p w:rsidR="008D135E" w:rsidRDefault="008D135E" w:rsidP="008D135E">
      <w:r>
        <w:t>Period: EC II, Keros-Syros</w:t>
      </w:r>
    </w:p>
    <w:p w:rsidR="008D135E" w:rsidRDefault="008D135E" w:rsidP="008D135E">
      <w:r>
        <w:t>Date: 2700-2200 BCE</w:t>
      </w:r>
    </w:p>
    <w:p w:rsidR="008D135E" w:rsidRDefault="008D135E" w:rsidP="008D135E">
      <w:r>
        <w:t>Dems: H. 12 cm</w:t>
      </w:r>
    </w:p>
    <w:p w:rsidR="008D135E" w:rsidRDefault="008D135E" w:rsidP="008D135E">
      <w:r>
        <w:t>Provenance: possibly Melos</w:t>
      </w:r>
    </w:p>
    <w:p w:rsidR="008D135E" w:rsidRDefault="008D135E" w:rsidP="008D135E">
      <w:r>
        <w:t xml:space="preserve">Location/Access. no.: British Museum, GR 1929.1112.1 </w:t>
      </w:r>
    </w:p>
    <w:p w:rsidR="008D135E" w:rsidRDefault="008D135E" w:rsidP="008D135E">
      <w:r>
        <w:t xml:space="preserve">Description:  Thought to be a pig, however I argue the vessel is part of a corpus representing hedgehogs.  Animal originally held a bowl in it forepaws connected to the opening in its chest.  </w:t>
      </w:r>
    </w:p>
    <w:p w:rsidR="008D135E" w:rsidRDefault="008D135E" w:rsidP="008D135E">
      <w:pPr>
        <w:jc w:val="center"/>
      </w:pPr>
      <w:r>
        <w:t>Notes:</w:t>
      </w:r>
    </w:p>
    <w:p w:rsidR="008D135E" w:rsidRDefault="008D135E" w:rsidP="008D135E">
      <w:r>
        <w:t xml:space="preserve">J. Lesley Fitton, </w:t>
      </w:r>
      <w:r w:rsidRPr="008D135E">
        <w:rPr>
          <w:i/>
        </w:rPr>
        <w:t>Cycladic Art</w:t>
      </w:r>
      <w:r>
        <w:t>, (London: British Museum, 1999), 36.</w:t>
      </w:r>
    </w:p>
    <w:p w:rsidR="008D135E" w:rsidRDefault="008D135E" w:rsidP="008D135E"/>
    <w:p w:rsidR="008D135E" w:rsidRDefault="008D135E" w:rsidP="008D135E"/>
    <w:p w:rsidR="008D135E" w:rsidRDefault="008D135E" w:rsidP="008D135E">
      <w:r w:rsidRPr="008D135E">
        <w:lastRenderedPageBreak/>
        <w:t xml:space="preserve">Photo Credit: Renfrew, </w:t>
      </w:r>
      <w:r w:rsidRPr="008D135E">
        <w:rPr>
          <w:i/>
        </w:rPr>
        <w:t>Cycladic Spirit</w:t>
      </w:r>
      <w:r w:rsidRPr="008D135E">
        <w:t>, pl. 84.</w:t>
      </w:r>
      <w:r>
        <w:rPr>
          <w:noProof/>
          <w:lang w:bidi="ar-SA"/>
        </w:rPr>
        <w:drawing>
          <wp:anchor distT="0" distB="0" distL="114300" distR="114300" simplePos="0" relativeHeight="251712512" behindDoc="0" locked="0" layoutInCell="1" allowOverlap="1">
            <wp:simplePos x="1462088" y="914400"/>
            <wp:positionH relativeFrom="column">
              <wp:align>left</wp:align>
            </wp:positionH>
            <wp:positionV relativeFrom="paragraph">
              <wp:align>top</wp:align>
            </wp:positionV>
            <wp:extent cx="2694940" cy="2371725"/>
            <wp:effectExtent l="0" t="0" r="0" b="952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94940" cy="2371725"/>
                    </a:xfrm>
                    <a:prstGeom prst="rect">
                      <a:avLst/>
                    </a:prstGeom>
                    <a:noFill/>
                  </pic:spPr>
                </pic:pic>
              </a:graphicData>
            </a:graphic>
          </wp:anchor>
        </w:drawing>
      </w:r>
      <w:r>
        <w:br w:type="textWrapping" w:clear="all"/>
      </w:r>
    </w:p>
    <w:p w:rsidR="008D135E" w:rsidRPr="00211162" w:rsidRDefault="008D135E" w:rsidP="008D135E">
      <w:pPr>
        <w:rPr>
          <w:b/>
        </w:rPr>
      </w:pPr>
      <w:r w:rsidRPr="00211162">
        <w:rPr>
          <w:b/>
        </w:rPr>
        <w:t>V13.  Hedgehog Vessel</w:t>
      </w:r>
    </w:p>
    <w:p w:rsidR="008D135E" w:rsidRDefault="008D135E" w:rsidP="008D135E">
      <w:r>
        <w:t>Medium: clay</w:t>
      </w:r>
    </w:p>
    <w:p w:rsidR="008D135E" w:rsidRDefault="008D135E" w:rsidP="008D135E">
      <w:r>
        <w:t>Period: EC II, Keros-Syros</w:t>
      </w:r>
    </w:p>
    <w:p w:rsidR="008D135E" w:rsidRDefault="008D135E" w:rsidP="008D135E">
      <w:r>
        <w:t>Date: 2700-2300 BCE</w:t>
      </w:r>
    </w:p>
    <w:p w:rsidR="008D135E" w:rsidRDefault="008D135E" w:rsidP="008D135E">
      <w:r>
        <w:t>Dems: H. 16 cm</w:t>
      </w:r>
    </w:p>
    <w:p w:rsidR="008D135E" w:rsidRDefault="008D135E" w:rsidP="008D135E">
      <w:r>
        <w:t>Provenance: Panormos, Naxos</w:t>
      </w:r>
    </w:p>
    <w:p w:rsidR="008D135E" w:rsidRDefault="008D135E" w:rsidP="008D135E">
      <w:r>
        <w:t>Location/Access. no.: Museum of Cycladic Art, 102</w:t>
      </w:r>
    </w:p>
    <w:p w:rsidR="008D135E" w:rsidRDefault="008D135E" w:rsidP="008D135E">
      <w:r>
        <w:t>Description: “The roughly globular body of the vase terminates above the neck and head of an animal, on which the ears and snout (now broken) have been modelled and the eyes and mouth denoted incision. Projecting from the position of the handles are the forelimbs of the quadruped, which curve forwards like human arms and hold a bowl, in one piece with the animal, just below its mouth. At the bottom of the bowl is a hole for filling and emptying the vessel, that is the hollow body of the animal.</w:t>
      </w:r>
      <w:r w:rsidR="00683D2F">
        <w:t>”</w:t>
      </w:r>
      <w:r>
        <w:t xml:space="preserve"> Marangou states this vase was originally in the Naxos Archaeological Museum (no.4728 “confiscated”). (Marangou, 106)</w:t>
      </w:r>
    </w:p>
    <w:p w:rsidR="008D135E" w:rsidRDefault="008D135E" w:rsidP="008D135E">
      <w:pPr>
        <w:jc w:val="center"/>
      </w:pPr>
      <w:r>
        <w:lastRenderedPageBreak/>
        <w:t>Notes:</w:t>
      </w:r>
    </w:p>
    <w:p w:rsidR="008D135E" w:rsidRDefault="008D135E" w:rsidP="008D135E">
      <w:r>
        <w:t xml:space="preserve">Colin Renfrew, </w:t>
      </w:r>
      <w:r w:rsidRPr="008D135E">
        <w:rPr>
          <w:i/>
        </w:rPr>
        <w:t xml:space="preserve">The Cycladic Spirit: Masterpieces from the Nicholas P. Goulandris </w:t>
      </w:r>
      <w:r w:rsidRPr="008D135E">
        <w:rPr>
          <w:i/>
        </w:rPr>
        <w:tab/>
        <w:t>Collection</w:t>
      </w:r>
      <w:r>
        <w:t xml:space="preserve">, (New York: H.N. Abrams and Nicholas P Goulandris Foundation, </w:t>
      </w:r>
      <w:r>
        <w:tab/>
        <w:t>Museum of Cycladic Art, Athens, 1991), pl. 84.</w:t>
      </w:r>
    </w:p>
    <w:p w:rsidR="008D135E" w:rsidRDefault="008D135E" w:rsidP="008D135E">
      <w:r>
        <w:t xml:space="preserve">G. Papathanasopoulos, </w:t>
      </w:r>
      <w:r w:rsidRPr="00B35E38">
        <w:rPr>
          <w:i/>
        </w:rPr>
        <w:t xml:space="preserve">National Archaeological Museum: Catalogue of Neolithic and </w:t>
      </w:r>
      <w:r w:rsidRPr="00B35E38">
        <w:rPr>
          <w:i/>
        </w:rPr>
        <w:tab/>
        <w:t>Cycladic Collections</w:t>
      </w:r>
      <w:r>
        <w:t xml:space="preserve">, (Athens: Melissa Editions, 1981), 165, fig. 87. </w:t>
      </w:r>
    </w:p>
    <w:p w:rsidR="008D135E" w:rsidRDefault="008D135E" w:rsidP="008D135E">
      <w:r>
        <w:t xml:space="preserve">Jürgen Thimme, ed., </w:t>
      </w:r>
      <w:r w:rsidRPr="00B35E38">
        <w:rPr>
          <w:i/>
        </w:rPr>
        <w:t>Art and Culture of the Cyclades in the Third Millennium B.C.</w:t>
      </w:r>
      <w:r>
        <w:t xml:space="preserve">, </w:t>
      </w:r>
      <w:r>
        <w:tab/>
        <w:t xml:space="preserve">trans. Pat Getz-Preziosi, (Chicago: University of Chicago Press, 1977), 47, fig. </w:t>
      </w:r>
      <w:r>
        <w:tab/>
        <w:t>27.</w:t>
      </w:r>
    </w:p>
    <w:p w:rsidR="008D135E" w:rsidRDefault="008D135E" w:rsidP="008D135E">
      <w:r>
        <w:t xml:space="preserve">L. Marangou, ed., </w:t>
      </w:r>
      <w:r w:rsidRPr="00B35E38">
        <w:rPr>
          <w:i/>
        </w:rPr>
        <w:t>Cycladic Culture: Naxos in the 3rd Millennium BC</w:t>
      </w:r>
      <w:r>
        <w:t xml:space="preserve"> (Athens: </w:t>
      </w:r>
      <w:r>
        <w:tab/>
        <w:t xml:space="preserve">Nicholas P. Goulandris Foundation and Museum of Cycladic Art, 1990), 106, </w:t>
      </w:r>
      <w:r>
        <w:tab/>
        <w:t>no. 102.</w:t>
      </w:r>
    </w:p>
    <w:p w:rsidR="008D135E" w:rsidRDefault="008D135E" w:rsidP="008D135E">
      <w:r>
        <w:t xml:space="preserve">Nikolaos Stampolidis and Peggy Sotirakopoulou, </w:t>
      </w:r>
      <w:r w:rsidRPr="00B35E38">
        <w:rPr>
          <w:i/>
        </w:rPr>
        <w:t xml:space="preserve">Aegean Waves: Artworks of the Early </w:t>
      </w:r>
      <w:r w:rsidRPr="00B35E38">
        <w:rPr>
          <w:i/>
        </w:rPr>
        <w:tab/>
        <w:t>Cycladic Culture in the Museum of Cycladic Art at Athens</w:t>
      </w:r>
      <w:r>
        <w:t xml:space="preserve">, (Milano: Skira, </w:t>
      </w:r>
      <w:r>
        <w:tab/>
        <w:t>2007), 32-33, 36.</w:t>
      </w:r>
    </w:p>
    <w:p w:rsidR="00B35E38" w:rsidRDefault="00B35E38" w:rsidP="008D135E"/>
    <w:p w:rsidR="00B35E38" w:rsidRDefault="00B35E38" w:rsidP="008D135E"/>
    <w:p w:rsidR="00B35E38" w:rsidRDefault="00B35E38" w:rsidP="008D135E"/>
    <w:p w:rsidR="00B35E38" w:rsidRDefault="00B35E38" w:rsidP="008D135E"/>
    <w:p w:rsidR="00B35E38" w:rsidRDefault="00B35E38" w:rsidP="008D135E"/>
    <w:p w:rsidR="00B35E38" w:rsidRDefault="00B35E38" w:rsidP="008D135E"/>
    <w:p w:rsidR="00B35E38" w:rsidRDefault="00B35E38" w:rsidP="008D135E"/>
    <w:p w:rsidR="00B35E38" w:rsidRDefault="00B35E38" w:rsidP="008D135E"/>
    <w:p w:rsidR="00B35E38" w:rsidRDefault="00B35E38" w:rsidP="008D135E">
      <w:r w:rsidRPr="00B35E38">
        <w:lastRenderedPageBreak/>
        <w:t>Photo Credit: from postcard</w:t>
      </w:r>
      <w:r>
        <w:rPr>
          <w:noProof/>
          <w:lang w:bidi="ar-SA"/>
        </w:rPr>
        <w:drawing>
          <wp:anchor distT="0" distB="0" distL="114300" distR="114300" simplePos="0" relativeHeight="251713536" behindDoc="0" locked="0" layoutInCell="1" allowOverlap="1">
            <wp:simplePos x="1462088" y="914400"/>
            <wp:positionH relativeFrom="column">
              <wp:align>left</wp:align>
            </wp:positionH>
            <wp:positionV relativeFrom="paragraph">
              <wp:align>top</wp:align>
            </wp:positionV>
            <wp:extent cx="2472246" cy="1824038"/>
            <wp:effectExtent l="0" t="0" r="4445" b="508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72246" cy="1824038"/>
                    </a:xfrm>
                    <a:prstGeom prst="rect">
                      <a:avLst/>
                    </a:prstGeom>
                    <a:noFill/>
                  </pic:spPr>
                </pic:pic>
              </a:graphicData>
            </a:graphic>
          </wp:anchor>
        </w:drawing>
      </w:r>
      <w:r>
        <w:br w:type="textWrapping" w:clear="all"/>
      </w:r>
    </w:p>
    <w:p w:rsidR="00B35E38" w:rsidRPr="00211162" w:rsidRDefault="00B35E38" w:rsidP="00B35E38">
      <w:pPr>
        <w:rPr>
          <w:b/>
        </w:rPr>
      </w:pPr>
      <w:r w:rsidRPr="00211162">
        <w:rPr>
          <w:b/>
        </w:rPr>
        <w:t>V14. Hedgehog Vessel Fragment</w:t>
      </w:r>
    </w:p>
    <w:p w:rsidR="00B35E38" w:rsidRDefault="00B35E38" w:rsidP="00B35E38">
      <w:r>
        <w:t>Medium: clay</w:t>
      </w:r>
    </w:p>
    <w:p w:rsidR="00B35E38" w:rsidRDefault="00B35E38" w:rsidP="00B35E38">
      <w:r>
        <w:t>Period: EC II</w:t>
      </w:r>
    </w:p>
    <w:p w:rsidR="00B35E38" w:rsidRDefault="00B35E38" w:rsidP="00B35E38">
      <w:r>
        <w:t>Date: 2700-2300 BCE</w:t>
      </w:r>
    </w:p>
    <w:p w:rsidR="00B35E38" w:rsidRDefault="00B35E38" w:rsidP="00B35E38">
      <w:r>
        <w:t>Dems: H. 12 cm</w:t>
      </w:r>
    </w:p>
    <w:p w:rsidR="00B35E38" w:rsidRDefault="00B35E38" w:rsidP="00B35E38">
      <w:r>
        <w:t>Provenance: Ayia Irini, Kea</w:t>
      </w:r>
    </w:p>
    <w:p w:rsidR="00B35E38" w:rsidRDefault="00B35E38" w:rsidP="00B35E38">
      <w:r>
        <w:t>Location/Access. no.: Archaeological Museum Kea, no. 80</w:t>
      </w:r>
    </w:p>
    <w:p w:rsidR="00B35E38" w:rsidRDefault="00B35E38" w:rsidP="00B35E38">
      <w:r w:rsidRPr="00B35E38">
        <w:t>Description: Orange buff, fine painted ware. Found in the fill beneath the Lower Western Road. (Keos, 257) “Theriomorphic Pot; Reserved: head with elongated snout and protruding ears; upper torso (hollow, with circular opening into back of bowl); arms holding bowl. Missing: front of bowl; most of lower body; base. Smooth surface with yellowish buff slip on ext. Reddish brown painted décor: multiple chevron pattern on tomp of head; band on snout; eyes rendered by two dotted lozenges; band on neck; vertical striping on arms (perhaps fingers were rendered in paint); a stripe running down each flank from shoulder; back outlined and covered in cross-hatching (clothing?); bowl with solid painted rim and a blob of paint in bottom of interior.” (Keos, 83-84)</w:t>
      </w:r>
    </w:p>
    <w:p w:rsidR="00B35E38" w:rsidRDefault="00B35E38" w:rsidP="00B35E38"/>
    <w:p w:rsidR="00B35E38" w:rsidRDefault="00B35E38" w:rsidP="00B35E38">
      <w:pPr>
        <w:jc w:val="center"/>
      </w:pPr>
      <w:r>
        <w:lastRenderedPageBreak/>
        <w:t>Notes:</w:t>
      </w:r>
    </w:p>
    <w:p w:rsidR="00B35E38" w:rsidRDefault="00B35E38" w:rsidP="00B35E38">
      <w:r>
        <w:t xml:space="preserve">Alkhestis Choremi, Christina Vlassopoulou and Yianna Venieri, </w:t>
      </w:r>
      <w:r w:rsidRPr="00B35E38">
        <w:rPr>
          <w:i/>
        </w:rPr>
        <w:t xml:space="preserve">Kea: History and </w:t>
      </w:r>
      <w:r w:rsidRPr="00B35E38">
        <w:rPr>
          <w:i/>
        </w:rPr>
        <w:tab/>
        <w:t>Antiquities</w:t>
      </w:r>
      <w:r>
        <w:t xml:space="preserve">, trans. Myriam Caskey, (Athens: Ministry of Culture </w:t>
      </w:r>
      <w:r>
        <w:tab/>
        <w:t>Archaeological Receipts Fund, 2002), 14.</w:t>
      </w:r>
    </w:p>
    <w:p w:rsidR="00B35E38" w:rsidRDefault="00B35E38" w:rsidP="00B35E38">
      <w:r>
        <w:t xml:space="preserve">David E. Wilson, </w:t>
      </w:r>
      <w:r w:rsidRPr="00B35E38">
        <w:rPr>
          <w:i/>
        </w:rPr>
        <w:t>Keos: Volume IX, Ayia Irini, Periods I-III</w:t>
      </w:r>
      <w:r>
        <w:t xml:space="preserve">, (Mainz am Rhein: Verlag </w:t>
      </w:r>
      <w:r>
        <w:tab/>
        <w:t>Philipp von Zabern, 1999), 83-84, pl. 21, 70.</w:t>
      </w:r>
    </w:p>
    <w:p w:rsidR="00B35E38" w:rsidRDefault="00B35E38" w:rsidP="00B35E38">
      <w:r>
        <w:t xml:space="preserve">J.L. Caskey, “The Early Bronze Age at Ayia Irini in Keos,” </w:t>
      </w:r>
      <w:r w:rsidRPr="00B35E38">
        <w:rPr>
          <w:i/>
        </w:rPr>
        <w:t>Archaeology</w:t>
      </w:r>
      <w:r>
        <w:t xml:space="preserve"> 23, no. 4 (Oct. </w:t>
      </w:r>
      <w:r>
        <w:tab/>
        <w:t>1970), 339-342, accessed 5-20-2015, http://jstor.org/stable/41674195.</w:t>
      </w:r>
    </w:p>
    <w:p w:rsidR="00B35E38" w:rsidRDefault="00B35E38" w:rsidP="00B35E38">
      <w:r>
        <w:t xml:space="preserve">Jürgen Thimme, ed., </w:t>
      </w:r>
      <w:r w:rsidRPr="00B35E38">
        <w:rPr>
          <w:i/>
        </w:rPr>
        <w:t>Art and Culture of the Cyclades in the Third Millennium B.C</w:t>
      </w:r>
      <w:r>
        <w:t xml:space="preserve">., </w:t>
      </w:r>
      <w:r>
        <w:tab/>
        <w:t xml:space="preserve">trans. Pat Getz-Preziosi, (Chicago: University of Chicago Press, 1977), 49, fig. </w:t>
      </w:r>
      <w:r>
        <w:tab/>
        <w:t>28.</w:t>
      </w:r>
    </w:p>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B35E38" w:rsidRDefault="00B35E38" w:rsidP="00B35E38"/>
    <w:p w:rsidR="00AA456B" w:rsidRDefault="00AA456B" w:rsidP="00B35E38">
      <w:r>
        <w:rPr>
          <w:noProof/>
          <w:lang w:bidi="ar-SA"/>
        </w:rPr>
        <w:lastRenderedPageBreak/>
        <w:drawing>
          <wp:inline distT="0" distB="0" distL="0" distR="0" wp14:anchorId="556B564B" wp14:editId="11DA5683">
            <wp:extent cx="3418840" cy="1266825"/>
            <wp:effectExtent l="0" t="0" r="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18840" cy="1266825"/>
                    </a:xfrm>
                    <a:prstGeom prst="rect">
                      <a:avLst/>
                    </a:prstGeom>
                    <a:noFill/>
                  </pic:spPr>
                </pic:pic>
              </a:graphicData>
            </a:graphic>
          </wp:inline>
        </w:drawing>
      </w:r>
    </w:p>
    <w:p w:rsidR="00B35E38" w:rsidRDefault="00AA456B" w:rsidP="00B35E38">
      <w:r w:rsidRPr="00AA456B">
        <w:t xml:space="preserve">Photo Credit: Renfrew, et al., </w:t>
      </w:r>
      <w:r w:rsidRPr="00350400">
        <w:rPr>
          <w:i/>
        </w:rPr>
        <w:t>Kavos and the Special Deposits</w:t>
      </w:r>
      <w:r w:rsidRPr="00AA456B">
        <w:t>, CD-ROM</w:t>
      </w:r>
    </w:p>
    <w:p w:rsidR="00AA456B" w:rsidRPr="00211162" w:rsidRDefault="00AA456B" w:rsidP="00AA456B">
      <w:pPr>
        <w:rPr>
          <w:b/>
        </w:rPr>
      </w:pPr>
      <w:r w:rsidRPr="00211162">
        <w:rPr>
          <w:b/>
        </w:rPr>
        <w:t>V15. Hedgehog Vessel Fragment</w:t>
      </w:r>
    </w:p>
    <w:p w:rsidR="00AA456B" w:rsidRDefault="00AA456B" w:rsidP="00AA456B">
      <w:r>
        <w:t>Medium: clay</w:t>
      </w:r>
    </w:p>
    <w:p w:rsidR="00AA456B" w:rsidRDefault="00AA456B" w:rsidP="00AA456B">
      <w:r>
        <w:t>Period: EC II</w:t>
      </w:r>
    </w:p>
    <w:p w:rsidR="00AA456B" w:rsidRDefault="00AA456B" w:rsidP="00AA456B">
      <w:r>
        <w:t>Date: 2700-2300 BCE</w:t>
      </w:r>
    </w:p>
    <w:p w:rsidR="00AA456B" w:rsidRDefault="00AA456B" w:rsidP="00AA456B">
      <w:r>
        <w:t>Dems: H: 39 mm, L: 25 mm, W: 29 mm</w:t>
      </w:r>
    </w:p>
    <w:p w:rsidR="00AA456B" w:rsidRDefault="00AA456B" w:rsidP="00AA456B">
      <w:r>
        <w:t>Provenance: Kavos, Keros</w:t>
      </w:r>
    </w:p>
    <w:p w:rsidR="00AA456B" w:rsidRDefault="00AA456B" w:rsidP="00AA456B">
      <w:r>
        <w:t>Special Finds no.: 20323</w:t>
      </w:r>
    </w:p>
    <w:p w:rsidR="00AA456B" w:rsidRDefault="00AA456B" w:rsidP="00AA456B">
      <w:r w:rsidRPr="00AA456B">
        <w:t xml:space="preserve">Description: “Clay. Fine ware. Orange-red fabric with light greyish slip. Painted bichrome-black and red/brown. Head and neck with a small section of shoulders and chest. The preserved portion is hollow, including the head, into the top of which a lump of clay was pressed. The head is naturalistic in shape, laterally rounded on tope with a pronounced and elongated muzzle. The nostrils are shown as two small indentations, whil a horizontal groove gives the impression that the mouth is open. The pricked ears have natural-looking cavities; the eyes were added as small clay pellets, the right one partly missing. An incised line bisects the front of the face, from the top of the head to the tip of the muzzle. A brown collar-like band encircles the cylindrical neck, while a similar band, partially preserved below the first one, continued onto the adjacent area of </w:t>
      </w:r>
      <w:r w:rsidRPr="00AA456B">
        <w:lastRenderedPageBreak/>
        <w:t xml:space="preserve">the body, now missing. The vessel is in the form of an upright animal.” (Renfrew et al., </w:t>
      </w:r>
      <w:r w:rsidRPr="00350400">
        <w:rPr>
          <w:i/>
        </w:rPr>
        <w:t>Kavos and the Special Deposits</w:t>
      </w:r>
      <w:r w:rsidRPr="00AA456B">
        <w:t>, 318.</w:t>
      </w:r>
    </w:p>
    <w:p w:rsidR="00AA456B" w:rsidRDefault="00AA456B" w:rsidP="00AA456B">
      <w:pPr>
        <w:jc w:val="center"/>
      </w:pPr>
      <w:r>
        <w:t>Notes:</w:t>
      </w:r>
    </w:p>
    <w:p w:rsidR="00AA456B" w:rsidRDefault="00AA456B" w:rsidP="00AA456B">
      <w:r>
        <w:t xml:space="preserve">Colin Renfrew, Olga Philaniotou, Neil Brodie, Giorgos Gavalas, and Michael J. Boyd, </w:t>
      </w:r>
      <w:r>
        <w:tab/>
      </w:r>
      <w:r w:rsidRPr="00AA456B">
        <w:rPr>
          <w:i/>
        </w:rPr>
        <w:t xml:space="preserve">The Sanctuary on Keros and the Origins of Aegean Ritual Practice: The </w:t>
      </w:r>
      <w:r w:rsidRPr="00AA456B">
        <w:rPr>
          <w:i/>
        </w:rPr>
        <w:tab/>
        <w:t>Excavations of 2006-2008. Volume II, Kavos and The Special Deposits</w:t>
      </w:r>
      <w:r>
        <w:t xml:space="preserve">, </w:t>
      </w:r>
      <w:r>
        <w:tab/>
        <w:t xml:space="preserve">(Cambridge: University of Cambridge and McDonald Institute for </w:t>
      </w:r>
      <w:r>
        <w:tab/>
        <w:t xml:space="preserve">Archaeological Research,2015), 318. </w:t>
      </w:r>
    </w:p>
    <w:p w:rsidR="00AA456B" w:rsidRDefault="00AA456B" w:rsidP="00AA456B">
      <w:r>
        <w:t>**Will be discussed further by Sotirakopoulou in Volume V, forthcoming.</w:t>
      </w:r>
    </w:p>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r w:rsidRPr="00AA456B">
        <w:lastRenderedPageBreak/>
        <w:t xml:space="preserve">Photo Credit: Renfrew, et al., </w:t>
      </w:r>
      <w:r w:rsidRPr="00AA456B">
        <w:rPr>
          <w:i/>
        </w:rPr>
        <w:t>Kavos and the Special Deposits,</w:t>
      </w:r>
      <w:r w:rsidRPr="00AA456B">
        <w:t xml:space="preserve"> CD-ROM</w:t>
      </w:r>
      <w:r>
        <w:rPr>
          <w:noProof/>
          <w:lang w:bidi="ar-SA"/>
        </w:rPr>
        <w:drawing>
          <wp:anchor distT="0" distB="0" distL="114300" distR="114300" simplePos="0" relativeHeight="251714560" behindDoc="0" locked="0" layoutInCell="1" allowOverlap="1">
            <wp:simplePos x="1462088" y="914400"/>
            <wp:positionH relativeFrom="column">
              <wp:align>left</wp:align>
            </wp:positionH>
            <wp:positionV relativeFrom="paragraph">
              <wp:align>top</wp:align>
            </wp:positionV>
            <wp:extent cx="2723515" cy="2390775"/>
            <wp:effectExtent l="0" t="0" r="635" b="9525"/>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23515" cy="2390775"/>
                    </a:xfrm>
                    <a:prstGeom prst="rect">
                      <a:avLst/>
                    </a:prstGeom>
                    <a:noFill/>
                  </pic:spPr>
                </pic:pic>
              </a:graphicData>
            </a:graphic>
          </wp:anchor>
        </w:drawing>
      </w:r>
      <w:r>
        <w:t>.</w:t>
      </w:r>
      <w:r>
        <w:br w:type="textWrapping" w:clear="all"/>
      </w:r>
    </w:p>
    <w:p w:rsidR="00AA456B" w:rsidRPr="00211162" w:rsidRDefault="00AA456B" w:rsidP="00AA456B">
      <w:pPr>
        <w:rPr>
          <w:b/>
        </w:rPr>
      </w:pPr>
      <w:r w:rsidRPr="00211162">
        <w:rPr>
          <w:b/>
        </w:rPr>
        <w:t>V16. Ram Vessel Fragment</w:t>
      </w:r>
    </w:p>
    <w:p w:rsidR="00AA456B" w:rsidRDefault="00AA456B" w:rsidP="00AA456B">
      <w:r>
        <w:t>Medium: clay</w:t>
      </w:r>
    </w:p>
    <w:p w:rsidR="00AA456B" w:rsidRDefault="00AA456B" w:rsidP="00AA456B">
      <w:r>
        <w:t>Period: EC II</w:t>
      </w:r>
    </w:p>
    <w:p w:rsidR="00AA456B" w:rsidRDefault="00AA456B" w:rsidP="00AA456B">
      <w:r>
        <w:t>Date: 2700-2300 BCE</w:t>
      </w:r>
    </w:p>
    <w:p w:rsidR="00AA456B" w:rsidRDefault="00AA456B" w:rsidP="00AA456B">
      <w:r>
        <w:t>Dems: H: 34mm, L: 31 mm, W: 44 mm</w:t>
      </w:r>
    </w:p>
    <w:p w:rsidR="00AA456B" w:rsidRDefault="00AA456B" w:rsidP="00AA456B">
      <w:r>
        <w:t>Provenance: Kavos, Keros</w:t>
      </w:r>
    </w:p>
    <w:p w:rsidR="00AA456B" w:rsidRDefault="00AA456B" w:rsidP="00AA456B">
      <w:r>
        <w:t>Special Finds no.: 1725</w:t>
      </w:r>
    </w:p>
    <w:p w:rsidR="00AA456B" w:rsidRDefault="00AA456B" w:rsidP="00AA456B"/>
    <w:p w:rsidR="00AA456B" w:rsidRDefault="00AA456B" w:rsidP="00AA456B">
      <w:r>
        <w:t xml:space="preserve">Description: “Fine-ware, orange-buff. Self-slipped. Painted bichrome-black and reddish/brown. Wheelmade. The head and neck of a small vessel. The muzzle is elongated, and points slightly downward. The horns are preserved only where they emerge from the sides of the head with a lateral orientation, and again where they end on the cheeks. Faint traces of black paint are visible on the nose, while below the muzzle a black painted band continues to the neck. At the back of the head a reddish-brown band extends to the neck and horns. The latter are painted red. In addition, a </w:t>
      </w:r>
      <w:r>
        <w:lastRenderedPageBreak/>
        <w:t xml:space="preserve">painted band is preserved on the left horn. Wheel-marks are visible on the interior. Encrusted both inside and outside.” (Renfrew et al., </w:t>
      </w:r>
      <w:r w:rsidRPr="00211162">
        <w:rPr>
          <w:i/>
        </w:rPr>
        <w:t>Kavos and the Special Deposits</w:t>
      </w:r>
      <w:r>
        <w:t>, 319)</w:t>
      </w:r>
    </w:p>
    <w:p w:rsidR="00AA456B" w:rsidRDefault="00AA456B" w:rsidP="00AA456B">
      <w:pPr>
        <w:jc w:val="center"/>
      </w:pPr>
      <w:r>
        <w:t>Notes:</w:t>
      </w:r>
    </w:p>
    <w:p w:rsidR="00AA456B" w:rsidRDefault="00AA456B" w:rsidP="00AA456B">
      <w:r>
        <w:t xml:space="preserve">Colin Renfrew, Olga Philaniotou, Neil Brodie, Giorgos Gavalas, and Michael J. Boyd, </w:t>
      </w:r>
      <w:r>
        <w:tab/>
      </w:r>
      <w:r w:rsidRPr="00AA456B">
        <w:rPr>
          <w:i/>
        </w:rPr>
        <w:t xml:space="preserve">The Sanctuary on Keros and the Origins of Aegean Ritual Practice: The </w:t>
      </w:r>
      <w:r w:rsidRPr="00AA456B">
        <w:rPr>
          <w:i/>
        </w:rPr>
        <w:tab/>
        <w:t>Excavations of 2006-2008. Volume II, Kavos and The Special Deposits</w:t>
      </w:r>
      <w:r>
        <w:t xml:space="preserve">, </w:t>
      </w:r>
      <w:r>
        <w:tab/>
        <w:t xml:space="preserve">(Cambridge: University of Cambridge and McDonald Institute for </w:t>
      </w:r>
      <w:r>
        <w:tab/>
        <w:t>Archaeological Research,2015), 319.</w:t>
      </w:r>
    </w:p>
    <w:p w:rsidR="00AA456B" w:rsidRDefault="00AA456B" w:rsidP="00AA456B">
      <w:r>
        <w:t>**Will be discussed further by Sotirakopoulou in Volume V, forthcoming.</w:t>
      </w:r>
    </w:p>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r w:rsidRPr="00AA456B">
        <w:lastRenderedPageBreak/>
        <w:t xml:space="preserve">Photo Credit: Renfrew, et al., </w:t>
      </w:r>
      <w:r w:rsidRPr="00AA456B">
        <w:rPr>
          <w:i/>
        </w:rPr>
        <w:t>Kavos and the Special Deposits</w:t>
      </w:r>
      <w:r w:rsidRPr="00AA456B">
        <w:t>, CD-ROM</w:t>
      </w:r>
      <w:r>
        <w:rPr>
          <w:noProof/>
          <w:lang w:bidi="ar-SA"/>
        </w:rPr>
        <w:drawing>
          <wp:anchor distT="0" distB="0" distL="114300" distR="114300" simplePos="0" relativeHeight="251715584" behindDoc="0" locked="0" layoutInCell="1" allowOverlap="1">
            <wp:simplePos x="1462088" y="914400"/>
            <wp:positionH relativeFrom="column">
              <wp:align>left</wp:align>
            </wp:positionH>
            <wp:positionV relativeFrom="paragraph">
              <wp:align>top</wp:align>
            </wp:positionV>
            <wp:extent cx="2771140" cy="2419350"/>
            <wp:effectExtent l="0" t="0" r="0" b="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71140" cy="2419350"/>
                    </a:xfrm>
                    <a:prstGeom prst="rect">
                      <a:avLst/>
                    </a:prstGeom>
                    <a:noFill/>
                  </pic:spPr>
                </pic:pic>
              </a:graphicData>
            </a:graphic>
          </wp:anchor>
        </w:drawing>
      </w:r>
      <w:r>
        <w:br w:type="textWrapping" w:clear="all"/>
      </w:r>
    </w:p>
    <w:p w:rsidR="00AA456B" w:rsidRPr="00211162" w:rsidRDefault="00AA456B" w:rsidP="00AA456B">
      <w:pPr>
        <w:rPr>
          <w:b/>
        </w:rPr>
      </w:pPr>
      <w:r w:rsidRPr="00211162">
        <w:rPr>
          <w:b/>
        </w:rPr>
        <w:t>V17. Fragment, Ram Rhyton</w:t>
      </w:r>
    </w:p>
    <w:p w:rsidR="00AA456B" w:rsidRDefault="00AA456B" w:rsidP="00AA456B">
      <w:r>
        <w:t>Medium: clay</w:t>
      </w:r>
    </w:p>
    <w:p w:rsidR="00AA456B" w:rsidRDefault="00AA456B" w:rsidP="00AA456B">
      <w:r>
        <w:t>Period: EC II</w:t>
      </w:r>
    </w:p>
    <w:p w:rsidR="00AA456B" w:rsidRDefault="00AA456B" w:rsidP="00AA456B">
      <w:r>
        <w:t>Date: 2700-2300 BCE</w:t>
      </w:r>
    </w:p>
    <w:p w:rsidR="00AA456B" w:rsidRDefault="00AA456B" w:rsidP="00AA456B">
      <w:r>
        <w:t>Dems: H: 35mm, L: 38mm, W: 35mm</w:t>
      </w:r>
    </w:p>
    <w:p w:rsidR="00AA456B" w:rsidRDefault="00AA456B" w:rsidP="00AA456B">
      <w:r>
        <w:t>Provenance: Kavos, Keros</w:t>
      </w:r>
    </w:p>
    <w:p w:rsidR="00AA456B" w:rsidRDefault="00AA456B" w:rsidP="00AA456B">
      <w:r>
        <w:t>Special Finds no.: 20010</w:t>
      </w:r>
    </w:p>
    <w:p w:rsidR="00AA456B" w:rsidRDefault="00AA456B" w:rsidP="00AA456B"/>
    <w:p w:rsidR="00AA456B" w:rsidRDefault="00AA456B" w:rsidP="00AA456B">
      <w:r>
        <w:t xml:space="preserve">Description: “Fine ware, light orange. Self-slipped. Painted bichrome-black and red. The head and a part of a neck of a small vessel. The elongated muzzle is pronounced, and points downward. A small, deliberately made hole through at the top of the muzzle. The lower edge of the hole is slightly chipped in one spot. The horns are preserved only where they terminate on the cheeks. Faint traces of red paint on the top of the head, black on the side of the neck. Encrusted.” (Renfrew et al., </w:t>
      </w:r>
      <w:r w:rsidRPr="00AA456B">
        <w:rPr>
          <w:i/>
        </w:rPr>
        <w:t>Kavos and the Special Deposits</w:t>
      </w:r>
      <w:r>
        <w:t>, 319)</w:t>
      </w:r>
    </w:p>
    <w:p w:rsidR="00AA456B" w:rsidRDefault="00AA456B" w:rsidP="00AA456B">
      <w:pPr>
        <w:jc w:val="center"/>
      </w:pPr>
      <w:r>
        <w:lastRenderedPageBreak/>
        <w:t>Notes:</w:t>
      </w:r>
    </w:p>
    <w:p w:rsidR="00AA456B" w:rsidRDefault="00AA456B" w:rsidP="00AA456B">
      <w:r>
        <w:t xml:space="preserve">Colin Renfrew, Olga Philaniotou, Neil Brodie, Giorgos Gavalas, and Michael J. Boyd, </w:t>
      </w:r>
      <w:r>
        <w:tab/>
      </w:r>
      <w:r w:rsidRPr="00AA456B">
        <w:rPr>
          <w:i/>
        </w:rPr>
        <w:t xml:space="preserve">The Sanctuary on Keros and the Origins of Aegean Ritual Practice: The </w:t>
      </w:r>
      <w:r w:rsidRPr="00AA456B">
        <w:rPr>
          <w:i/>
        </w:rPr>
        <w:tab/>
        <w:t>Excavations of 2006-2008. Volume II, Kavos and The Special Deposits</w:t>
      </w:r>
      <w:r>
        <w:t xml:space="preserve">, </w:t>
      </w:r>
      <w:r>
        <w:tab/>
        <w:t xml:space="preserve">(Cambridge: University of Cambridge and McDonald Institute for </w:t>
      </w:r>
      <w:r>
        <w:tab/>
        <w:t>Archaeological Research,2015), 319.</w:t>
      </w:r>
    </w:p>
    <w:p w:rsidR="00AA456B" w:rsidRDefault="00AA456B" w:rsidP="00AA456B">
      <w:r>
        <w:t>**Will be discussed further by Sotirakopoulou in Volume V, forthcoming.</w:t>
      </w:r>
    </w:p>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211162" w:rsidRDefault="00AA456B" w:rsidP="00AA456B">
      <w:r w:rsidRPr="00AA456B">
        <w:lastRenderedPageBreak/>
        <w:t xml:space="preserve">Photo Credit: Renfrew et al., </w:t>
      </w:r>
      <w:r w:rsidRPr="00AA456B">
        <w:rPr>
          <w:i/>
        </w:rPr>
        <w:t>Kavos and the Special Deposits</w:t>
      </w:r>
      <w:r w:rsidRPr="00AA456B">
        <w:t>, 479 and CD-ROM</w:t>
      </w:r>
      <w:r>
        <w:rPr>
          <w:noProof/>
          <w:lang w:bidi="ar-SA"/>
        </w:rPr>
        <w:drawing>
          <wp:anchor distT="0" distB="0" distL="114300" distR="114300" simplePos="0" relativeHeight="251716608" behindDoc="0" locked="0" layoutInCell="1" allowOverlap="1">
            <wp:simplePos x="1462088" y="914400"/>
            <wp:positionH relativeFrom="column">
              <wp:align>left</wp:align>
            </wp:positionH>
            <wp:positionV relativeFrom="paragraph">
              <wp:align>top</wp:align>
            </wp:positionV>
            <wp:extent cx="2834720" cy="2562225"/>
            <wp:effectExtent l="0" t="0" r="3810" b="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34720" cy="2562225"/>
                    </a:xfrm>
                    <a:prstGeom prst="rect">
                      <a:avLst/>
                    </a:prstGeom>
                    <a:noFill/>
                  </pic:spPr>
                </pic:pic>
              </a:graphicData>
            </a:graphic>
          </wp:anchor>
        </w:drawing>
      </w:r>
      <w:r>
        <w:t>.</w:t>
      </w:r>
      <w:r>
        <w:br w:type="textWrapping" w:clear="all"/>
      </w:r>
    </w:p>
    <w:p w:rsidR="00AA456B" w:rsidRPr="00211162" w:rsidRDefault="00AA456B" w:rsidP="00AA456B">
      <w:pPr>
        <w:rPr>
          <w:b/>
        </w:rPr>
      </w:pPr>
      <w:r w:rsidRPr="00211162">
        <w:rPr>
          <w:b/>
        </w:rPr>
        <w:t>V18. Two zoomorphic vessel fragments</w:t>
      </w:r>
    </w:p>
    <w:p w:rsidR="00AA456B" w:rsidRDefault="00AA456B" w:rsidP="00AA456B">
      <w:r>
        <w:t>Medium: white marble</w:t>
      </w:r>
    </w:p>
    <w:p w:rsidR="00AA456B" w:rsidRDefault="00AA456B" w:rsidP="00AA456B">
      <w:r>
        <w:t>Period: EC II</w:t>
      </w:r>
    </w:p>
    <w:p w:rsidR="00AA456B" w:rsidRDefault="00AA456B" w:rsidP="00AA456B">
      <w:r>
        <w:t>Date: 2700-2400 BCE</w:t>
      </w:r>
    </w:p>
    <w:p w:rsidR="00AA456B" w:rsidRDefault="00AA456B" w:rsidP="00AA456B">
      <w:r>
        <w:t>Provenance: Kavos, Keros</w:t>
      </w:r>
    </w:p>
    <w:p w:rsidR="00AA456B" w:rsidRDefault="00AA456B" w:rsidP="00AA456B">
      <w:r>
        <w:t xml:space="preserve">Special Finds no.: 17 + 1314 </w:t>
      </w:r>
    </w:p>
    <w:p w:rsidR="00AA456B" w:rsidRDefault="00AA456B" w:rsidP="00AA456B">
      <w:r>
        <w:t xml:space="preserve">Description: </w:t>
      </w:r>
    </w:p>
    <w:p w:rsidR="00AA456B" w:rsidRDefault="00AA456B" w:rsidP="00AA456B">
      <w:r>
        <w:t xml:space="preserve">“Two joining fragments belong to a zoomorphic multiple vessel: 17 is a body fragment, possibly from the foot of a zoomorphic vessel, preserving one quarter of a carved spherical compartment. This joins with 1314, another part of the same vessel preserving another quarter of the interior of a compartment spherical at the opening and ellipsoid in section. The vertical rounded rim projects from the body. The shape of the body suggests that these pieces belong to a bird-like vessel.” (Renfrew et al., </w:t>
      </w:r>
      <w:r w:rsidRPr="00AA456B">
        <w:rPr>
          <w:i/>
        </w:rPr>
        <w:t>Kavos and the Special Deposits</w:t>
      </w:r>
      <w:r>
        <w:t xml:space="preserve">, 481) </w:t>
      </w:r>
    </w:p>
    <w:p w:rsidR="00AA456B" w:rsidRDefault="00AA456B" w:rsidP="00AA456B">
      <w:pPr>
        <w:jc w:val="center"/>
      </w:pPr>
      <w:r>
        <w:lastRenderedPageBreak/>
        <w:t>Notes:</w:t>
      </w:r>
    </w:p>
    <w:p w:rsidR="00AA456B" w:rsidRDefault="00AA456B" w:rsidP="00AA456B">
      <w:r>
        <w:t xml:space="preserve">Colin Renfrew, Olga Philaniotou, Neil Brodie, Giorgos Gavalas, and Michael J. Boyd, </w:t>
      </w:r>
      <w:r>
        <w:tab/>
      </w:r>
      <w:r w:rsidRPr="00AA456B">
        <w:rPr>
          <w:i/>
        </w:rPr>
        <w:t xml:space="preserve">The Sanctuary on Keros and the Origins of Aegean Ritual Practice: The </w:t>
      </w:r>
      <w:r w:rsidRPr="00AA456B">
        <w:rPr>
          <w:i/>
        </w:rPr>
        <w:tab/>
        <w:t>Excavations of 2006-2008. Volume II, Kavos and The Special Deposits</w:t>
      </w:r>
      <w:r>
        <w:t xml:space="preserve">, </w:t>
      </w:r>
      <w:r>
        <w:tab/>
        <w:t xml:space="preserve">(Cambridge: University of Cambridge and McDonald Institute for </w:t>
      </w:r>
      <w:r>
        <w:tab/>
        <w:t>Archaeological Research,2015), 479-81.</w:t>
      </w:r>
    </w:p>
    <w:p w:rsidR="00AA456B" w:rsidRDefault="00AA456B" w:rsidP="00AA456B">
      <w:r>
        <w:t>**Will be discussed further by Sotirakopoulou in Volume V, forthcoming.</w:t>
      </w:r>
    </w:p>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r>
        <w:rPr>
          <w:noProof/>
          <w:lang w:bidi="ar-SA"/>
        </w:rPr>
        <w:lastRenderedPageBreak/>
        <w:drawing>
          <wp:inline distT="0" distB="0" distL="0" distR="0" wp14:anchorId="3D1C5968">
            <wp:extent cx="4980940" cy="2434710"/>
            <wp:effectExtent l="0" t="0" r="0" b="381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93404" cy="2440802"/>
                    </a:xfrm>
                    <a:prstGeom prst="rect">
                      <a:avLst/>
                    </a:prstGeom>
                    <a:noFill/>
                  </pic:spPr>
                </pic:pic>
              </a:graphicData>
            </a:graphic>
          </wp:inline>
        </w:drawing>
      </w:r>
    </w:p>
    <w:p w:rsidR="00AA456B" w:rsidRDefault="00AA456B" w:rsidP="00AA456B">
      <w:r w:rsidRPr="00AA456B">
        <w:t xml:space="preserve">Photo Credit: Papathanasopoulos, </w:t>
      </w:r>
      <w:r w:rsidRPr="00AA456B">
        <w:rPr>
          <w:i/>
        </w:rPr>
        <w:t>National Archaeological Museum: Catalogue of Neolithic and Cycladic Collections</w:t>
      </w:r>
      <w:r w:rsidRPr="00AA456B">
        <w:t>, 136-37.</w:t>
      </w:r>
    </w:p>
    <w:p w:rsidR="00AA456B" w:rsidRPr="00211162" w:rsidRDefault="00AA456B" w:rsidP="00AA456B">
      <w:pPr>
        <w:rPr>
          <w:b/>
        </w:rPr>
      </w:pPr>
      <w:r w:rsidRPr="00211162">
        <w:rPr>
          <w:b/>
        </w:rPr>
        <w:t>J10. Zoomorphic Amulet, Quadruped</w:t>
      </w:r>
    </w:p>
    <w:p w:rsidR="00AA456B" w:rsidRDefault="00AA456B" w:rsidP="00AA456B">
      <w:r>
        <w:t>Medium: red stone</w:t>
      </w:r>
    </w:p>
    <w:p w:rsidR="00AA456B" w:rsidRDefault="00AA456B" w:rsidP="00AA456B">
      <w:r>
        <w:t>Period: EC II</w:t>
      </w:r>
    </w:p>
    <w:p w:rsidR="00AA456B" w:rsidRDefault="00AA456B" w:rsidP="00AA456B">
      <w:r>
        <w:t>Date: c. 2800-2300 BCE</w:t>
      </w:r>
    </w:p>
    <w:p w:rsidR="00AA456B" w:rsidRDefault="00AA456B" w:rsidP="00AA456B">
      <w:r>
        <w:t>Provenance: Despotiko, Zoumbarias Cemetery, Grave 135</w:t>
      </w:r>
    </w:p>
    <w:p w:rsidR="00AA456B" w:rsidRDefault="00AA456B" w:rsidP="00AA456B">
      <w:r>
        <w:t>Location/Access. no.: National Archaeological Museum Athens, 4882</w:t>
      </w:r>
    </w:p>
    <w:p w:rsidR="00AA456B" w:rsidRPr="00350400" w:rsidRDefault="00AA456B" w:rsidP="00AA456B">
      <w:pPr>
        <w:rPr>
          <w:b/>
        </w:rPr>
      </w:pPr>
      <w:r w:rsidRPr="00350400">
        <w:rPr>
          <w:b/>
        </w:rPr>
        <w:t>J11. Bird Amulet</w:t>
      </w:r>
    </w:p>
    <w:p w:rsidR="00AA456B" w:rsidRDefault="00AA456B" w:rsidP="00AA456B">
      <w:r>
        <w:t>Medium: jade</w:t>
      </w:r>
      <w:r w:rsidR="00350400">
        <w:t>-</w:t>
      </w:r>
      <w:r>
        <w:t>like soft stone</w:t>
      </w:r>
    </w:p>
    <w:p w:rsidR="00AA456B" w:rsidRDefault="00AA456B" w:rsidP="00AA456B">
      <w:r>
        <w:t>Period: EC II</w:t>
      </w:r>
    </w:p>
    <w:p w:rsidR="00AA456B" w:rsidRDefault="00AA456B" w:rsidP="00AA456B">
      <w:r>
        <w:t>Date: c. 2800-2300 BC</w:t>
      </w:r>
    </w:p>
    <w:p w:rsidR="00AA456B" w:rsidRDefault="00AA456B" w:rsidP="00AA456B">
      <w:r>
        <w:t>Provenance: Despotiko, Zoumbarias Cemetery, Grave 135</w:t>
      </w:r>
    </w:p>
    <w:p w:rsidR="00AA456B" w:rsidRDefault="00AA456B" w:rsidP="00AA456B">
      <w:r>
        <w:t>Location/Access. no.: National Archaeological Museum Athens, 4882</w:t>
      </w:r>
    </w:p>
    <w:p w:rsidR="00AA456B" w:rsidRDefault="00AA456B" w:rsidP="00AA456B"/>
    <w:p w:rsidR="00AA456B" w:rsidRDefault="00AA456B" w:rsidP="00AA456B">
      <w:r>
        <w:lastRenderedPageBreak/>
        <w:t xml:space="preserve">Description: “The necklace, which adorned the deceased in the grave, consists of almost fifty smallish polychrome stone beads and periapts of assorted shapes and sizes. A small jadeite bird and a red stone quadruped with its tail curved upwards like a link, are among the miniature amulets of exquisite artistry.” (Papathanasopoulos, 137) </w:t>
      </w:r>
    </w:p>
    <w:p w:rsidR="00AA456B" w:rsidRDefault="00AA456B" w:rsidP="00AA456B">
      <w:pPr>
        <w:jc w:val="center"/>
      </w:pPr>
      <w:r>
        <w:t>Notes:</w:t>
      </w:r>
    </w:p>
    <w:p w:rsidR="00AA456B" w:rsidRDefault="00AA456B" w:rsidP="00AA456B">
      <w:r>
        <w:t xml:space="preserve">G. Papathanasopoulos, </w:t>
      </w:r>
      <w:r w:rsidRPr="00AA456B">
        <w:rPr>
          <w:i/>
        </w:rPr>
        <w:t xml:space="preserve">National Archaeological Museum: Catalogue of Neolithic and </w:t>
      </w:r>
      <w:r w:rsidRPr="00AA456B">
        <w:rPr>
          <w:i/>
        </w:rPr>
        <w:tab/>
        <w:t>Cycladic Collections</w:t>
      </w:r>
      <w:r>
        <w:t>, (Athens: Melissa Editions, 1981), 136-37, pl. 64.</w:t>
      </w:r>
    </w:p>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p w:rsidR="00AA456B" w:rsidRDefault="00AA456B" w:rsidP="00AA456B">
      <w:r>
        <w:rPr>
          <w:noProof/>
          <w:lang w:bidi="ar-SA"/>
        </w:rPr>
        <w:lastRenderedPageBreak/>
        <w:drawing>
          <wp:anchor distT="0" distB="0" distL="114300" distR="114300" simplePos="0" relativeHeight="251717632" behindDoc="0" locked="0" layoutInCell="1" allowOverlap="1">
            <wp:simplePos x="0" y="0"/>
            <wp:positionH relativeFrom="column">
              <wp:posOffset>1779905</wp:posOffset>
            </wp:positionH>
            <wp:positionV relativeFrom="paragraph">
              <wp:posOffset>-1504315</wp:posOffset>
            </wp:positionV>
            <wp:extent cx="1800225" cy="4819015"/>
            <wp:effectExtent l="0" t="4445" r="5080" b="508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5400000">
                      <a:off x="0" y="0"/>
                      <a:ext cx="1800225" cy="4819015"/>
                    </a:xfrm>
                    <a:prstGeom prst="rect">
                      <a:avLst/>
                    </a:prstGeom>
                    <a:noFill/>
                  </pic:spPr>
                </pic:pic>
              </a:graphicData>
            </a:graphic>
          </wp:anchor>
        </w:drawing>
      </w:r>
      <w:r w:rsidR="00234D34">
        <w:t>Photo Credit: Thimme, 128.</w:t>
      </w:r>
    </w:p>
    <w:p w:rsidR="00234D34" w:rsidRPr="00211162" w:rsidRDefault="00234D34" w:rsidP="00234D34">
      <w:pPr>
        <w:rPr>
          <w:b/>
        </w:rPr>
      </w:pPr>
      <w:r w:rsidRPr="00211162">
        <w:rPr>
          <w:b/>
        </w:rPr>
        <w:t>J12-13. Fly/Bee Amulets</w:t>
      </w:r>
    </w:p>
    <w:p w:rsidR="00234D34" w:rsidRDefault="00234D34" w:rsidP="00234D34">
      <w:r>
        <w:t>Provenance: Siphnos</w:t>
      </w:r>
    </w:p>
    <w:p w:rsidR="00234D34" w:rsidRDefault="00234D34" w:rsidP="00234D34">
      <w:r>
        <w:t xml:space="preserve">Description:  Not much is known about these amulets; the only publication these were found in was Thimme’s catalog, and unfortunately not much information was given. Thimme identifies them as ‘flies’, however I propose they could represent schematically modeled bees.  More examination is needed. </w:t>
      </w:r>
    </w:p>
    <w:p w:rsidR="00234D34" w:rsidRDefault="00234D34" w:rsidP="00234D34">
      <w:pPr>
        <w:jc w:val="center"/>
      </w:pPr>
      <w:r>
        <w:t xml:space="preserve">Notes: </w:t>
      </w:r>
    </w:p>
    <w:p w:rsidR="00234D34" w:rsidRDefault="00234D34" w:rsidP="00234D34">
      <w:r>
        <w:t xml:space="preserve">Jürgen Thimme, ed., Art and Culture of the Cyclades in the Third Millennium B.C., </w:t>
      </w:r>
      <w:r>
        <w:tab/>
        <w:t xml:space="preserve">trans. Pat Getz-Preziosi, (Chicago: University of Chicago Press, 1977), 126, </w:t>
      </w:r>
      <w:r>
        <w:tab/>
        <w:t>128, fig. 105.</w:t>
      </w:r>
    </w:p>
    <w:p w:rsidR="00234D34" w:rsidRDefault="00234D34" w:rsidP="00234D34">
      <w:r w:rsidRPr="00234D34">
        <w:rPr>
          <w:noProof/>
          <w:lang w:bidi="ar-SA"/>
        </w:rPr>
        <w:drawing>
          <wp:anchor distT="0" distB="0" distL="114300" distR="114300" simplePos="0" relativeHeight="251718656" behindDoc="0" locked="0" layoutInCell="1" allowOverlap="1">
            <wp:simplePos x="0" y="0"/>
            <wp:positionH relativeFrom="column">
              <wp:posOffset>22860</wp:posOffset>
            </wp:positionH>
            <wp:positionV relativeFrom="paragraph">
              <wp:posOffset>111442</wp:posOffset>
            </wp:positionV>
            <wp:extent cx="1785620" cy="2004695"/>
            <wp:effectExtent l="0" t="0" r="508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1785620" cy="2004695"/>
                    </a:xfrm>
                    <a:prstGeom prst="rect">
                      <a:avLst/>
                    </a:prstGeom>
                  </pic:spPr>
                </pic:pic>
              </a:graphicData>
            </a:graphic>
            <wp14:sizeRelH relativeFrom="margin">
              <wp14:pctWidth>0</wp14:pctWidth>
            </wp14:sizeRelH>
            <wp14:sizeRelV relativeFrom="margin">
              <wp14:pctHeight>0</wp14:pctHeight>
            </wp14:sizeRelV>
          </wp:anchor>
        </w:drawing>
      </w:r>
      <w:r>
        <w:t xml:space="preserve">Comparanda:  Minoan seal </w:t>
      </w:r>
      <w:r w:rsidRPr="00234D34">
        <w:t>in the shape of a fly, from Arkhanes</w:t>
      </w:r>
      <w:r>
        <w:t>,</w:t>
      </w:r>
      <w:r w:rsidRPr="00234D34">
        <w:t xml:space="preserve"> Crete</w:t>
      </w:r>
      <w:r>
        <w:t xml:space="preserve"> (Middle-Late Minoan Period, c. 2200 BCE-1100 BCE)</w:t>
      </w:r>
    </w:p>
    <w:p w:rsidR="00234D34" w:rsidRDefault="00234D34" w:rsidP="00234D34">
      <w:r>
        <w:t xml:space="preserve">Photo Credit: </w:t>
      </w:r>
      <w:r w:rsidRPr="00234D34">
        <w:t>http://antiquatedantiquarian.blogspot.com/2015/04/the-minoans-seals-and-sealings.html</w:t>
      </w:r>
    </w:p>
    <w:p w:rsidR="00234D34" w:rsidRDefault="00234D34" w:rsidP="00234D34"/>
    <w:p w:rsidR="00234D34" w:rsidRDefault="00234D34" w:rsidP="00234D34">
      <w:r w:rsidRPr="00234D34">
        <w:lastRenderedPageBreak/>
        <w:t xml:space="preserve">Photo Credit: Stampolidis and Sotirakopoulou, </w:t>
      </w:r>
      <w:r w:rsidRPr="00234D34">
        <w:rPr>
          <w:i/>
        </w:rPr>
        <w:t>Aegean Waves</w:t>
      </w:r>
      <w:r w:rsidRPr="00234D34">
        <w:t xml:space="preserve">, pl. 64. </w:t>
      </w:r>
      <w:r>
        <w:rPr>
          <w:noProof/>
          <w:lang w:bidi="ar-SA"/>
        </w:rPr>
        <w:drawing>
          <wp:anchor distT="0" distB="0" distL="114300" distR="114300" simplePos="0" relativeHeight="251719680" behindDoc="0" locked="0" layoutInCell="1" allowOverlap="1">
            <wp:simplePos x="1462088" y="914400"/>
            <wp:positionH relativeFrom="column">
              <wp:align>left</wp:align>
            </wp:positionH>
            <wp:positionV relativeFrom="paragraph">
              <wp:align>top</wp:align>
            </wp:positionV>
            <wp:extent cx="2700337" cy="1896366"/>
            <wp:effectExtent l="0" t="0" r="5080" b="889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00337" cy="1896366"/>
                    </a:xfrm>
                    <a:prstGeom prst="rect">
                      <a:avLst/>
                    </a:prstGeom>
                    <a:noFill/>
                  </pic:spPr>
                </pic:pic>
              </a:graphicData>
            </a:graphic>
          </wp:anchor>
        </w:drawing>
      </w:r>
      <w:r>
        <w:br w:type="textWrapping" w:clear="all"/>
      </w:r>
    </w:p>
    <w:p w:rsidR="00234D34" w:rsidRPr="00211162" w:rsidRDefault="00234D34" w:rsidP="00234D34">
      <w:pPr>
        <w:rPr>
          <w:b/>
        </w:rPr>
      </w:pPr>
      <w:r w:rsidRPr="00211162">
        <w:rPr>
          <w:b/>
        </w:rPr>
        <w:t>F8. Ram Figurine</w:t>
      </w:r>
    </w:p>
    <w:p w:rsidR="00234D34" w:rsidRDefault="000C7359" w:rsidP="00234D34">
      <w:r>
        <w:t>Medium: l</w:t>
      </w:r>
      <w:r w:rsidR="00234D34">
        <w:t>ead</w:t>
      </w:r>
    </w:p>
    <w:p w:rsidR="00234D34" w:rsidRDefault="00234D34" w:rsidP="00234D34">
      <w:r>
        <w:t>Period: EC II Syros phase</w:t>
      </w:r>
    </w:p>
    <w:p w:rsidR="00234D34" w:rsidRDefault="00234D34" w:rsidP="00234D34">
      <w:r>
        <w:t>Date: c. 2700-24/2300 BC</w:t>
      </w:r>
    </w:p>
    <w:p w:rsidR="00234D34" w:rsidRDefault="00234D34" w:rsidP="00234D34">
      <w:r>
        <w:t>Dems: H: 1.9 cm, L: 3.2 cm</w:t>
      </w:r>
    </w:p>
    <w:p w:rsidR="00234D34" w:rsidRDefault="00234D34" w:rsidP="00234D34">
      <w:r>
        <w:t>Provenance: unknown</w:t>
      </w:r>
    </w:p>
    <w:p w:rsidR="00234D34" w:rsidRDefault="00234D34" w:rsidP="00234D34">
      <w:r>
        <w:t>Location/Access. no.: Museum of Cycladic Art, NG0478</w:t>
      </w:r>
    </w:p>
    <w:p w:rsidR="00234D34" w:rsidRDefault="00234D34" w:rsidP="00234D34">
      <w:r>
        <w:t>Description:  Similar to F9 and F10; only a small number of total objects from the Early Cycladic period are known in lead: three lead rams, four anthropomorphic figures, four models of boats, a seal, and clamps used for object repair in antiquity.</w:t>
      </w:r>
    </w:p>
    <w:p w:rsidR="00234D34" w:rsidRDefault="00234D34" w:rsidP="00234D34">
      <w:pPr>
        <w:jc w:val="center"/>
      </w:pPr>
      <w:r>
        <w:t>Notes:</w:t>
      </w:r>
    </w:p>
    <w:p w:rsidR="00234D34" w:rsidRDefault="00234D34" w:rsidP="00234D34">
      <w:r>
        <w:t xml:space="preserve">Nikolaos Stampolidis and Peggy Sotirakopoulou, </w:t>
      </w:r>
      <w:r w:rsidRPr="00234D34">
        <w:rPr>
          <w:i/>
        </w:rPr>
        <w:t xml:space="preserve">Aegean Waves: Artworks of the Early </w:t>
      </w:r>
      <w:r w:rsidRPr="00234D34">
        <w:rPr>
          <w:i/>
        </w:rPr>
        <w:tab/>
        <w:t>Cycladic Culture in the Museum of Cycladic Art at Athens</w:t>
      </w:r>
      <w:r>
        <w:t xml:space="preserve">, (Milano: Skira, </w:t>
      </w:r>
      <w:r>
        <w:tab/>
        <w:t>2007), 55, pl. 64.</w:t>
      </w:r>
    </w:p>
    <w:p w:rsidR="00234D34" w:rsidRDefault="00234D34" w:rsidP="00234D34"/>
    <w:p w:rsidR="00234D34" w:rsidRDefault="00234D34" w:rsidP="00234D34"/>
    <w:p w:rsidR="00234D34" w:rsidRDefault="00234D34" w:rsidP="00234D34">
      <w:r w:rsidRPr="00234D34">
        <w:lastRenderedPageBreak/>
        <w:t xml:space="preserve">Photo Credit: Thimme, </w:t>
      </w:r>
      <w:r w:rsidRPr="00234D34">
        <w:rPr>
          <w:i/>
        </w:rPr>
        <w:t>Art and Culture of the Cyclades in the Third Millennium B.C.</w:t>
      </w:r>
      <w:r w:rsidRPr="00234D34">
        <w:t>, 364.</w:t>
      </w:r>
      <w:r>
        <w:rPr>
          <w:noProof/>
          <w:lang w:bidi="ar-SA"/>
        </w:rPr>
        <w:drawing>
          <wp:anchor distT="0" distB="0" distL="114300" distR="114300" simplePos="0" relativeHeight="251720704" behindDoc="0" locked="0" layoutInCell="1" allowOverlap="1">
            <wp:simplePos x="1462088" y="914400"/>
            <wp:positionH relativeFrom="column">
              <wp:align>left</wp:align>
            </wp:positionH>
            <wp:positionV relativeFrom="paragraph">
              <wp:align>top</wp:align>
            </wp:positionV>
            <wp:extent cx="2952115" cy="2200275"/>
            <wp:effectExtent l="0" t="0" r="635" b="952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52115" cy="2200275"/>
                    </a:xfrm>
                    <a:prstGeom prst="rect">
                      <a:avLst/>
                    </a:prstGeom>
                    <a:noFill/>
                  </pic:spPr>
                </pic:pic>
              </a:graphicData>
            </a:graphic>
          </wp:anchor>
        </w:drawing>
      </w:r>
      <w:r>
        <w:br w:type="textWrapping" w:clear="all"/>
      </w:r>
    </w:p>
    <w:p w:rsidR="00234D34" w:rsidRPr="00211162" w:rsidRDefault="00234D34" w:rsidP="00234D34">
      <w:pPr>
        <w:rPr>
          <w:b/>
        </w:rPr>
      </w:pPr>
      <w:r w:rsidRPr="00211162">
        <w:rPr>
          <w:b/>
        </w:rPr>
        <w:t>F9. Ram Figurine</w:t>
      </w:r>
    </w:p>
    <w:p w:rsidR="00234D34" w:rsidRDefault="000C7359" w:rsidP="00234D34">
      <w:r>
        <w:t>Medium: l</w:t>
      </w:r>
      <w:r w:rsidR="00234D34">
        <w:t>ead</w:t>
      </w:r>
    </w:p>
    <w:p w:rsidR="00234D34" w:rsidRDefault="00234D34" w:rsidP="00234D34">
      <w:r>
        <w:t>Period: EC II Syros phase</w:t>
      </w:r>
    </w:p>
    <w:p w:rsidR="00234D34" w:rsidRDefault="00234D34" w:rsidP="00234D34">
      <w:r>
        <w:t>Date: c. 2700-24/2300 BC</w:t>
      </w:r>
    </w:p>
    <w:p w:rsidR="00234D34" w:rsidRDefault="00234D34" w:rsidP="00234D34">
      <w:r>
        <w:t>Dems: H: 1.4 cm, L: 3.2 cm</w:t>
      </w:r>
    </w:p>
    <w:p w:rsidR="00234D34" w:rsidRDefault="00234D34" w:rsidP="00234D34">
      <w:r>
        <w:t>Provenance: unknown</w:t>
      </w:r>
    </w:p>
    <w:p w:rsidR="00234D34" w:rsidRDefault="00234D34" w:rsidP="00234D34">
      <w:r>
        <w:t>Location/Access. no.: Badisches Landesmuseum Karlsruhe, 76/42</w:t>
      </w:r>
    </w:p>
    <w:p w:rsidR="00234D34" w:rsidRDefault="00234D34" w:rsidP="00234D34">
      <w:r>
        <w:t xml:space="preserve">Description: “As small figurine in the form of a ram with a downward-curving muzzle and a slightly concave back…According to information supplied by the former owner of this figurine, it was found with the torsos of two canonical Cycladic idols (one pregnant) and fragments of a marble bowl. Condition: a hard white encrustation covers nearly the entire surface. All four legs are bent; intact.” (Thimme, 539-540)  </w:t>
      </w:r>
    </w:p>
    <w:p w:rsidR="00234D34" w:rsidRDefault="00234D34" w:rsidP="00234D34"/>
    <w:p w:rsidR="00234D34" w:rsidRDefault="00234D34" w:rsidP="00234D34"/>
    <w:p w:rsidR="00234D34" w:rsidRDefault="00234D34" w:rsidP="00234D34"/>
    <w:p w:rsidR="00234D34" w:rsidRDefault="00234D34" w:rsidP="00234D34">
      <w:pPr>
        <w:jc w:val="center"/>
      </w:pPr>
      <w:r>
        <w:lastRenderedPageBreak/>
        <w:t>Notes:</w:t>
      </w:r>
    </w:p>
    <w:p w:rsidR="00234D34" w:rsidRDefault="00234D34" w:rsidP="00234D34">
      <w:r>
        <w:t xml:space="preserve">Jürgen Thimme, ed., </w:t>
      </w:r>
      <w:r w:rsidRPr="00234D34">
        <w:rPr>
          <w:i/>
        </w:rPr>
        <w:t>Art and Culture of the Cyclades in the Third Millennium B.C</w:t>
      </w:r>
      <w:r>
        <w:t xml:space="preserve">., </w:t>
      </w:r>
      <w:r>
        <w:tab/>
        <w:t>trans. Pat Getz-Preziosi, (Chicago: University of Chicago Press, 1977</w:t>
      </w:r>
      <w:r w:rsidR="000C7359">
        <w:t>), 364</w:t>
      </w:r>
      <w:r>
        <w:t xml:space="preserve">, </w:t>
      </w:r>
      <w:r>
        <w:tab/>
        <w:t>539, no. 431.</w:t>
      </w:r>
    </w:p>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p w:rsidR="00234D34" w:rsidRDefault="00234D34" w:rsidP="00234D34">
      <w:r w:rsidRPr="00234D34">
        <w:lastRenderedPageBreak/>
        <w:t xml:space="preserve">Photo Credit: Thimme, </w:t>
      </w:r>
      <w:r w:rsidRPr="00234D34">
        <w:rPr>
          <w:i/>
        </w:rPr>
        <w:t>Art and Culture of the Cyclades in the Third Millennium B.C</w:t>
      </w:r>
      <w:r w:rsidRPr="00234D34">
        <w:t>., 364</w:t>
      </w:r>
      <w:r>
        <w:rPr>
          <w:noProof/>
          <w:lang w:bidi="ar-SA"/>
        </w:rPr>
        <w:drawing>
          <wp:anchor distT="0" distB="0" distL="114300" distR="114300" simplePos="0" relativeHeight="251721728" behindDoc="0" locked="0" layoutInCell="1" allowOverlap="1">
            <wp:simplePos x="1462088" y="914400"/>
            <wp:positionH relativeFrom="column">
              <wp:align>left</wp:align>
            </wp:positionH>
            <wp:positionV relativeFrom="paragraph">
              <wp:align>top</wp:align>
            </wp:positionV>
            <wp:extent cx="2790190" cy="2400300"/>
            <wp:effectExtent l="0" t="0" r="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90190" cy="2400300"/>
                    </a:xfrm>
                    <a:prstGeom prst="rect">
                      <a:avLst/>
                    </a:prstGeom>
                    <a:noFill/>
                  </pic:spPr>
                </pic:pic>
              </a:graphicData>
            </a:graphic>
          </wp:anchor>
        </w:drawing>
      </w:r>
      <w:r>
        <w:br w:type="textWrapping" w:clear="all"/>
      </w:r>
    </w:p>
    <w:p w:rsidR="00234D34" w:rsidRPr="00211162" w:rsidRDefault="00234D34" w:rsidP="00234D34">
      <w:pPr>
        <w:rPr>
          <w:b/>
        </w:rPr>
      </w:pPr>
      <w:r w:rsidRPr="00211162">
        <w:rPr>
          <w:b/>
        </w:rPr>
        <w:t>F10. Ram Figurine</w:t>
      </w:r>
    </w:p>
    <w:p w:rsidR="00234D34" w:rsidRDefault="000C7359" w:rsidP="00234D34">
      <w:r>
        <w:t>Medium: l</w:t>
      </w:r>
      <w:r w:rsidR="00234D34">
        <w:t>ead</w:t>
      </w:r>
    </w:p>
    <w:p w:rsidR="00234D34" w:rsidRDefault="00234D34" w:rsidP="00234D34">
      <w:r>
        <w:t>Period: EC II Keros-Syros phase</w:t>
      </w:r>
    </w:p>
    <w:p w:rsidR="00234D34" w:rsidRDefault="00234D34" w:rsidP="00234D34">
      <w:r>
        <w:t>Date: c. 2700-24/2300 BC</w:t>
      </w:r>
    </w:p>
    <w:p w:rsidR="00234D34" w:rsidRDefault="00234D34" w:rsidP="00234D34">
      <w:r>
        <w:t>Dems: H: 2.3 cm, L: 3.4 cm</w:t>
      </w:r>
    </w:p>
    <w:p w:rsidR="00234D34" w:rsidRDefault="00234D34" w:rsidP="00234D34">
      <w:r>
        <w:t>Provenance: unknown</w:t>
      </w:r>
    </w:p>
    <w:p w:rsidR="00234D34" w:rsidRDefault="00234D34" w:rsidP="00234D34">
      <w:r>
        <w:t>Location/Access. no.: Private Collection, Baden-Württemberg</w:t>
      </w:r>
    </w:p>
    <w:p w:rsidR="00234D34" w:rsidRDefault="00234D34" w:rsidP="00234D34">
      <w:r>
        <w:t xml:space="preserve">Description: “A small figurine in the form of a ram with a downward-curving muzzle.  Condition: brown-blackish surface. All four legs are broken at varying heights; the end of the tail is chipped. On the underside, there is a hole 4mm deep: it is unclear whether this is ancient or modern.” (Thimme, 540) </w:t>
      </w:r>
    </w:p>
    <w:p w:rsidR="00234D34" w:rsidRDefault="00234D34" w:rsidP="00234D34">
      <w:pPr>
        <w:jc w:val="center"/>
      </w:pPr>
      <w:r>
        <w:t>Notes:</w:t>
      </w:r>
    </w:p>
    <w:p w:rsidR="00234D34" w:rsidRDefault="00234D34" w:rsidP="00234D34">
      <w:r>
        <w:t xml:space="preserve">Jürgen Thimme, ed., </w:t>
      </w:r>
      <w:r w:rsidRPr="00234D34">
        <w:rPr>
          <w:i/>
        </w:rPr>
        <w:t>Art and Culture of the Cyclades in the Third Millennium B.C</w:t>
      </w:r>
      <w:r>
        <w:t xml:space="preserve">., </w:t>
      </w:r>
      <w:r>
        <w:tab/>
        <w:t xml:space="preserve">trans. Pat Getz-Preziosi, (Chicago: University of Chicago Press, 1977), 364, </w:t>
      </w:r>
      <w:r>
        <w:tab/>
        <w:t>540, no.432.</w:t>
      </w:r>
    </w:p>
    <w:p w:rsidR="00234D34" w:rsidRDefault="00234D34" w:rsidP="00234D34">
      <w:r w:rsidRPr="00234D34">
        <w:lastRenderedPageBreak/>
        <w:t xml:space="preserve">Photo Credit: Sapouna-Sakellariakis, </w:t>
      </w:r>
      <w:r w:rsidRPr="00234D34">
        <w:rPr>
          <w:i/>
        </w:rPr>
        <w:t>Cycladic Civilization and the Cycladic Collection of the National Archaeological Museum of Athens</w:t>
      </w:r>
      <w:r w:rsidRPr="00234D34">
        <w:t>, pl. 23</w:t>
      </w:r>
      <w:r>
        <w:t xml:space="preserve">; </w:t>
      </w:r>
      <w:r w:rsidRPr="00234D34">
        <w:t xml:space="preserve">Thimme, </w:t>
      </w:r>
      <w:r w:rsidRPr="00234D34">
        <w:rPr>
          <w:i/>
        </w:rPr>
        <w:t>Art and Culture of the Cyclades in the Third Millennium B.C.</w:t>
      </w:r>
      <w:r w:rsidRPr="00234D34">
        <w:t xml:space="preserve">, 124-125. </w:t>
      </w:r>
      <w:r>
        <w:rPr>
          <w:noProof/>
          <w:lang w:bidi="ar-SA"/>
        </w:rPr>
        <w:drawing>
          <wp:anchor distT="0" distB="0" distL="114300" distR="114300" simplePos="0" relativeHeight="251722752" behindDoc="0" locked="0" layoutInCell="1" allowOverlap="1">
            <wp:simplePos x="1462088" y="914400"/>
            <wp:positionH relativeFrom="column">
              <wp:align>left</wp:align>
            </wp:positionH>
            <wp:positionV relativeFrom="paragraph">
              <wp:align>top</wp:align>
            </wp:positionV>
            <wp:extent cx="2999740" cy="2276475"/>
            <wp:effectExtent l="0" t="0" r="0" b="952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99740" cy="2276475"/>
                    </a:xfrm>
                    <a:prstGeom prst="rect">
                      <a:avLst/>
                    </a:prstGeom>
                    <a:noFill/>
                  </pic:spPr>
                </pic:pic>
              </a:graphicData>
            </a:graphic>
          </wp:anchor>
        </w:drawing>
      </w:r>
      <w:r>
        <w:br w:type="textWrapping" w:clear="all"/>
      </w:r>
      <w:r w:rsidRPr="00211162">
        <w:rPr>
          <w:b/>
        </w:rPr>
        <w:t>J14. Pin</w:t>
      </w:r>
    </w:p>
    <w:p w:rsidR="00234D34" w:rsidRDefault="00350400" w:rsidP="00234D34">
      <w:r>
        <w:t>Medium: s</w:t>
      </w:r>
      <w:r w:rsidR="00234D34">
        <w:t>ilver</w:t>
      </w:r>
    </w:p>
    <w:p w:rsidR="00234D34" w:rsidRDefault="00234D34" w:rsidP="00234D34">
      <w:r>
        <w:t>Period: EC II</w:t>
      </w:r>
    </w:p>
    <w:p w:rsidR="00234D34" w:rsidRDefault="00234D34" w:rsidP="00234D34">
      <w:r>
        <w:t>Date: 2800-2300 BCE</w:t>
      </w:r>
    </w:p>
    <w:p w:rsidR="00234D34" w:rsidRDefault="00234D34" w:rsidP="00234D34">
      <w:r>
        <w:t>Dems: L: 9cm</w:t>
      </w:r>
    </w:p>
    <w:p w:rsidR="00234D34" w:rsidRDefault="00234D34" w:rsidP="00234D34">
      <w:r>
        <w:t>Provenance: Amorgos, Dokathismata, Grave A</w:t>
      </w:r>
    </w:p>
    <w:p w:rsidR="00234D34" w:rsidRDefault="00234D34" w:rsidP="00234D34">
      <w:r>
        <w:t>Location/Access. no.: National Archaeological Museum Athens, 4730</w:t>
      </w:r>
    </w:p>
    <w:p w:rsidR="00234D34" w:rsidRDefault="00234D34" w:rsidP="00234D34">
      <w:r>
        <w:t xml:space="preserve">Description: silver pin with a ram finial. “A silver pin the head of which is a miniature modelled ram on a flat base. The execution is remarkably realistic. This rare pin comes from a rich Cycladic grave which contained other precious items of silver and bronze jewelry.” (Papathanasopoulos, 134) </w:t>
      </w:r>
    </w:p>
    <w:p w:rsidR="00234D34" w:rsidRDefault="00234D34" w:rsidP="00234D34">
      <w:pPr>
        <w:jc w:val="center"/>
      </w:pPr>
      <w:r>
        <w:t>Notes:</w:t>
      </w:r>
    </w:p>
    <w:p w:rsidR="00234D34" w:rsidRDefault="00234D34" w:rsidP="00234D34">
      <w:r>
        <w:t xml:space="preserve">E. Sapouna-Sakellariakis, </w:t>
      </w:r>
      <w:r w:rsidRPr="00234D34">
        <w:rPr>
          <w:i/>
        </w:rPr>
        <w:t xml:space="preserve">Cycladic Civilization and the Cycladic Collection of the </w:t>
      </w:r>
      <w:r w:rsidRPr="00234D34">
        <w:rPr>
          <w:i/>
        </w:rPr>
        <w:tab/>
        <w:t>National Archaeological Museum of Athens</w:t>
      </w:r>
      <w:r>
        <w:t xml:space="preserve">, (Athens: Apollo Editions, 1973), </w:t>
      </w:r>
      <w:r>
        <w:tab/>
        <w:t>26, pl. 23.</w:t>
      </w:r>
    </w:p>
    <w:p w:rsidR="00234D34" w:rsidRDefault="00234D34" w:rsidP="00234D34"/>
    <w:p w:rsidR="00234D34" w:rsidRDefault="00234D34" w:rsidP="00234D34">
      <w:r>
        <w:lastRenderedPageBreak/>
        <w:t xml:space="preserve">G. Papathanasopoulos, </w:t>
      </w:r>
      <w:r w:rsidRPr="00234D34">
        <w:rPr>
          <w:i/>
        </w:rPr>
        <w:t xml:space="preserve">National Archaeological Museum: Catalogue of Neolithic and </w:t>
      </w:r>
      <w:r w:rsidRPr="00234D34">
        <w:rPr>
          <w:i/>
        </w:rPr>
        <w:tab/>
        <w:t>Cycladic Collections,</w:t>
      </w:r>
      <w:r>
        <w:t xml:space="preserve"> (Athens: Melissa Editions, 1981), 134-135, pl. 62.5.</w:t>
      </w:r>
    </w:p>
    <w:p w:rsidR="00234D34" w:rsidRDefault="00234D34" w:rsidP="00234D34">
      <w:r>
        <w:t xml:space="preserve">Jürgen Thimme, ed., </w:t>
      </w:r>
      <w:r w:rsidRPr="00234D34">
        <w:rPr>
          <w:i/>
        </w:rPr>
        <w:t>Art and Culture of the Cyclades in the Third Millennium B.C.</w:t>
      </w:r>
      <w:r>
        <w:t xml:space="preserve">, </w:t>
      </w:r>
      <w:r>
        <w:tab/>
        <w:t xml:space="preserve">trans. Pat Getz-Preziosi, (Chicago: University of Chicago Press, 1977), </w:t>
      </w:r>
      <w:r>
        <w:tab/>
      </w:r>
      <w:r>
        <w:tab/>
        <w:t>124-125, fig. 98.</w:t>
      </w:r>
    </w:p>
    <w:p w:rsidR="00234D34" w:rsidRDefault="00234D34" w:rsidP="00234D34">
      <w:r>
        <w:t xml:space="preserve">Pat Getz-Gentle, Jack L. Davis and Elizabeth Oustinoff, </w:t>
      </w:r>
      <w:r w:rsidRPr="00234D34">
        <w:rPr>
          <w:i/>
        </w:rPr>
        <w:t xml:space="preserve">Early Cycladic Art in North </w:t>
      </w:r>
      <w:r w:rsidRPr="00234D34">
        <w:rPr>
          <w:i/>
        </w:rPr>
        <w:tab/>
      </w:r>
      <w:r>
        <w:rPr>
          <w:i/>
        </w:rPr>
        <w:t xml:space="preserve">American Collections, </w:t>
      </w:r>
      <w:r>
        <w:t xml:space="preserve">(Richmond, VA: Virginia Museum of Fine Arts, 1987), </w:t>
      </w:r>
      <w:r>
        <w:tab/>
        <w:t>23, fig. 17.</w:t>
      </w:r>
    </w:p>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p w:rsidR="00B05303" w:rsidRDefault="00B05303" w:rsidP="00234D34">
      <w:r w:rsidRPr="00B05303">
        <w:t xml:space="preserve">Photo Credit: Getz-Gentle, </w:t>
      </w:r>
      <w:r w:rsidRPr="00B05303">
        <w:rPr>
          <w:i/>
        </w:rPr>
        <w:t>Stone Vessels of the Cyclades in the Early Bronze Age</w:t>
      </w:r>
      <w:r w:rsidRPr="00B05303">
        <w:t>, 348.</w:t>
      </w:r>
      <w:r>
        <w:rPr>
          <w:noProof/>
          <w:lang w:bidi="ar-SA"/>
        </w:rPr>
        <w:drawing>
          <wp:anchor distT="0" distB="0" distL="114300" distR="114300" simplePos="0" relativeHeight="251723776" behindDoc="0" locked="0" layoutInCell="1" allowOverlap="1">
            <wp:simplePos x="1462088" y="1266825"/>
            <wp:positionH relativeFrom="column">
              <wp:align>left</wp:align>
            </wp:positionH>
            <wp:positionV relativeFrom="paragraph">
              <wp:align>top</wp:align>
            </wp:positionV>
            <wp:extent cx="3209290" cy="1133475"/>
            <wp:effectExtent l="0" t="0" r="0" b="9525"/>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09290" cy="1133475"/>
                    </a:xfrm>
                    <a:prstGeom prst="rect">
                      <a:avLst/>
                    </a:prstGeom>
                    <a:noFill/>
                  </pic:spPr>
                </pic:pic>
              </a:graphicData>
            </a:graphic>
          </wp:anchor>
        </w:drawing>
      </w:r>
      <w:r>
        <w:br w:type="textWrapping" w:clear="all"/>
      </w:r>
    </w:p>
    <w:p w:rsidR="00B05303" w:rsidRPr="00211162" w:rsidRDefault="00B05303" w:rsidP="00B05303">
      <w:pPr>
        <w:rPr>
          <w:b/>
        </w:rPr>
      </w:pPr>
      <w:r w:rsidRPr="00211162">
        <w:rPr>
          <w:b/>
        </w:rPr>
        <w:t>V19. Pig or Sheep Pyxis, Fragment</w:t>
      </w:r>
    </w:p>
    <w:p w:rsidR="00B05303" w:rsidRDefault="00B05303" w:rsidP="00B05303">
      <w:r>
        <w:t>Medium: marble</w:t>
      </w:r>
    </w:p>
    <w:p w:rsidR="00B05303" w:rsidRDefault="00B05303" w:rsidP="00B05303">
      <w:r>
        <w:t>Period: EC II</w:t>
      </w:r>
    </w:p>
    <w:p w:rsidR="00B05303" w:rsidRDefault="00B05303" w:rsidP="00B05303">
      <w:r>
        <w:t>Date: 2700-2300 BCE</w:t>
      </w:r>
    </w:p>
    <w:p w:rsidR="00B05303" w:rsidRDefault="00B05303" w:rsidP="00B05303">
      <w:r>
        <w:t>Dems: H: 7 cm, L: 8.3 cm</w:t>
      </w:r>
    </w:p>
    <w:p w:rsidR="00B05303" w:rsidRDefault="00B05303" w:rsidP="00B05303">
      <w:r>
        <w:t>Provenance: unknown</w:t>
      </w:r>
    </w:p>
    <w:p w:rsidR="00B05303" w:rsidRDefault="00B05303" w:rsidP="00B05303">
      <w:r>
        <w:t>Location/Access. no.: J. Paul Getty Museum, L. 89. AA.21</w:t>
      </w:r>
    </w:p>
    <w:p w:rsidR="00B05303" w:rsidRDefault="00B05303" w:rsidP="00B05303">
      <w:r>
        <w:t>Description: This vessel has ears pricked forward.  The end of the snout is missing, and no eyes are represented.  The representation is likely of a sheep or pig.</w:t>
      </w:r>
    </w:p>
    <w:p w:rsidR="00B05303" w:rsidRDefault="00B05303" w:rsidP="00B05303">
      <w:pPr>
        <w:jc w:val="center"/>
      </w:pPr>
      <w:r>
        <w:t>Notes:</w:t>
      </w:r>
    </w:p>
    <w:p w:rsidR="00234D34" w:rsidRDefault="00B05303" w:rsidP="00B05303">
      <w:r>
        <w:t xml:space="preserve">Pat Getz-Gentle, </w:t>
      </w:r>
      <w:r w:rsidRPr="00B05303">
        <w:rPr>
          <w:i/>
        </w:rPr>
        <w:t>Stone Vessels of the Cyclades in the Early Bronze Age</w:t>
      </w:r>
      <w:r>
        <w:t xml:space="preserve">, (University </w:t>
      </w:r>
      <w:r>
        <w:tab/>
        <w:t xml:space="preserve">Park, PA: Penn State University Press, 1996), 348 pl. 79 b, text 140: “fragment </w:t>
      </w:r>
      <w:r>
        <w:tab/>
        <w:t xml:space="preserve">in the form of a hedgehog?, forepart only, snout missing”; see also p. 139, fig. </w:t>
      </w:r>
      <w:r>
        <w:tab/>
        <w:t>75b.</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r w:rsidRPr="00B05303">
        <w:lastRenderedPageBreak/>
        <w:t xml:space="preserve">Photo Credit: Getz-Gentle, </w:t>
      </w:r>
      <w:r w:rsidRPr="00B05303">
        <w:rPr>
          <w:i/>
        </w:rPr>
        <w:t>Stone Vessels of the Cyclades in the Early Bronze Age</w:t>
      </w:r>
      <w:r w:rsidRPr="00B05303">
        <w:t>, 348.</w:t>
      </w:r>
      <w:r>
        <w:rPr>
          <w:noProof/>
          <w:lang w:bidi="ar-SA"/>
        </w:rPr>
        <w:drawing>
          <wp:anchor distT="0" distB="0" distL="114300" distR="114300" simplePos="0" relativeHeight="251724800" behindDoc="0" locked="0" layoutInCell="1" allowOverlap="1">
            <wp:simplePos x="1462088" y="914400"/>
            <wp:positionH relativeFrom="column">
              <wp:align>left</wp:align>
            </wp:positionH>
            <wp:positionV relativeFrom="paragraph">
              <wp:align>top</wp:align>
            </wp:positionV>
            <wp:extent cx="3056890" cy="1371600"/>
            <wp:effectExtent l="0" t="0" r="0" b="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56890" cy="1371600"/>
                    </a:xfrm>
                    <a:prstGeom prst="rect">
                      <a:avLst/>
                    </a:prstGeom>
                    <a:noFill/>
                  </pic:spPr>
                </pic:pic>
              </a:graphicData>
            </a:graphic>
          </wp:anchor>
        </w:drawing>
      </w:r>
      <w:r>
        <w:br w:type="textWrapping" w:clear="all"/>
      </w:r>
    </w:p>
    <w:p w:rsidR="00B05303" w:rsidRPr="00211162" w:rsidRDefault="00B05303" w:rsidP="00B05303">
      <w:pPr>
        <w:rPr>
          <w:b/>
        </w:rPr>
      </w:pPr>
      <w:r w:rsidRPr="00211162">
        <w:rPr>
          <w:b/>
        </w:rPr>
        <w:t>V20. Pig or Sheep Pyxis, Fragment</w:t>
      </w:r>
    </w:p>
    <w:p w:rsidR="00B05303" w:rsidRDefault="00B05303" w:rsidP="00B05303">
      <w:r>
        <w:t>Medium: marble</w:t>
      </w:r>
    </w:p>
    <w:p w:rsidR="00B05303" w:rsidRDefault="00B05303" w:rsidP="00B05303">
      <w:r>
        <w:t>Period: EC II</w:t>
      </w:r>
    </w:p>
    <w:p w:rsidR="00B05303" w:rsidRDefault="00B05303" w:rsidP="00B05303">
      <w:r>
        <w:t>Date: 2700-2300 BCE</w:t>
      </w:r>
    </w:p>
    <w:p w:rsidR="00B05303" w:rsidRDefault="00B05303" w:rsidP="00B05303">
      <w:r>
        <w:t>Dems: H8.6 cm, L 8.6 cm</w:t>
      </w:r>
    </w:p>
    <w:p w:rsidR="00B05303" w:rsidRDefault="00B05303" w:rsidP="00B05303">
      <w:r>
        <w:t>Provenance: possibly Paros</w:t>
      </w:r>
    </w:p>
    <w:p w:rsidR="00B05303" w:rsidRDefault="00B05303" w:rsidP="00B05303">
      <w:r>
        <w:t>Location/Access. no.: Badisches Landesmuseum Karlsruhe, 76/166</w:t>
      </w:r>
    </w:p>
    <w:p w:rsidR="00B05303" w:rsidRDefault="00B05303" w:rsidP="00B05303">
      <w:r>
        <w:t xml:space="preserve">Description: “A fragmentary zoomorphic pyxis with a spherical body and a head with pointed snout. The vessel stood originally on four v-shaped stump-like feet…” (Thimme, 523) Thimme compares this to the hedgehog vessels found on Syros, Kea and Naxos; and also to a vessel from MoCA thought to be a pig. Getz-Gentle speculates that this vessel is intended to be a hedgehog. (Vessels of the Cyclades in the Early Bronze Age, 140). However, I argue that it (as well as the pyxisV8) is more likely a domesticated animal, either a sheep or pig. </w:t>
      </w:r>
    </w:p>
    <w:p w:rsidR="00B05303" w:rsidRDefault="00B05303" w:rsidP="00B05303">
      <w:pPr>
        <w:jc w:val="center"/>
      </w:pPr>
      <w:r>
        <w:t xml:space="preserve">Notes: </w:t>
      </w:r>
    </w:p>
    <w:p w:rsidR="00B05303" w:rsidRDefault="00B05303" w:rsidP="00B05303">
      <w:r>
        <w:t xml:space="preserve">Jürgen Thimme, ed., </w:t>
      </w:r>
      <w:r w:rsidRPr="00B05303">
        <w:rPr>
          <w:i/>
        </w:rPr>
        <w:t>Art and Culture of the Cyclades in the Third Millennium B.C</w:t>
      </w:r>
      <w:r>
        <w:t xml:space="preserve">., </w:t>
      </w:r>
      <w:r>
        <w:tab/>
        <w:t xml:space="preserve">trans. Pat Getz-Preziosi, (Chicago: University of Chicago Press, 1977), 340, </w:t>
      </w:r>
      <w:r>
        <w:tab/>
        <w:t>523, no.368.</w:t>
      </w:r>
    </w:p>
    <w:p w:rsidR="00B05303" w:rsidRDefault="00B05303" w:rsidP="00B05303">
      <w:r>
        <w:lastRenderedPageBreak/>
        <w:t xml:space="preserve">Pat Getz-Gentle, </w:t>
      </w:r>
      <w:r w:rsidRPr="00B05303">
        <w:rPr>
          <w:i/>
        </w:rPr>
        <w:t>Stone Vessels of the Cyclades in the Early Bronze Age</w:t>
      </w:r>
      <w:r>
        <w:t xml:space="preserve">, (University </w:t>
      </w:r>
      <w:r>
        <w:tab/>
        <w:t xml:space="preserve">Park, PA: Penn State University Press, 1996), 347-48, pl. 79a; text 140: </w:t>
      </w:r>
      <w:r>
        <w:tab/>
        <w:t>“forepart only; fragment in the form of a “hedgehog?”; see also p. 139, fig 75a.</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r w:rsidRPr="00B05303">
        <w:lastRenderedPageBreak/>
        <w:t xml:space="preserve">Photo Credit: Renfrew et al., </w:t>
      </w:r>
      <w:r w:rsidRPr="00B05303">
        <w:rPr>
          <w:i/>
        </w:rPr>
        <w:t>Kavos and the Special Deposits</w:t>
      </w:r>
      <w:r w:rsidRPr="00B05303">
        <w:t>, 314 and CD-ROM</w:t>
      </w:r>
      <w:r>
        <w:rPr>
          <w:noProof/>
          <w:lang w:bidi="ar-SA"/>
        </w:rPr>
        <w:drawing>
          <wp:anchor distT="0" distB="0" distL="114300" distR="114300" simplePos="0" relativeHeight="251725824" behindDoc="0" locked="0" layoutInCell="1" allowOverlap="1">
            <wp:simplePos x="1462088" y="914400"/>
            <wp:positionH relativeFrom="column">
              <wp:align>left</wp:align>
            </wp:positionH>
            <wp:positionV relativeFrom="paragraph">
              <wp:align>top</wp:align>
            </wp:positionV>
            <wp:extent cx="2381250" cy="2390775"/>
            <wp:effectExtent l="0" t="0" r="0" b="9525"/>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81250" cy="2390775"/>
                    </a:xfrm>
                    <a:prstGeom prst="rect">
                      <a:avLst/>
                    </a:prstGeom>
                    <a:noFill/>
                  </pic:spPr>
                </pic:pic>
              </a:graphicData>
            </a:graphic>
          </wp:anchor>
        </w:drawing>
      </w:r>
      <w:r>
        <w:br w:type="textWrapping" w:clear="all"/>
      </w:r>
    </w:p>
    <w:p w:rsidR="00B05303" w:rsidRPr="00211162" w:rsidRDefault="00B05303" w:rsidP="00B05303">
      <w:pPr>
        <w:rPr>
          <w:b/>
        </w:rPr>
      </w:pPr>
      <w:r w:rsidRPr="00211162">
        <w:rPr>
          <w:b/>
        </w:rPr>
        <w:t>P2.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57 mm, L. 40 mm, W. 39 mm</w:t>
      </w:r>
    </w:p>
    <w:p w:rsidR="00B05303" w:rsidRDefault="00B05303" w:rsidP="00B05303">
      <w:r>
        <w:t>Provenance: Kavos, Keros</w:t>
      </w:r>
    </w:p>
    <w:p w:rsidR="00B05303" w:rsidRDefault="00B05303" w:rsidP="00B05303">
      <w:r>
        <w:t>Special Finds no.: 2040</w:t>
      </w:r>
    </w:p>
    <w:p w:rsidR="00B05303" w:rsidRDefault="00B05303" w:rsidP="00B05303">
      <w:r>
        <w:t>Description: “Fine fabric, pink. Painted bichrome (black and red) dark-on-light. Urfirnis. Head, neck and a small part of the vessel’s spout…only the ends of the horns are preserved, attached to the cheeks. Because both horns broke off close to the head, the hollow interior of the protome is exposed to view. Two bands of black paint remain: one begins at the top of the head and continues along the animal’s back; the other stretches from the top of the head to the end of the muzzle. Traces of red/brown paint are visible on the horns. In all probability, the piece was the finial of a sauceboat spout.” (</w:t>
      </w:r>
      <w:r w:rsidRPr="00B05303">
        <w:rPr>
          <w:i/>
        </w:rPr>
        <w:t>Kavos and the Special Deposits</w:t>
      </w:r>
      <w:r>
        <w:t xml:space="preserve">, 313) </w:t>
      </w:r>
    </w:p>
    <w:p w:rsidR="00B05303" w:rsidRDefault="00B05303" w:rsidP="00B05303">
      <w:pPr>
        <w:jc w:val="center"/>
      </w:pPr>
      <w:r>
        <w:lastRenderedPageBreak/>
        <w:t>Notes:</w:t>
      </w:r>
    </w:p>
    <w:p w:rsidR="00B05303" w:rsidRDefault="00B05303" w:rsidP="00B05303">
      <w:r>
        <w:t xml:space="preserve">Colin Renfrew, Olga Philaniotou, Neil Brodie, Giorgos Gavalas, and Michael J. Boyd, </w:t>
      </w:r>
      <w:r>
        <w:tab/>
      </w:r>
      <w:r w:rsidRPr="00B05303">
        <w:rPr>
          <w:i/>
        </w:rPr>
        <w:t xml:space="preserve">The Sanctuary on Keros and the Origins of Aegean Ritual Practice: The </w:t>
      </w:r>
      <w:r w:rsidRPr="00B05303">
        <w:rPr>
          <w:i/>
        </w:rPr>
        <w:tab/>
        <w:t>Excavations of 2006-2008. Volume II, Kavos and The Special Deposits</w:t>
      </w:r>
      <w:r>
        <w:t xml:space="preserve">, </w:t>
      </w:r>
      <w:r>
        <w:tab/>
        <w:t xml:space="preserve">(Cambridge: University of Cambridge and McDonald Institute for </w:t>
      </w:r>
      <w:r>
        <w:tab/>
        <w:t>Archaeological Research,2015), 313.</w:t>
      </w:r>
    </w:p>
    <w:p w:rsidR="00B05303" w:rsidRDefault="00B05303" w:rsidP="00B05303">
      <w:r>
        <w:t>**Will be discussed further by Sotirakopoulou in Volume V, forthcoming.</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r w:rsidRPr="00B05303">
        <w:lastRenderedPageBreak/>
        <w:t xml:space="preserve">Photo Credit: Renfrew et al., </w:t>
      </w:r>
      <w:r w:rsidRPr="00B05303">
        <w:rPr>
          <w:i/>
        </w:rPr>
        <w:t>Kavos and the Special Deposits,</w:t>
      </w:r>
      <w:r w:rsidRPr="00B05303">
        <w:t xml:space="preserve"> 314 and CD-ROM</w:t>
      </w:r>
      <w:r>
        <w:rPr>
          <w:noProof/>
          <w:lang w:bidi="ar-SA"/>
        </w:rPr>
        <w:drawing>
          <wp:anchor distT="0" distB="0" distL="114300" distR="114300" simplePos="0" relativeHeight="251726848" behindDoc="0" locked="0" layoutInCell="1" allowOverlap="1">
            <wp:simplePos x="1462088" y="914400"/>
            <wp:positionH relativeFrom="column">
              <wp:align>left</wp:align>
            </wp:positionH>
            <wp:positionV relativeFrom="paragraph">
              <wp:align>top</wp:align>
            </wp:positionV>
            <wp:extent cx="2885440" cy="2009775"/>
            <wp:effectExtent l="0" t="0" r="0" b="952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85440" cy="2009775"/>
                    </a:xfrm>
                    <a:prstGeom prst="rect">
                      <a:avLst/>
                    </a:prstGeom>
                    <a:noFill/>
                  </pic:spPr>
                </pic:pic>
              </a:graphicData>
            </a:graphic>
          </wp:anchor>
        </w:drawing>
      </w:r>
      <w:r>
        <w:t>.</w:t>
      </w:r>
      <w:r>
        <w:br w:type="textWrapping" w:clear="all"/>
      </w:r>
    </w:p>
    <w:p w:rsidR="00B05303" w:rsidRPr="00211162" w:rsidRDefault="00B05303" w:rsidP="00B05303">
      <w:pPr>
        <w:rPr>
          <w:b/>
        </w:rPr>
      </w:pPr>
      <w:r w:rsidRPr="00211162">
        <w:rPr>
          <w:b/>
        </w:rPr>
        <w:t>P3.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39 mm, L. 37 mm, W. 36 mm</w:t>
      </w:r>
    </w:p>
    <w:p w:rsidR="00B05303" w:rsidRDefault="00B05303" w:rsidP="00B05303">
      <w:r>
        <w:t>Provenance: Kavos, Keros</w:t>
      </w:r>
    </w:p>
    <w:p w:rsidR="00B05303" w:rsidRDefault="00B05303" w:rsidP="00B05303">
      <w:r>
        <w:t>Special Finds no.: 2168</w:t>
      </w:r>
    </w:p>
    <w:p w:rsidR="00B05303" w:rsidRDefault="00B05303" w:rsidP="00B05303">
      <w:r>
        <w:t>Description: “…fine fabric, orange/brown. Self-slipped throughout. Painted dark-on-light. Head with pointed muzzle, neck and part of the vessel’s spout. The origin of the horns, where they begin their backward curve, and their termination, where they attach to the cheeks, are preserved; the middle portions are missing. Very faint traces of black paint are visible in several places, along the head, back of the neck and the horns, while better preserved black paint can be observed on the surviving parts of the right horn. Encrusted all over. In all probability, the piece was the finial of a sauceboat spout.” (</w:t>
      </w:r>
      <w:r w:rsidRPr="00B05303">
        <w:rPr>
          <w:i/>
        </w:rPr>
        <w:t>Kavos and the Special Deposits</w:t>
      </w:r>
      <w:r>
        <w:t xml:space="preserve">, 313) </w:t>
      </w:r>
    </w:p>
    <w:p w:rsidR="00B05303" w:rsidRDefault="00B05303" w:rsidP="00B05303"/>
    <w:p w:rsidR="00B05303" w:rsidRDefault="00B05303" w:rsidP="00B05303">
      <w:pPr>
        <w:jc w:val="center"/>
      </w:pPr>
      <w:r>
        <w:lastRenderedPageBreak/>
        <w:t xml:space="preserve">Notes: </w:t>
      </w:r>
    </w:p>
    <w:p w:rsidR="00B05303" w:rsidRDefault="00B05303" w:rsidP="00B05303">
      <w:r>
        <w:t xml:space="preserve">Colin Renfrew, Olga Philaniotou, Neil Brodie, Giorgos Gavalas, and Michael J. Boyd, </w:t>
      </w:r>
      <w:r>
        <w:tab/>
      </w:r>
      <w:r w:rsidRPr="00B05303">
        <w:rPr>
          <w:i/>
        </w:rPr>
        <w:t xml:space="preserve">The Sanctuary on Keros and the Origins of Aegean Ritual Practice: The </w:t>
      </w:r>
      <w:r w:rsidRPr="00B05303">
        <w:rPr>
          <w:i/>
        </w:rPr>
        <w:tab/>
        <w:t>Excavations of 2006-2008. Volume II, Kavos and The Special Deposits</w:t>
      </w:r>
      <w:r>
        <w:t xml:space="preserve">, </w:t>
      </w:r>
      <w:r>
        <w:tab/>
        <w:t xml:space="preserve">(Cambridge: University of Cambridge and McDonald Institute for </w:t>
      </w:r>
      <w:r>
        <w:tab/>
        <w:t>Archaeological Research,2015), 313.</w:t>
      </w:r>
    </w:p>
    <w:p w:rsidR="00B05303" w:rsidRDefault="00B05303" w:rsidP="00B05303">
      <w:r>
        <w:t>**Will be discussed further by Sotirakopoulou in Volume V, forthcoming.</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r w:rsidRPr="00B05303">
        <w:lastRenderedPageBreak/>
        <w:t xml:space="preserve">Photo Credit: Renfew et al., </w:t>
      </w:r>
      <w:r w:rsidRPr="00B05303">
        <w:rPr>
          <w:i/>
        </w:rPr>
        <w:t>Kavos and the Special Deposits</w:t>
      </w:r>
      <w:r w:rsidRPr="00B05303">
        <w:t>, 315 and CD-ROM</w:t>
      </w:r>
      <w:r>
        <w:rPr>
          <w:noProof/>
          <w:lang w:bidi="ar-SA"/>
        </w:rPr>
        <w:drawing>
          <wp:anchor distT="0" distB="0" distL="114300" distR="114300" simplePos="0" relativeHeight="251727872" behindDoc="0" locked="0" layoutInCell="1" allowOverlap="1">
            <wp:simplePos x="1462088" y="914400"/>
            <wp:positionH relativeFrom="column">
              <wp:align>left</wp:align>
            </wp:positionH>
            <wp:positionV relativeFrom="paragraph">
              <wp:align>top</wp:align>
            </wp:positionV>
            <wp:extent cx="3303259" cy="2038350"/>
            <wp:effectExtent l="0" t="0" r="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03259" cy="2038350"/>
                    </a:xfrm>
                    <a:prstGeom prst="rect">
                      <a:avLst/>
                    </a:prstGeom>
                    <a:noFill/>
                  </pic:spPr>
                </pic:pic>
              </a:graphicData>
            </a:graphic>
          </wp:anchor>
        </w:drawing>
      </w:r>
      <w:r>
        <w:t>.</w:t>
      </w:r>
      <w:r>
        <w:br w:type="textWrapping" w:clear="all"/>
      </w:r>
    </w:p>
    <w:p w:rsidR="00B05303" w:rsidRPr="00211162" w:rsidRDefault="00B05303" w:rsidP="00B05303">
      <w:pPr>
        <w:rPr>
          <w:b/>
        </w:rPr>
      </w:pPr>
      <w:r w:rsidRPr="00211162">
        <w:rPr>
          <w:b/>
        </w:rPr>
        <w:t>P4.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42 mm, L. 35 mm, W. 16 mm</w:t>
      </w:r>
    </w:p>
    <w:p w:rsidR="00B05303" w:rsidRDefault="00B05303" w:rsidP="00B05303">
      <w:r>
        <w:t>Provenance: Kavos, Keros</w:t>
      </w:r>
    </w:p>
    <w:p w:rsidR="00B05303" w:rsidRDefault="00B05303" w:rsidP="00B05303">
      <w:r>
        <w:t>Special Finds no.: 20013</w:t>
      </w:r>
    </w:p>
    <w:p w:rsidR="00B05303" w:rsidRDefault="00B05303" w:rsidP="00B05303">
      <w:r>
        <w:t>Description: “…fine fabric, orange. Self-slipped throughout. Fragmentary head, neck and a part of a vessel’s spout. Much of the right side of the head including the most of the right horn is missing. The muzzle is pointed. The left horn is broken off near the points of attachment to the head and cheek. Similarly, only a bit of the right horn remains on the cheek. Encrusted all over. In all probability, the piece was the finial of a sauceboat spout.” (</w:t>
      </w:r>
      <w:r w:rsidRPr="00350400">
        <w:rPr>
          <w:i/>
        </w:rPr>
        <w:t>Kavos and the Special Deposits</w:t>
      </w:r>
      <w:r>
        <w:t xml:space="preserve">, 315) </w:t>
      </w:r>
    </w:p>
    <w:p w:rsidR="00B05303" w:rsidRDefault="00B05303" w:rsidP="00B05303">
      <w:pPr>
        <w:jc w:val="center"/>
      </w:pPr>
      <w:r>
        <w:t xml:space="preserve">Notes: </w:t>
      </w:r>
    </w:p>
    <w:p w:rsidR="00B05303" w:rsidRDefault="00B05303" w:rsidP="00B05303">
      <w:r>
        <w:t xml:space="preserve">Colin Renfrew, Olga Philaniotou, Neil Brodie, Giorgos Gavalas, and Michael J. Boyd, </w:t>
      </w:r>
      <w:r>
        <w:tab/>
      </w:r>
      <w:r w:rsidRPr="00B05303">
        <w:rPr>
          <w:i/>
        </w:rPr>
        <w:t xml:space="preserve">The Sanctuary on Keros and the Origins of Aegean Ritual Practice: The </w:t>
      </w:r>
      <w:r w:rsidRPr="00B05303">
        <w:rPr>
          <w:i/>
        </w:rPr>
        <w:lastRenderedPageBreak/>
        <w:tab/>
        <w:t>Excavations of 2006-2008. Volume II, Kavos and The Special Deposits</w:t>
      </w:r>
      <w:r>
        <w:t xml:space="preserve">, </w:t>
      </w:r>
      <w:r>
        <w:tab/>
        <w:t xml:space="preserve">(Cambridge: University of Cambridge and McDonald Institute for </w:t>
      </w:r>
      <w:r>
        <w:tab/>
        <w:t>Archaeological Research,2015), 315.</w:t>
      </w:r>
    </w:p>
    <w:p w:rsidR="00B05303" w:rsidRDefault="00B05303" w:rsidP="00B05303">
      <w:r>
        <w:t>**Will be discussed further by Sotirakopoulou in Volume V, forthcoming.</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r w:rsidRPr="00B05303">
        <w:lastRenderedPageBreak/>
        <w:t xml:space="preserve">Photo Credit: Renfrew et al., </w:t>
      </w:r>
      <w:r w:rsidRPr="00B05303">
        <w:rPr>
          <w:i/>
        </w:rPr>
        <w:t>Kavos and the Special Deposits</w:t>
      </w:r>
      <w:r w:rsidRPr="00B05303">
        <w:t>, 315 and CD-ROM</w:t>
      </w:r>
      <w:r>
        <w:rPr>
          <w:noProof/>
          <w:lang w:bidi="ar-SA"/>
        </w:rPr>
        <w:drawing>
          <wp:anchor distT="0" distB="0" distL="114300" distR="114300" simplePos="0" relativeHeight="251728896" behindDoc="0" locked="0" layoutInCell="1" allowOverlap="1">
            <wp:simplePos x="1462088" y="914400"/>
            <wp:positionH relativeFrom="column">
              <wp:align>left</wp:align>
            </wp:positionH>
            <wp:positionV relativeFrom="paragraph">
              <wp:align>top</wp:align>
            </wp:positionV>
            <wp:extent cx="3198284" cy="2024063"/>
            <wp:effectExtent l="0" t="0" r="254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98284" cy="2024063"/>
                    </a:xfrm>
                    <a:prstGeom prst="rect">
                      <a:avLst/>
                    </a:prstGeom>
                    <a:noFill/>
                  </pic:spPr>
                </pic:pic>
              </a:graphicData>
            </a:graphic>
          </wp:anchor>
        </w:drawing>
      </w:r>
      <w:r>
        <w:t>.</w:t>
      </w:r>
      <w:r>
        <w:br w:type="textWrapping" w:clear="all"/>
      </w:r>
    </w:p>
    <w:p w:rsidR="00B05303" w:rsidRPr="00211162" w:rsidRDefault="00B05303" w:rsidP="00B05303">
      <w:pPr>
        <w:rPr>
          <w:b/>
        </w:rPr>
      </w:pPr>
      <w:r w:rsidRPr="00211162">
        <w:rPr>
          <w:b/>
        </w:rPr>
        <w:t>P5.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39 mm, L. 35 mm, W. 20 mm</w:t>
      </w:r>
    </w:p>
    <w:p w:rsidR="00B05303" w:rsidRDefault="00B05303" w:rsidP="00B05303">
      <w:r>
        <w:t>Provenance: Kavos, Keros</w:t>
      </w:r>
    </w:p>
    <w:p w:rsidR="00B05303" w:rsidRDefault="00B05303" w:rsidP="00B05303">
      <w:r>
        <w:t>Special Finds no.: 20016</w:t>
      </w:r>
    </w:p>
    <w:p w:rsidR="00B05303" w:rsidRDefault="00B05303" w:rsidP="00B05303">
      <w:r>
        <w:t>Description: “…fine fabric, orange. Head with pointed muzzle, neck and a small part of the vessel’s spout. The horns are missing, but the break surfaces where they were attached are visible. Badly weathered, and encrusted. In all probability, the piece was the finial of a sauceboat spout.” (</w:t>
      </w:r>
      <w:r w:rsidRPr="00350400">
        <w:rPr>
          <w:i/>
        </w:rPr>
        <w:t>Kavos and the Special Deposits</w:t>
      </w:r>
      <w:r>
        <w:t xml:space="preserve">, 315) </w:t>
      </w:r>
    </w:p>
    <w:p w:rsidR="00B05303" w:rsidRDefault="00B05303" w:rsidP="00B05303">
      <w:pPr>
        <w:jc w:val="center"/>
      </w:pPr>
      <w:r>
        <w:t xml:space="preserve">Notes: </w:t>
      </w:r>
    </w:p>
    <w:p w:rsidR="00B05303" w:rsidRDefault="00B05303" w:rsidP="00B05303">
      <w:r>
        <w:t xml:space="preserve">Colin Renfrew, Olga Philaniotou, Neil Brodie, Giorgos Gavalas, and Michael J. Boyd, </w:t>
      </w:r>
      <w:r>
        <w:tab/>
      </w:r>
      <w:r w:rsidRPr="00B05303">
        <w:rPr>
          <w:i/>
        </w:rPr>
        <w:t xml:space="preserve">The Sanctuary on Keros and the Origins of Aegean Ritual Practice: The </w:t>
      </w:r>
      <w:r w:rsidRPr="00B05303">
        <w:rPr>
          <w:i/>
        </w:rPr>
        <w:tab/>
        <w:t>Excavations of 2006-2008. Volume II, Kavos and The Special Deposits</w:t>
      </w:r>
      <w:r>
        <w:t xml:space="preserve">, </w:t>
      </w:r>
      <w:r>
        <w:lastRenderedPageBreak/>
        <w:tab/>
        <w:t xml:space="preserve">(Cambridge: University of Cambridge and McDonald Institute for </w:t>
      </w:r>
      <w:r>
        <w:tab/>
        <w:t>Archaeological Research,2015), 315.</w:t>
      </w:r>
    </w:p>
    <w:p w:rsidR="00B05303" w:rsidRDefault="00B05303" w:rsidP="00B05303">
      <w:r>
        <w:t>**Will be discussed further by Sotirakopoulou in Volume V, forthcoming.</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211162" w:rsidRDefault="00B05303" w:rsidP="00B05303">
      <w:r w:rsidRPr="00B05303">
        <w:lastRenderedPageBreak/>
        <w:t xml:space="preserve">Photo Credit: Renfrew, et al., </w:t>
      </w:r>
      <w:r w:rsidRPr="00B05303">
        <w:rPr>
          <w:i/>
        </w:rPr>
        <w:t>Kavos and the Special Deposits,</w:t>
      </w:r>
      <w:r w:rsidRPr="00B05303">
        <w:t xml:space="preserve"> 315 and CD-ROM</w:t>
      </w:r>
      <w:r>
        <w:rPr>
          <w:noProof/>
          <w:lang w:bidi="ar-SA"/>
        </w:rPr>
        <w:drawing>
          <wp:anchor distT="0" distB="0" distL="114300" distR="114300" simplePos="0" relativeHeight="251729920" behindDoc="0" locked="0" layoutInCell="1" allowOverlap="1">
            <wp:simplePos x="1462088" y="914400"/>
            <wp:positionH relativeFrom="column">
              <wp:align>left</wp:align>
            </wp:positionH>
            <wp:positionV relativeFrom="paragraph">
              <wp:align>top</wp:align>
            </wp:positionV>
            <wp:extent cx="3018790" cy="2618740"/>
            <wp:effectExtent l="0" t="0" r="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18790" cy="2618740"/>
                    </a:xfrm>
                    <a:prstGeom prst="rect">
                      <a:avLst/>
                    </a:prstGeom>
                    <a:noFill/>
                  </pic:spPr>
                </pic:pic>
              </a:graphicData>
            </a:graphic>
          </wp:anchor>
        </w:drawing>
      </w:r>
      <w:r>
        <w:t>.</w:t>
      </w:r>
      <w:r>
        <w:br w:type="textWrapping" w:clear="all"/>
      </w:r>
    </w:p>
    <w:p w:rsidR="00B05303" w:rsidRPr="00211162" w:rsidRDefault="00B05303" w:rsidP="00B05303">
      <w:pPr>
        <w:rPr>
          <w:b/>
        </w:rPr>
      </w:pPr>
      <w:r w:rsidRPr="00211162">
        <w:rPr>
          <w:b/>
        </w:rPr>
        <w:t>P6.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43 mm, L. 42 mm, W. 32 mm</w:t>
      </w:r>
    </w:p>
    <w:p w:rsidR="00B05303" w:rsidRDefault="00B05303" w:rsidP="00B05303">
      <w:r>
        <w:t>Provenance: Kavos, Keros</w:t>
      </w:r>
    </w:p>
    <w:p w:rsidR="00B05303" w:rsidRDefault="00B05303" w:rsidP="00B05303">
      <w:r>
        <w:t>Special Finds no.: 20157</w:t>
      </w:r>
    </w:p>
    <w:p w:rsidR="00B05303" w:rsidRDefault="00B05303" w:rsidP="00B05303">
      <w:r>
        <w:t>Description: “…fine fabric, pink. Buff slipped. Painted dark-on-light. Urfirnis. Head, neck and a part of a vessel’s spout. The muzzle is pointed. The right horn, oriented sideways, is preserved only near its point of attachment to the head. The left horn points to the side and then curves backward; a small section remains attached to the cheek. Traces of black urfirnis paint are visible on the top of the head, on the back of the head and neck, on the horns, and on the side of the muzzle. In all probability, the piece was the finial of a sauceboat spout.” (</w:t>
      </w:r>
      <w:r w:rsidRPr="00B05303">
        <w:rPr>
          <w:i/>
        </w:rPr>
        <w:t>Kavos and the Special Deposits</w:t>
      </w:r>
      <w:r>
        <w:t xml:space="preserve">, 315-16) </w:t>
      </w:r>
    </w:p>
    <w:p w:rsidR="00B05303" w:rsidRDefault="00B05303" w:rsidP="00B05303">
      <w:pPr>
        <w:jc w:val="center"/>
      </w:pPr>
      <w:r>
        <w:lastRenderedPageBreak/>
        <w:t xml:space="preserve">Notes: </w:t>
      </w:r>
    </w:p>
    <w:p w:rsidR="00B05303" w:rsidRDefault="00B05303" w:rsidP="00B05303">
      <w:r>
        <w:t xml:space="preserve">Colin Renfrew, Olga Philaniotou, Neil Brodie, Giorgos Gavalas, and Michael J. Boyd, </w:t>
      </w:r>
      <w:r>
        <w:tab/>
      </w:r>
      <w:r w:rsidRPr="00B05303">
        <w:rPr>
          <w:i/>
        </w:rPr>
        <w:t xml:space="preserve">The Sanctuary on Keros and the Origins of Aegean Ritual Practice: The </w:t>
      </w:r>
      <w:r w:rsidRPr="00B05303">
        <w:rPr>
          <w:i/>
        </w:rPr>
        <w:tab/>
        <w:t>Excavations of 2006-2008. Volume II, Kavos and The Special Deposits</w:t>
      </w:r>
      <w:r>
        <w:t xml:space="preserve">, </w:t>
      </w:r>
      <w:r>
        <w:tab/>
        <w:t xml:space="preserve">(Cambridge: University of Cambridge and McDonald Institute for </w:t>
      </w:r>
      <w:r>
        <w:tab/>
        <w:t>Archaeological Research,2015), 315-16.</w:t>
      </w:r>
    </w:p>
    <w:p w:rsidR="00B05303" w:rsidRDefault="00B05303" w:rsidP="00B05303">
      <w:r>
        <w:t>**Will be discussed further by Sotirakopoulou in Volume V, forthcoming.</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r w:rsidRPr="00B05303">
        <w:lastRenderedPageBreak/>
        <w:t xml:space="preserve">Photo Credit: Renfrew et al., </w:t>
      </w:r>
      <w:r w:rsidRPr="00B05303">
        <w:rPr>
          <w:i/>
        </w:rPr>
        <w:t>Kavos and the Special Deposits</w:t>
      </w:r>
      <w:r w:rsidRPr="00B05303">
        <w:t>, 316 and CD-ROM</w:t>
      </w:r>
      <w:r>
        <w:rPr>
          <w:noProof/>
          <w:lang w:bidi="ar-SA"/>
        </w:rPr>
        <w:drawing>
          <wp:anchor distT="0" distB="0" distL="114300" distR="114300" simplePos="0" relativeHeight="251730944" behindDoc="0" locked="0" layoutInCell="1" allowOverlap="1">
            <wp:simplePos x="1462088" y="914400"/>
            <wp:positionH relativeFrom="column">
              <wp:align>left</wp:align>
            </wp:positionH>
            <wp:positionV relativeFrom="paragraph">
              <wp:align>top</wp:align>
            </wp:positionV>
            <wp:extent cx="3123565" cy="2476500"/>
            <wp:effectExtent l="0" t="0" r="635"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23565" cy="2476500"/>
                    </a:xfrm>
                    <a:prstGeom prst="rect">
                      <a:avLst/>
                    </a:prstGeom>
                    <a:noFill/>
                  </pic:spPr>
                </pic:pic>
              </a:graphicData>
            </a:graphic>
          </wp:anchor>
        </w:drawing>
      </w:r>
      <w:r>
        <w:t>.</w:t>
      </w:r>
      <w:r>
        <w:br w:type="textWrapping" w:clear="all"/>
      </w:r>
    </w:p>
    <w:p w:rsidR="00B05303" w:rsidRPr="00211162" w:rsidRDefault="00B05303" w:rsidP="00B05303">
      <w:pPr>
        <w:rPr>
          <w:b/>
        </w:rPr>
      </w:pPr>
      <w:r w:rsidRPr="00211162">
        <w:rPr>
          <w:b/>
        </w:rPr>
        <w:t>P7.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44 mm, L. 24 mm, W. 23 mm</w:t>
      </w:r>
    </w:p>
    <w:p w:rsidR="00B05303" w:rsidRDefault="00B05303" w:rsidP="00B05303">
      <w:r>
        <w:t>Provenance: Kavos, Keros</w:t>
      </w:r>
    </w:p>
    <w:p w:rsidR="00B05303" w:rsidRDefault="00B05303" w:rsidP="00B05303">
      <w:r>
        <w:t>Special Finds no.: 20701</w:t>
      </w:r>
    </w:p>
    <w:p w:rsidR="00B05303" w:rsidRDefault="00B05303" w:rsidP="00B05303">
      <w:r>
        <w:t>Description: “…fine fabric, brownish/pink. Painted. Head, neck and a part of a vessel’s spout. The pointed end of the muzzle is damaged. Both horns are missing from close to their points of attachment to the head; a small section of the left horn remains attached to the cheek. Two dots of dark paint are visible, enough to reveal that the protome had been painted. Very weathered. In all probability, the piece was the finial of a sauceboat spout.” (</w:t>
      </w:r>
      <w:r w:rsidRPr="00B05303">
        <w:rPr>
          <w:i/>
        </w:rPr>
        <w:t>Kavos and the Special Deposits</w:t>
      </w:r>
      <w:r>
        <w:t xml:space="preserve">, 316) </w:t>
      </w:r>
    </w:p>
    <w:p w:rsidR="00B05303" w:rsidRDefault="00B05303" w:rsidP="00B05303"/>
    <w:p w:rsidR="00B05303" w:rsidRDefault="00B05303" w:rsidP="00B05303"/>
    <w:p w:rsidR="00B05303" w:rsidRDefault="00B05303" w:rsidP="00B05303">
      <w:pPr>
        <w:jc w:val="center"/>
      </w:pPr>
      <w:r>
        <w:lastRenderedPageBreak/>
        <w:t xml:space="preserve">Notes: </w:t>
      </w:r>
    </w:p>
    <w:p w:rsidR="00B05303" w:rsidRDefault="00B05303" w:rsidP="00B05303">
      <w:r>
        <w:t xml:space="preserve">Colin Renfrew, Olga Philaniotou, Neil Brodie, Giorgos Gavalas, and Michael J. Boyd, </w:t>
      </w:r>
      <w:r>
        <w:tab/>
      </w:r>
      <w:r w:rsidRPr="00B05303">
        <w:rPr>
          <w:i/>
        </w:rPr>
        <w:t xml:space="preserve">The Sanctuary on Keros and the Origins of Aegean Ritual Practice: The </w:t>
      </w:r>
      <w:r w:rsidRPr="00B05303">
        <w:rPr>
          <w:i/>
        </w:rPr>
        <w:tab/>
        <w:t>Excavations of 2006-2008. Volume II, Kavos and The Special Deposits</w:t>
      </w:r>
      <w:r>
        <w:t xml:space="preserve">, </w:t>
      </w:r>
      <w:r>
        <w:tab/>
        <w:t xml:space="preserve">(Cambridge: University of Cambridge and McDonald Institute for </w:t>
      </w:r>
      <w:r>
        <w:tab/>
        <w:t>Archaeological Research,2015), 316.</w:t>
      </w:r>
    </w:p>
    <w:p w:rsidR="00B05303" w:rsidRDefault="00B05303" w:rsidP="00B05303">
      <w:r>
        <w:t>**Will be discussed further by Sotirakopoulou in Volume V, forthcoming.</w:t>
      </w:r>
    </w:p>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B05303" w:rsidRDefault="00B05303" w:rsidP="00B05303"/>
    <w:p w:rsidR="00910E2C" w:rsidRDefault="00B05303" w:rsidP="00B05303">
      <w:r w:rsidRPr="00B05303">
        <w:lastRenderedPageBreak/>
        <w:t xml:space="preserve">Photo Credit: Renfrew et al., </w:t>
      </w:r>
      <w:r w:rsidRPr="00B05303">
        <w:rPr>
          <w:i/>
        </w:rPr>
        <w:t>Kavos and the Special Deposits</w:t>
      </w:r>
      <w:r w:rsidRPr="00B05303">
        <w:t>, 316 and CD-ROM</w:t>
      </w:r>
      <w:r>
        <w:rPr>
          <w:noProof/>
          <w:lang w:bidi="ar-SA"/>
        </w:rPr>
        <w:drawing>
          <wp:anchor distT="0" distB="0" distL="114300" distR="114300" simplePos="0" relativeHeight="251731968" behindDoc="0" locked="0" layoutInCell="1" allowOverlap="1">
            <wp:simplePos x="1462088" y="914400"/>
            <wp:positionH relativeFrom="column">
              <wp:align>left</wp:align>
            </wp:positionH>
            <wp:positionV relativeFrom="paragraph">
              <wp:align>top</wp:align>
            </wp:positionV>
            <wp:extent cx="3158216" cy="1976438"/>
            <wp:effectExtent l="0" t="0" r="4445" b="5080"/>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58216" cy="1976438"/>
                    </a:xfrm>
                    <a:prstGeom prst="rect">
                      <a:avLst/>
                    </a:prstGeom>
                    <a:noFill/>
                  </pic:spPr>
                </pic:pic>
              </a:graphicData>
            </a:graphic>
          </wp:anchor>
        </w:drawing>
      </w:r>
      <w:r>
        <w:t>.</w:t>
      </w:r>
      <w:r>
        <w:br w:type="textWrapping" w:clear="all"/>
      </w:r>
    </w:p>
    <w:p w:rsidR="00B05303" w:rsidRPr="00211162" w:rsidRDefault="00B05303" w:rsidP="00B05303">
      <w:pPr>
        <w:rPr>
          <w:b/>
        </w:rPr>
      </w:pPr>
      <w:r w:rsidRPr="00211162">
        <w:rPr>
          <w:b/>
        </w:rPr>
        <w:t>P8. Ram Protome</w:t>
      </w:r>
    </w:p>
    <w:p w:rsidR="00B05303" w:rsidRDefault="00B05303" w:rsidP="00B05303">
      <w:r>
        <w:t>Medium: clay</w:t>
      </w:r>
    </w:p>
    <w:p w:rsidR="00B05303" w:rsidRDefault="00B05303" w:rsidP="00B05303">
      <w:r>
        <w:t>Period: EC II</w:t>
      </w:r>
    </w:p>
    <w:p w:rsidR="00B05303" w:rsidRDefault="00B05303" w:rsidP="00B05303">
      <w:r>
        <w:t>Date: 2700-2300 B.C.</w:t>
      </w:r>
    </w:p>
    <w:p w:rsidR="00B05303" w:rsidRDefault="00B05303" w:rsidP="00B05303">
      <w:r>
        <w:t>Dems: H. 25 mm, L. 25 mm, W. 19 mm</w:t>
      </w:r>
    </w:p>
    <w:p w:rsidR="00B05303" w:rsidRDefault="00B05303" w:rsidP="00B05303">
      <w:r>
        <w:t>Provenance: Kavos, Keros</w:t>
      </w:r>
    </w:p>
    <w:p w:rsidR="00B05303" w:rsidRDefault="00B05303" w:rsidP="00B05303">
      <w:r>
        <w:t>Special Finds no.: 6831</w:t>
      </w:r>
    </w:p>
    <w:p w:rsidR="00910E2C" w:rsidRDefault="00910E2C" w:rsidP="00910E2C">
      <w:r>
        <w:t>Description: “…fine fabric, pink. Painted dark-on-light. Part of the muzzle with the end of the right horn where it attaches to the cheek Faint traces of black paint are visible on the muzzle. Encrusted. Probably part of the finial of a sauceboat spout.” (</w:t>
      </w:r>
      <w:r w:rsidRPr="00910E2C">
        <w:rPr>
          <w:i/>
        </w:rPr>
        <w:t>Kavos and the Special Deposits</w:t>
      </w:r>
      <w:r>
        <w:t xml:space="preserve">, 316) </w:t>
      </w:r>
    </w:p>
    <w:p w:rsidR="00910E2C" w:rsidRDefault="00910E2C" w:rsidP="00910E2C">
      <w:pPr>
        <w:jc w:val="center"/>
      </w:pPr>
      <w:r>
        <w:t xml:space="preserve">Notes: </w:t>
      </w:r>
    </w:p>
    <w:p w:rsidR="00910E2C" w:rsidRDefault="00910E2C" w:rsidP="00910E2C">
      <w:r>
        <w:t>Colin Renfrew, Olga Philaniotou, Neil Brodie, Giorgos Gavalas, and Michael J. Boyd,</w:t>
      </w:r>
      <w:r>
        <w:tab/>
        <w:t xml:space="preserve"> </w:t>
      </w:r>
      <w:r w:rsidRPr="00910E2C">
        <w:rPr>
          <w:i/>
        </w:rPr>
        <w:t xml:space="preserve">The Sanctuary on Keros and the Origins of Aegean Ritual Practice: The </w:t>
      </w:r>
      <w:r w:rsidRPr="00910E2C">
        <w:rPr>
          <w:i/>
        </w:rPr>
        <w:tab/>
      </w:r>
      <w:r w:rsidRPr="00910E2C">
        <w:rPr>
          <w:i/>
        </w:rPr>
        <w:tab/>
        <w:t>Excavations of 2006-2008. Volume II, Kavos and The Special Deposits</w:t>
      </w:r>
      <w:r>
        <w:t xml:space="preserve">, </w:t>
      </w:r>
      <w:r>
        <w:lastRenderedPageBreak/>
        <w:tab/>
        <w:t xml:space="preserve">(Cambridge: University of Cambridge and McDonald Institute for </w:t>
      </w:r>
      <w:r>
        <w:tab/>
        <w:t>Archaeological Research,2015), 316.</w:t>
      </w:r>
    </w:p>
    <w:p w:rsidR="00910E2C" w:rsidRDefault="00910E2C" w:rsidP="00910E2C">
      <w:r>
        <w:t>**Will be discussed further by Sotirakopoulou in Volume V, forthcoming.</w:t>
      </w:r>
    </w:p>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r w:rsidRPr="00910E2C">
        <w:lastRenderedPageBreak/>
        <w:t xml:space="preserve">Photo Credit: Renfrew, et al., </w:t>
      </w:r>
      <w:r w:rsidRPr="00910E2C">
        <w:rPr>
          <w:i/>
        </w:rPr>
        <w:t>Kavos and the Special Deposits</w:t>
      </w:r>
      <w:r w:rsidRPr="00910E2C">
        <w:t>, 316 and CD-ROM</w:t>
      </w:r>
      <w:r>
        <w:rPr>
          <w:noProof/>
          <w:lang w:bidi="ar-SA"/>
        </w:rPr>
        <w:drawing>
          <wp:anchor distT="0" distB="0" distL="114300" distR="114300" simplePos="0" relativeHeight="251732992" behindDoc="0" locked="0" layoutInCell="1" allowOverlap="1">
            <wp:simplePos x="1462088" y="914400"/>
            <wp:positionH relativeFrom="column">
              <wp:align>left</wp:align>
            </wp:positionH>
            <wp:positionV relativeFrom="paragraph">
              <wp:align>top</wp:align>
            </wp:positionV>
            <wp:extent cx="3077557" cy="1824038"/>
            <wp:effectExtent l="0" t="0" r="8890" b="508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77557" cy="1824038"/>
                    </a:xfrm>
                    <a:prstGeom prst="rect">
                      <a:avLst/>
                    </a:prstGeom>
                    <a:noFill/>
                  </pic:spPr>
                </pic:pic>
              </a:graphicData>
            </a:graphic>
          </wp:anchor>
        </w:drawing>
      </w:r>
      <w:r>
        <w:t>.</w:t>
      </w:r>
      <w:r>
        <w:br w:type="textWrapping" w:clear="all"/>
      </w:r>
    </w:p>
    <w:p w:rsidR="00910E2C" w:rsidRPr="00211162" w:rsidRDefault="00910E2C" w:rsidP="00910E2C">
      <w:pPr>
        <w:rPr>
          <w:b/>
        </w:rPr>
      </w:pPr>
      <w:r w:rsidRPr="00211162">
        <w:rPr>
          <w:b/>
        </w:rPr>
        <w:t>P9. Ram Protome</w:t>
      </w:r>
    </w:p>
    <w:p w:rsidR="00910E2C" w:rsidRDefault="00910E2C" w:rsidP="00910E2C">
      <w:r>
        <w:t>Medium: clay</w:t>
      </w:r>
    </w:p>
    <w:p w:rsidR="00910E2C" w:rsidRDefault="00910E2C" w:rsidP="00910E2C">
      <w:r>
        <w:t>Period: EC II</w:t>
      </w:r>
    </w:p>
    <w:p w:rsidR="00910E2C" w:rsidRDefault="00910E2C" w:rsidP="00910E2C">
      <w:r>
        <w:t>Date: 2700-2300 B.C.</w:t>
      </w:r>
    </w:p>
    <w:p w:rsidR="00910E2C" w:rsidRDefault="00910E2C" w:rsidP="00910E2C">
      <w:r>
        <w:t>Dems: H. 34 mm, L. 28 mm, W. 12 mm</w:t>
      </w:r>
    </w:p>
    <w:p w:rsidR="00910E2C" w:rsidRDefault="00910E2C" w:rsidP="00910E2C">
      <w:r>
        <w:t>Provenance: Kavos, Keros</w:t>
      </w:r>
    </w:p>
    <w:p w:rsidR="00910E2C" w:rsidRDefault="00910E2C" w:rsidP="00910E2C">
      <w:r>
        <w:t>Special Finds no.: 20014</w:t>
      </w:r>
    </w:p>
    <w:p w:rsidR="00910E2C" w:rsidRDefault="00910E2C" w:rsidP="00910E2C">
      <w:r>
        <w:t>Description: “…fine fabric, orange. Top of the head with the beginning of a horn oriented sideways. Probably part of the finial of a sauceboat spout.” (</w:t>
      </w:r>
      <w:r w:rsidRPr="00910E2C">
        <w:rPr>
          <w:i/>
        </w:rPr>
        <w:t>Kavos and the Special Deposits</w:t>
      </w:r>
      <w:r>
        <w:t>, 316)</w:t>
      </w:r>
    </w:p>
    <w:p w:rsidR="00910E2C" w:rsidRDefault="00910E2C" w:rsidP="00910E2C">
      <w:pPr>
        <w:jc w:val="center"/>
      </w:pPr>
      <w:r>
        <w:t>Notes:</w:t>
      </w:r>
    </w:p>
    <w:p w:rsidR="00910E2C" w:rsidRDefault="00910E2C" w:rsidP="00910E2C">
      <w:r>
        <w:t xml:space="preserve">Colin Renfrew, Olga Philaniotou, Neil Brodie, Giorgos Gavalas, and Michael J. Boyd, </w:t>
      </w:r>
      <w:r>
        <w:tab/>
      </w:r>
      <w:r w:rsidRPr="00910E2C">
        <w:rPr>
          <w:i/>
        </w:rPr>
        <w:t xml:space="preserve">The Sanctuary on Keros and the Origins of Aegean Ritual Practice: The </w:t>
      </w:r>
      <w:r w:rsidRPr="00910E2C">
        <w:rPr>
          <w:i/>
        </w:rPr>
        <w:tab/>
        <w:t>Excavations of 2006-2008. Volume II, Kavos and The Special Deposits</w:t>
      </w:r>
      <w:r>
        <w:t xml:space="preserve">, </w:t>
      </w:r>
      <w:r>
        <w:tab/>
        <w:t xml:space="preserve">(Cambridge: University of Cambridge and McDonald Institute for </w:t>
      </w:r>
      <w:r>
        <w:tab/>
        <w:t>Archaeological Research,2015), 316.</w:t>
      </w:r>
    </w:p>
    <w:p w:rsidR="00910E2C" w:rsidRDefault="00910E2C" w:rsidP="00910E2C">
      <w:r>
        <w:t>**Will be discussed further by Sotirakopoulou in Volume V, forthcoming.</w:t>
      </w:r>
    </w:p>
    <w:p w:rsidR="00910E2C" w:rsidRDefault="00910E2C" w:rsidP="00910E2C">
      <w:r w:rsidRPr="00910E2C">
        <w:lastRenderedPageBreak/>
        <w:t xml:space="preserve">Photo Credit: Renfrew, et al., </w:t>
      </w:r>
      <w:r w:rsidRPr="00910E2C">
        <w:rPr>
          <w:i/>
        </w:rPr>
        <w:t>Kavos and the Special Deposits</w:t>
      </w:r>
      <w:r w:rsidRPr="00910E2C">
        <w:t>, 314 and CD-ROM</w:t>
      </w:r>
      <w:r>
        <w:rPr>
          <w:noProof/>
          <w:lang w:bidi="ar-SA"/>
        </w:rPr>
        <w:drawing>
          <wp:anchor distT="0" distB="0" distL="114300" distR="114300" simplePos="0" relativeHeight="251734016" behindDoc="0" locked="0" layoutInCell="1" allowOverlap="1">
            <wp:simplePos x="1462088" y="914400"/>
            <wp:positionH relativeFrom="column">
              <wp:align>left</wp:align>
            </wp:positionH>
            <wp:positionV relativeFrom="paragraph">
              <wp:align>top</wp:align>
            </wp:positionV>
            <wp:extent cx="2960814" cy="1695450"/>
            <wp:effectExtent l="0" t="0" r="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60814" cy="1695450"/>
                    </a:xfrm>
                    <a:prstGeom prst="rect">
                      <a:avLst/>
                    </a:prstGeom>
                    <a:noFill/>
                  </pic:spPr>
                </pic:pic>
              </a:graphicData>
            </a:graphic>
          </wp:anchor>
        </w:drawing>
      </w:r>
      <w:r>
        <w:t>.</w:t>
      </w:r>
      <w:r>
        <w:br w:type="textWrapping" w:clear="all"/>
      </w:r>
    </w:p>
    <w:p w:rsidR="00910E2C" w:rsidRPr="00211162" w:rsidRDefault="00910E2C" w:rsidP="00910E2C">
      <w:pPr>
        <w:rPr>
          <w:b/>
        </w:rPr>
      </w:pPr>
      <w:r w:rsidRPr="00211162">
        <w:rPr>
          <w:b/>
        </w:rPr>
        <w:t>P10. Ram Protome</w:t>
      </w:r>
    </w:p>
    <w:p w:rsidR="00910E2C" w:rsidRDefault="00910E2C" w:rsidP="00910E2C">
      <w:r>
        <w:t>Medium: clay</w:t>
      </w:r>
    </w:p>
    <w:p w:rsidR="00910E2C" w:rsidRDefault="00910E2C" w:rsidP="00910E2C">
      <w:r>
        <w:t>Period: EC II</w:t>
      </w:r>
    </w:p>
    <w:p w:rsidR="00910E2C" w:rsidRDefault="00910E2C" w:rsidP="00910E2C">
      <w:r>
        <w:t>Date: 2700-2300 B.C.</w:t>
      </w:r>
    </w:p>
    <w:p w:rsidR="00910E2C" w:rsidRDefault="00910E2C" w:rsidP="00910E2C">
      <w:r>
        <w:t>Dems: H.  48 mm, L.  40 mm, W. 36 mm</w:t>
      </w:r>
    </w:p>
    <w:p w:rsidR="00910E2C" w:rsidRDefault="00910E2C" w:rsidP="00910E2C">
      <w:r>
        <w:t>Provenance: Kavos, Keros</w:t>
      </w:r>
    </w:p>
    <w:p w:rsidR="00910E2C" w:rsidRDefault="00910E2C" w:rsidP="00910E2C">
      <w:r w:rsidRPr="00910E2C">
        <w:t>Special Finds no.: 2445</w:t>
      </w:r>
    </w:p>
    <w:p w:rsidR="00910E2C" w:rsidRDefault="00910E2C" w:rsidP="00910E2C">
      <w:r>
        <w:t>Description: “…fine fabric, grey core, orange surfaces. Self-slipped throughout. Painted bichrome (black and red) dark-on-light. Head, neck and a part of the vessel’s spout. The end of the pointed muzzle is chipped. The horns end on cheeks, somewhat less carefully than on the other protomes. The right horn is missing from close to its point of attachment to the head, while the left horn is oriented sideways and then backwards. The middle section is missing. Faint traces of black paint are visible below the muzzle, on the horn and around the neck; red paint can be observed at the top of the head where horns begin. In all probability, the piece was the finial of a sauceboat spout.” (</w:t>
      </w:r>
      <w:r w:rsidRPr="00910E2C">
        <w:rPr>
          <w:i/>
        </w:rPr>
        <w:t>Kavos and the Special Deposits</w:t>
      </w:r>
      <w:r>
        <w:t xml:space="preserve">, 313-15) </w:t>
      </w:r>
    </w:p>
    <w:p w:rsidR="00910E2C" w:rsidRDefault="00910E2C" w:rsidP="00910E2C">
      <w:pPr>
        <w:jc w:val="center"/>
      </w:pPr>
    </w:p>
    <w:p w:rsidR="00910E2C" w:rsidRDefault="00910E2C" w:rsidP="00910E2C">
      <w:pPr>
        <w:jc w:val="center"/>
      </w:pPr>
      <w:r>
        <w:lastRenderedPageBreak/>
        <w:t xml:space="preserve">Notes: </w:t>
      </w:r>
    </w:p>
    <w:p w:rsidR="00910E2C" w:rsidRDefault="00910E2C" w:rsidP="00910E2C">
      <w:r>
        <w:t xml:space="preserve">Colin Renfrew, Olga Philaniotou, Neil Brodie, Giorgos Gavalas, and Michael J. Boyd, </w:t>
      </w:r>
      <w:r>
        <w:tab/>
      </w:r>
      <w:r w:rsidRPr="00910E2C">
        <w:rPr>
          <w:i/>
        </w:rPr>
        <w:t xml:space="preserve">The Sanctuary on Keros and the Origins of Aegean Ritual Practice: The </w:t>
      </w:r>
      <w:r w:rsidRPr="00910E2C">
        <w:rPr>
          <w:i/>
        </w:rPr>
        <w:tab/>
        <w:t>Excavations of 2006-2008. Volume II, Kavos and The Special Deposits</w:t>
      </w:r>
      <w:r>
        <w:t xml:space="preserve">, </w:t>
      </w:r>
      <w:r>
        <w:tab/>
        <w:t xml:space="preserve">(Cambridge: University of Cambridge and McDonald Institute for </w:t>
      </w:r>
      <w:r>
        <w:tab/>
        <w:t>Archaeological Research,2015), 313-15.</w:t>
      </w:r>
    </w:p>
    <w:p w:rsidR="00910E2C" w:rsidRDefault="00910E2C" w:rsidP="00910E2C">
      <w:r>
        <w:t xml:space="preserve">**Will be discussed further by Sotirakopoulou in Volume V, forthcoming. </w:t>
      </w:r>
    </w:p>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r>
        <w:rPr>
          <w:noProof/>
          <w:lang w:bidi="ar-SA"/>
        </w:rPr>
        <w:lastRenderedPageBreak/>
        <w:drawing>
          <wp:inline distT="0" distB="0" distL="0" distR="0" wp14:anchorId="143FB1E6">
            <wp:extent cx="5195253" cy="981416"/>
            <wp:effectExtent l="0" t="0" r="5715" b="952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38167" cy="989523"/>
                    </a:xfrm>
                    <a:prstGeom prst="rect">
                      <a:avLst/>
                    </a:prstGeom>
                    <a:noFill/>
                  </pic:spPr>
                </pic:pic>
              </a:graphicData>
            </a:graphic>
          </wp:inline>
        </w:drawing>
      </w:r>
    </w:p>
    <w:p w:rsidR="00910E2C" w:rsidRDefault="00910E2C" w:rsidP="00910E2C">
      <w:r w:rsidRPr="00910E2C">
        <w:t>Photo Credit: Renfrew et al., “Keros: Dhaskalio and Kavos”, 116.</w:t>
      </w:r>
    </w:p>
    <w:p w:rsidR="00910E2C" w:rsidRDefault="00910E2C" w:rsidP="00910E2C"/>
    <w:p w:rsidR="00910E2C" w:rsidRPr="00211162" w:rsidRDefault="00910E2C" w:rsidP="00910E2C">
      <w:pPr>
        <w:rPr>
          <w:b/>
        </w:rPr>
      </w:pPr>
      <w:r w:rsidRPr="00211162">
        <w:rPr>
          <w:b/>
        </w:rPr>
        <w:t>P11-15 Ram</w:t>
      </w:r>
      <w:r w:rsidR="00350400">
        <w:rPr>
          <w:b/>
        </w:rPr>
        <w:t>’s</w:t>
      </w:r>
      <w:r w:rsidRPr="00211162">
        <w:rPr>
          <w:b/>
        </w:rPr>
        <w:t xml:space="preserve"> Head Spout Fragments</w:t>
      </w:r>
    </w:p>
    <w:p w:rsidR="00910E2C" w:rsidRDefault="00910E2C" w:rsidP="00910E2C">
      <w:r>
        <w:t>Medium: clay</w:t>
      </w:r>
    </w:p>
    <w:p w:rsidR="00910E2C" w:rsidRDefault="00910E2C" w:rsidP="00910E2C">
      <w:r>
        <w:t>Period: EC II</w:t>
      </w:r>
    </w:p>
    <w:p w:rsidR="00910E2C" w:rsidRDefault="00910E2C" w:rsidP="00910E2C">
      <w:r>
        <w:t>Date: 2700-2400 BC</w:t>
      </w:r>
    </w:p>
    <w:p w:rsidR="00910E2C" w:rsidRDefault="00910E2C" w:rsidP="00910E2C">
      <w:r>
        <w:t xml:space="preserve">Provenance: Keros, possible imports </w:t>
      </w:r>
    </w:p>
    <w:p w:rsidR="00910E2C" w:rsidRDefault="00910E2C" w:rsidP="00910E2C">
      <w:r>
        <w:t>Excavation. no.: Coo42, B1 L4</w:t>
      </w:r>
    </w:p>
    <w:p w:rsidR="00910E2C" w:rsidRDefault="00910E2C" w:rsidP="00910E2C">
      <w:r>
        <w:t>Description: “There are five animal head protomes in the form of a ram or bull from sauceboat spouts, similar to those known from the north-east Peloponnese and thought to probably have been imported from that area.” (Renfrew et al., 115)</w:t>
      </w:r>
    </w:p>
    <w:p w:rsidR="00910E2C" w:rsidRDefault="00910E2C" w:rsidP="00910E2C">
      <w:pPr>
        <w:jc w:val="center"/>
      </w:pPr>
      <w:r>
        <w:t xml:space="preserve">Notes: </w:t>
      </w:r>
    </w:p>
    <w:p w:rsidR="00B05303" w:rsidRDefault="00910E2C" w:rsidP="00910E2C">
      <w:r>
        <w:t xml:space="preserve">Renfrew, Colin et al., “Keros: Dhaskalio and Kavos, Early Cycladic Stronghold and </w:t>
      </w:r>
      <w:r>
        <w:tab/>
        <w:t xml:space="preserve">Ritual Centre. Preliminary Report of the 2006 and 2007 Excavation Seasons.” </w:t>
      </w:r>
      <w:r>
        <w:tab/>
        <w:t>The Annual of the British School at Athens 102 (2007): 103-136. Accessed 5-</w:t>
      </w:r>
      <w:r>
        <w:tab/>
        <w:t xml:space="preserve">26-2016 </w:t>
      </w:r>
      <w:r w:rsidRPr="00910E2C">
        <w:t>http://www.jstor.org/stable/30245247</w:t>
      </w:r>
      <w:r>
        <w:t>.</w:t>
      </w:r>
    </w:p>
    <w:p w:rsidR="00910E2C" w:rsidRDefault="00910E2C" w:rsidP="00910E2C"/>
    <w:p w:rsidR="00910E2C" w:rsidRDefault="00910E2C" w:rsidP="00910E2C"/>
    <w:p w:rsidR="00910E2C" w:rsidRDefault="00910E2C" w:rsidP="00910E2C"/>
    <w:p w:rsidR="00910E2C" w:rsidRDefault="00910E2C" w:rsidP="00910E2C">
      <w:r w:rsidRPr="00910E2C">
        <w:lastRenderedPageBreak/>
        <w:t>Illustration of intact sauceboat showing the ram’s head protome. (Renfrew et al., “Keros: Dhaskalio and Kavos”, 118).</w:t>
      </w:r>
      <w:r>
        <w:rPr>
          <w:noProof/>
          <w:lang w:bidi="ar-SA"/>
        </w:rPr>
        <w:drawing>
          <wp:anchor distT="0" distB="0" distL="114300" distR="114300" simplePos="0" relativeHeight="251735040" behindDoc="0" locked="0" layoutInCell="1" allowOverlap="1">
            <wp:simplePos x="1462088" y="914400"/>
            <wp:positionH relativeFrom="column">
              <wp:align>left</wp:align>
            </wp:positionH>
            <wp:positionV relativeFrom="paragraph">
              <wp:align>top</wp:align>
            </wp:positionV>
            <wp:extent cx="1228725" cy="933450"/>
            <wp:effectExtent l="0" t="0" r="9525" b="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28725" cy="933450"/>
                    </a:xfrm>
                    <a:prstGeom prst="rect">
                      <a:avLst/>
                    </a:prstGeom>
                    <a:noFill/>
                  </pic:spPr>
                </pic:pic>
              </a:graphicData>
            </a:graphic>
          </wp:anchor>
        </w:drawing>
      </w:r>
      <w:r>
        <w:br w:type="textWrapping" w:clear="all"/>
      </w:r>
    </w:p>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p w:rsidR="00910E2C" w:rsidRDefault="00910E2C" w:rsidP="00910E2C">
      <w:r>
        <w:rPr>
          <w:noProof/>
          <w:lang w:bidi="ar-SA"/>
        </w:rPr>
        <w:lastRenderedPageBreak/>
        <mc:AlternateContent>
          <mc:Choice Requires="wps">
            <w:drawing>
              <wp:anchor distT="45720" distB="45720" distL="114300" distR="114300" simplePos="0" relativeHeight="251737088" behindDoc="0" locked="0" layoutInCell="1" allowOverlap="1">
                <wp:simplePos x="0" y="0"/>
                <wp:positionH relativeFrom="margin">
                  <wp:posOffset>-953</wp:posOffset>
                </wp:positionH>
                <wp:positionV relativeFrom="paragraph">
                  <wp:posOffset>292417</wp:posOffset>
                </wp:positionV>
                <wp:extent cx="2134870" cy="450850"/>
                <wp:effectExtent l="0" t="0" r="13970" b="2540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450850"/>
                        </a:xfrm>
                        <a:prstGeom prst="rect">
                          <a:avLst/>
                        </a:prstGeom>
                        <a:solidFill>
                          <a:srgbClr val="FFFFFF"/>
                        </a:solidFill>
                        <a:ln w="9525">
                          <a:solidFill>
                            <a:srgbClr val="000000"/>
                          </a:solidFill>
                          <a:miter lim="800000"/>
                          <a:headEnd/>
                          <a:tailEnd/>
                        </a:ln>
                      </wps:spPr>
                      <wps:txbx>
                        <w:txbxContent>
                          <w:p w:rsidR="00350400" w:rsidRPr="00910E2C" w:rsidRDefault="00350400">
                            <w:pPr>
                              <w:rPr>
                                <w:b/>
                              </w:rPr>
                            </w:pPr>
                            <w:r w:rsidRPr="00910E2C">
                              <w:rPr>
                                <w:b/>
                              </w:rPr>
                              <w:t>Photo Not Available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6" type="#_x0000_t202" style="position:absolute;margin-left:-.1pt;margin-top:23pt;width:168.1pt;height:35.5pt;z-index:25173708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">
                <v:textbox style="mso-fit-shape-to-text:t">
                  <w:txbxContent>
                    <w:p w:rsidR="00350400" w:rsidRPr="00910E2C" w:rsidRDefault="00350400">
                      <w:pPr>
                        <w:rPr>
                          <w:b/>
                        </w:rPr>
                      </w:pPr>
                      <w:r w:rsidRPr="00910E2C">
                        <w:rPr>
                          <w:b/>
                        </w:rPr>
                        <w:t>Photo Not Available</w:t>
                      </w:r>
                    </w:p>
                  </w:txbxContent>
                </v:textbox>
                <w10:wrap type="square" anchorx="margin"/>
              </v:shape>
            </w:pict>
          </mc:Fallback>
        </mc:AlternateContent>
      </w:r>
    </w:p>
    <w:p w:rsidR="00910E2C" w:rsidRPr="00910E2C" w:rsidRDefault="00910E2C" w:rsidP="00910E2C"/>
    <w:p w:rsidR="00910E2C" w:rsidRDefault="00910E2C" w:rsidP="00910E2C"/>
    <w:p w:rsidR="00910E2C" w:rsidRPr="00211162" w:rsidRDefault="00910E2C" w:rsidP="00910E2C">
      <w:pPr>
        <w:rPr>
          <w:b/>
        </w:rPr>
      </w:pPr>
      <w:r w:rsidRPr="00211162">
        <w:rPr>
          <w:b/>
        </w:rPr>
        <w:t>P16. Ram</w:t>
      </w:r>
      <w:r w:rsidR="00350400">
        <w:rPr>
          <w:b/>
        </w:rPr>
        <w:t>’s</w:t>
      </w:r>
      <w:r w:rsidRPr="00211162">
        <w:rPr>
          <w:b/>
        </w:rPr>
        <w:t xml:space="preserve"> Head Spout Fragments</w:t>
      </w:r>
    </w:p>
    <w:p w:rsidR="00910E2C" w:rsidRDefault="00910E2C" w:rsidP="00910E2C">
      <w:r>
        <w:t>Medium: clay</w:t>
      </w:r>
    </w:p>
    <w:p w:rsidR="00910E2C" w:rsidRDefault="00910E2C" w:rsidP="00910E2C">
      <w:r>
        <w:t>Period: EC II</w:t>
      </w:r>
    </w:p>
    <w:p w:rsidR="00910E2C" w:rsidRDefault="00910E2C" w:rsidP="00910E2C">
      <w:r>
        <w:t>Date: 2700-2300 B.C.</w:t>
      </w:r>
    </w:p>
    <w:p w:rsidR="00910E2C" w:rsidRDefault="00910E2C" w:rsidP="00910E2C">
      <w:r>
        <w:t>Dems: H, 22 mm; L, 17 mm; W, 10mm</w:t>
      </w:r>
    </w:p>
    <w:p w:rsidR="00910E2C" w:rsidRDefault="00910E2C" w:rsidP="00910E2C">
      <w:r>
        <w:t>Provenance: Kavos, Keros</w:t>
      </w:r>
    </w:p>
    <w:p w:rsidR="00910E2C" w:rsidRDefault="00910E2C" w:rsidP="00910E2C">
      <w:r>
        <w:t>Special Finds no.: 20015</w:t>
      </w:r>
    </w:p>
    <w:p w:rsidR="004B330E" w:rsidRDefault="004B330E" w:rsidP="004B330E">
      <w:r>
        <w:t>Description: “</w:t>
      </w:r>
      <w:r w:rsidR="00683D2F">
        <w:t>F</w:t>
      </w:r>
      <w:r>
        <w:t xml:space="preserve">ine fabric, buff. Painted dark-on-light. The narrow end with trace of what appears, especially on the interior to be a spout. Faint traces of black paint along the outer surface. Probably part of the finial of a sauceboat spout.” </w:t>
      </w:r>
      <w:r w:rsidR="00683D2F">
        <w:t>I</w:t>
      </w:r>
      <w:r>
        <w:t>dentification uncertain; Very little remains</w:t>
      </w:r>
      <w:r w:rsidR="00683D2F">
        <w:t>.</w:t>
      </w:r>
      <w:r>
        <w:t xml:space="preserve"> (</w:t>
      </w:r>
      <w:r w:rsidRPr="004B330E">
        <w:rPr>
          <w:i/>
        </w:rPr>
        <w:t>Kavos and The Special Deposits</w:t>
      </w:r>
      <w:r>
        <w:t xml:space="preserve">, 316) </w:t>
      </w:r>
    </w:p>
    <w:p w:rsidR="004B330E" w:rsidRDefault="004B330E" w:rsidP="004B330E">
      <w:pPr>
        <w:jc w:val="center"/>
      </w:pPr>
      <w:r>
        <w:t xml:space="preserve">Notes: </w:t>
      </w:r>
    </w:p>
    <w:p w:rsidR="004B330E" w:rsidRDefault="004B330E" w:rsidP="004B330E">
      <w:r>
        <w:t xml:space="preserve">Colin Renfrew, Olga Philaniotou, Neil Brodie, Giorgos Gavalas, and Michael J. Boyd, </w:t>
      </w:r>
      <w:r>
        <w:tab/>
      </w:r>
      <w:r w:rsidRPr="004B330E">
        <w:rPr>
          <w:i/>
        </w:rPr>
        <w:t xml:space="preserve">The Sanctuary on Keros and the Origins of Aegean Ritual Practice: The </w:t>
      </w:r>
      <w:r w:rsidRPr="004B330E">
        <w:rPr>
          <w:i/>
        </w:rPr>
        <w:tab/>
        <w:t>Excavations of 2006-2008. Volume II, Kavos and The Special Deposits</w:t>
      </w:r>
      <w:r>
        <w:t xml:space="preserve">, </w:t>
      </w:r>
      <w:r>
        <w:tab/>
        <w:t xml:space="preserve">(Cambridge: University of Cambridge and McDonald Institute for </w:t>
      </w:r>
      <w:r>
        <w:tab/>
        <w:t>Archaeological Research,</w:t>
      </w:r>
      <w:r w:rsidR="00683D2F">
        <w:t xml:space="preserve"> </w:t>
      </w:r>
      <w:r>
        <w:t>2015), 316.</w:t>
      </w:r>
    </w:p>
    <w:p w:rsidR="004B330E" w:rsidRDefault="004B330E" w:rsidP="004B330E">
      <w:r>
        <w:t>**Will be discussed further by Sotirakopoulou in Volume V, forthcoming.</w:t>
      </w:r>
    </w:p>
    <w:p w:rsidR="004B330E" w:rsidRDefault="004B330E" w:rsidP="004B330E"/>
    <w:p w:rsidR="004B330E" w:rsidRDefault="004B330E" w:rsidP="004B330E"/>
    <w:p w:rsidR="004B330E" w:rsidRDefault="004B330E" w:rsidP="004B330E">
      <w:r w:rsidRPr="004B330E">
        <w:lastRenderedPageBreak/>
        <w:t>Photo Credit: Sotirakopoulou, “Dhaskalio Kavos, Keros: The Pottery from the Investigations of the 1960s,” 119.</w:t>
      </w:r>
      <w:r>
        <w:rPr>
          <w:noProof/>
          <w:lang w:bidi="ar-SA"/>
        </w:rPr>
        <w:drawing>
          <wp:anchor distT="0" distB="0" distL="114300" distR="114300" simplePos="0" relativeHeight="251738112" behindDoc="0" locked="0" layoutInCell="1" allowOverlap="1">
            <wp:simplePos x="1462088" y="914400"/>
            <wp:positionH relativeFrom="column">
              <wp:align>left</wp:align>
            </wp:positionH>
            <wp:positionV relativeFrom="paragraph">
              <wp:align>top</wp:align>
            </wp:positionV>
            <wp:extent cx="2927307" cy="2081213"/>
            <wp:effectExtent l="0" t="0" r="6985"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27307" cy="2081213"/>
                    </a:xfrm>
                    <a:prstGeom prst="rect">
                      <a:avLst/>
                    </a:prstGeom>
                    <a:noFill/>
                  </pic:spPr>
                </pic:pic>
              </a:graphicData>
            </a:graphic>
          </wp:anchor>
        </w:drawing>
      </w:r>
      <w:r>
        <w:br w:type="textWrapping" w:clear="all"/>
      </w:r>
    </w:p>
    <w:p w:rsidR="004B330E" w:rsidRPr="00211162" w:rsidRDefault="004B330E" w:rsidP="004B330E">
      <w:pPr>
        <w:rPr>
          <w:b/>
        </w:rPr>
      </w:pPr>
      <w:r w:rsidRPr="00211162">
        <w:rPr>
          <w:b/>
        </w:rPr>
        <w:t>P17-22. Ram Protomes</w:t>
      </w:r>
    </w:p>
    <w:p w:rsidR="004B330E" w:rsidRDefault="004B330E" w:rsidP="004B330E">
      <w:r>
        <w:t>Medium: clay</w:t>
      </w:r>
    </w:p>
    <w:p w:rsidR="004B330E" w:rsidRDefault="004B330E" w:rsidP="004B330E">
      <w:r>
        <w:t>Period: EC II</w:t>
      </w:r>
    </w:p>
    <w:p w:rsidR="004B330E" w:rsidRDefault="004B330E" w:rsidP="004B330E">
      <w:r>
        <w:t>Date: 2700-2400 BC</w:t>
      </w:r>
    </w:p>
    <w:p w:rsidR="004B330E" w:rsidRDefault="004B330E" w:rsidP="004B330E">
      <w:r>
        <w:t xml:space="preserve">Provenance: Keros, looted area </w:t>
      </w:r>
    </w:p>
    <w:p w:rsidR="004B330E" w:rsidRDefault="004B330E" w:rsidP="004B330E">
      <w:r>
        <w:t>Excavation. no.: Naxos Archaeological Museum</w:t>
      </w:r>
    </w:p>
    <w:p w:rsidR="004B330E" w:rsidRDefault="004B330E" w:rsidP="004B330E">
      <w:r>
        <w:t xml:space="preserve">Description: Six animal head protomes, probably rams, from the 1960’s excavations conducted by Doumas (Sept 1963) and Zapheiropoiulou and Tsakos (1967).  </w:t>
      </w:r>
    </w:p>
    <w:p w:rsidR="004B330E" w:rsidRDefault="004B330E" w:rsidP="004B330E">
      <w:pPr>
        <w:jc w:val="center"/>
      </w:pPr>
      <w:r>
        <w:t xml:space="preserve">Notes: </w:t>
      </w:r>
    </w:p>
    <w:p w:rsidR="004B330E" w:rsidRDefault="004B330E" w:rsidP="004B330E">
      <w:r>
        <w:t xml:space="preserve">Panayiota Sotirakopoulou, “Dhaskalio Kavos, Keros: The Pottery from the </w:t>
      </w:r>
      <w:r>
        <w:tab/>
        <w:t xml:space="preserve">Investigations of the 1960s,” in Horizon: A Colloquium on the Prehistory of the </w:t>
      </w:r>
      <w:r>
        <w:tab/>
        <w:t xml:space="preserve">Cyclades, ed. Neil Brodie et al., (Oxford: McDonald Institute for </w:t>
      </w:r>
      <w:r>
        <w:tab/>
        <w:t>Archaeological Research, 2008), 115-120.</w:t>
      </w:r>
    </w:p>
    <w:p w:rsidR="004B330E" w:rsidRDefault="004B330E" w:rsidP="004B330E"/>
    <w:p w:rsidR="004B330E" w:rsidRDefault="004B330E" w:rsidP="004B330E"/>
    <w:p w:rsidR="004B330E" w:rsidRDefault="004B330E" w:rsidP="004B330E"/>
    <w:p w:rsidR="004B330E" w:rsidRDefault="004B330E" w:rsidP="004B330E">
      <w:r>
        <w:lastRenderedPageBreak/>
        <w:t>P</w:t>
      </w:r>
      <w:r w:rsidRPr="004B330E">
        <w:t xml:space="preserve">hoto Credit: Wilson, </w:t>
      </w:r>
      <w:r w:rsidRPr="004B330E">
        <w:rPr>
          <w:i/>
        </w:rPr>
        <w:t>Keos</w:t>
      </w:r>
      <w:r>
        <w:t>, pl.</w:t>
      </w:r>
      <w:r w:rsidRPr="004B330E">
        <w:t xml:space="preserve"> 102.</w:t>
      </w:r>
      <w:r>
        <w:rPr>
          <w:noProof/>
          <w:lang w:bidi="ar-SA"/>
        </w:rPr>
        <w:drawing>
          <wp:anchor distT="0" distB="0" distL="114300" distR="114300" simplePos="0" relativeHeight="251739136" behindDoc="0" locked="0" layoutInCell="1" allowOverlap="1">
            <wp:simplePos x="1462088" y="914400"/>
            <wp:positionH relativeFrom="column">
              <wp:align>left</wp:align>
            </wp:positionH>
            <wp:positionV relativeFrom="paragraph">
              <wp:align>top</wp:align>
            </wp:positionV>
            <wp:extent cx="2885440" cy="1457325"/>
            <wp:effectExtent l="0" t="0" r="0" b="9525"/>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85440" cy="1457325"/>
                    </a:xfrm>
                    <a:prstGeom prst="rect">
                      <a:avLst/>
                    </a:prstGeom>
                    <a:noFill/>
                  </pic:spPr>
                </pic:pic>
              </a:graphicData>
            </a:graphic>
          </wp:anchor>
        </w:drawing>
      </w:r>
      <w:r>
        <w:br w:type="textWrapping" w:clear="all"/>
      </w:r>
    </w:p>
    <w:p w:rsidR="004B330E" w:rsidRPr="00211162" w:rsidRDefault="004B330E" w:rsidP="004B330E">
      <w:pPr>
        <w:rPr>
          <w:b/>
        </w:rPr>
      </w:pPr>
      <w:r w:rsidRPr="00211162">
        <w:rPr>
          <w:b/>
        </w:rPr>
        <w:t>P23. Ram</w:t>
      </w:r>
      <w:r w:rsidR="00350400">
        <w:rPr>
          <w:b/>
        </w:rPr>
        <w:t>’s H</w:t>
      </w:r>
      <w:r w:rsidRPr="00211162">
        <w:rPr>
          <w:b/>
        </w:rPr>
        <w:t xml:space="preserve">ead </w:t>
      </w:r>
    </w:p>
    <w:p w:rsidR="004B330E" w:rsidRDefault="004B330E" w:rsidP="004B330E">
      <w:r>
        <w:t>Medium: clay</w:t>
      </w:r>
    </w:p>
    <w:p w:rsidR="004B330E" w:rsidRDefault="004B330E" w:rsidP="004B330E">
      <w:r>
        <w:t>Period: EC II</w:t>
      </w:r>
    </w:p>
    <w:p w:rsidR="004B330E" w:rsidRDefault="004B330E" w:rsidP="004B330E">
      <w:r>
        <w:t>Date: 2700-2300 B.C.</w:t>
      </w:r>
    </w:p>
    <w:p w:rsidR="004B330E" w:rsidRDefault="004B330E" w:rsidP="004B330E">
      <w:r>
        <w:t>Dems: L .044, W. .033</w:t>
      </w:r>
    </w:p>
    <w:p w:rsidR="004B330E" w:rsidRDefault="004B330E" w:rsidP="004B330E">
      <w:r>
        <w:t>Provenance: Ayia Irini, Kea; Room D.1</w:t>
      </w:r>
    </w:p>
    <w:p w:rsidR="004B330E" w:rsidRDefault="004B330E" w:rsidP="004B330E">
      <w:r>
        <w:t>Location/Access. no.: Chora Museum, CM.459, K8.199</w:t>
      </w:r>
    </w:p>
    <w:p w:rsidR="004B330E" w:rsidRDefault="004B330E" w:rsidP="004B330E">
      <w:r>
        <w:t>Description: “Missing one horn and end of muzzle; coarse fabric; dark red surface typical of Period III; long sloping neck; triangular face, flattened. Right horn curled forward above the right eye (incised circle). Mouth indented by potter’s thumbnail. Head may have been a handle on a pot. Secondary use as a polisher is suggested by smoothed base of neck with traces of abrasion.” Possibly a protome. Found in the removal of paved floor and wall foundations. (Keos, 165, 258)</w:t>
      </w:r>
    </w:p>
    <w:p w:rsidR="004B330E" w:rsidRDefault="004B330E" w:rsidP="004B330E">
      <w:pPr>
        <w:jc w:val="center"/>
      </w:pPr>
      <w:r>
        <w:t xml:space="preserve">Notes: </w:t>
      </w:r>
    </w:p>
    <w:p w:rsidR="004B330E" w:rsidRDefault="004B330E" w:rsidP="004B330E">
      <w:r>
        <w:t xml:space="preserve">David E. Wilson, </w:t>
      </w:r>
      <w:r w:rsidRPr="004B330E">
        <w:rPr>
          <w:i/>
        </w:rPr>
        <w:t>Keos: Volume IX, Ayia Irini, Periods I-III</w:t>
      </w:r>
      <w:r>
        <w:t xml:space="preserve">, (Mainz am Rhein: Verlag </w:t>
      </w:r>
      <w:r>
        <w:tab/>
        <w:t>Philipp von Zabern, 1999), pl. 102, SF 406.</w:t>
      </w:r>
    </w:p>
    <w:p w:rsidR="004B330E" w:rsidRDefault="004B330E" w:rsidP="004B330E"/>
    <w:p w:rsidR="00643E1B" w:rsidRDefault="00643E1B" w:rsidP="004B330E"/>
    <w:p w:rsidR="00643E1B" w:rsidRDefault="00643E1B" w:rsidP="004B330E">
      <w:r w:rsidRPr="00643E1B">
        <w:lastRenderedPageBreak/>
        <w:t xml:space="preserve">Photo Credit: Wilson, </w:t>
      </w:r>
      <w:r w:rsidRPr="00643E1B">
        <w:rPr>
          <w:i/>
        </w:rPr>
        <w:t>Keos</w:t>
      </w:r>
      <w:r>
        <w:t>, pl.</w:t>
      </w:r>
      <w:r w:rsidRPr="00643E1B">
        <w:t xml:space="preserve"> 71.</w:t>
      </w:r>
      <w:r>
        <w:rPr>
          <w:noProof/>
          <w:lang w:bidi="ar-SA"/>
        </w:rPr>
        <w:drawing>
          <wp:anchor distT="0" distB="0" distL="114300" distR="114300" simplePos="0" relativeHeight="251740160" behindDoc="0" locked="0" layoutInCell="1" allowOverlap="1">
            <wp:simplePos x="1462088" y="914400"/>
            <wp:positionH relativeFrom="column">
              <wp:align>left</wp:align>
            </wp:positionH>
            <wp:positionV relativeFrom="paragraph">
              <wp:align>top</wp:align>
            </wp:positionV>
            <wp:extent cx="2286000" cy="1714500"/>
            <wp:effectExtent l="0" t="0" r="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pic:spPr>
                </pic:pic>
              </a:graphicData>
            </a:graphic>
          </wp:anchor>
        </w:drawing>
      </w:r>
      <w:r>
        <w:br w:type="textWrapping" w:clear="all"/>
      </w:r>
    </w:p>
    <w:p w:rsidR="00643E1B" w:rsidRPr="00211162" w:rsidRDefault="00643E1B" w:rsidP="00643E1B">
      <w:pPr>
        <w:rPr>
          <w:b/>
        </w:rPr>
      </w:pPr>
      <w:r w:rsidRPr="00211162">
        <w:rPr>
          <w:b/>
        </w:rPr>
        <w:t>P24. Ram</w:t>
      </w:r>
      <w:r w:rsidR="00350400">
        <w:rPr>
          <w:b/>
        </w:rPr>
        <w:t>’s H</w:t>
      </w:r>
      <w:r w:rsidRPr="00211162">
        <w:rPr>
          <w:b/>
        </w:rPr>
        <w:t>ead</w:t>
      </w:r>
    </w:p>
    <w:p w:rsidR="00643E1B" w:rsidRDefault="00643E1B" w:rsidP="00643E1B">
      <w:r>
        <w:t>Medium: clay</w:t>
      </w:r>
    </w:p>
    <w:p w:rsidR="00643E1B" w:rsidRDefault="00643E1B" w:rsidP="00643E1B">
      <w:r>
        <w:t>Period: EC II</w:t>
      </w:r>
    </w:p>
    <w:p w:rsidR="00643E1B" w:rsidRDefault="00643E1B" w:rsidP="00643E1B">
      <w:r>
        <w:t>Date: 2700-2300 B.C.</w:t>
      </w:r>
    </w:p>
    <w:p w:rsidR="00643E1B" w:rsidRDefault="00643E1B" w:rsidP="00643E1B">
      <w:r>
        <w:t>Dems: H: 0.037 m, W: 0.05 m</w:t>
      </w:r>
    </w:p>
    <w:p w:rsidR="00643E1B" w:rsidRDefault="00643E1B" w:rsidP="00643E1B">
      <w:r>
        <w:t>Provenance: Ayia Irini, Kea; Beneath Room A.9</w:t>
      </w:r>
    </w:p>
    <w:p w:rsidR="00643E1B" w:rsidRDefault="00643E1B" w:rsidP="00643E1B">
      <w:r>
        <w:t>Description: Orange buff, semi-fine to coarse ware. “Ram’s (?) head, applied to a jar (?)/pithos (?) body sherd...small triangular head surmounted by a thick horizontal bar (horns?) broken at both ends...deposit on and above floor associated with hearth and walls.” (</w:t>
      </w:r>
      <w:r w:rsidRPr="00643E1B">
        <w:rPr>
          <w:i/>
        </w:rPr>
        <w:t>Keos</w:t>
      </w:r>
      <w:r>
        <w:t>, 88, 260)</w:t>
      </w:r>
    </w:p>
    <w:p w:rsidR="00643E1B" w:rsidRDefault="00643E1B" w:rsidP="00643E1B">
      <w:pPr>
        <w:jc w:val="center"/>
      </w:pPr>
      <w:r>
        <w:t xml:space="preserve">Notes: </w:t>
      </w:r>
    </w:p>
    <w:p w:rsidR="00643E1B" w:rsidRDefault="00643E1B" w:rsidP="00643E1B">
      <w:r>
        <w:t xml:space="preserve">David E. Wilson, </w:t>
      </w:r>
      <w:r w:rsidRPr="00643E1B">
        <w:rPr>
          <w:i/>
        </w:rPr>
        <w:t>Keos: Volume IX, Ayia Irini, Periods I-III</w:t>
      </w:r>
      <w:r>
        <w:t xml:space="preserve">, (Mainz am Rhein: Verlag Philipp von Zabern, 1999), pl. 71, II-788.  </w:t>
      </w:r>
    </w:p>
    <w:p w:rsidR="00643E1B" w:rsidRDefault="00643E1B" w:rsidP="00643E1B"/>
    <w:p w:rsidR="00643E1B" w:rsidRDefault="00643E1B" w:rsidP="00643E1B"/>
    <w:p w:rsidR="00643E1B" w:rsidRDefault="00643E1B" w:rsidP="00643E1B"/>
    <w:p w:rsidR="00643E1B" w:rsidRDefault="00643E1B" w:rsidP="00643E1B"/>
    <w:p w:rsidR="00643E1B" w:rsidRDefault="00643E1B" w:rsidP="00643E1B">
      <w:pPr>
        <w:pStyle w:val="Heading2"/>
      </w:pPr>
      <w:bookmarkStart w:id="124" w:name="_Toc482206699"/>
      <w:r>
        <w:lastRenderedPageBreak/>
        <w:t>Early Cycladic III (2400/2300 BCE-2000 BCE)</w:t>
      </w:r>
      <w:bookmarkEnd w:id="124"/>
    </w:p>
    <w:p w:rsidR="00643E1B" w:rsidRDefault="00643E1B" w:rsidP="00643E1B">
      <w:r w:rsidRPr="00643E1B">
        <w:t xml:space="preserve">Photo Credit: Lamb, </w:t>
      </w:r>
      <w:r w:rsidRPr="00643E1B">
        <w:rPr>
          <w:i/>
        </w:rPr>
        <w:t>Corpus Vasorum Antiquorum</w:t>
      </w:r>
      <w:r w:rsidRPr="00643E1B">
        <w:t xml:space="preserve">, 480. </w:t>
      </w:r>
      <w:r>
        <w:rPr>
          <w:noProof/>
          <w:lang w:bidi="ar-SA"/>
        </w:rPr>
        <w:drawing>
          <wp:anchor distT="0" distB="0" distL="114300" distR="114300" simplePos="0" relativeHeight="251741184" behindDoc="0" locked="0" layoutInCell="1" allowOverlap="1">
            <wp:simplePos x="1462088" y="1266825"/>
            <wp:positionH relativeFrom="column">
              <wp:align>left</wp:align>
            </wp:positionH>
            <wp:positionV relativeFrom="paragraph">
              <wp:align>top</wp:align>
            </wp:positionV>
            <wp:extent cx="2771140" cy="2580640"/>
            <wp:effectExtent l="0" t="0" r="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71140" cy="2580640"/>
                    </a:xfrm>
                    <a:prstGeom prst="rect">
                      <a:avLst/>
                    </a:prstGeom>
                    <a:noFill/>
                  </pic:spPr>
                </pic:pic>
              </a:graphicData>
            </a:graphic>
          </wp:anchor>
        </w:drawing>
      </w:r>
      <w:r>
        <w:br w:type="textWrapping" w:clear="all"/>
      </w:r>
    </w:p>
    <w:p w:rsidR="00643E1B" w:rsidRPr="00211162" w:rsidRDefault="00643E1B" w:rsidP="00643E1B">
      <w:pPr>
        <w:rPr>
          <w:b/>
        </w:rPr>
      </w:pPr>
      <w:r w:rsidRPr="00211162">
        <w:rPr>
          <w:b/>
        </w:rPr>
        <w:t>V21. Theriomorphic Vase</w:t>
      </w:r>
    </w:p>
    <w:p w:rsidR="00643E1B" w:rsidRDefault="00643E1B" w:rsidP="00643E1B">
      <w:r>
        <w:t>Medium: clay</w:t>
      </w:r>
    </w:p>
    <w:p w:rsidR="00643E1B" w:rsidRDefault="00643E1B" w:rsidP="00643E1B">
      <w:r>
        <w:t>Period: EC III</w:t>
      </w:r>
    </w:p>
    <w:p w:rsidR="00643E1B" w:rsidRDefault="00643E1B" w:rsidP="00643E1B">
      <w:r>
        <w:t>Date: ca. 2300-2000 BC</w:t>
      </w:r>
    </w:p>
    <w:p w:rsidR="00643E1B" w:rsidRDefault="00643E1B" w:rsidP="00643E1B">
      <w:r>
        <w:t>Dems: H. .136 m, L. .245 m</w:t>
      </w:r>
    </w:p>
    <w:p w:rsidR="00643E1B" w:rsidRDefault="00643E1B" w:rsidP="00643E1B">
      <w:r>
        <w:t xml:space="preserve">Provenance: possibly Phylakopi, Melos </w:t>
      </w:r>
    </w:p>
    <w:p w:rsidR="00643E1B" w:rsidRDefault="00643E1B" w:rsidP="00643E1B">
      <w:r>
        <w:t>Location/Access. no.: Fitzwilliam, Cambridge, UK, GR.50.1902</w:t>
      </w:r>
    </w:p>
    <w:p w:rsidR="00643E1B" w:rsidRDefault="00643E1B" w:rsidP="00643E1B">
      <w:r>
        <w:t>Description: Similar to object V22; reconstructed; pairs of vertical lines and lozenge motif incised on the body. “Notice the pierced lug, givng the effect of a tail, on the hind-quarters. Hand-made, of reddish-brown burnished clay… [lozenge motif] is repeated three times on each flank.” (Lamb)</w:t>
      </w:r>
    </w:p>
    <w:p w:rsidR="00643E1B" w:rsidRDefault="00643E1B" w:rsidP="00643E1B"/>
    <w:p w:rsidR="00643E1B" w:rsidRDefault="00643E1B" w:rsidP="00643E1B"/>
    <w:p w:rsidR="00643E1B" w:rsidRDefault="00643E1B" w:rsidP="00643E1B">
      <w:pPr>
        <w:jc w:val="center"/>
      </w:pPr>
      <w:r>
        <w:lastRenderedPageBreak/>
        <w:t xml:space="preserve">Notes: </w:t>
      </w:r>
    </w:p>
    <w:p w:rsidR="00643E1B" w:rsidRDefault="00643E1B" w:rsidP="00643E1B">
      <w:r>
        <w:t>Winifred Lamb, </w:t>
      </w:r>
      <w:r w:rsidRPr="00643E1B">
        <w:rPr>
          <w:i/>
        </w:rPr>
        <w:t>Corpus Vasorum Antiquorum, Great Britain</w:t>
      </w:r>
      <w:r>
        <w:t xml:space="preserve"> (Oxford: Oxford </w:t>
      </w:r>
      <w:r>
        <w:tab/>
        <w:t>University Press, 1936), Great Britain fasc.11, Cambridge fasc.2., pl. 1 (480) 1.</w:t>
      </w:r>
    </w:p>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r>
        <w:rPr>
          <w:noProof/>
          <w:lang w:bidi="ar-SA"/>
        </w:rPr>
        <w:lastRenderedPageBreak/>
        <w:drawing>
          <wp:inline distT="0" distB="0" distL="0" distR="0" wp14:anchorId="48B82C7F">
            <wp:extent cx="4590415" cy="1647825"/>
            <wp:effectExtent l="0" t="0" r="635"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90415" cy="1647825"/>
                    </a:xfrm>
                    <a:prstGeom prst="rect">
                      <a:avLst/>
                    </a:prstGeom>
                    <a:noFill/>
                  </pic:spPr>
                </pic:pic>
              </a:graphicData>
            </a:graphic>
          </wp:inline>
        </w:drawing>
      </w:r>
    </w:p>
    <w:p w:rsidR="00643E1B" w:rsidRDefault="00643E1B" w:rsidP="00643E1B">
      <w:r w:rsidRPr="00643E1B">
        <w:t xml:space="preserve">Photo Credit: Buchholz and Karageorghis, </w:t>
      </w:r>
      <w:r w:rsidRPr="00643E1B">
        <w:rPr>
          <w:i/>
        </w:rPr>
        <w:t>Prehistoric Greece and Cyprus</w:t>
      </w:r>
      <w:r w:rsidRPr="00643E1B">
        <w:t xml:space="preserve">, 363; Sapouna-Sakellariakis, </w:t>
      </w:r>
      <w:r w:rsidRPr="00643E1B">
        <w:rPr>
          <w:i/>
        </w:rPr>
        <w:t>Cycladic Civilization and the Cycladic Collection of the National Archaeological Museum of Athens</w:t>
      </w:r>
      <w:r w:rsidRPr="00643E1B">
        <w:t>, pl. 9.</w:t>
      </w:r>
    </w:p>
    <w:p w:rsidR="00643E1B" w:rsidRPr="00211162" w:rsidRDefault="00643E1B" w:rsidP="00643E1B">
      <w:pPr>
        <w:rPr>
          <w:b/>
        </w:rPr>
      </w:pPr>
      <w:r w:rsidRPr="00211162">
        <w:rPr>
          <w:b/>
        </w:rPr>
        <w:t>V22. Theriomorphic Vase</w:t>
      </w:r>
    </w:p>
    <w:p w:rsidR="00643E1B" w:rsidRDefault="00643E1B" w:rsidP="00643E1B">
      <w:r>
        <w:t>Medium: clay</w:t>
      </w:r>
    </w:p>
    <w:p w:rsidR="00643E1B" w:rsidRDefault="00643E1B" w:rsidP="00643E1B">
      <w:r>
        <w:t>Period: EC III</w:t>
      </w:r>
    </w:p>
    <w:p w:rsidR="00643E1B" w:rsidRDefault="00350400" w:rsidP="00643E1B">
      <w:r>
        <w:t>Date:</w:t>
      </w:r>
      <w:r w:rsidR="00643E1B">
        <w:t xml:space="preserve"> ca. 2300-2000 BC</w:t>
      </w:r>
    </w:p>
    <w:p w:rsidR="00643E1B" w:rsidRDefault="00643E1B" w:rsidP="00643E1B">
      <w:r>
        <w:t>Dems: H. 11.4 cm, L. 13.1 cm</w:t>
      </w:r>
    </w:p>
    <w:p w:rsidR="00643E1B" w:rsidRDefault="00643E1B" w:rsidP="00643E1B">
      <w:r>
        <w:t>Provenance: Phylakopi, Melos</w:t>
      </w:r>
    </w:p>
    <w:p w:rsidR="00643E1B" w:rsidRDefault="00643E1B" w:rsidP="00643E1B">
      <w:r>
        <w:t>Location/Access. no.: National Archaeological Museum Athens, 5698</w:t>
      </w:r>
    </w:p>
    <w:p w:rsidR="00643E1B" w:rsidRDefault="00643E1B" w:rsidP="00643E1B">
      <w:r>
        <w:t xml:space="preserve">Description: “Early Cycladic monochrome vase in the form of an animal; spout with wide rim in place of head; ridge and two loops on back; incised zigzag decoration on both sides, double line at base of neck, incised lozenges on chest” (Buchholz, 99) </w:t>
      </w:r>
    </w:p>
    <w:p w:rsidR="00643E1B" w:rsidRDefault="00643E1B" w:rsidP="00643E1B">
      <w:pPr>
        <w:jc w:val="center"/>
      </w:pPr>
      <w:r>
        <w:t xml:space="preserve">Notes: </w:t>
      </w:r>
    </w:p>
    <w:p w:rsidR="00643E1B" w:rsidRDefault="00643E1B" w:rsidP="00643E1B">
      <w:r>
        <w:t xml:space="preserve">E. Sapouna-Sakellariakis, </w:t>
      </w:r>
      <w:r w:rsidRPr="00643E1B">
        <w:rPr>
          <w:i/>
        </w:rPr>
        <w:t xml:space="preserve">Cycladic Civilization and the Cycladic Collection of the </w:t>
      </w:r>
      <w:r w:rsidRPr="00643E1B">
        <w:rPr>
          <w:i/>
        </w:rPr>
        <w:tab/>
        <w:t>National Archaeological Museum of Athens</w:t>
      </w:r>
      <w:r>
        <w:t xml:space="preserve">, (Athens: Apollo Editions, 1973), </w:t>
      </w:r>
      <w:r>
        <w:tab/>
        <w:t>25, pl. 9.</w:t>
      </w:r>
    </w:p>
    <w:p w:rsidR="00643E1B" w:rsidRDefault="00643E1B" w:rsidP="00643E1B">
      <w:r>
        <w:lastRenderedPageBreak/>
        <w:t xml:space="preserve">Hans-Gunter Buchholz and Vassos Karageorghis, </w:t>
      </w:r>
      <w:r w:rsidRPr="00643E1B">
        <w:rPr>
          <w:i/>
        </w:rPr>
        <w:t>Prehistoric Greece and Cyprus</w:t>
      </w:r>
      <w:r>
        <w:t xml:space="preserve">, </w:t>
      </w:r>
      <w:r>
        <w:tab/>
        <w:t>trans.</w:t>
      </w:r>
      <w:r>
        <w:tab/>
        <w:t xml:space="preserve"> Francisca Garvie, (London: Phaidon, 1973), 99, 363, no.1190.</w:t>
      </w:r>
    </w:p>
    <w:p w:rsidR="00643E1B" w:rsidRDefault="00643E1B" w:rsidP="00643E1B">
      <w:r>
        <w:t xml:space="preserve">T.D. Atkinson, et al., </w:t>
      </w:r>
      <w:r w:rsidRPr="00643E1B">
        <w:rPr>
          <w:i/>
        </w:rPr>
        <w:t xml:space="preserve">Excavations at Phylakopi in Melos Conducted by the British </w:t>
      </w:r>
      <w:r w:rsidRPr="00643E1B">
        <w:rPr>
          <w:i/>
        </w:rPr>
        <w:tab/>
        <w:t>School at Athens</w:t>
      </w:r>
      <w:r>
        <w:t>, (London: Macmillan and Co., 1904), 91, fig 75, pl. IV.7.</w:t>
      </w:r>
    </w:p>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p w:rsidR="00643E1B" w:rsidRDefault="00643E1B" w:rsidP="00643E1B">
      <w:r>
        <w:rPr>
          <w:noProof/>
          <w:lang w:bidi="ar-SA"/>
        </w:rPr>
        <w:lastRenderedPageBreak/>
        <w:drawing>
          <wp:anchor distT="0" distB="0" distL="114300" distR="114300" simplePos="0" relativeHeight="251742208" behindDoc="0" locked="0" layoutInCell="1" allowOverlap="1">
            <wp:simplePos x="0" y="0"/>
            <wp:positionH relativeFrom="margin">
              <wp:align>left</wp:align>
            </wp:positionH>
            <wp:positionV relativeFrom="paragraph">
              <wp:posOffset>0</wp:posOffset>
            </wp:positionV>
            <wp:extent cx="5066665" cy="1456690"/>
            <wp:effectExtent l="0" t="0" r="635" b="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66665" cy="1456690"/>
                    </a:xfrm>
                    <a:prstGeom prst="rect">
                      <a:avLst/>
                    </a:prstGeom>
                    <a:noFill/>
                  </pic:spPr>
                </pic:pic>
              </a:graphicData>
            </a:graphic>
          </wp:anchor>
        </w:drawing>
      </w:r>
      <w:r w:rsidRPr="00643E1B">
        <w:rPr>
          <w:noProof/>
          <w:lang w:bidi="ar-SA"/>
        </w:rPr>
        <w:t xml:space="preserve">Photo Credit: Atkinson, </w:t>
      </w:r>
      <w:r w:rsidRPr="00643E1B">
        <w:rPr>
          <w:i/>
          <w:noProof/>
          <w:lang w:bidi="ar-SA"/>
        </w:rPr>
        <w:t>Excavations at Phylakopi in Melos</w:t>
      </w:r>
      <w:r w:rsidRPr="00643E1B">
        <w:rPr>
          <w:noProof/>
          <w:lang w:bidi="ar-SA"/>
        </w:rPr>
        <w:t xml:space="preserve">, 91; Papathanasopoulos, </w:t>
      </w:r>
      <w:r w:rsidRPr="00643E1B">
        <w:rPr>
          <w:i/>
          <w:noProof/>
          <w:lang w:bidi="ar-SA"/>
        </w:rPr>
        <w:t>National Archaeological Museum: Catalogue of Neolithic and Cycladic Collections</w:t>
      </w:r>
      <w:r w:rsidRPr="00643E1B">
        <w:rPr>
          <w:noProof/>
          <w:lang w:bidi="ar-SA"/>
        </w:rPr>
        <w:t>, 177.</w:t>
      </w:r>
    </w:p>
    <w:p w:rsidR="00643E1B" w:rsidRPr="00211162" w:rsidRDefault="00643E1B" w:rsidP="00643E1B">
      <w:pPr>
        <w:rPr>
          <w:b/>
        </w:rPr>
      </w:pPr>
      <w:r w:rsidRPr="00211162">
        <w:rPr>
          <w:b/>
        </w:rPr>
        <w:t>V23.  Ring-shaped Vessel (annular askos)</w:t>
      </w:r>
    </w:p>
    <w:p w:rsidR="00643E1B" w:rsidRDefault="00643E1B" w:rsidP="00643E1B">
      <w:r>
        <w:t>Medium: clay</w:t>
      </w:r>
    </w:p>
    <w:p w:rsidR="00643E1B" w:rsidRDefault="00643E1B" w:rsidP="00643E1B">
      <w:r>
        <w:t>Period: EC</w:t>
      </w:r>
      <w:r w:rsidR="00350400">
        <w:t xml:space="preserve"> </w:t>
      </w:r>
      <w:r>
        <w:t>III</w:t>
      </w:r>
    </w:p>
    <w:p w:rsidR="00643E1B" w:rsidRDefault="00643E1B" w:rsidP="00643E1B">
      <w:r>
        <w:t>Date: 2300-2000/1900 BC</w:t>
      </w:r>
    </w:p>
    <w:p w:rsidR="00643E1B" w:rsidRDefault="00643E1B" w:rsidP="00643E1B">
      <w:r>
        <w:t>Dems: .08 m</w:t>
      </w:r>
    </w:p>
    <w:p w:rsidR="00643E1B" w:rsidRDefault="00643E1B" w:rsidP="00643E1B">
      <w:r>
        <w:t>Provenance: Phylakopi, Melos</w:t>
      </w:r>
    </w:p>
    <w:p w:rsidR="00643E1B" w:rsidRDefault="00643E1B" w:rsidP="00643E1B">
      <w:r>
        <w:t>Location/Access. no.: National Archaeological Museum Athens, 5697</w:t>
      </w:r>
    </w:p>
    <w:p w:rsidR="00643E1B" w:rsidRDefault="00643E1B" w:rsidP="00643E1B">
      <w:r>
        <w:t xml:space="preserve">Description: “Unique clay annular vase (askos) of excellent manufacture, elegant unusual form reminiscent of a coiled snake, with its head erect. The outside of the cylindrical body of the vase bears incised decoration of dense chevrons in successive rows, imitating the scaly surface of the snake skin, the mouth of the vase is at right angles to the body and terminates in a broad tongue-like lip. On the back of the neck there is a wide vertical pierced handle, perhaps of the suspension of the vase. The surface of the askos is brownish-red in color and bears traces of smoothing.” Papathanasopoulos, 177 </w:t>
      </w:r>
    </w:p>
    <w:p w:rsidR="00643E1B" w:rsidRDefault="00643E1B" w:rsidP="00643E1B">
      <w:pPr>
        <w:jc w:val="center"/>
      </w:pPr>
    </w:p>
    <w:p w:rsidR="00643E1B" w:rsidRDefault="00643E1B" w:rsidP="00643E1B">
      <w:pPr>
        <w:jc w:val="center"/>
      </w:pPr>
      <w:r>
        <w:lastRenderedPageBreak/>
        <w:t xml:space="preserve">Notes: </w:t>
      </w:r>
    </w:p>
    <w:p w:rsidR="00643E1B" w:rsidRDefault="00643E1B" w:rsidP="00643E1B">
      <w:r>
        <w:t xml:space="preserve">G. Papathanasopoulos, </w:t>
      </w:r>
      <w:r w:rsidRPr="00643E1B">
        <w:rPr>
          <w:i/>
        </w:rPr>
        <w:t xml:space="preserve">National Archaeological Museum: Catalogue of Neolithic and </w:t>
      </w:r>
      <w:r w:rsidRPr="00643E1B">
        <w:rPr>
          <w:i/>
        </w:rPr>
        <w:tab/>
        <w:t>Cycladic Collections</w:t>
      </w:r>
      <w:r>
        <w:t>, (Athens: Melissa Editions, 1981), 177, fig. 99.</w:t>
      </w:r>
    </w:p>
    <w:p w:rsidR="00643E1B" w:rsidRDefault="00643E1B" w:rsidP="00643E1B">
      <w:r>
        <w:t xml:space="preserve">T.D. Atkinson, et al., </w:t>
      </w:r>
      <w:r w:rsidRPr="00643E1B">
        <w:rPr>
          <w:i/>
        </w:rPr>
        <w:t xml:space="preserve">Excavations at Phylakopi in Melos Conducted by the British </w:t>
      </w:r>
      <w:r w:rsidRPr="00643E1B">
        <w:rPr>
          <w:i/>
        </w:rPr>
        <w:tab/>
        <w:t>School at Athens</w:t>
      </w:r>
      <w:r>
        <w:t xml:space="preserve">, (London: Macmillan and Co., 1904), 91, 306. pl. IV.9; </w:t>
      </w:r>
      <w:r>
        <w:tab/>
        <w:t>incisions suggest serpent, spout instead of head, hollowed body.</w:t>
      </w:r>
    </w:p>
    <w:p w:rsidR="00643E1B" w:rsidRPr="00643E1B" w:rsidRDefault="00643E1B" w:rsidP="00643E1B"/>
    <w:sectPr w:rsidR="00643E1B" w:rsidRPr="00643E1B" w:rsidSect="00C61DE2">
      <w:footerReference w:type="default" r:id="rId86"/>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AD5" w:rsidRDefault="009E3AD5" w:rsidP="008E1C26">
      <w:pPr>
        <w:spacing w:line="240" w:lineRule="auto"/>
      </w:pPr>
      <w:r>
        <w:separator/>
      </w:r>
    </w:p>
  </w:endnote>
  <w:endnote w:type="continuationSeparator" w:id="0">
    <w:p w:rsidR="009E3AD5" w:rsidRDefault="009E3AD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400" w:rsidRDefault="00350400" w:rsidP="008E1C26">
    <w:pPr>
      <w:pStyle w:val="Footer"/>
      <w:jc w:val="center"/>
    </w:pPr>
    <w:r>
      <w:fldChar w:fldCharType="begin"/>
    </w:r>
    <w:r>
      <w:instrText xml:space="preserve"> PAGE   \* MERGEFORMAT </w:instrText>
    </w:r>
    <w:r>
      <w:fldChar w:fldCharType="separate"/>
    </w:r>
    <w:r w:rsidR="00C61DE2">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311082"/>
      <w:docPartObj>
        <w:docPartGallery w:val="Page Numbers (Bottom of Page)"/>
        <w:docPartUnique/>
      </w:docPartObj>
    </w:sdtPr>
    <w:sdtEndPr>
      <w:rPr>
        <w:noProof/>
      </w:rPr>
    </w:sdtEndPr>
    <w:sdtContent>
      <w:p w:rsidR="00350400" w:rsidRDefault="00350400">
        <w:pPr>
          <w:pStyle w:val="Footer"/>
          <w:jc w:val="center"/>
        </w:pPr>
        <w:r>
          <w:fldChar w:fldCharType="begin"/>
        </w:r>
        <w:r>
          <w:instrText xml:space="preserve"> PAGE   \* MERGEFORMAT </w:instrText>
        </w:r>
        <w:r>
          <w:fldChar w:fldCharType="separate"/>
        </w:r>
        <w:r w:rsidR="00C61DE2">
          <w:rPr>
            <w:noProof/>
          </w:rPr>
          <w:t>201</w:t>
        </w:r>
        <w:r>
          <w:rPr>
            <w:noProof/>
          </w:rPr>
          <w:fldChar w:fldCharType="end"/>
        </w:r>
      </w:p>
    </w:sdtContent>
  </w:sdt>
  <w:p w:rsidR="00350400" w:rsidRDefault="00350400" w:rsidP="008E1C2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AD5" w:rsidRDefault="009E3AD5" w:rsidP="008E1C26">
      <w:pPr>
        <w:spacing w:line="240" w:lineRule="auto"/>
      </w:pPr>
      <w:r>
        <w:separator/>
      </w:r>
    </w:p>
  </w:footnote>
  <w:footnote w:type="continuationSeparator" w:id="0">
    <w:p w:rsidR="009E3AD5" w:rsidRDefault="009E3AD5" w:rsidP="008E1C26">
      <w:pPr>
        <w:spacing w:line="240" w:lineRule="auto"/>
      </w:pPr>
      <w:r>
        <w:continuationSeparator/>
      </w:r>
    </w:p>
  </w:footnote>
  <w:footnote w:id="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Christos Doumas, </w:t>
      </w:r>
      <w:r w:rsidRPr="00C61DE2">
        <w:rPr>
          <w:rFonts w:ascii="Times New Roman" w:hAnsi="Times New Roman" w:cs="Times New Roman"/>
          <w:i/>
        </w:rPr>
        <w:t>Early Cycladic Culture: The N.P. Goulandris Collection</w:t>
      </w:r>
      <w:r w:rsidRPr="00C61DE2">
        <w:rPr>
          <w:rFonts w:ascii="Times New Roman" w:hAnsi="Times New Roman" w:cs="Times New Roman"/>
        </w:rPr>
        <w:t>, (Athens: N.P. Goulandris Foundation and Museum of Cycladic Art, 2000), 14.</w:t>
      </w:r>
    </w:p>
  </w:footnote>
  <w:footnote w:id="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Cyprian Broodbank, </w:t>
      </w:r>
      <w:r w:rsidRPr="00C61DE2">
        <w:rPr>
          <w:rFonts w:ascii="Times New Roman" w:hAnsi="Times New Roman" w:cs="Times New Roman"/>
          <w:i/>
        </w:rPr>
        <w:t>An Island Archaeology of the Early Cyclades</w:t>
      </w:r>
      <w:r w:rsidRPr="00C61DE2">
        <w:rPr>
          <w:rFonts w:ascii="Times New Roman" w:hAnsi="Times New Roman" w:cs="Times New Roman"/>
        </w:rPr>
        <w:t xml:space="preserve">, (Cambridge: Cambridge University Press, 2000), 78. </w:t>
      </w:r>
    </w:p>
  </w:footnote>
  <w:footnote w:id="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Pat Getz-Preziozi, </w:t>
      </w:r>
      <w:bookmarkStart w:id="11" w:name="_Hlk480486014"/>
      <w:r w:rsidRPr="00C61DE2">
        <w:rPr>
          <w:rFonts w:ascii="Times New Roman" w:hAnsi="Times New Roman" w:cs="Times New Roman"/>
          <w:i/>
        </w:rPr>
        <w:t>The Obsidian Trail, or 5000-4000 Years Ago in the Cyclades</w:t>
      </w:r>
      <w:r w:rsidRPr="00C61DE2">
        <w:rPr>
          <w:rFonts w:ascii="Times New Roman" w:hAnsi="Times New Roman" w:cs="Times New Roman"/>
        </w:rPr>
        <w:t xml:space="preserve">, (Athens: Nicholas P. Goulandris Foundation and the Museum of Cycladic Art, 1987), </w:t>
      </w:r>
      <w:bookmarkEnd w:id="11"/>
      <w:r w:rsidRPr="00C61DE2">
        <w:rPr>
          <w:rFonts w:ascii="Times New Roman" w:hAnsi="Times New Roman" w:cs="Times New Roman"/>
        </w:rPr>
        <w:t xml:space="preserve">50. </w:t>
      </w:r>
    </w:p>
  </w:footnote>
  <w:footnote w:id="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w:t>
      </w:r>
      <w:r w:rsidRPr="00C61DE2">
        <w:rPr>
          <w:rFonts w:ascii="Times New Roman" w:hAnsi="Times New Roman" w:cs="Times New Roman"/>
          <w:i/>
        </w:rPr>
        <w:t>An Island Archaeology</w:t>
      </w:r>
      <w:r w:rsidRPr="00C61DE2">
        <w:rPr>
          <w:rFonts w:ascii="Times New Roman" w:hAnsi="Times New Roman" w:cs="Times New Roman"/>
        </w:rPr>
        <w:t xml:space="preserve">, 79. </w:t>
      </w:r>
    </w:p>
  </w:footnote>
  <w:footnote w:id="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Cyprian Broodbank, </w:t>
      </w:r>
      <w:r w:rsidRPr="00C61DE2">
        <w:rPr>
          <w:rFonts w:ascii="Times New Roman" w:hAnsi="Times New Roman" w:cs="Times New Roman"/>
          <w:i/>
        </w:rPr>
        <w:t>The Making of the Middle Sea: A History of the Mediterranean from the Beginning to the Emergence of the Classical World</w:t>
      </w:r>
      <w:r w:rsidRPr="00C61DE2">
        <w:rPr>
          <w:rFonts w:ascii="Times New Roman" w:hAnsi="Times New Roman" w:cs="Times New Roman"/>
        </w:rPr>
        <w:t xml:space="preserve">, (Oxford: Oxford University Press, 2013), 68. Another speckled variety was sourced at Giali, a small volcanic island in the Dodecanese. </w:t>
      </w:r>
    </w:p>
  </w:footnote>
  <w:footnote w:id="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w:t>
      </w:r>
      <w:r w:rsidRPr="00C61DE2">
        <w:rPr>
          <w:rFonts w:ascii="Times New Roman" w:hAnsi="Times New Roman" w:cs="Times New Roman"/>
          <w:i/>
        </w:rPr>
        <w:t>Making of the Middle Sea</w:t>
      </w:r>
      <w:r w:rsidRPr="00C61DE2">
        <w:rPr>
          <w:rFonts w:ascii="Times New Roman" w:hAnsi="Times New Roman" w:cs="Times New Roman"/>
        </w:rPr>
        <w:t xml:space="preserve">, 69; Getz-Preziosi, </w:t>
      </w:r>
      <w:r w:rsidRPr="00C61DE2">
        <w:rPr>
          <w:rFonts w:ascii="Times New Roman" w:hAnsi="Times New Roman" w:cs="Times New Roman"/>
          <w:i/>
        </w:rPr>
        <w:t>Obsidian Trail</w:t>
      </w:r>
      <w:r w:rsidRPr="00C61DE2">
        <w:rPr>
          <w:rFonts w:ascii="Times New Roman" w:hAnsi="Times New Roman" w:cs="Times New Roman"/>
        </w:rPr>
        <w:t xml:space="preserve">, 34. </w:t>
      </w:r>
    </w:p>
  </w:footnote>
  <w:footnote w:id="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w:t>
      </w:r>
      <w:r w:rsidRPr="00C61DE2">
        <w:rPr>
          <w:rFonts w:ascii="Times New Roman" w:hAnsi="Times New Roman" w:cs="Times New Roman"/>
          <w:i/>
        </w:rPr>
        <w:t>An Island Archaeology</w:t>
      </w:r>
      <w:r w:rsidRPr="00C61DE2">
        <w:rPr>
          <w:rFonts w:ascii="Times New Roman" w:hAnsi="Times New Roman" w:cs="Times New Roman"/>
        </w:rPr>
        <w:t xml:space="preserve">, 79. For a brief description of raw materials found in the Aegean, see also Oliver Dickinson, </w:t>
      </w:r>
      <w:r w:rsidRPr="00C61DE2">
        <w:rPr>
          <w:rFonts w:ascii="Times New Roman" w:hAnsi="Times New Roman" w:cs="Times New Roman"/>
          <w:i/>
        </w:rPr>
        <w:t>The Aegean Bronze Age</w:t>
      </w:r>
      <w:r w:rsidRPr="00C61DE2">
        <w:rPr>
          <w:rFonts w:ascii="Times New Roman" w:hAnsi="Times New Roman" w:cs="Times New Roman"/>
        </w:rPr>
        <w:t>, (Cambridge: Cambridge University Press, 1994), 28-29.</w:t>
      </w:r>
    </w:p>
  </w:footnote>
  <w:footnote w:id="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Cyprian Broodbank, “The Early Bronze Age in the Cyclades,” in </w:t>
      </w:r>
      <w:r w:rsidRPr="00C61DE2">
        <w:rPr>
          <w:rFonts w:ascii="Times New Roman" w:hAnsi="Times New Roman" w:cs="Times New Roman"/>
          <w:i/>
        </w:rPr>
        <w:t>The Cambridge Companion to the Aegean Bronze Age</w:t>
      </w:r>
      <w:r w:rsidRPr="00C61DE2">
        <w:rPr>
          <w:rFonts w:ascii="Times New Roman" w:hAnsi="Times New Roman" w:cs="Times New Roman"/>
        </w:rPr>
        <w:t>, edited by Cynthia W. Shelmerdine, (Cambridge: Cambridge University Press, 2008), 61.</w:t>
      </w:r>
    </w:p>
  </w:footnote>
  <w:footnote w:id="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Pat </w:t>
      </w:r>
      <w:bookmarkStart w:id="12" w:name="_Hlk480489778"/>
      <w:r w:rsidRPr="00C61DE2">
        <w:rPr>
          <w:rFonts w:ascii="Times New Roman" w:hAnsi="Times New Roman" w:cs="Times New Roman"/>
        </w:rPr>
        <w:t xml:space="preserve">Getz-Gentle, </w:t>
      </w:r>
      <w:r w:rsidRPr="00C61DE2">
        <w:rPr>
          <w:rFonts w:ascii="Times New Roman" w:hAnsi="Times New Roman" w:cs="Times New Roman"/>
          <w:i/>
        </w:rPr>
        <w:t>Stone Vessels of the Cyclades in the Early Bronze Age</w:t>
      </w:r>
      <w:r w:rsidRPr="00C61DE2">
        <w:rPr>
          <w:rFonts w:ascii="Times New Roman" w:hAnsi="Times New Roman" w:cs="Times New Roman"/>
        </w:rPr>
        <w:t xml:space="preserve">, </w:t>
      </w:r>
      <w:bookmarkEnd w:id="12"/>
      <w:r w:rsidRPr="00C61DE2">
        <w:rPr>
          <w:rFonts w:ascii="Times New Roman" w:hAnsi="Times New Roman" w:cs="Times New Roman"/>
        </w:rPr>
        <w:t>(University Park, PA: Penn State University Press, 1996), 185. The jade-like stone has been identified in various ways across the literature including jadite, nephrite, and more. However, at the time of publishing her study on the stone vessels, Getz-Gentle reports that none of the relevant objects have been subjected to petrographic scrutiny and therefore a precise determination on the identification of the stone cannot be made.</w:t>
      </w:r>
    </w:p>
  </w:footnote>
  <w:footnote w:id="1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Getz-Gentle, </w:t>
      </w:r>
      <w:r w:rsidRPr="00C61DE2">
        <w:rPr>
          <w:rFonts w:ascii="Times New Roman" w:hAnsi="Times New Roman" w:cs="Times New Roman"/>
          <w:i/>
        </w:rPr>
        <w:t>Stone Vessels of the Cyclades in the Early Bronze Age</w:t>
      </w:r>
      <w:r w:rsidRPr="00C61DE2">
        <w:rPr>
          <w:rFonts w:ascii="Times New Roman" w:hAnsi="Times New Roman" w:cs="Times New Roman"/>
        </w:rPr>
        <w:t xml:space="preserve">, 186. The author suggests that because of the stated properties the stone was obviously chosen for its aesthetic appeal, and perhaps like the Chinese and their jade, the Early Cycladic islanders believed the stone possessed certain qualities which may be passed to the one in possession of objects made from the green stone. </w:t>
      </w:r>
    </w:p>
  </w:footnote>
  <w:footnote w:id="1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16.</w:t>
      </w:r>
    </w:p>
  </w:footnote>
  <w:footnote w:id="1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Joannis Mylonopoulos, “Divine Images Versus Cult Images: An Endless Story about Theories, Methods, and Terminologies,” in </w:t>
      </w:r>
      <w:r w:rsidRPr="00C61DE2">
        <w:rPr>
          <w:rFonts w:ascii="Times New Roman" w:hAnsi="Times New Roman" w:cs="Times New Roman"/>
          <w:i/>
        </w:rPr>
        <w:t>Divine Images and Human Imaginations in Ancient Greece and Rome</w:t>
      </w:r>
      <w:r w:rsidRPr="00C61DE2">
        <w:rPr>
          <w:rFonts w:ascii="Times New Roman" w:hAnsi="Times New Roman" w:cs="Times New Roman"/>
        </w:rPr>
        <w:t>, ed. Joannis Mylonopoulos, (Leiden and Boston: Brill, 2010), accessed 04/20/2017, http://www.brill.com/divine-images-and-human-imaginations-ancient-greece-and-rome.</w:t>
      </w:r>
    </w:p>
  </w:footnote>
  <w:footnote w:id="1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Mylonopoulous, </w:t>
      </w:r>
      <w:bookmarkStart w:id="13" w:name="_Hlk481253153"/>
      <w:r w:rsidRPr="00C61DE2">
        <w:rPr>
          <w:rFonts w:ascii="Times New Roman" w:hAnsi="Times New Roman" w:cs="Times New Roman"/>
        </w:rPr>
        <w:t>“Divine Images Versus Cult Images,”</w:t>
      </w:r>
      <w:bookmarkEnd w:id="13"/>
      <w:r w:rsidRPr="00C61DE2">
        <w:rPr>
          <w:rFonts w:ascii="Times New Roman" w:hAnsi="Times New Roman" w:cs="Times New Roman"/>
        </w:rPr>
        <w:t xml:space="preserve"> 13.</w:t>
      </w:r>
    </w:p>
  </w:footnote>
  <w:footnote w:id="1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Mylonopoulous, “Divine Images Versus Cult Images,” 13.</w:t>
      </w:r>
    </w:p>
  </w:footnote>
  <w:footnote w:id="1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Mylonopoulou, “Divine Images Versus Cult Images,” 7.</w:t>
      </w:r>
    </w:p>
  </w:footnote>
  <w:footnote w:id="1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Jeremy B. Rutter, “Aegean Prehistoric Archaeology,” Dartmouth College, n.d., accessed 9/27/2013, http://www.dartmouth.edu/~prehistory/aegean/.</w:t>
      </w:r>
    </w:p>
  </w:footnote>
  <w:footnote w:id="1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J.L. Bintliff, The </w:t>
      </w:r>
      <w:r w:rsidRPr="00C61DE2">
        <w:rPr>
          <w:rFonts w:ascii="Times New Roman" w:hAnsi="Times New Roman" w:cs="Times New Roman"/>
          <w:i/>
        </w:rPr>
        <w:t>Complete Archaeology of Greece: From Hunter-Gatherers to the 20</w:t>
      </w:r>
      <w:r w:rsidRPr="00C61DE2">
        <w:rPr>
          <w:rFonts w:ascii="Times New Roman" w:hAnsi="Times New Roman" w:cs="Times New Roman"/>
          <w:i/>
          <w:vertAlign w:val="superscript"/>
        </w:rPr>
        <w:t>th</w:t>
      </w:r>
      <w:r w:rsidRPr="00C61DE2">
        <w:rPr>
          <w:rFonts w:ascii="Times New Roman" w:hAnsi="Times New Roman" w:cs="Times New Roman"/>
          <w:i/>
        </w:rPr>
        <w:t xml:space="preserve"> Century A.D.</w:t>
      </w:r>
      <w:r w:rsidRPr="00C61DE2">
        <w:rPr>
          <w:rFonts w:ascii="Times New Roman" w:hAnsi="Times New Roman" w:cs="Times New Roman"/>
        </w:rPr>
        <w:t>, (Malden, MA: Wiley-Blackwell, 2012), 33. Though human activity was present at Franchthi since the Upper Paleolithic (30-17 k.y.a.) occupation was abandoned and then reoccupied around 13 k.y.a. Additionally, since that time consistent occupation is evidenced until the Bronze Age, it was never continuous throughout the entire year, as hunter-gatherer populations were migratory.</w:t>
      </w:r>
    </w:p>
  </w:footnote>
  <w:footnote w:id="1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Edmund F. Bloedow, “The Date of the Earliest Phase at Agrissa Magoula in Thessaly and Other Neolithic Sites in Greece,” </w:t>
      </w:r>
      <w:r w:rsidRPr="00C61DE2">
        <w:rPr>
          <w:rFonts w:ascii="Times New Roman" w:hAnsi="Times New Roman" w:cs="Times New Roman"/>
          <w:i/>
        </w:rPr>
        <w:t>Mediterranean Archaeology</w:t>
      </w:r>
      <w:r w:rsidRPr="00C61DE2">
        <w:rPr>
          <w:rFonts w:ascii="Times New Roman" w:hAnsi="Times New Roman" w:cs="Times New Roman"/>
        </w:rPr>
        <w:t xml:space="preserve"> 5/6 (1992/93): 49-57, accessed 9-17-2016, http://www.jstor.org/stable/24667819.  In this article, the author argues against a so-called Aceramic Neolithic period. He uses calibrated radiocarbon dates to present a more precise sequence beginning with the Early Neolithic. </w:t>
      </w:r>
    </w:p>
  </w:footnote>
  <w:footnote w:id="1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Walter Burkert, </w:t>
      </w:r>
      <w:r w:rsidRPr="00C61DE2">
        <w:rPr>
          <w:rFonts w:ascii="Times New Roman" w:hAnsi="Times New Roman" w:cs="Times New Roman"/>
          <w:i/>
        </w:rPr>
        <w:t>Greek Religion</w:t>
      </w:r>
      <w:r w:rsidRPr="00C61DE2">
        <w:rPr>
          <w:rFonts w:ascii="Times New Roman" w:hAnsi="Times New Roman" w:cs="Times New Roman"/>
        </w:rPr>
        <w:t>, translated by John Raffan, (Cambridge: Harvard University Press, 1985), 11.</w:t>
      </w:r>
    </w:p>
  </w:footnote>
  <w:footnote w:id="2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This refers to Gordon Childe’s seminal work </w:t>
      </w:r>
      <w:r w:rsidRPr="00C61DE2">
        <w:rPr>
          <w:rFonts w:ascii="Times New Roman" w:hAnsi="Times New Roman" w:cs="Times New Roman"/>
          <w:i/>
        </w:rPr>
        <w:t>The Dawn of European Civilization</w:t>
      </w:r>
      <w:r w:rsidRPr="00C61DE2">
        <w:rPr>
          <w:rFonts w:ascii="Times New Roman" w:hAnsi="Times New Roman" w:cs="Times New Roman"/>
        </w:rPr>
        <w:t xml:space="preserve"> first published in 1925, which argues for a dissemination of culture from what he deems as “the Orient” through the Aegean and then to the rest of Europe via the Balkans.  For a concise summary of the prevailing theories see Broodbank, </w:t>
      </w:r>
      <w:r w:rsidRPr="00C61DE2">
        <w:rPr>
          <w:rFonts w:ascii="Times New Roman" w:hAnsi="Times New Roman" w:cs="Times New Roman"/>
          <w:i/>
        </w:rPr>
        <w:t>An Island Archaeology</w:t>
      </w:r>
      <w:r w:rsidRPr="00C61DE2">
        <w:rPr>
          <w:rFonts w:ascii="Times New Roman" w:hAnsi="Times New Roman" w:cs="Times New Roman"/>
        </w:rPr>
        <w:t xml:space="preserve">, p. 46-47. </w:t>
      </w:r>
    </w:p>
  </w:footnote>
  <w:footnote w:id="2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Burkert, </w:t>
      </w:r>
      <w:r w:rsidRPr="00C61DE2">
        <w:rPr>
          <w:rFonts w:ascii="Times New Roman" w:hAnsi="Times New Roman" w:cs="Times New Roman"/>
          <w:i/>
        </w:rPr>
        <w:t>Greek Religion</w:t>
      </w:r>
      <w:r w:rsidRPr="00C61DE2">
        <w:rPr>
          <w:rFonts w:ascii="Times New Roman" w:hAnsi="Times New Roman" w:cs="Times New Roman"/>
        </w:rPr>
        <w:t xml:space="preserve">, 11; Christos Doumas, </w:t>
      </w:r>
      <w:r w:rsidRPr="00C61DE2">
        <w:rPr>
          <w:rFonts w:ascii="Times New Roman" w:hAnsi="Times New Roman" w:cs="Times New Roman"/>
          <w:i/>
        </w:rPr>
        <w:t>Cycladic Art: Ancient Sculpture and Pottery from the N.P. Goulandris Collection</w:t>
      </w:r>
      <w:r w:rsidRPr="00C61DE2">
        <w:rPr>
          <w:rFonts w:ascii="Times New Roman" w:hAnsi="Times New Roman" w:cs="Times New Roman"/>
        </w:rPr>
        <w:t>, (London: British Museum Press, 1996), 15.</w:t>
      </w:r>
    </w:p>
  </w:footnote>
  <w:footnote w:id="2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John E. Coleman, “The Chronology and Interconnections of the Cycladic Islands in the Neolithic Period and the Early Bronze Age,” </w:t>
      </w:r>
      <w:r w:rsidRPr="00C61DE2">
        <w:rPr>
          <w:rFonts w:ascii="Times New Roman" w:hAnsi="Times New Roman" w:cs="Times New Roman"/>
          <w:i/>
        </w:rPr>
        <w:t>American Journal of Archaeology</w:t>
      </w:r>
      <w:r w:rsidRPr="00C61DE2">
        <w:rPr>
          <w:rFonts w:ascii="Times New Roman" w:hAnsi="Times New Roman" w:cs="Times New Roman"/>
        </w:rPr>
        <w:t xml:space="preserve"> 78, no. 4 (Oct 1974): 333-344, accessed 12-07-2009, http://www.jstor.org/stable/502747; </w:t>
      </w:r>
    </w:p>
    <w:p w:rsidR="00350400" w:rsidRPr="00C61DE2" w:rsidRDefault="00350400" w:rsidP="004D0DE2">
      <w:pPr>
        <w:pStyle w:val="FootnoteText"/>
        <w:rPr>
          <w:rFonts w:ascii="Times New Roman" w:hAnsi="Times New Roman" w:cs="Times New Roman"/>
        </w:rPr>
      </w:pPr>
      <w:bookmarkStart w:id="16" w:name="_Hlk480487363"/>
      <w:r w:rsidRPr="00C61DE2">
        <w:rPr>
          <w:rFonts w:ascii="Times New Roman" w:hAnsi="Times New Roman" w:cs="Times New Roman"/>
        </w:rPr>
        <w:t xml:space="preserve">Broodbank, </w:t>
      </w:r>
      <w:r w:rsidRPr="00C61DE2">
        <w:rPr>
          <w:rFonts w:ascii="Times New Roman" w:hAnsi="Times New Roman" w:cs="Times New Roman"/>
          <w:i/>
        </w:rPr>
        <w:t xml:space="preserve">An Island Archaeology, </w:t>
      </w:r>
      <w:bookmarkEnd w:id="16"/>
      <w:r w:rsidRPr="00C61DE2">
        <w:rPr>
          <w:rFonts w:ascii="Times New Roman" w:hAnsi="Times New Roman" w:cs="Times New Roman"/>
        </w:rPr>
        <w:t xml:space="preserve">44. </w:t>
      </w:r>
    </w:p>
  </w:footnote>
  <w:footnote w:id="2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Cycladic Art</w:t>
      </w:r>
      <w:r w:rsidRPr="00C61DE2">
        <w:rPr>
          <w:rFonts w:ascii="Times New Roman" w:hAnsi="Times New Roman" w:cs="Times New Roman"/>
        </w:rPr>
        <w:t>, 15; Rutter, “Aegean Prehistoric Archaeology”, accessed 2/18/17, http://www.dartmouth.edu/~prehistory/aegean/.</w:t>
      </w:r>
    </w:p>
  </w:footnote>
  <w:footnote w:id="2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Roughly contemporary with the Middle-Late Neolithic periods of Mainland Greece, however the pottery is more closely analogous with Anatolia rather than Mainland Greece or Crete.  Similar artefactual discoveries have been found at neighboring sites of Grotta, Sangri and Zas Cave on Naxos.  See Rutter, “Aegean Prehistoric Archaeology”, accessed 2/18/17, http://www.dartmouth.edu/~prehistory/aegean/.</w:t>
      </w:r>
    </w:p>
  </w:footnote>
  <w:footnote w:id="2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See the “Lady of Saliagos”, c. 5000 BC., Archaeological Museum of Paros, accession no. 887. This is the earliest known representational Cycladic sculpture. “Cycladic Art: The Lady of Saliagos,” The Bradshaw Foundation, accessed 2/18/2017, http://www.bradshawfoundation.com/sculpture/cycladic_scultpture1.php.  </w:t>
      </w:r>
    </w:p>
  </w:footnote>
  <w:footnote w:id="2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Cycladic Art</w:t>
      </w:r>
      <w:r w:rsidRPr="00C61DE2">
        <w:rPr>
          <w:rFonts w:ascii="Times New Roman" w:hAnsi="Times New Roman" w:cs="Times New Roman"/>
        </w:rPr>
        <w:t>, 15.</w:t>
      </w:r>
    </w:p>
  </w:footnote>
  <w:footnote w:id="2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The island is also known as Keos and Tzia. Other contemporary sites on the island include Paoura, Sykamia and Ayia Irini. Evidence of metalworking has been dated contemporaneously with Knossos on Crete, Pefkakia in Thessaly and Sitagroi in Macedonia.  See Rutter, “Aegean Prehistoric Archaeology”, accessed 2/18/2017, http://www.dartmouth.edu/~prehistory/aegean/.</w:t>
      </w:r>
    </w:p>
  </w:footnote>
  <w:footnote w:id="2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Cycladic Art</w:t>
      </w:r>
      <w:r w:rsidRPr="00C61DE2">
        <w:rPr>
          <w:rFonts w:ascii="Times New Roman" w:hAnsi="Times New Roman" w:cs="Times New Roman"/>
        </w:rPr>
        <w:t>, 15</w:t>
      </w:r>
    </w:p>
  </w:footnote>
  <w:footnote w:id="29">
    <w:p w:rsidR="00350400" w:rsidRPr="00C61DE2" w:rsidRDefault="00350400" w:rsidP="00B328CA">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J.F. Cherry, “First Colonization of the Mediterranean Islands,” </w:t>
      </w:r>
      <w:r w:rsidRPr="00C61DE2">
        <w:rPr>
          <w:rFonts w:ascii="Times New Roman" w:hAnsi="Times New Roman" w:cs="Times New Roman"/>
          <w:i/>
        </w:rPr>
        <w:t>Journal of Mediterranean Archaeology</w:t>
      </w:r>
      <w:r w:rsidRPr="00C61DE2">
        <w:rPr>
          <w:rFonts w:ascii="Times New Roman" w:hAnsi="Times New Roman" w:cs="Times New Roman"/>
        </w:rPr>
        <w:t xml:space="preserve"> 3, no. 1 (1990): 164; Rutter, “Aegean Prehistoric Archaeology”, accessed 2/18/2017, http://www.dartmouth.edu/~prehistory/aegean/.</w:t>
      </w:r>
    </w:p>
  </w:footnote>
  <w:footnote w:id="3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17" w:name="_Hlk480485620"/>
      <w:r w:rsidRPr="00C61DE2">
        <w:rPr>
          <w:rFonts w:ascii="Times New Roman" w:hAnsi="Times New Roman" w:cs="Times New Roman"/>
        </w:rPr>
        <w:t xml:space="preserve">Broodbank, </w:t>
      </w:r>
      <w:r w:rsidRPr="00C61DE2">
        <w:rPr>
          <w:rFonts w:ascii="Times New Roman" w:hAnsi="Times New Roman" w:cs="Times New Roman"/>
          <w:i/>
        </w:rPr>
        <w:t>The Making of the Middle Sea</w:t>
      </w:r>
      <w:r w:rsidRPr="00C61DE2">
        <w:rPr>
          <w:rFonts w:ascii="Times New Roman" w:hAnsi="Times New Roman" w:cs="Times New Roman"/>
        </w:rPr>
        <w:t xml:space="preserve">, </w:t>
      </w:r>
      <w:bookmarkEnd w:id="17"/>
      <w:r w:rsidRPr="00C61DE2">
        <w:rPr>
          <w:rFonts w:ascii="Times New Roman" w:hAnsi="Times New Roman" w:cs="Times New Roman"/>
        </w:rPr>
        <w:t>236-37. On Kephala copper from Lavrion in Attica was smelted.  Additionally, metal finds of copper, gold, silver and lead from the Balkans were found there. Gold and silver objects, trinkets rather than tools or other utilitarian objects share a remarkable parallel with Neolithic finds in burials at Varna in Bulgaria.</w:t>
      </w:r>
    </w:p>
  </w:footnote>
  <w:footnote w:id="3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Bintliff, </w:t>
      </w:r>
      <w:r w:rsidRPr="00C61DE2">
        <w:rPr>
          <w:rFonts w:ascii="Times New Roman" w:hAnsi="Times New Roman" w:cs="Times New Roman"/>
          <w:i/>
        </w:rPr>
        <w:t>Complete Archaeology of Greece</w:t>
      </w:r>
      <w:r w:rsidRPr="00C61DE2">
        <w:rPr>
          <w:rFonts w:ascii="Times New Roman" w:hAnsi="Times New Roman" w:cs="Times New Roman"/>
        </w:rPr>
        <w:t>, 103.</w:t>
      </w:r>
    </w:p>
  </w:footnote>
  <w:footnote w:id="3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16. Information from this entire page comes from this source.</w:t>
      </w:r>
    </w:p>
  </w:footnote>
  <w:footnote w:id="3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Nikolaos Chr. Stampolidis and Peggy Sotirakopoulou. </w:t>
      </w:r>
      <w:r w:rsidRPr="00C61DE2">
        <w:rPr>
          <w:rFonts w:ascii="Times New Roman" w:hAnsi="Times New Roman" w:cs="Times New Roman"/>
          <w:i/>
        </w:rPr>
        <w:t>Aegean Waves: Artworks of the Early Cycladic Culture in the Museum of Cycladic Art at Athens</w:t>
      </w:r>
      <w:r w:rsidRPr="00C61DE2">
        <w:rPr>
          <w:rFonts w:ascii="Times New Roman" w:hAnsi="Times New Roman" w:cs="Times New Roman"/>
        </w:rPr>
        <w:t xml:space="preserve">, (Milano: Skira, 2007), 19; Broodbank, </w:t>
      </w:r>
      <w:r w:rsidRPr="00C61DE2">
        <w:rPr>
          <w:rFonts w:ascii="Times New Roman" w:hAnsi="Times New Roman" w:cs="Times New Roman"/>
          <w:i/>
          <w:iCs/>
        </w:rPr>
        <w:t xml:space="preserve">An Island Archaeology, </w:t>
      </w:r>
      <w:r w:rsidRPr="00C61DE2">
        <w:rPr>
          <w:rFonts w:ascii="Times New Roman" w:hAnsi="Times New Roman" w:cs="Times New Roman"/>
        </w:rPr>
        <w:t>44.</w:t>
      </w:r>
    </w:p>
  </w:footnote>
  <w:footnote w:id="3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18" w:name="_Hlk480452752"/>
      <w:r w:rsidRPr="00C61DE2">
        <w:rPr>
          <w:rFonts w:ascii="Times New Roman" w:hAnsi="Times New Roman" w:cs="Times New Roman"/>
        </w:rPr>
        <w:t xml:space="preserve">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w:t>
      </w:r>
      <w:bookmarkEnd w:id="18"/>
      <w:r w:rsidRPr="00C61DE2">
        <w:rPr>
          <w:rFonts w:ascii="Times New Roman" w:hAnsi="Times New Roman" w:cs="Times New Roman"/>
        </w:rPr>
        <w:t>19.</w:t>
      </w:r>
    </w:p>
  </w:footnote>
  <w:footnote w:id="3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Rutter, “Aegean Prehistoric Archaeology”, accessed 2/18/2017, http://www.dartmouth.edu/~prehistory/aegean/.</w:t>
      </w:r>
    </w:p>
  </w:footnote>
  <w:footnote w:id="3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For further details, see 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20.  Many similarities are thought to exist in the treatment of burials, suspected libation rituals, and grave goods. </w:t>
      </w:r>
    </w:p>
  </w:footnote>
  <w:footnote w:id="3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Nellie Phoca-Cosmetatou, “Economy and Occupation in the Cyclades during the Late Neolithic: The Example of Ftelia, Mykonos,” in </w:t>
      </w:r>
      <w:r w:rsidRPr="00C61DE2">
        <w:rPr>
          <w:rFonts w:ascii="Times New Roman" w:hAnsi="Times New Roman" w:cs="Times New Roman"/>
          <w:i/>
        </w:rPr>
        <w:t>Horizon: A Colloquium on the Prehistory of the Cyclades</w:t>
      </w:r>
      <w:r w:rsidRPr="00C61DE2">
        <w:rPr>
          <w:rFonts w:ascii="Times New Roman" w:hAnsi="Times New Roman" w:cs="Times New Roman"/>
        </w:rPr>
        <w:t>, ed. Neil Brodie et al., (Oxford: McDonald Institute for Archaeological Research, 2008), 38.</w:t>
      </w:r>
    </w:p>
  </w:footnote>
  <w:footnote w:id="3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Phoca-Cosmetatou, “Economy and Occupation in the Cyclades,” 38.</w:t>
      </w:r>
    </w:p>
  </w:footnote>
  <w:footnote w:id="3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Rutter, “Aegean Prehistoric Archaeology”, accessed 2/18/17, http://www.dartmouth.edu/~prehistory/aegean/.</w:t>
      </w:r>
    </w:p>
  </w:footnote>
  <w:footnote w:id="4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Phoca-Cosematatou, “Economy and Occupation in the Cyclades,” 38-40. Information from this entire paragraph comes from this source. </w:t>
      </w:r>
    </w:p>
  </w:footnote>
  <w:footnote w:id="4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Katerina Trantalidou, “Glimpses of Aegean Island Communities during the Mesolithic and Neolithic Periods: the Zooarchaeological Point of View,” in </w:t>
      </w:r>
      <w:r w:rsidRPr="00C61DE2">
        <w:rPr>
          <w:rFonts w:ascii="Times New Roman" w:hAnsi="Times New Roman" w:cs="Times New Roman"/>
          <w:i/>
        </w:rPr>
        <w:t>Horizon: A Colloquium on the Prehistory of the Cyclades</w:t>
      </w:r>
      <w:r w:rsidRPr="00C61DE2">
        <w:rPr>
          <w:rFonts w:ascii="Times New Roman" w:hAnsi="Times New Roman" w:cs="Times New Roman"/>
        </w:rPr>
        <w:t>, ed. Neil Brodie et al., (Oxford: McDonald Institute for Archaeological Research, 2008), 23.</w:t>
      </w:r>
    </w:p>
  </w:footnote>
  <w:footnote w:id="4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Trantalidou, “Glimpses of Aegean Island Communities,” 24-25.</w:t>
      </w:r>
    </w:p>
  </w:footnote>
  <w:footnote w:id="4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21" w:name="_Hlk480050821"/>
      <w:r w:rsidRPr="00C61DE2">
        <w:rPr>
          <w:rFonts w:ascii="Times New Roman" w:hAnsi="Times New Roman" w:cs="Times New Roman"/>
        </w:rPr>
        <w:t xml:space="preserve">Katerina Trantalidou, “The Animal Bones: The Exploitation of Livestock,” in </w:t>
      </w:r>
      <w:r w:rsidRPr="00C61DE2">
        <w:rPr>
          <w:rFonts w:ascii="Times New Roman" w:hAnsi="Times New Roman" w:cs="Times New Roman"/>
          <w:i/>
        </w:rPr>
        <w:t>The Sanctuary</w:t>
      </w:r>
      <w:r w:rsidRPr="00C61DE2">
        <w:rPr>
          <w:rFonts w:ascii="Times New Roman" w:hAnsi="Times New Roman" w:cs="Times New Roman"/>
        </w:rPr>
        <w:t xml:space="preserve"> </w:t>
      </w:r>
      <w:r w:rsidRPr="00C61DE2">
        <w:rPr>
          <w:rFonts w:ascii="Times New Roman" w:hAnsi="Times New Roman" w:cs="Times New Roman"/>
          <w:i/>
        </w:rPr>
        <w:t xml:space="preserve">on Keros and the Origins of Aegean Ritual Practice: The Excavations of 2006-2008. </w:t>
      </w:r>
      <w:r w:rsidRPr="00C61DE2">
        <w:rPr>
          <w:rFonts w:ascii="Times New Roman" w:hAnsi="Times New Roman" w:cs="Times New Roman"/>
        </w:rPr>
        <w:t>Vol. 1</w:t>
      </w:r>
      <w:r w:rsidRPr="00C61DE2">
        <w:rPr>
          <w:rFonts w:ascii="Times New Roman" w:hAnsi="Times New Roman" w:cs="Times New Roman"/>
          <w:i/>
        </w:rPr>
        <w:t>, The Settlement at Dhaskalio</w:t>
      </w:r>
      <w:r w:rsidRPr="00C61DE2">
        <w:rPr>
          <w:rFonts w:ascii="Times New Roman" w:hAnsi="Times New Roman" w:cs="Times New Roman"/>
        </w:rPr>
        <w:t>, eds. Colin Renfrew et al., (Cambridge: McDonald Institute for Archaeological Research, 2013), 440</w:t>
      </w:r>
      <w:bookmarkEnd w:id="21"/>
      <w:r w:rsidRPr="00C61DE2">
        <w:rPr>
          <w:rFonts w:ascii="Times New Roman" w:hAnsi="Times New Roman" w:cs="Times New Roman"/>
        </w:rPr>
        <w:t>.</w:t>
      </w:r>
    </w:p>
  </w:footnote>
  <w:footnote w:id="4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Trantalidou, “The Animal Bones: The Exploitation of Livestock,” </w:t>
      </w:r>
      <w:r w:rsidRPr="00C61DE2">
        <w:rPr>
          <w:rFonts w:ascii="Times New Roman" w:hAnsi="Times New Roman" w:cs="Times New Roman"/>
          <w:iCs/>
          <w:lang w:bidi="en-US"/>
        </w:rPr>
        <w:t xml:space="preserve">432. See Table 20.1. </w:t>
      </w:r>
    </w:p>
  </w:footnote>
  <w:footnote w:id="4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Trantalidou, “The Animal Bones,”433. </w:t>
      </w:r>
    </w:p>
  </w:footnote>
  <w:footnote w:id="4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r w:rsidRPr="00C61DE2">
        <w:rPr>
          <w:rFonts w:ascii="Times New Roman" w:hAnsi="Times New Roman" w:cs="Times New Roman"/>
          <w:lang w:bidi="en-US"/>
        </w:rPr>
        <w:t xml:space="preserve">Trantalidou, “The Animal Bones,” 440-441; For a concise description of fauna endemic to Greece see also Dickinson, </w:t>
      </w:r>
      <w:r w:rsidRPr="00C61DE2">
        <w:rPr>
          <w:rFonts w:ascii="Times New Roman" w:hAnsi="Times New Roman" w:cs="Times New Roman"/>
          <w:i/>
          <w:lang w:bidi="en-US"/>
        </w:rPr>
        <w:t>The Aegean Bronze Age</w:t>
      </w:r>
      <w:r w:rsidRPr="00C61DE2">
        <w:rPr>
          <w:rFonts w:ascii="Times New Roman" w:hAnsi="Times New Roman" w:cs="Times New Roman"/>
          <w:lang w:bidi="en-US"/>
        </w:rPr>
        <w:t>, 28.</w:t>
      </w:r>
    </w:p>
  </w:footnote>
  <w:footnote w:id="4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For a complete list of sites known by island see “Appendix I: Gazetteer of Neolithic and Early Bronze Age Sites in the Cycladic Islands” in Renfrew, </w:t>
      </w:r>
      <w:r w:rsidRPr="00C61DE2">
        <w:rPr>
          <w:rFonts w:ascii="Times New Roman" w:hAnsi="Times New Roman" w:cs="Times New Roman"/>
          <w:i/>
        </w:rPr>
        <w:t>The Emergence of Civilization,</w:t>
      </w:r>
      <w:r w:rsidRPr="00C61DE2">
        <w:rPr>
          <w:rFonts w:ascii="Times New Roman" w:hAnsi="Times New Roman" w:cs="Times New Roman"/>
        </w:rPr>
        <w:t xml:space="preserve"> 507-525.</w:t>
      </w:r>
    </w:p>
  </w:footnote>
  <w:footnote w:id="4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For a detailed and in-depth discussion of chronology see: R.L.N. Barber and J.A. MacGillivray, “The Early Cycladic Period: Matters of Definition and Terminology,” </w:t>
      </w:r>
      <w:r w:rsidRPr="00C61DE2">
        <w:rPr>
          <w:rFonts w:ascii="Times New Roman" w:hAnsi="Times New Roman" w:cs="Times New Roman"/>
          <w:i/>
        </w:rPr>
        <w:t>American Journal of Archaeology</w:t>
      </w:r>
      <w:r w:rsidRPr="00C61DE2">
        <w:rPr>
          <w:rFonts w:ascii="Times New Roman" w:hAnsi="Times New Roman" w:cs="Times New Roman"/>
        </w:rPr>
        <w:t xml:space="preserve"> 84, no. 2 (Apr 1980): 141-157, and Colin Renfrew, “The Development and Chronology of the Early Cycladic Figurines,” </w:t>
      </w:r>
      <w:r w:rsidRPr="00C61DE2">
        <w:rPr>
          <w:rFonts w:ascii="Times New Roman" w:hAnsi="Times New Roman" w:cs="Times New Roman"/>
          <w:i/>
        </w:rPr>
        <w:t>The American Journal of Archaeology</w:t>
      </w:r>
      <w:r w:rsidRPr="00C61DE2">
        <w:rPr>
          <w:rFonts w:ascii="Times New Roman" w:hAnsi="Times New Roman" w:cs="Times New Roman"/>
        </w:rPr>
        <w:t xml:space="preserve"> 73 (Jan 1969): 1-32.</w:t>
      </w:r>
    </w:p>
  </w:footnote>
  <w:footnote w:id="4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Relative chronology refers to dating objects/events in relation to dates of other objects/events.</w:t>
      </w:r>
    </w:p>
  </w:footnote>
  <w:footnote w:id="5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Absolute chronology refers to determining the age of an object or date of an event in numerical years. </w:t>
      </w:r>
    </w:p>
  </w:footnote>
  <w:footnote w:id="5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Christos Doumas, “Aegean Absolute Chronology: Where Did It Go Wrong?” in </w:t>
      </w:r>
      <w:r w:rsidRPr="00C61DE2">
        <w:rPr>
          <w:rFonts w:ascii="Times New Roman" w:hAnsi="Times New Roman" w:cs="Times New Roman"/>
          <w:i/>
        </w:rPr>
        <w:t>Tree-Rings, Kings, and Old World Archaeology and Environment: Papers Presented in Honor of Peter Ian Kuniholm,</w:t>
      </w:r>
      <w:r w:rsidRPr="00C61DE2">
        <w:rPr>
          <w:rFonts w:ascii="Times New Roman" w:hAnsi="Times New Roman" w:cs="Times New Roman"/>
        </w:rPr>
        <w:t xml:space="preserve"> eds. Sturt Manning and Mary Jaye Bruce (Oxford: Oxbow, 2009), 263. The relative chronological system and cultural sequences were universally accepted until scientific dating methods were introduced in the 1960’s.</w:t>
      </w:r>
    </w:p>
  </w:footnote>
  <w:footnote w:id="5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The Emergence of Civilization, 53-54.</w:t>
      </w:r>
    </w:p>
  </w:footnote>
  <w:footnote w:id="5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Ourania Kouka, “Third Millennium BC Aegean Chronology: Old and New Data from the Perspective of the Third Millennium AD,” in </w:t>
      </w:r>
      <w:r w:rsidRPr="00C61DE2">
        <w:rPr>
          <w:rFonts w:ascii="Times New Roman" w:hAnsi="Times New Roman" w:cs="Times New Roman"/>
          <w:i/>
        </w:rPr>
        <w:t>Tree-Rings, Kings, and Old World Archaeology and Environment: Papers Presented in Honor of Peter Ian Kuniholm</w:t>
      </w:r>
      <w:r w:rsidRPr="00C61DE2">
        <w:rPr>
          <w:rFonts w:ascii="Times New Roman" w:hAnsi="Times New Roman" w:cs="Times New Roman"/>
        </w:rPr>
        <w:t xml:space="preserve">, eds. by Sturt Manning and Mary Jaye Bruce (Oxford: Oxbow, 2009), 133. </w:t>
      </w:r>
    </w:p>
  </w:footnote>
  <w:footnote w:id="5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25" w:name="_Hlk481252180"/>
      <w:r w:rsidRPr="00C61DE2">
        <w:rPr>
          <w:rFonts w:ascii="Times New Roman" w:hAnsi="Times New Roman" w:cs="Times New Roman"/>
        </w:rPr>
        <w:t xml:space="preserve">Cynthia W. Shelmerdine, ed., </w:t>
      </w:r>
      <w:r w:rsidRPr="00C61DE2">
        <w:rPr>
          <w:rFonts w:ascii="Times New Roman" w:hAnsi="Times New Roman" w:cs="Times New Roman"/>
          <w:i/>
        </w:rPr>
        <w:t>The Cambridge Companion to the Aegean Bronze Age</w:t>
      </w:r>
      <w:r w:rsidRPr="00C61DE2">
        <w:rPr>
          <w:rFonts w:ascii="Times New Roman" w:hAnsi="Times New Roman" w:cs="Times New Roman"/>
        </w:rPr>
        <w:t xml:space="preserve">, (Cambridge: Cambridge University Press, 2008), </w:t>
      </w:r>
      <w:bookmarkEnd w:id="25"/>
      <w:r w:rsidRPr="00C61DE2">
        <w:rPr>
          <w:rFonts w:ascii="Times New Roman" w:hAnsi="Times New Roman" w:cs="Times New Roman"/>
        </w:rPr>
        <w:t>3. For example, the focus of this thesis covers the Early Cycladic (abbreviated EC) period and its three sub-phases (EC I, EC II, and EC III).</w:t>
      </w:r>
    </w:p>
  </w:footnote>
  <w:footnote w:id="5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In 1977, Doumas also introduced a similar cultural sequence based on cemeteries.  See Christos Doumas, </w:t>
      </w:r>
      <w:r w:rsidRPr="00C61DE2">
        <w:rPr>
          <w:rFonts w:ascii="Times New Roman" w:hAnsi="Times New Roman" w:cs="Times New Roman"/>
          <w:i/>
        </w:rPr>
        <w:t>Early Bronze Age Burial Habits in the Cyclades</w:t>
      </w:r>
      <w:r w:rsidRPr="00C61DE2">
        <w:rPr>
          <w:rFonts w:ascii="Times New Roman" w:hAnsi="Times New Roman" w:cs="Times New Roman"/>
        </w:rPr>
        <w:t>, (Göteborg: Paul Åströms Förlag, 1977).</w:t>
      </w:r>
    </w:p>
  </w:footnote>
  <w:footnote w:id="56">
    <w:p w:rsidR="00350400" w:rsidRPr="00C61DE2" w:rsidRDefault="00350400" w:rsidP="00B328CA">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Additionally, two short-lived transitional phases exist.  The Kampos phase falls between Grotta-Pelos and Keros-Syros; and the Kastri phase falls between Keros-Syros and Phylakopi. However, some scholars do not treat them as separate phases, but groups within EC I and EC II respectively.  See 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21. </w:t>
      </w:r>
    </w:p>
  </w:footnote>
  <w:footnote w:id="5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Colin Renfrew, </w:t>
      </w:r>
      <w:r w:rsidRPr="00C61DE2">
        <w:rPr>
          <w:rFonts w:ascii="Times New Roman" w:hAnsi="Times New Roman" w:cs="Times New Roman"/>
          <w:i/>
        </w:rPr>
        <w:t>The Emergence of Civilization: The Cyclades and the Aegean in the Third Millennium B.C.</w:t>
      </w:r>
      <w:r w:rsidRPr="00C61DE2">
        <w:rPr>
          <w:rFonts w:ascii="Times New Roman" w:hAnsi="Times New Roman" w:cs="Times New Roman"/>
        </w:rPr>
        <w:t xml:space="preserve"> (London: Methuen, 1972), 147, 153. </w:t>
      </w:r>
    </w:p>
  </w:footnote>
  <w:footnote w:id="5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w:t>
      </w:r>
      <w:r w:rsidRPr="00C61DE2">
        <w:rPr>
          <w:rFonts w:ascii="Times New Roman" w:hAnsi="Times New Roman" w:cs="Times New Roman"/>
          <w:i/>
        </w:rPr>
        <w:t>The Emergence of Civilization</w:t>
      </w:r>
      <w:r w:rsidRPr="00C61DE2">
        <w:rPr>
          <w:rFonts w:ascii="Times New Roman" w:hAnsi="Times New Roman" w:cs="Times New Roman"/>
        </w:rPr>
        <w:t>, 186, 190; Renfrew, “Cyclades,” in The Oxford Handbook of the Bronze Age Aegean (ca. 3000-1000 BC), edited by Eric Cline (Oxford: Oxford University Press, 2010), 83-95. 1900</w:t>
      </w:r>
    </w:p>
  </w:footnote>
  <w:footnote w:id="5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w:t>
      </w:r>
      <w:r w:rsidRPr="00C61DE2">
        <w:rPr>
          <w:rFonts w:ascii="Times New Roman" w:hAnsi="Times New Roman" w:cs="Times New Roman"/>
          <w:i/>
        </w:rPr>
        <w:t>An Island Archaeology</w:t>
      </w:r>
      <w:r w:rsidRPr="00C61DE2">
        <w:rPr>
          <w:rFonts w:ascii="Times New Roman" w:hAnsi="Times New Roman" w:cs="Times New Roman"/>
        </w:rPr>
        <w:t xml:space="preserve">, 53. See also Appendix 2: “Local Groups within the Grotta-Pelos and Keros-Syros Cultures of the Cyclades,” from Colin Renfrew, </w:t>
      </w:r>
      <w:r w:rsidRPr="00C61DE2">
        <w:rPr>
          <w:rFonts w:ascii="Times New Roman" w:hAnsi="Times New Roman" w:cs="Times New Roman"/>
          <w:i/>
        </w:rPr>
        <w:t xml:space="preserve">The Emergence of Civilization, </w:t>
      </w:r>
      <w:r w:rsidRPr="00C61DE2">
        <w:rPr>
          <w:rFonts w:ascii="Times New Roman" w:hAnsi="Times New Roman" w:cs="Times New Roman"/>
        </w:rPr>
        <w:t>527-538</w:t>
      </w:r>
      <w:r w:rsidRPr="00C61DE2">
        <w:rPr>
          <w:rFonts w:ascii="Times New Roman" w:hAnsi="Times New Roman" w:cs="Times New Roman"/>
          <w:i/>
        </w:rPr>
        <w:t>.</w:t>
      </w:r>
    </w:p>
  </w:footnote>
  <w:footnote w:id="6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26" w:name="_Hlk480058383"/>
      <w:r w:rsidRPr="00C61DE2">
        <w:rPr>
          <w:rFonts w:ascii="Times New Roman" w:hAnsi="Times New Roman" w:cs="Times New Roman"/>
        </w:rPr>
        <w:t xml:space="preserve">Colin Renfrew, “The Cycladic Culture,” in </w:t>
      </w:r>
      <w:r w:rsidRPr="00C61DE2">
        <w:rPr>
          <w:rFonts w:ascii="Times New Roman" w:hAnsi="Times New Roman" w:cs="Times New Roman"/>
          <w:i/>
        </w:rPr>
        <w:t>Art and Culture of the Cyclades in the Third Millennium B.C.</w:t>
      </w:r>
      <w:r w:rsidRPr="00C61DE2">
        <w:rPr>
          <w:rFonts w:ascii="Times New Roman" w:hAnsi="Times New Roman" w:cs="Times New Roman"/>
        </w:rPr>
        <w:t>, ed. by Jürgen Thimme, (Chicago: University of Chicago Press, 1977),</w:t>
      </w:r>
      <w:bookmarkEnd w:id="26"/>
      <w:r w:rsidRPr="00C61DE2">
        <w:rPr>
          <w:rFonts w:ascii="Times New Roman" w:hAnsi="Times New Roman" w:cs="Times New Roman"/>
        </w:rPr>
        <w:t xml:space="preserve"> 20.</w:t>
      </w:r>
    </w:p>
  </w:footnote>
  <w:footnote w:id="6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“The Cycladic Culture,” 20.</w:t>
      </w:r>
    </w:p>
  </w:footnote>
  <w:footnote w:id="6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Colin Renfrew, “Cycladic Metallurgy and the Aegean Early Bronze Age,” </w:t>
      </w:r>
      <w:r w:rsidRPr="00C61DE2">
        <w:rPr>
          <w:rFonts w:ascii="Times New Roman" w:hAnsi="Times New Roman" w:cs="Times New Roman"/>
          <w:i/>
        </w:rPr>
        <w:t>American Journal of Archaeology</w:t>
      </w:r>
      <w:r w:rsidRPr="00C61DE2">
        <w:rPr>
          <w:rFonts w:ascii="Times New Roman" w:hAnsi="Times New Roman" w:cs="Times New Roman"/>
        </w:rPr>
        <w:t xml:space="preserve"> 71, no. 1 (Jan 1967): 1-20, accessed 01-27-2010, http://www.jstor.org/stable/501585, 1-2.</w:t>
      </w:r>
    </w:p>
  </w:footnote>
  <w:footnote w:id="6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“The Cycladic Culture,” 20.</w:t>
      </w:r>
    </w:p>
  </w:footnote>
  <w:footnote w:id="6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For a concise overview of the discourse concerning Cycladic chronology, see: Broodbank, </w:t>
      </w:r>
      <w:r w:rsidRPr="00C61DE2">
        <w:rPr>
          <w:rFonts w:ascii="Times New Roman" w:hAnsi="Times New Roman" w:cs="Times New Roman"/>
          <w:i/>
        </w:rPr>
        <w:t>An Island Archaeology</w:t>
      </w:r>
      <w:r w:rsidRPr="00C61DE2">
        <w:rPr>
          <w:rFonts w:ascii="Times New Roman" w:hAnsi="Times New Roman" w:cs="Times New Roman"/>
        </w:rPr>
        <w:t>, 53-55.</w:t>
      </w:r>
    </w:p>
  </w:footnote>
  <w:footnote w:id="6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20.  </w:t>
      </w:r>
    </w:p>
  </w:footnote>
  <w:footnote w:id="6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 22.</w:t>
      </w:r>
    </w:p>
  </w:footnote>
  <w:footnote w:id="6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21. </w:t>
      </w:r>
    </w:p>
  </w:footnote>
  <w:footnote w:id="6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20. </w:t>
      </w:r>
    </w:p>
  </w:footnote>
  <w:footnote w:id="6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Peter Andrews, Theya Molleson &amp; Başak Boz, “The Human Burials at Çatalhöyük,” in </w:t>
      </w:r>
      <w:r w:rsidRPr="00C61DE2">
        <w:rPr>
          <w:rFonts w:ascii="Times New Roman" w:hAnsi="Times New Roman" w:cs="Times New Roman"/>
          <w:i/>
          <w:iCs/>
        </w:rPr>
        <w:t>Inhabiting Çatalhöyük: Reports From the 1995-99 Seasons</w:t>
      </w:r>
      <w:r w:rsidRPr="00C61DE2">
        <w:rPr>
          <w:rFonts w:ascii="Times New Roman" w:hAnsi="Times New Roman" w:cs="Times New Roman"/>
        </w:rPr>
        <w:t>, edited by Ian Hodder, 261-278 (Cambridge: McDonald Institute for Archaeological Research, 2005), 263.</w:t>
      </w:r>
    </w:p>
  </w:footnote>
  <w:footnote w:id="7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20. </w:t>
      </w:r>
    </w:p>
  </w:footnote>
  <w:footnote w:id="7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Barber and MacGillivray, “The Early Cycladic Period: Matters of Definition and Terminology,”149.</w:t>
      </w:r>
    </w:p>
  </w:footnote>
  <w:footnote w:id="7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24.</w:t>
      </w:r>
    </w:p>
  </w:footnote>
  <w:footnote w:id="7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John L. Caskey, and E.T. Blackburn, </w:t>
      </w:r>
      <w:r w:rsidRPr="00C61DE2">
        <w:rPr>
          <w:rFonts w:ascii="Times New Roman" w:hAnsi="Times New Roman" w:cs="Times New Roman"/>
          <w:i/>
        </w:rPr>
        <w:t>Lerna in the Argolid</w:t>
      </w:r>
      <w:r w:rsidRPr="00C61DE2">
        <w:rPr>
          <w:rFonts w:ascii="Times New Roman" w:hAnsi="Times New Roman" w:cs="Times New Roman"/>
        </w:rPr>
        <w:t>, (Athens: American School of Classical Studies at Athens, 1997), 14.</w:t>
      </w:r>
    </w:p>
  </w:footnote>
  <w:footnote w:id="7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28. </w:t>
      </w:r>
    </w:p>
  </w:footnote>
  <w:footnote w:id="7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27. </w:t>
      </w:r>
    </w:p>
  </w:footnote>
  <w:footnote w:id="7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Hekman, “The Early Bronze Age Cemetery at Chalandriani on Syros,” 62.</w:t>
      </w:r>
    </w:p>
  </w:footnote>
  <w:footnote w:id="7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26. </w:t>
      </w:r>
    </w:p>
  </w:footnote>
  <w:footnote w:id="7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29. </w:t>
      </w:r>
    </w:p>
  </w:footnote>
  <w:footnote w:id="7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29. </w:t>
      </w:r>
    </w:p>
  </w:footnote>
  <w:footnote w:id="8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“The Cycladic Culture,” 26.</w:t>
      </w:r>
    </w:p>
  </w:footnote>
  <w:footnote w:id="8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w:t>
      </w:r>
      <w:r w:rsidRPr="00C61DE2">
        <w:rPr>
          <w:rFonts w:ascii="Times New Roman" w:hAnsi="Times New Roman" w:cs="Times New Roman"/>
          <w:i/>
        </w:rPr>
        <w:t>The Emergence of Civilization</w:t>
      </w:r>
      <w:r w:rsidRPr="00C61DE2">
        <w:rPr>
          <w:rFonts w:ascii="Times New Roman" w:hAnsi="Times New Roman" w:cs="Times New Roman"/>
        </w:rPr>
        <w:t xml:space="preserve">, 186. </w:t>
      </w:r>
    </w:p>
  </w:footnote>
  <w:footnote w:id="8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37. Ayia Irini, Phylakopi, Akrotiri, Paroikia, and Grotta.</w:t>
      </w:r>
    </w:p>
  </w:footnote>
  <w:footnote w:id="8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Barber and MacGillivray, “The Early Cycladic Period: Matters of Definition and Terminology,” 150.</w:t>
      </w:r>
    </w:p>
  </w:footnote>
  <w:footnote w:id="8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“The Cycladic Culture,” 28, </w:t>
      </w:r>
    </w:p>
  </w:footnote>
  <w:footnote w:id="8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Barber and MacGillivray, “The Early Cycladic Period: Matters of Definition and Terminology,” 152.</w:t>
      </w:r>
    </w:p>
  </w:footnote>
  <w:footnote w:id="8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Marija Gimbutas, </w:t>
      </w:r>
      <w:r w:rsidRPr="00C61DE2">
        <w:rPr>
          <w:rFonts w:ascii="Times New Roman" w:hAnsi="Times New Roman" w:cs="Times New Roman"/>
          <w:i/>
        </w:rPr>
        <w:t>The Language of the Goddess</w:t>
      </w:r>
      <w:r w:rsidRPr="00C61DE2">
        <w:rPr>
          <w:rFonts w:ascii="Times New Roman" w:hAnsi="Times New Roman" w:cs="Times New Roman"/>
        </w:rPr>
        <w:t xml:space="preserve">: </w:t>
      </w:r>
      <w:r w:rsidRPr="00C61DE2">
        <w:rPr>
          <w:rFonts w:ascii="Times New Roman" w:hAnsi="Times New Roman" w:cs="Times New Roman"/>
          <w:i/>
        </w:rPr>
        <w:t>Unearthing the Hidden Symbols of Western Civilization,</w:t>
      </w:r>
      <w:r w:rsidRPr="00C61DE2">
        <w:rPr>
          <w:rFonts w:ascii="Times New Roman" w:hAnsi="Times New Roman" w:cs="Times New Roman"/>
        </w:rPr>
        <w:t xml:space="preserve"> (San Francisco: Harper &amp; Row, 1989), 119.</w:t>
      </w:r>
    </w:p>
  </w:footnote>
  <w:footnote w:id="8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29" w:name="_Hlk480489146"/>
      <w:r w:rsidRPr="00C61DE2">
        <w:rPr>
          <w:rFonts w:ascii="Times New Roman" w:hAnsi="Times New Roman" w:cs="Times New Roman"/>
        </w:rPr>
        <w:t xml:space="preserve">Getz-Gentle, </w:t>
      </w:r>
      <w:r w:rsidRPr="00C61DE2">
        <w:rPr>
          <w:rFonts w:ascii="Times New Roman" w:hAnsi="Times New Roman" w:cs="Times New Roman"/>
          <w:i/>
        </w:rPr>
        <w:t>Stone Vessels of the Cyclades,</w:t>
      </w:r>
      <w:r w:rsidRPr="00C61DE2">
        <w:rPr>
          <w:rFonts w:ascii="Times New Roman" w:hAnsi="Times New Roman" w:cs="Times New Roman"/>
        </w:rPr>
        <w:t xml:space="preserve"> </w:t>
      </w:r>
      <w:bookmarkEnd w:id="29"/>
      <w:r w:rsidRPr="00C61DE2">
        <w:rPr>
          <w:rFonts w:ascii="Times New Roman" w:hAnsi="Times New Roman" w:cs="Times New Roman"/>
        </w:rPr>
        <w:t>140-41.</w:t>
      </w:r>
    </w:p>
  </w:footnote>
  <w:footnote w:id="8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30" w:name="_Hlk480053707"/>
      <w:r w:rsidRPr="00C61DE2">
        <w:rPr>
          <w:rFonts w:ascii="Times New Roman" w:hAnsi="Times New Roman" w:cs="Times New Roman"/>
        </w:rPr>
        <w:t xml:space="preserve">Gimbutas, </w:t>
      </w:r>
      <w:r w:rsidRPr="00C61DE2">
        <w:rPr>
          <w:rFonts w:ascii="Times New Roman" w:hAnsi="Times New Roman" w:cs="Times New Roman"/>
          <w:i/>
        </w:rPr>
        <w:t>The</w:t>
      </w:r>
      <w:r w:rsidRPr="00C61DE2">
        <w:rPr>
          <w:rFonts w:ascii="Times New Roman" w:hAnsi="Times New Roman" w:cs="Times New Roman"/>
        </w:rPr>
        <w:t xml:space="preserve"> </w:t>
      </w:r>
      <w:r w:rsidRPr="00C61DE2">
        <w:rPr>
          <w:rFonts w:ascii="Times New Roman" w:hAnsi="Times New Roman" w:cs="Times New Roman"/>
          <w:i/>
        </w:rPr>
        <w:t>Language of the Goddess</w:t>
      </w:r>
      <w:bookmarkEnd w:id="30"/>
      <w:r w:rsidRPr="00C61DE2">
        <w:rPr>
          <w:rFonts w:ascii="Times New Roman" w:hAnsi="Times New Roman" w:cs="Times New Roman"/>
        </w:rPr>
        <w:t>, 92.</w:t>
      </w:r>
    </w:p>
  </w:footnote>
  <w:footnote w:id="8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Getz-Gentle, Pat, and Jack de Vries. </w:t>
      </w:r>
      <w:r w:rsidRPr="00C61DE2">
        <w:rPr>
          <w:rFonts w:ascii="Times New Roman" w:hAnsi="Times New Roman" w:cs="Times New Roman"/>
          <w:i/>
        </w:rPr>
        <w:t>Personal Styles in Early Cycladic Sculpture</w:t>
      </w:r>
      <w:r w:rsidRPr="00C61DE2">
        <w:rPr>
          <w:rFonts w:ascii="Times New Roman" w:hAnsi="Times New Roman" w:cs="Times New Roman"/>
        </w:rPr>
        <w:t>. Madison: University of Wisconsin Press, 2001. Getz-Gentle, Pat. Sculptors of the Cyclades: Individual and Tradition in the Third Millennium B.C. Ann Arbor: University of Michigan Press, 1987.</w:t>
      </w:r>
    </w:p>
  </w:footnote>
  <w:footnote w:id="9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34" w:name="_Hlk480538720"/>
      <w:r w:rsidRPr="00C61DE2">
        <w:rPr>
          <w:rFonts w:ascii="Times New Roman" w:hAnsi="Times New Roman" w:cs="Times New Roman"/>
        </w:rPr>
        <w:t xml:space="preserve">Getz-Gentle, </w:t>
      </w:r>
      <w:r w:rsidRPr="00C61DE2">
        <w:rPr>
          <w:rFonts w:ascii="Times New Roman" w:hAnsi="Times New Roman" w:cs="Times New Roman"/>
          <w:i/>
        </w:rPr>
        <w:t>Stone Vessels of the Cyclades in the Early Bronze Age</w:t>
      </w:r>
      <w:bookmarkEnd w:id="34"/>
      <w:r w:rsidRPr="00C61DE2">
        <w:rPr>
          <w:rFonts w:ascii="Times New Roman" w:hAnsi="Times New Roman" w:cs="Times New Roman"/>
        </w:rPr>
        <w:t xml:space="preserve">, (University Park: Pennsylvania State University Press, 1996). </w:t>
      </w:r>
    </w:p>
  </w:footnote>
  <w:footnote w:id="9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Getz-Gentle, </w:t>
      </w:r>
      <w:r w:rsidRPr="00C61DE2">
        <w:rPr>
          <w:rFonts w:ascii="Times New Roman" w:hAnsi="Times New Roman" w:cs="Times New Roman"/>
          <w:i/>
        </w:rPr>
        <w:t xml:space="preserve">Stone Vessels of the Cyclades in the Early Bronze Age, </w:t>
      </w:r>
      <w:r w:rsidRPr="00C61DE2">
        <w:rPr>
          <w:rFonts w:ascii="Times New Roman" w:hAnsi="Times New Roman" w:cs="Times New Roman"/>
        </w:rPr>
        <w:t>xxi.</w:t>
      </w:r>
    </w:p>
  </w:footnote>
  <w:footnote w:id="9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Pat Getz-Preziosi, </w:t>
      </w:r>
      <w:r w:rsidRPr="00C61DE2">
        <w:rPr>
          <w:rFonts w:ascii="Times New Roman" w:hAnsi="Times New Roman" w:cs="Times New Roman"/>
          <w:i/>
        </w:rPr>
        <w:t>Early Cycladic Sculpture</w:t>
      </w:r>
      <w:r w:rsidRPr="00C61DE2">
        <w:rPr>
          <w:rFonts w:ascii="Times New Roman" w:hAnsi="Times New Roman" w:cs="Times New Roman"/>
        </w:rPr>
        <w:t xml:space="preserve">, (Malibu: J. Paul Getty Museum, 1985). </w:t>
      </w:r>
    </w:p>
  </w:footnote>
  <w:footnote w:id="9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Pat Getz-Gentle, Jack L. Davis and Elizabeth Oustinoff, </w:t>
      </w:r>
      <w:r w:rsidRPr="00C61DE2">
        <w:rPr>
          <w:rFonts w:ascii="Times New Roman" w:hAnsi="Times New Roman" w:cs="Times New Roman"/>
          <w:i/>
        </w:rPr>
        <w:t>Early Cycladic Art in North American Collections</w:t>
      </w:r>
      <w:r w:rsidRPr="00C61DE2">
        <w:rPr>
          <w:rFonts w:ascii="Times New Roman" w:hAnsi="Times New Roman" w:cs="Times New Roman"/>
        </w:rPr>
        <w:t>, (Richmond, VA: Virginia Museum of Fine Arts, 1987).</w:t>
      </w:r>
    </w:p>
  </w:footnote>
  <w:footnote w:id="9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Marija Gimbutas, </w:t>
      </w:r>
      <w:r w:rsidRPr="00C61DE2">
        <w:rPr>
          <w:rFonts w:ascii="Times New Roman" w:eastAsia="Calibri" w:hAnsi="Times New Roman" w:cs="Times New Roman"/>
          <w:i/>
        </w:rPr>
        <w:t>The Civilization of the Goddess: The World of Old Europe,</w:t>
      </w:r>
      <w:r w:rsidRPr="00C61DE2">
        <w:rPr>
          <w:rFonts w:ascii="Times New Roman" w:eastAsia="Calibri" w:hAnsi="Times New Roman" w:cs="Times New Roman"/>
        </w:rPr>
        <w:t xml:space="preserve"> (San Francisco: Harper, 1991).</w:t>
      </w:r>
    </w:p>
  </w:footnote>
  <w:footnote w:id="9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Colin Renfew, </w:t>
      </w:r>
      <w:r w:rsidRPr="00C61DE2">
        <w:rPr>
          <w:rFonts w:ascii="Times New Roman" w:hAnsi="Times New Roman" w:cs="Times New Roman"/>
          <w:i/>
        </w:rPr>
        <w:t xml:space="preserve">The Emergence of Civilization: The Cyclades and the Aegean in the Third Millennium B.C., </w:t>
      </w:r>
      <w:r w:rsidRPr="00C61DE2">
        <w:rPr>
          <w:rFonts w:ascii="Times New Roman" w:hAnsi="Times New Roman" w:cs="Times New Roman"/>
        </w:rPr>
        <w:t>(London: Methuen, 1972).</w:t>
      </w:r>
    </w:p>
  </w:footnote>
  <w:footnote w:id="96">
    <w:p w:rsidR="00350400" w:rsidRPr="00C61DE2" w:rsidRDefault="00350400" w:rsidP="00B328CA">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Peristera Paschou, et al. “Maritime Route of Colonization of Europe,” </w:t>
      </w:r>
      <w:r w:rsidRPr="00C61DE2">
        <w:rPr>
          <w:rFonts w:ascii="Times New Roman" w:hAnsi="Times New Roman" w:cs="Times New Roman"/>
          <w:i/>
        </w:rPr>
        <w:t>Proceedings of the National Academy of Sciences</w:t>
      </w:r>
      <w:r w:rsidRPr="00C61DE2">
        <w:rPr>
          <w:rFonts w:ascii="Times New Roman" w:hAnsi="Times New Roman" w:cs="Times New Roman"/>
        </w:rPr>
        <w:t xml:space="preserve"> 111, no. 25 (June 24, 2014): 9211-9216, accessed 2/23/2017 http://www.pnas.org/content/111/25/9211.full.  All the information on this page relates to this source. </w:t>
      </w:r>
    </w:p>
  </w:footnote>
  <w:footnote w:id="9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Jean-Paul Demoule and Catherine Perlès, “The Greek Neolithic: A New Review,” </w:t>
      </w:r>
      <w:r w:rsidRPr="00C61DE2">
        <w:rPr>
          <w:rFonts w:ascii="Times New Roman" w:hAnsi="Times New Roman" w:cs="Times New Roman"/>
          <w:i/>
        </w:rPr>
        <w:t>Journal of World Prehistory</w:t>
      </w:r>
      <w:r w:rsidRPr="00C61DE2">
        <w:rPr>
          <w:rFonts w:ascii="Times New Roman" w:hAnsi="Times New Roman" w:cs="Times New Roman"/>
        </w:rPr>
        <w:t xml:space="preserve"> 7, no. 4 (Dec. 1993): 365, accessed 9-17-2016, http://www.jstor.org/stable/25800637.</w:t>
      </w:r>
    </w:p>
  </w:footnote>
  <w:footnote w:id="9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Demoule and Perlès, “The Greek Neolithic”, 365.</w:t>
      </w:r>
    </w:p>
  </w:footnote>
  <w:footnote w:id="9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Paschou et al., “Maritime Routes”, 9215. </w:t>
      </w:r>
    </w:p>
  </w:footnote>
  <w:footnote w:id="10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These might include use of 3-D printing, the Scanning Electron Microscope (SEM), non-destructive carbon dating, computed tomography (CT) scans, light detection and ranging, or LIDAR, multispectral imaging (MSI), hyperspectral imaging and more. It is my belief that many of the objects in the catalog accompanying this thesis have never been examined using any modern processes. </w:t>
      </w:r>
    </w:p>
  </w:footnote>
  <w:footnote w:id="10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Rutter, “Aegean Prehistoric Archaeology”, accessed 2/18/2017, http://www.dartmouth.edu/~prehistory/aegean/.</w:t>
      </w:r>
    </w:p>
  </w:footnote>
  <w:footnote w:id="10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Bintliff, </w:t>
      </w:r>
      <w:r w:rsidRPr="00C61DE2">
        <w:rPr>
          <w:rFonts w:ascii="Times New Roman" w:hAnsi="Times New Roman" w:cs="Times New Roman"/>
          <w:i/>
        </w:rPr>
        <w:t>Complete Archaeology of Greece</w:t>
      </w:r>
      <w:r w:rsidRPr="00C61DE2">
        <w:rPr>
          <w:rFonts w:ascii="Times New Roman" w:hAnsi="Times New Roman" w:cs="Times New Roman"/>
        </w:rPr>
        <w:t>, 103.</w:t>
      </w:r>
    </w:p>
  </w:footnote>
  <w:footnote w:id="10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Bintliff, </w:t>
      </w:r>
      <w:r w:rsidRPr="00C61DE2">
        <w:rPr>
          <w:rFonts w:ascii="Times New Roman" w:hAnsi="Times New Roman" w:cs="Times New Roman"/>
          <w:i/>
        </w:rPr>
        <w:t>Complete Archaeology of Greece</w:t>
      </w:r>
      <w:r w:rsidRPr="00C61DE2">
        <w:rPr>
          <w:rFonts w:ascii="Times New Roman" w:hAnsi="Times New Roman" w:cs="Times New Roman"/>
        </w:rPr>
        <w:t>, 103.</w:t>
      </w:r>
    </w:p>
  </w:footnote>
  <w:footnote w:id="10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w:t>
      </w:r>
      <w:r w:rsidRPr="00C61DE2">
        <w:rPr>
          <w:rFonts w:ascii="Times New Roman" w:hAnsi="Times New Roman" w:cs="Times New Roman"/>
          <w:i/>
        </w:rPr>
        <w:t>An Island Archaeology</w:t>
      </w:r>
      <w:r w:rsidRPr="00C61DE2">
        <w:rPr>
          <w:rFonts w:ascii="Times New Roman" w:hAnsi="Times New Roman" w:cs="Times New Roman"/>
        </w:rPr>
        <w:t>, 82.</w:t>
      </w:r>
    </w:p>
  </w:footnote>
  <w:footnote w:id="10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See “Table 1: Earliest Occupation Dates for the East Mediterranean Islands” in John Cherry, “Pattern and Process in the Earliest Colonization of the Mediterranean Islands,” </w:t>
      </w:r>
      <w:r w:rsidRPr="00C61DE2">
        <w:rPr>
          <w:rFonts w:ascii="Times New Roman" w:hAnsi="Times New Roman" w:cs="Times New Roman"/>
          <w:i/>
        </w:rPr>
        <w:t>Proceedings of the Prehistoric Society</w:t>
      </w:r>
      <w:r w:rsidRPr="00C61DE2">
        <w:rPr>
          <w:rFonts w:ascii="Times New Roman" w:hAnsi="Times New Roman" w:cs="Times New Roman"/>
        </w:rPr>
        <w:t xml:space="preserve"> 47 (1981): 54-55. Though these dates are low in comparison to modern data, it does provide a good frame of reference. </w:t>
      </w:r>
    </w:p>
  </w:footnote>
  <w:footnote w:id="10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Cherry, “First Colonization,” 199.</w:t>
      </w:r>
    </w:p>
  </w:footnote>
  <w:footnote w:id="10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Cherry, “First Colonization,” 199.</w:t>
      </w:r>
    </w:p>
  </w:footnote>
  <w:footnote w:id="10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Cherry, “First Colonization,” 200.</w:t>
      </w:r>
    </w:p>
  </w:footnote>
  <w:footnote w:id="10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During the EC I period, short-range sailing occurred—intercommunity and interisland—probably for the purposes of shuttling foodstuffs and animals, marriage alliances, access to raw materials, and the like. See: </w:t>
      </w:r>
      <w:bookmarkStart w:id="41" w:name="_Hlk480057512"/>
      <w:bookmarkStart w:id="42" w:name="_Hlk481252319"/>
      <w:r w:rsidRPr="00C61DE2">
        <w:rPr>
          <w:rFonts w:ascii="Times New Roman" w:hAnsi="Times New Roman" w:cs="Times New Roman"/>
        </w:rPr>
        <w:t xml:space="preserve">Cyprian Broodbank, “The Early Bronze Age in the Cyclades,” in </w:t>
      </w:r>
      <w:r w:rsidRPr="00C61DE2">
        <w:rPr>
          <w:rFonts w:ascii="Times New Roman" w:hAnsi="Times New Roman" w:cs="Times New Roman"/>
          <w:i/>
        </w:rPr>
        <w:t>The Cambridge Companion to the Aegean Bronze Age</w:t>
      </w:r>
      <w:r w:rsidRPr="00C61DE2">
        <w:rPr>
          <w:rFonts w:ascii="Times New Roman" w:hAnsi="Times New Roman" w:cs="Times New Roman"/>
        </w:rPr>
        <w:t>, edited by Cynthia W. Shelmerdine, (Cambridge: Cambridge University Press, 2008)</w:t>
      </w:r>
      <w:bookmarkEnd w:id="41"/>
      <w:r w:rsidRPr="00C61DE2">
        <w:rPr>
          <w:rFonts w:ascii="Times New Roman" w:hAnsi="Times New Roman" w:cs="Times New Roman"/>
        </w:rPr>
        <w:t xml:space="preserve">, </w:t>
      </w:r>
      <w:bookmarkEnd w:id="42"/>
      <w:r w:rsidRPr="00C61DE2">
        <w:rPr>
          <w:rFonts w:ascii="Times New Roman" w:hAnsi="Times New Roman" w:cs="Times New Roman"/>
        </w:rPr>
        <w:t>63.</w:t>
      </w:r>
    </w:p>
  </w:footnote>
  <w:footnote w:id="11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62. </w:t>
      </w:r>
    </w:p>
  </w:footnote>
  <w:footnote w:id="11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w:t>
      </w:r>
      <w:r w:rsidRPr="00C61DE2">
        <w:rPr>
          <w:rFonts w:ascii="Times New Roman" w:hAnsi="Times New Roman" w:cs="Times New Roman"/>
          <w:i/>
        </w:rPr>
        <w:t>Emergence of Civilization</w:t>
      </w:r>
      <w:r w:rsidRPr="00C61DE2">
        <w:rPr>
          <w:rFonts w:ascii="Times New Roman" w:hAnsi="Times New Roman" w:cs="Times New Roman"/>
        </w:rPr>
        <w:t>, 34, 451.</w:t>
      </w:r>
    </w:p>
  </w:footnote>
  <w:footnote w:id="112">
    <w:p w:rsidR="00350400" w:rsidRPr="00C61DE2" w:rsidRDefault="00350400" w:rsidP="00B328CA">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“The Early Bronze Age in the Cyclades,” 65.</w:t>
      </w:r>
    </w:p>
  </w:footnote>
  <w:footnote w:id="11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Cyprian Broodbank, “Ulysses without Sails: Trade, Distance, Knowledge and Power in the Early Cyclades,” </w:t>
      </w:r>
      <w:r w:rsidRPr="00C61DE2">
        <w:rPr>
          <w:rFonts w:ascii="Times New Roman" w:hAnsi="Times New Roman" w:cs="Times New Roman"/>
          <w:i/>
        </w:rPr>
        <w:t>World Archaeology</w:t>
      </w:r>
      <w:r w:rsidRPr="00C61DE2">
        <w:rPr>
          <w:rFonts w:ascii="Times New Roman" w:hAnsi="Times New Roman" w:cs="Times New Roman"/>
        </w:rPr>
        <w:t xml:space="preserve"> 24, no. 3 (Feb. 1993): 315-331, accessed 01-24-2010, http://www.jstor.org/stable/124711. 316-318.</w:t>
      </w:r>
    </w:p>
  </w:footnote>
  <w:footnote w:id="11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“Ulysses without Sails,” 318. </w:t>
      </w:r>
    </w:p>
  </w:footnote>
  <w:footnote w:id="11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“The Early Bronze Age in the Cyclades,” 65.</w:t>
      </w:r>
    </w:p>
  </w:footnote>
  <w:footnote w:id="11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“The Early Bronze Age in the Cyclades,” 56.</w:t>
      </w:r>
    </w:p>
  </w:footnote>
  <w:footnote w:id="11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“The Early Bronze Age in the Cyclades,” 56.</w:t>
      </w:r>
    </w:p>
  </w:footnote>
  <w:footnote w:id="11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“The Early Bronze Age in the Cyclades,” 65.</w:t>
      </w:r>
    </w:p>
  </w:footnote>
  <w:footnote w:id="11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also points out other main ports which could have been recipients of Cycladic imports: Kolonna and Manika in the Saronic and Euboean Gulfs, Mochlos and Poros in Crete, Palaman at Skyros and Poliochni at Lemnos, both in the North Aegean. See: Broodbank, “The Early Bronze Age in the Cyclades,” 64.</w:t>
      </w:r>
    </w:p>
  </w:footnote>
  <w:footnote w:id="12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“Ulysses without Sails,” 326-27. </w:t>
      </w:r>
    </w:p>
  </w:footnote>
  <w:footnote w:id="121">
    <w:p w:rsidR="00350400" w:rsidRPr="00C61DE2" w:rsidRDefault="00350400" w:rsidP="00B328CA">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42.</w:t>
      </w:r>
    </w:p>
  </w:footnote>
  <w:footnote w:id="12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198. </w:t>
      </w:r>
    </w:p>
  </w:footnote>
  <w:footnote w:id="12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316.</w:t>
      </w:r>
    </w:p>
  </w:footnote>
  <w:footnote w:id="12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Colin Renfrew, “Speculations on the Use of Early Cycladic Sculpture,” in </w:t>
      </w:r>
      <w:r w:rsidRPr="00C61DE2">
        <w:rPr>
          <w:rFonts w:ascii="Times New Roman" w:hAnsi="Times New Roman" w:cs="Times New Roman"/>
          <w:i/>
        </w:rPr>
        <w:t>Cycladica</w:t>
      </w:r>
      <w:r w:rsidRPr="00C61DE2">
        <w:rPr>
          <w:rFonts w:ascii="Times New Roman" w:hAnsi="Times New Roman" w:cs="Times New Roman"/>
        </w:rPr>
        <w:t xml:space="preserve">, edited by J.L. Fitton, 24-30. (London: British Museum Publications, 1984), 25-28. </w:t>
      </w:r>
    </w:p>
  </w:footnote>
  <w:footnote w:id="12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25. </w:t>
      </w:r>
    </w:p>
  </w:footnote>
  <w:footnote w:id="12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25. </w:t>
      </w:r>
    </w:p>
  </w:footnote>
  <w:footnote w:id="12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25. </w:t>
      </w:r>
    </w:p>
  </w:footnote>
  <w:footnote w:id="12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Richard Buxton, </w:t>
      </w:r>
      <w:r w:rsidRPr="00C61DE2">
        <w:rPr>
          <w:rFonts w:ascii="Times New Roman" w:hAnsi="Times New Roman" w:cs="Times New Roman"/>
          <w:i/>
        </w:rPr>
        <w:t>The Complete World of Greek Mythology</w:t>
      </w:r>
      <w:r w:rsidRPr="00C61DE2">
        <w:rPr>
          <w:rFonts w:ascii="Times New Roman" w:hAnsi="Times New Roman" w:cs="Times New Roman"/>
        </w:rPr>
        <w:t xml:space="preserve">, (London: Thames and Hudson, 2004), 211-12. </w:t>
      </w:r>
    </w:p>
  </w:footnote>
  <w:footnote w:id="12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 25. </w:t>
      </w:r>
    </w:p>
  </w:footnote>
  <w:footnote w:id="13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Pat Getz-Preziosi, “Risk and Repair in Early Cycladic Sculpture.” </w:t>
      </w:r>
      <w:r w:rsidRPr="00C61DE2">
        <w:rPr>
          <w:rFonts w:ascii="Times New Roman" w:hAnsi="Times New Roman" w:cs="Times New Roman"/>
          <w:i/>
        </w:rPr>
        <w:t>Metropolitan Museum Journal</w:t>
      </w:r>
      <w:r w:rsidRPr="00C61DE2">
        <w:rPr>
          <w:rFonts w:ascii="Times New Roman" w:hAnsi="Times New Roman" w:cs="Times New Roman"/>
        </w:rPr>
        <w:t xml:space="preserve"> 16 (1981): 5-32, accessed 12-08-2009, http://www.jstor.org/stable</w:t>
      </w:r>
    </w:p>
    <w:p w:rsidR="00350400" w:rsidRPr="00C61DE2" w:rsidRDefault="00350400" w:rsidP="004D0DE2">
      <w:pPr>
        <w:pStyle w:val="FootnoteText"/>
        <w:rPr>
          <w:rFonts w:ascii="Times New Roman" w:hAnsi="Times New Roman" w:cs="Times New Roman"/>
        </w:rPr>
      </w:pPr>
      <w:r w:rsidRPr="00C61DE2">
        <w:rPr>
          <w:rFonts w:ascii="Times New Roman" w:hAnsi="Times New Roman" w:cs="Times New Roman"/>
        </w:rPr>
        <w:t>/1512766.</w:t>
      </w:r>
    </w:p>
  </w:footnote>
  <w:footnote w:id="13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Statue of the folded-arm figurine type stands at 1.52 meters, made of Parian marble; found in a grave at Amorgos and dates to the Early Cycladic II period (Keros-Syros Culture, 2800-2300 BC). </w:t>
      </w:r>
    </w:p>
  </w:footnote>
  <w:footnote w:id="13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 26.</w:t>
      </w:r>
    </w:p>
  </w:footnote>
  <w:footnote w:id="13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 26. </w:t>
      </w:r>
    </w:p>
  </w:footnote>
  <w:footnote w:id="13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Olaf Höckmann, “Cycladic Religion,” in </w:t>
      </w:r>
      <w:r w:rsidRPr="00C61DE2">
        <w:rPr>
          <w:rFonts w:ascii="Times New Roman" w:hAnsi="Times New Roman" w:cs="Times New Roman"/>
          <w:i/>
        </w:rPr>
        <w:t>Art and Culture of the Cyclades in the Third Millennium B.C.</w:t>
      </w:r>
      <w:r w:rsidRPr="00C61DE2">
        <w:rPr>
          <w:rFonts w:ascii="Times New Roman" w:hAnsi="Times New Roman" w:cs="Times New Roman"/>
        </w:rPr>
        <w:t>, ed. Jürgen Thimme, 37-51, (Chicago: University of Chicago Press, 1977), 40.</w:t>
      </w:r>
    </w:p>
  </w:footnote>
  <w:footnote w:id="13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 26. </w:t>
      </w:r>
    </w:p>
  </w:footnote>
  <w:footnote w:id="13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w:t>
      </w:r>
      <w:r w:rsidR="00683D2F" w:rsidRPr="00C61DE2">
        <w:rPr>
          <w:rFonts w:ascii="Times New Roman" w:hAnsi="Times New Roman" w:cs="Times New Roman"/>
        </w:rPr>
        <w:t>s</w:t>
      </w:r>
      <w:r w:rsidRPr="00C61DE2">
        <w:rPr>
          <w:rFonts w:ascii="Times New Roman" w:hAnsi="Times New Roman" w:cs="Times New Roman"/>
        </w:rPr>
        <w:t xml:space="preserve">,” 27.  </w:t>
      </w:r>
    </w:p>
  </w:footnote>
  <w:footnote w:id="13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00683D2F" w:rsidRPr="00C61DE2">
        <w:rPr>
          <w:rFonts w:ascii="Times New Roman" w:hAnsi="Times New Roman" w:cs="Times New Roman"/>
        </w:rPr>
        <w:t xml:space="preserve"> Renfrew, “Speculations,”</w:t>
      </w:r>
      <w:r w:rsidRPr="00C61DE2">
        <w:rPr>
          <w:rFonts w:ascii="Times New Roman" w:hAnsi="Times New Roman" w:cs="Times New Roman"/>
        </w:rPr>
        <w:t xml:space="preserve"> 27. </w:t>
      </w:r>
    </w:p>
  </w:footnote>
  <w:footnote w:id="13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27.</w:t>
      </w:r>
    </w:p>
  </w:footnote>
  <w:footnote w:id="13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27. </w:t>
      </w:r>
    </w:p>
  </w:footnote>
  <w:footnote w:id="14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28. </w:t>
      </w:r>
    </w:p>
  </w:footnote>
  <w:footnote w:id="14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45" w:name="_Hlk480459375"/>
      <w:r w:rsidRPr="00C61DE2">
        <w:rPr>
          <w:rFonts w:ascii="Times New Roman" w:hAnsi="Times New Roman" w:cs="Times New Roman"/>
        </w:rPr>
        <w:t xml:space="preserve">Marian H. Feldman, “Mesopotamian Art,” in </w:t>
      </w:r>
      <w:r w:rsidRPr="00C61DE2">
        <w:rPr>
          <w:rFonts w:ascii="Times New Roman" w:hAnsi="Times New Roman" w:cs="Times New Roman"/>
          <w:i/>
        </w:rPr>
        <w:t>A Companion to the Ancient Near East</w:t>
      </w:r>
      <w:r w:rsidRPr="00C61DE2">
        <w:rPr>
          <w:rFonts w:ascii="Times New Roman" w:hAnsi="Times New Roman" w:cs="Times New Roman"/>
        </w:rPr>
        <w:t>, ed. Daniel C. Snell, 304-324, (Malden, MA: Blackwell, 2007), 312-313.</w:t>
      </w:r>
      <w:bookmarkEnd w:id="45"/>
    </w:p>
  </w:footnote>
  <w:footnote w:id="14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Renfrew, “Speculations,” 28. </w:t>
      </w:r>
    </w:p>
  </w:footnote>
  <w:footnote w:id="14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Mylonopoulos, “Divine Images Versus Cult Images,” 8. There are three elements for statues/object to be defined as cult images: 1. History of miracles, 2. Location in specially designed architectural setting like temple or shrine and 3. They had to be consecrated with magic-religious rituals.</w:t>
      </w:r>
    </w:p>
  </w:footnote>
  <w:footnote w:id="144">
    <w:p w:rsidR="00350400" w:rsidRPr="00C61DE2" w:rsidRDefault="00350400" w:rsidP="00BD614F">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Christina A. Televantou, “Strofilas: A Neolithic Settlement on Andros.” in </w:t>
      </w:r>
      <w:r w:rsidRPr="00C61DE2">
        <w:rPr>
          <w:rFonts w:ascii="Times New Roman" w:hAnsi="Times New Roman" w:cs="Times New Roman"/>
          <w:i/>
        </w:rPr>
        <w:t>Horizon: A Colloquium on the Prehistory of the Cyclades</w:t>
      </w:r>
      <w:r w:rsidRPr="00C61DE2">
        <w:rPr>
          <w:rFonts w:ascii="Times New Roman" w:hAnsi="Times New Roman" w:cs="Times New Roman"/>
        </w:rPr>
        <w:t>, edited by Neil Brodie et al., 43-53, (Oxford: McDonald Institute for Archaeological Research, 2008), 45-47.</w:t>
      </w:r>
    </w:p>
  </w:footnote>
  <w:footnote w:id="14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Televantou, “Strofilas: A Neolithic Settlement on Andros.” 49.</w:t>
      </w:r>
    </w:p>
  </w:footnote>
  <w:footnote w:id="14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It is also significant to note the similarity in shape to the EC II so-called ‘frying pans,' for which no known use can be determined, (Fig. 9). The connection of the Neolithic ring-shaped motifs to the EC II ‘frying-pans’ is important to show a continuation of culture. Additionally, the idea that the ring-shaped motifs may symbolize a schematic female form is supported in the ‘frying-pans’, many of them having an incised pubic triangle above the handle like those on the female marble idols.</w:t>
      </w:r>
    </w:p>
  </w:footnote>
  <w:footnote w:id="14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Televantou, “Strofilas: A Neolithic Settlement on Andros,” 47.</w:t>
      </w:r>
    </w:p>
  </w:footnote>
  <w:footnote w:id="14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George Toufexis, “Animals in the Neolithic art of Thessaly,” </w:t>
      </w:r>
      <w:r w:rsidRPr="00C61DE2">
        <w:rPr>
          <w:rFonts w:ascii="Times New Roman" w:hAnsi="Times New Roman" w:cs="Times New Roman"/>
          <w:i/>
        </w:rPr>
        <w:t>British School at Athens Studies</w:t>
      </w:r>
      <w:r w:rsidRPr="00C61DE2">
        <w:rPr>
          <w:rFonts w:ascii="Times New Roman" w:hAnsi="Times New Roman" w:cs="Times New Roman"/>
        </w:rPr>
        <w:t xml:space="preserve"> 9 (2003): 263-271, accessed 5-19-2016,  http://www.jstor.org/stable</w:t>
      </w:r>
    </w:p>
    <w:p w:rsidR="00350400" w:rsidRPr="00C61DE2" w:rsidRDefault="00350400" w:rsidP="004D0DE2">
      <w:pPr>
        <w:pStyle w:val="FootnoteText"/>
        <w:rPr>
          <w:rFonts w:ascii="Times New Roman" w:hAnsi="Times New Roman" w:cs="Times New Roman"/>
        </w:rPr>
      </w:pPr>
      <w:r w:rsidRPr="00C61DE2">
        <w:rPr>
          <w:rFonts w:ascii="Times New Roman" w:hAnsi="Times New Roman" w:cs="Times New Roman"/>
        </w:rPr>
        <w:t>/40960356.</w:t>
      </w:r>
    </w:p>
  </w:footnote>
  <w:footnote w:id="14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Only a few hollow examples exist; décor is mostly painted, rather than incised.</w:t>
      </w:r>
    </w:p>
  </w:footnote>
  <w:footnote w:id="15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Toufexis, “Animals in the Neolithic Art of Thessaly,” 263-269.</w:t>
      </w:r>
    </w:p>
  </w:footnote>
  <w:footnote w:id="15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Toufexis, “Animals in the Neolithic Art of Thessaly,” 264.</w:t>
      </w:r>
    </w:p>
  </w:footnote>
  <w:footnote w:id="15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Toufexis, “Animals in the Neolithic Art of Thessaly,” 268-269.</w:t>
      </w:r>
    </w:p>
  </w:footnote>
  <w:footnote w:id="15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Howard Morphy, ed., </w:t>
      </w:r>
      <w:r w:rsidRPr="00C61DE2">
        <w:rPr>
          <w:rFonts w:ascii="Times New Roman" w:hAnsi="Times New Roman" w:cs="Times New Roman"/>
          <w:i/>
        </w:rPr>
        <w:t>Animals into Art</w:t>
      </w:r>
      <w:r w:rsidRPr="00C61DE2">
        <w:rPr>
          <w:rFonts w:ascii="Times New Roman" w:hAnsi="Times New Roman" w:cs="Times New Roman"/>
        </w:rPr>
        <w:t>, (London: Unwin Hyman, 1989), 1.</w:t>
      </w:r>
    </w:p>
  </w:footnote>
  <w:footnote w:id="15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Morphy, </w:t>
      </w:r>
      <w:r w:rsidRPr="00C61DE2">
        <w:rPr>
          <w:rFonts w:ascii="Times New Roman" w:hAnsi="Times New Roman" w:cs="Times New Roman"/>
          <w:i/>
        </w:rPr>
        <w:t>Animals into Art</w:t>
      </w:r>
      <w:r w:rsidRPr="00C61DE2">
        <w:rPr>
          <w:rFonts w:ascii="Times New Roman" w:hAnsi="Times New Roman" w:cs="Times New Roman"/>
        </w:rPr>
        <w:t xml:space="preserve">, 2. </w:t>
      </w:r>
    </w:p>
  </w:footnote>
  <w:footnote w:id="15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Morphy, </w:t>
      </w:r>
      <w:r w:rsidRPr="00C61DE2">
        <w:rPr>
          <w:rFonts w:ascii="Times New Roman" w:hAnsi="Times New Roman" w:cs="Times New Roman"/>
          <w:i/>
        </w:rPr>
        <w:t>Animals into Art</w:t>
      </w:r>
      <w:r w:rsidRPr="00C61DE2">
        <w:rPr>
          <w:rFonts w:ascii="Times New Roman" w:hAnsi="Times New Roman" w:cs="Times New Roman"/>
        </w:rPr>
        <w:t>, 2.</w:t>
      </w:r>
    </w:p>
  </w:footnote>
  <w:footnote w:id="15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Morphy, </w:t>
      </w:r>
      <w:r w:rsidRPr="00C61DE2">
        <w:rPr>
          <w:rFonts w:ascii="Times New Roman" w:hAnsi="Times New Roman" w:cs="Times New Roman"/>
          <w:i/>
        </w:rPr>
        <w:t>Animals into Art</w:t>
      </w:r>
      <w:r w:rsidRPr="00C61DE2">
        <w:rPr>
          <w:rFonts w:ascii="Times New Roman" w:hAnsi="Times New Roman" w:cs="Times New Roman"/>
        </w:rPr>
        <w:t>, 3.</w:t>
      </w:r>
    </w:p>
  </w:footnote>
  <w:footnote w:id="15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bookmarkStart w:id="48" w:name="_Hlk480057348"/>
      <w:r w:rsidRPr="00C61DE2">
        <w:rPr>
          <w:rFonts w:ascii="Times New Roman" w:hAnsi="Times New Roman" w:cs="Times New Roman"/>
        </w:rPr>
        <w:t>“Animals in Ancient Near Eastern Art,” Department of Ancient Near Eastern Art, 02/2014, (New York: The Metropolitan Museum of Art), accessed 3/6/2017, http://www.metmuseum.org/toah/hd/anan/hd_anan.htm.</w:t>
      </w:r>
      <w:bookmarkEnd w:id="48"/>
    </w:p>
  </w:footnote>
  <w:footnote w:id="15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Goddesses and Gods of Old Europe</w:t>
      </w:r>
      <w:r w:rsidRPr="00C61DE2">
        <w:rPr>
          <w:rFonts w:ascii="Times New Roman" w:hAnsi="Times New Roman" w:cs="Times New Roman"/>
        </w:rPr>
        <w:t xml:space="preserve">, 9-10. </w:t>
      </w:r>
    </w:p>
  </w:footnote>
  <w:footnote w:id="15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r w:rsidRPr="00C61DE2">
        <w:rPr>
          <w:rFonts w:ascii="Times New Roman" w:hAnsi="Times New Roman" w:cs="Times New Roman"/>
          <w:lang w:bidi="en-US"/>
        </w:rPr>
        <w:t xml:space="preserve">Gimbutas, </w:t>
      </w:r>
      <w:r w:rsidRPr="00C61DE2">
        <w:rPr>
          <w:rFonts w:ascii="Times New Roman" w:hAnsi="Times New Roman" w:cs="Times New Roman"/>
          <w:i/>
          <w:lang w:bidi="en-US"/>
        </w:rPr>
        <w:t>The Goddesses and Gods of Old Europe</w:t>
      </w:r>
      <w:r w:rsidRPr="00C61DE2">
        <w:rPr>
          <w:rFonts w:ascii="Times New Roman" w:hAnsi="Times New Roman" w:cs="Times New Roman"/>
          <w:lang w:bidi="en-US"/>
        </w:rPr>
        <w:t>, 13.</w:t>
      </w:r>
    </w:p>
  </w:footnote>
  <w:footnote w:id="16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75. </w:t>
      </w:r>
    </w:p>
  </w:footnote>
  <w:footnote w:id="16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See protomes P11-15 in the appendix catalog, for an artistic rendering of the sauceboat form with an attached ram-head protome. This form would combine the bird-like form of the sauceboat, with the ram’s head to complete the association with the Bird Goddess</w:t>
      </w:r>
    </w:p>
  </w:footnote>
  <w:footnote w:id="16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r w:rsidRPr="00C61DE2">
        <w:rPr>
          <w:rFonts w:ascii="Times New Roman" w:hAnsi="Times New Roman" w:cs="Times New Roman"/>
          <w:lang w:bidi="en-US"/>
        </w:rPr>
        <w:t xml:space="preserve">Gimbutas, </w:t>
      </w:r>
      <w:r w:rsidRPr="00C61DE2">
        <w:rPr>
          <w:rFonts w:ascii="Times New Roman" w:hAnsi="Times New Roman" w:cs="Times New Roman"/>
          <w:i/>
          <w:lang w:bidi="en-US"/>
        </w:rPr>
        <w:t>The Language of the Goddess</w:t>
      </w:r>
      <w:r w:rsidRPr="00C61DE2">
        <w:rPr>
          <w:rFonts w:ascii="Times New Roman" w:hAnsi="Times New Roman" w:cs="Times New Roman"/>
          <w:lang w:bidi="en-US"/>
        </w:rPr>
        <w:t xml:space="preserve">, 79. </w:t>
      </w:r>
    </w:p>
  </w:footnote>
  <w:footnote w:id="16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Note that within the corpus of Early Cycladic folded-arm figurines some are depicted as pregnant. For two examples see #309, The Goulandris Collection, The Museum of Cycladic Art and #68.148, Bastis Collection, Metropolitan Museum of Art, both from EC II, (2800/2700 BCE-2400/2300 BCE). </w:t>
      </w:r>
    </w:p>
  </w:footnote>
  <w:footnote w:id="16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r w:rsidRPr="00C61DE2">
        <w:rPr>
          <w:rFonts w:ascii="Times New Roman" w:hAnsi="Times New Roman" w:cs="Times New Roman"/>
          <w:lang w:bidi="en-US"/>
        </w:rPr>
        <w:t xml:space="preserve">James Hall, </w:t>
      </w:r>
      <w:r w:rsidRPr="00C61DE2">
        <w:rPr>
          <w:rFonts w:ascii="Times New Roman" w:hAnsi="Times New Roman" w:cs="Times New Roman"/>
          <w:i/>
          <w:lang w:bidi="en-US"/>
        </w:rPr>
        <w:t>Illustrated Dictionary of Symbols in Eastern and Western Art</w:t>
      </w:r>
      <w:r w:rsidRPr="00C61DE2">
        <w:rPr>
          <w:rFonts w:ascii="Times New Roman" w:hAnsi="Times New Roman" w:cs="Times New Roman"/>
          <w:lang w:bidi="en-US"/>
        </w:rPr>
        <w:t xml:space="preserve">, (New York: HarperCollins, 1994), 39. </w:t>
      </w:r>
    </w:p>
  </w:footnote>
  <w:footnote w:id="16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w:t>
      </w:r>
      <w:r w:rsidRPr="00C61DE2">
        <w:rPr>
          <w:rFonts w:ascii="Times New Roman" w:hAnsi="Times New Roman" w:cs="Times New Roman"/>
          <w:lang w:bidi="en-US"/>
        </w:rPr>
        <w:t xml:space="preserve">Gimbutas, </w:t>
      </w:r>
      <w:r w:rsidRPr="00C61DE2">
        <w:rPr>
          <w:rFonts w:ascii="Times New Roman" w:hAnsi="Times New Roman" w:cs="Times New Roman"/>
          <w:i/>
          <w:lang w:bidi="en-US"/>
        </w:rPr>
        <w:t>The Language of the Goddess</w:t>
      </w:r>
      <w:r w:rsidRPr="00C61DE2">
        <w:rPr>
          <w:rFonts w:ascii="Times New Roman" w:hAnsi="Times New Roman" w:cs="Times New Roman"/>
          <w:lang w:bidi="en-US"/>
        </w:rPr>
        <w:t>, 146.</w:t>
      </w:r>
    </w:p>
  </w:footnote>
  <w:footnote w:id="16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Burkert, </w:t>
      </w:r>
      <w:r w:rsidRPr="00C61DE2">
        <w:rPr>
          <w:rFonts w:ascii="Times New Roman" w:hAnsi="Times New Roman" w:cs="Times New Roman"/>
          <w:i/>
        </w:rPr>
        <w:t>Greek Religion</w:t>
      </w:r>
      <w:r w:rsidRPr="00C61DE2">
        <w:rPr>
          <w:rFonts w:ascii="Times New Roman" w:hAnsi="Times New Roman" w:cs="Times New Roman"/>
        </w:rPr>
        <w:t xml:space="preserve">, 13. </w:t>
      </w:r>
    </w:p>
  </w:footnote>
  <w:footnote w:id="16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Richard Buxton, </w:t>
      </w:r>
      <w:r w:rsidRPr="00C61DE2">
        <w:rPr>
          <w:rFonts w:ascii="Times New Roman" w:hAnsi="Times New Roman" w:cs="Times New Roman"/>
          <w:i/>
        </w:rPr>
        <w:t>The Complete World of Greek Mythology</w:t>
      </w:r>
      <w:r w:rsidRPr="00C61DE2">
        <w:rPr>
          <w:rFonts w:ascii="Times New Roman" w:hAnsi="Times New Roman" w:cs="Times New Roman"/>
        </w:rPr>
        <w:t>, (London: Thames and Hudson, 2004), 72-73.</w:t>
      </w:r>
    </w:p>
  </w:footnote>
  <w:footnote w:id="16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Hall, </w:t>
      </w:r>
      <w:r w:rsidRPr="00C61DE2">
        <w:rPr>
          <w:rFonts w:ascii="Times New Roman" w:hAnsi="Times New Roman" w:cs="Times New Roman"/>
          <w:i/>
        </w:rPr>
        <w:t>Illustrated Dictionary of Symbols</w:t>
      </w:r>
      <w:r w:rsidRPr="00C61DE2">
        <w:rPr>
          <w:rFonts w:ascii="Times New Roman" w:hAnsi="Times New Roman" w:cs="Times New Roman"/>
        </w:rPr>
        <w:t>, 176.</w:t>
      </w:r>
    </w:p>
  </w:footnote>
  <w:footnote w:id="16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Katsarou, Stella and Demetrius U. Schilardi. “Recontextualized Neolithic and Early Cycladic Figurines at the Acropolis of Koukounaries, Paros.” in </w:t>
      </w:r>
      <w:r w:rsidRPr="00C61DE2">
        <w:rPr>
          <w:rFonts w:ascii="Times New Roman" w:hAnsi="Times New Roman" w:cs="Times New Roman"/>
          <w:i/>
        </w:rPr>
        <w:t>Early Cycladic Sculpture in Context</w:t>
      </w:r>
      <w:r w:rsidRPr="00C61DE2">
        <w:rPr>
          <w:rFonts w:ascii="Times New Roman" w:hAnsi="Times New Roman" w:cs="Times New Roman"/>
        </w:rPr>
        <w:t>, eds. Marisa Marthari, Colin Renfrew, Michael Boyd. 410-420, (Oxford: Oxbow, 2017), 415.</w:t>
      </w:r>
    </w:p>
  </w:footnote>
  <w:footnote w:id="17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266.</w:t>
      </w:r>
    </w:p>
  </w:footnote>
  <w:footnote w:id="17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Emily Banou, “Minoan ‘Horns of Consecration’ Revisited: A Symbol of Sun Worship in Palatial and Post-Palatial Crete?”  </w:t>
      </w:r>
      <w:r w:rsidRPr="00C61DE2">
        <w:rPr>
          <w:rFonts w:ascii="Times New Roman" w:hAnsi="Times New Roman" w:cs="Times New Roman"/>
          <w:i/>
        </w:rPr>
        <w:t>Mediterranean Archaeology and Archaeometry</w:t>
      </w:r>
      <w:r w:rsidRPr="00C61DE2">
        <w:rPr>
          <w:rFonts w:ascii="Times New Roman" w:hAnsi="Times New Roman" w:cs="Times New Roman"/>
        </w:rPr>
        <w:t xml:space="preserve"> 8, no. 1 (2008): 27-47, accessed 4/1/2017, http://maajournal.com/Issues</w:t>
      </w:r>
    </w:p>
    <w:p w:rsidR="00350400" w:rsidRPr="00C61DE2" w:rsidRDefault="00350400" w:rsidP="004D0DE2">
      <w:pPr>
        <w:pStyle w:val="FootnoteText"/>
        <w:rPr>
          <w:rFonts w:ascii="Times New Roman" w:hAnsi="Times New Roman" w:cs="Times New Roman"/>
        </w:rPr>
      </w:pPr>
      <w:r w:rsidRPr="00C61DE2">
        <w:rPr>
          <w:rFonts w:ascii="Times New Roman" w:hAnsi="Times New Roman" w:cs="Times New Roman"/>
        </w:rPr>
        <w:t>/2008/FullTextBanou.pdf.</w:t>
      </w:r>
    </w:p>
  </w:footnote>
  <w:footnote w:id="17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Höckmann, “Cycladic Religion,” 49.  These objects are not catalogued here.</w:t>
      </w:r>
    </w:p>
  </w:footnote>
  <w:footnote w:id="17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256.</w:t>
      </w:r>
    </w:p>
  </w:footnote>
  <w:footnote w:id="17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81.</w:t>
      </w:r>
    </w:p>
  </w:footnote>
  <w:footnote w:id="17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256.</w:t>
      </w:r>
    </w:p>
  </w:footnote>
  <w:footnote w:id="17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89.  For a comparative figure, see the faience hedgehog from the Egyptian Collection at the Brooklyn Museum of Art (65.2.1), which dates to c. 1938-1700 BCE, XII Dynasty-early XIII Dynasty (Middle Kingdom), from Deir el Nawahid, Egypt. The representation of the hedgehog quills/spines are depicted as “knobby”, wart-like features. </w:t>
      </w:r>
    </w:p>
  </w:footnote>
  <w:footnote w:id="17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Lena Papazoglou-Manioudaki, “The Early Cycladic Figurines from the Excavations of Clon Stephanos on Syros,” in </w:t>
      </w:r>
      <w:r w:rsidRPr="00C61DE2">
        <w:rPr>
          <w:rFonts w:ascii="Times New Roman" w:hAnsi="Times New Roman" w:cs="Times New Roman"/>
          <w:i/>
        </w:rPr>
        <w:t>Early Cycladic Sculpture in Context</w:t>
      </w:r>
      <w:r w:rsidRPr="00C61DE2">
        <w:rPr>
          <w:rFonts w:ascii="Times New Roman" w:hAnsi="Times New Roman" w:cs="Times New Roman"/>
        </w:rPr>
        <w:t>, eds. Marisa Marthari, Colin Renfrew, Michael Boyd, 310-334, (Oxford: Oxbow, 2017), 320.</w:t>
      </w:r>
    </w:p>
  </w:footnote>
  <w:footnote w:id="17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Thimme, </w:t>
      </w:r>
      <w:r w:rsidRPr="00C61DE2">
        <w:rPr>
          <w:rFonts w:ascii="Times New Roman" w:hAnsi="Times New Roman" w:cs="Times New Roman"/>
          <w:i/>
          <w:lang w:bidi="en-US"/>
        </w:rPr>
        <w:t xml:space="preserve">Art and Culture of the Cyclades, </w:t>
      </w:r>
      <w:r w:rsidRPr="00C61DE2">
        <w:rPr>
          <w:rFonts w:ascii="Times New Roman" w:hAnsi="Times New Roman" w:cs="Times New Roman"/>
          <w:lang w:bidi="en-US"/>
        </w:rPr>
        <w:t>523.</w:t>
      </w:r>
    </w:p>
  </w:footnote>
  <w:footnote w:id="17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“Animals in Ancient Near Eastern Art,” Department of Ancient Near Eastern Art, New York: The Metropolitan Museum of Art, 02/2014, accessed 3/6/2017, http://www.metmuseum.org/toah/hd/anan/hd_anan.htm. </w:t>
      </w:r>
    </w:p>
  </w:footnote>
  <w:footnote w:id="18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w:t>
      </w:r>
      <w:r w:rsidRPr="00C61DE2">
        <w:rPr>
          <w:rFonts w:ascii="Times New Roman" w:hAnsi="Times New Roman" w:cs="Times New Roman"/>
          <w:i/>
        </w:rPr>
        <w:t>An Island Archaeology</w:t>
      </w:r>
      <w:r w:rsidRPr="00C61DE2">
        <w:rPr>
          <w:rFonts w:ascii="Times New Roman" w:hAnsi="Times New Roman" w:cs="Times New Roman"/>
        </w:rPr>
        <w:t xml:space="preserve">, 215. Aside from the Cycladic hedgehogs cataloged here, Broodbank mentions that the Syros vessel has comparanda from Manika in Euboia and Cheliotomlylos in Corinthia. </w:t>
      </w:r>
    </w:p>
  </w:footnote>
  <w:footnote w:id="18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and Robbins, </w:t>
      </w:r>
      <w:r w:rsidRPr="00C61DE2">
        <w:rPr>
          <w:rFonts w:ascii="Times New Roman" w:hAnsi="Times New Roman" w:cs="Times New Roman"/>
          <w:i/>
        </w:rPr>
        <w:t>The Living Goddess</w:t>
      </w:r>
      <w:r w:rsidRPr="00C61DE2">
        <w:rPr>
          <w:rFonts w:ascii="Times New Roman" w:hAnsi="Times New Roman" w:cs="Times New Roman"/>
        </w:rPr>
        <w:t>, 14.</w:t>
      </w:r>
    </w:p>
  </w:footnote>
  <w:footnote w:id="18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Thimme, </w:t>
      </w:r>
      <w:r w:rsidRPr="00C61DE2">
        <w:rPr>
          <w:rFonts w:ascii="Times New Roman" w:hAnsi="Times New Roman" w:cs="Times New Roman"/>
          <w:i/>
        </w:rPr>
        <w:t>Art and Culture of the Cyclades</w:t>
      </w:r>
      <w:r w:rsidRPr="00C61DE2">
        <w:rPr>
          <w:rFonts w:ascii="Times New Roman" w:hAnsi="Times New Roman" w:cs="Times New Roman"/>
        </w:rPr>
        <w:t>, 540.</w:t>
      </w:r>
    </w:p>
  </w:footnote>
  <w:footnote w:id="18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Hall, </w:t>
      </w:r>
      <w:r w:rsidRPr="00C61DE2">
        <w:rPr>
          <w:rFonts w:ascii="Times New Roman" w:hAnsi="Times New Roman" w:cs="Times New Roman"/>
          <w:i/>
          <w:lang w:bidi="en-US"/>
        </w:rPr>
        <w:t xml:space="preserve">Illustrated Dictionary of Symbols, </w:t>
      </w:r>
      <w:r w:rsidRPr="00C61DE2">
        <w:rPr>
          <w:rFonts w:ascii="Times New Roman" w:hAnsi="Times New Roman" w:cs="Times New Roman"/>
          <w:lang w:bidi="en-US"/>
        </w:rPr>
        <w:t xml:space="preserve">19. </w:t>
      </w:r>
    </w:p>
  </w:footnote>
  <w:footnote w:id="18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195. </w:t>
      </w:r>
    </w:p>
  </w:footnote>
  <w:footnote w:id="18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Marco Masseti, “Representations of Birds in Minoan Art,” </w:t>
      </w:r>
      <w:r w:rsidRPr="00C61DE2">
        <w:rPr>
          <w:rFonts w:ascii="Times New Roman" w:hAnsi="Times New Roman" w:cs="Times New Roman"/>
          <w:i/>
        </w:rPr>
        <w:t>International Journal of Osteoarchaeology</w:t>
      </w:r>
      <w:r w:rsidRPr="00C61DE2">
        <w:rPr>
          <w:rFonts w:ascii="Times New Roman" w:hAnsi="Times New Roman" w:cs="Times New Roman"/>
        </w:rPr>
        <w:t xml:space="preserve"> 7: 354-363 (1997). </w:t>
      </w:r>
    </w:p>
  </w:footnote>
  <w:footnote w:id="18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161.</w:t>
      </w:r>
    </w:p>
  </w:footnote>
  <w:footnote w:id="18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171.</w:t>
      </w:r>
    </w:p>
  </w:footnote>
  <w:footnote w:id="18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Broodbank, “The Early Bronze Age in the Cyclades,” 63.</w:t>
      </w:r>
    </w:p>
  </w:footnote>
  <w:footnote w:id="18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Elizabeth A. Hendrix, “Painted Early Cycladic Figures: An Exploration of Context and Meaning.” </w:t>
      </w:r>
      <w:r w:rsidRPr="00C61DE2">
        <w:rPr>
          <w:rFonts w:ascii="Times New Roman" w:hAnsi="Times New Roman" w:cs="Times New Roman"/>
          <w:i/>
        </w:rPr>
        <w:t xml:space="preserve">Hesperia </w:t>
      </w:r>
      <w:r w:rsidRPr="00C61DE2">
        <w:rPr>
          <w:rFonts w:ascii="Times New Roman" w:hAnsi="Times New Roman" w:cs="Times New Roman"/>
        </w:rPr>
        <w:t>72, no. 4 (Oct-Dec 2003): 405-446, accessed 9-15-2009, http://www.jstor.org/stable/3182012.</w:t>
      </w:r>
    </w:p>
  </w:footnote>
  <w:footnote w:id="19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Marthari, Marisa. “Figurines in Context at the Chalandriani Cemetery on Syros,” in </w:t>
      </w:r>
      <w:r w:rsidRPr="00C61DE2">
        <w:rPr>
          <w:rFonts w:ascii="Times New Roman" w:hAnsi="Times New Roman" w:cs="Times New Roman"/>
          <w:i/>
        </w:rPr>
        <w:t>Early Cycladic Sculpture in Context</w:t>
      </w:r>
      <w:r w:rsidRPr="00C61DE2">
        <w:rPr>
          <w:rFonts w:ascii="Times New Roman" w:hAnsi="Times New Roman" w:cs="Times New Roman"/>
        </w:rPr>
        <w:t>, eds. Marisa Marthari, Colin Renfrew and Michael Boyd, 297-309, (Oxford 2017), 307. In the article, she makes only one mention of the pin in the context of being found in the same grave as the others.  Therefore, it is not catalogued here for lack of information, but will appear in future research.</w:t>
      </w:r>
    </w:p>
  </w:footnote>
  <w:footnote w:id="19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The so-called harpers are not included in the catalog here since they are considered to be anthropomorphic figurines with zoomorphic elements.  However, the swan representation deserved to be mentioned here. </w:t>
      </w:r>
    </w:p>
  </w:footnote>
  <w:footnote w:id="19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Vorreiter, Leopold. “The Swan-neck Lyres of Minoan-Mycenean Culture.” </w:t>
      </w:r>
      <w:r w:rsidRPr="00C61DE2">
        <w:rPr>
          <w:rFonts w:ascii="Times New Roman" w:hAnsi="Times New Roman" w:cs="Times New Roman"/>
          <w:i/>
        </w:rPr>
        <w:t xml:space="preserve">The Galpin Society Journal </w:t>
      </w:r>
      <w:r w:rsidRPr="00C61DE2">
        <w:rPr>
          <w:rFonts w:ascii="Times New Roman" w:hAnsi="Times New Roman" w:cs="Times New Roman"/>
        </w:rPr>
        <w:t>28 (Apr 1975): 93-97, accessed 02-13-2007, http://www.jstor.org/stable/841575.</w:t>
      </w:r>
    </w:p>
  </w:footnote>
  <w:footnote w:id="19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Buxton, </w:t>
      </w:r>
      <w:bookmarkStart w:id="63" w:name="_Hlk480056556"/>
      <w:r w:rsidRPr="00C61DE2">
        <w:rPr>
          <w:rFonts w:ascii="Times New Roman" w:hAnsi="Times New Roman" w:cs="Times New Roman"/>
          <w:i/>
        </w:rPr>
        <w:t>The Complete World of Greek Mythology</w:t>
      </w:r>
      <w:bookmarkEnd w:id="63"/>
      <w:r w:rsidRPr="00C61DE2">
        <w:rPr>
          <w:rFonts w:ascii="Times New Roman" w:hAnsi="Times New Roman" w:cs="Times New Roman"/>
        </w:rPr>
        <w:t>, 171-173.</w:t>
      </w:r>
    </w:p>
  </w:footnote>
  <w:footnote w:id="19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Plato, </w:t>
      </w:r>
      <w:r w:rsidRPr="00C61DE2">
        <w:rPr>
          <w:rFonts w:ascii="Times New Roman" w:hAnsi="Times New Roman" w:cs="Times New Roman"/>
          <w:i/>
        </w:rPr>
        <w:t>The Republic</w:t>
      </w:r>
      <w:r w:rsidRPr="00C61DE2">
        <w:rPr>
          <w:rFonts w:ascii="Times New Roman" w:hAnsi="Times New Roman" w:cs="Times New Roman"/>
        </w:rPr>
        <w:t xml:space="preserve"> X.317, trans. Benjamin Jowett, (Mineola, NY: Dover Publications, 2000), Kindle.</w:t>
      </w:r>
    </w:p>
  </w:footnote>
  <w:footnote w:id="19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Vorreiter, “The Swan-neck Lyres of Minoan-Mycenean Culture,” 93.</w:t>
      </w:r>
    </w:p>
  </w:footnote>
  <w:footnote w:id="19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Buxton, </w:t>
      </w:r>
      <w:r w:rsidRPr="00C61DE2">
        <w:rPr>
          <w:rFonts w:ascii="Times New Roman" w:hAnsi="Times New Roman" w:cs="Times New Roman"/>
          <w:i/>
        </w:rPr>
        <w:t>The Complete World of Greek Mythology</w:t>
      </w:r>
      <w:r w:rsidRPr="00C61DE2">
        <w:rPr>
          <w:rFonts w:ascii="Times New Roman" w:hAnsi="Times New Roman" w:cs="Times New Roman"/>
        </w:rPr>
        <w:t>, 98.</w:t>
      </w:r>
    </w:p>
  </w:footnote>
  <w:footnote w:id="19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71-73. </w:t>
      </w:r>
    </w:p>
  </w:footnote>
  <w:footnote w:id="19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Marija Gimbutas and Miriam Robbins Dexter. </w:t>
      </w:r>
      <w:r w:rsidRPr="00C61DE2">
        <w:rPr>
          <w:rFonts w:ascii="Times New Roman" w:hAnsi="Times New Roman" w:cs="Times New Roman"/>
          <w:i/>
        </w:rPr>
        <w:t>The Living Goddesses</w:t>
      </w:r>
      <w:r w:rsidRPr="00C61DE2">
        <w:rPr>
          <w:rFonts w:ascii="Times New Roman" w:hAnsi="Times New Roman" w:cs="Times New Roman"/>
        </w:rPr>
        <w:t>. (Berkeley: University of California Press, 1999), 14.</w:t>
      </w:r>
    </w:p>
  </w:footnote>
  <w:footnote w:id="19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213.</w:t>
      </w:r>
    </w:p>
  </w:footnote>
  <w:footnote w:id="20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213.</w:t>
      </w:r>
    </w:p>
  </w:footnote>
  <w:footnote w:id="20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R.L.N. Barber, “Terracotta Figurines from Mikre Vigla, Naxos,” in </w:t>
      </w:r>
      <w:r w:rsidRPr="00C61DE2">
        <w:rPr>
          <w:rFonts w:ascii="Times New Roman" w:hAnsi="Times New Roman" w:cs="Times New Roman"/>
          <w:i/>
        </w:rPr>
        <w:t>Early Cycladic Sculpture in Context</w:t>
      </w:r>
      <w:r w:rsidRPr="00C61DE2">
        <w:rPr>
          <w:rFonts w:ascii="Times New Roman" w:hAnsi="Times New Roman" w:cs="Times New Roman"/>
        </w:rPr>
        <w:t>, eds. Marisa Marthari, Colin Renfrew, Michael Boyd. 455-465. (Oxford: Oxbow, 2017), 459.</w:t>
      </w:r>
    </w:p>
  </w:footnote>
  <w:footnote w:id="20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36-37.</w:t>
      </w:r>
    </w:p>
  </w:footnote>
  <w:footnote w:id="20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Stampolidis and Sotirakopoulou, </w:t>
      </w:r>
      <w:r w:rsidRPr="00C61DE2">
        <w:rPr>
          <w:rFonts w:ascii="Times New Roman" w:hAnsi="Times New Roman" w:cs="Times New Roman"/>
          <w:i/>
        </w:rPr>
        <w:t>Aegean Waves</w:t>
      </w:r>
      <w:r w:rsidRPr="00C61DE2">
        <w:rPr>
          <w:rFonts w:ascii="Times New Roman" w:hAnsi="Times New Roman" w:cs="Times New Roman"/>
        </w:rPr>
        <w:t xml:space="preserve">, 37. See also, Atkinson, T.D., et al. </w:t>
      </w:r>
      <w:r w:rsidRPr="00C61DE2">
        <w:rPr>
          <w:rFonts w:ascii="Times New Roman" w:hAnsi="Times New Roman" w:cs="Times New Roman"/>
          <w:i/>
        </w:rPr>
        <w:t>Excavations at Phylakopi in Melos Conducted by the British School at Athens</w:t>
      </w:r>
      <w:r w:rsidRPr="00C61DE2">
        <w:rPr>
          <w:rFonts w:ascii="Times New Roman" w:hAnsi="Times New Roman" w:cs="Times New Roman"/>
        </w:rPr>
        <w:t xml:space="preserve">. (London: Macmillan and Co., 1904), 88-89. </w:t>
      </w:r>
    </w:p>
  </w:footnote>
  <w:footnote w:id="20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251.</w:t>
      </w:r>
    </w:p>
  </w:footnote>
  <w:footnote w:id="20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and Robbins, </w:t>
      </w:r>
      <w:r w:rsidRPr="00C61DE2">
        <w:rPr>
          <w:rFonts w:ascii="Times New Roman" w:hAnsi="Times New Roman" w:cs="Times New Roman"/>
          <w:i/>
        </w:rPr>
        <w:t>The Living Goddesses</w:t>
      </w:r>
      <w:r w:rsidRPr="00C61DE2">
        <w:rPr>
          <w:rFonts w:ascii="Times New Roman" w:hAnsi="Times New Roman" w:cs="Times New Roman"/>
        </w:rPr>
        <w:t>, 27.</w:t>
      </w:r>
    </w:p>
  </w:footnote>
  <w:footnote w:id="20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252. </w:t>
      </w:r>
    </w:p>
  </w:footnote>
  <w:footnote w:id="20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Jean Chevalier and Alain Gheerbrant, </w:t>
      </w:r>
      <w:r w:rsidRPr="00C61DE2">
        <w:rPr>
          <w:rFonts w:ascii="Times New Roman" w:hAnsi="Times New Roman" w:cs="Times New Roman"/>
          <w:i/>
        </w:rPr>
        <w:t>A Dictionary of Symbols</w:t>
      </w:r>
      <w:r w:rsidRPr="00C61DE2">
        <w:rPr>
          <w:rFonts w:ascii="Times New Roman" w:hAnsi="Times New Roman" w:cs="Times New Roman"/>
        </w:rPr>
        <w:t xml:space="preserve">, trans. John Buchanan-Brown, (New York: Penguin Books, 1996), 956. </w:t>
      </w:r>
    </w:p>
  </w:footnote>
  <w:footnote w:id="20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Chevalier and Gheerbrant, </w:t>
      </w:r>
      <w:r w:rsidRPr="00C61DE2">
        <w:rPr>
          <w:rFonts w:ascii="Times New Roman" w:hAnsi="Times New Roman" w:cs="Times New Roman"/>
          <w:i/>
        </w:rPr>
        <w:t>A Dictionary of Symbols</w:t>
      </w:r>
      <w:r w:rsidRPr="00C61DE2">
        <w:rPr>
          <w:rFonts w:ascii="Times New Roman" w:hAnsi="Times New Roman" w:cs="Times New Roman"/>
        </w:rPr>
        <w:t>, 956.</w:t>
      </w:r>
    </w:p>
  </w:footnote>
  <w:footnote w:id="209">
    <w:p w:rsidR="00350400" w:rsidRPr="00C61DE2" w:rsidRDefault="00350400" w:rsidP="00F62475">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121. </w:t>
      </w:r>
    </w:p>
  </w:footnote>
  <w:footnote w:id="21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125.</w:t>
      </w:r>
    </w:p>
  </w:footnote>
  <w:footnote w:id="21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Kenneth Lapatin has written extensively on the authenticity of the so-called Minoan Snake Goddesses. Many of the known snake goddesses are now acknowledged as forgeries. See his book </w:t>
      </w:r>
      <w:r w:rsidRPr="00C61DE2">
        <w:rPr>
          <w:rFonts w:ascii="Times New Roman" w:hAnsi="Times New Roman" w:cs="Times New Roman"/>
          <w:i/>
        </w:rPr>
        <w:t>Mysteries of the Snake Goddess: Art, Desire, and the Forging of History</w:t>
      </w:r>
      <w:r w:rsidRPr="00C61DE2">
        <w:rPr>
          <w:rFonts w:ascii="Times New Roman" w:hAnsi="Times New Roman" w:cs="Times New Roman"/>
        </w:rPr>
        <w:t>, (Boston: Houghton-Mifflin, 2002).</w:t>
      </w:r>
    </w:p>
  </w:footnote>
  <w:footnote w:id="21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Gimbutas, </w:t>
      </w:r>
      <w:r w:rsidRPr="00C61DE2">
        <w:rPr>
          <w:rFonts w:ascii="Times New Roman" w:hAnsi="Times New Roman" w:cs="Times New Roman"/>
          <w:i/>
        </w:rPr>
        <w:t>The Language of the Goddess</w:t>
      </w:r>
      <w:r w:rsidRPr="00C61DE2">
        <w:rPr>
          <w:rFonts w:ascii="Times New Roman" w:hAnsi="Times New Roman" w:cs="Times New Roman"/>
        </w:rPr>
        <w:t xml:space="preserve">, 136-37. </w:t>
      </w:r>
    </w:p>
  </w:footnote>
  <w:footnote w:id="21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Doumas, </w:t>
      </w:r>
      <w:r w:rsidRPr="00C61DE2">
        <w:rPr>
          <w:rFonts w:ascii="Times New Roman" w:hAnsi="Times New Roman" w:cs="Times New Roman"/>
          <w:i/>
        </w:rPr>
        <w:t>Early Cycladic Culture</w:t>
      </w:r>
      <w:r w:rsidRPr="00C61DE2">
        <w:rPr>
          <w:rFonts w:ascii="Times New Roman" w:hAnsi="Times New Roman" w:cs="Times New Roman"/>
        </w:rPr>
        <w:t xml:space="preserve">, 194.  Object is not included in the catalog, since it is considered among the Folded-Arm Figurine corpus, having a zoomorphic element. The Goulandris Collection, Museum of Cycladic Art, #332, EC II, Keros-Syros, Syros Group, 2800 BCE-2300 BCE. </w:t>
      </w:r>
    </w:p>
  </w:footnote>
  <w:footnote w:id="21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Katsarou, Stella and Demetrius U. Schilardi. “Recontextualized Neolithic and Early Cycladic Figurines at the Acropolis of Koukounaries, Paros.” in </w:t>
      </w:r>
      <w:r w:rsidRPr="00C61DE2">
        <w:rPr>
          <w:rFonts w:ascii="Times New Roman" w:hAnsi="Times New Roman" w:cs="Times New Roman"/>
          <w:i/>
        </w:rPr>
        <w:t>Early Cycladic Sculpture in Context</w:t>
      </w:r>
      <w:r w:rsidRPr="00C61DE2">
        <w:rPr>
          <w:rFonts w:ascii="Times New Roman" w:hAnsi="Times New Roman" w:cs="Times New Roman"/>
        </w:rPr>
        <w:t>, eds. Marisa Marthari, Colin Renfrew, Michael Boyd, 410-420, (Oxford: Oxbow, 2017), 415.</w:t>
      </w:r>
    </w:p>
  </w:footnote>
  <w:footnote w:id="21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Donald Preziozi and Louise A. Hitchcock, </w:t>
      </w:r>
      <w:r w:rsidRPr="00C61DE2">
        <w:rPr>
          <w:rFonts w:ascii="Times New Roman" w:hAnsi="Times New Roman" w:cs="Times New Roman"/>
          <w:i/>
        </w:rPr>
        <w:t>Aegean Art and Architecture</w:t>
      </w:r>
      <w:r w:rsidRPr="00C61DE2">
        <w:rPr>
          <w:rFonts w:ascii="Times New Roman" w:hAnsi="Times New Roman" w:cs="Times New Roman"/>
        </w:rPr>
        <w:t xml:space="preserve">, (Oxford: Oxford University Press, 1999), 97. </w:t>
      </w:r>
    </w:p>
  </w:footnote>
  <w:footnote w:id="21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Kenneth Lapatin, </w:t>
      </w:r>
      <w:r w:rsidRPr="00C61DE2">
        <w:rPr>
          <w:rFonts w:ascii="Times New Roman" w:hAnsi="Times New Roman" w:cs="Times New Roman"/>
          <w:i/>
        </w:rPr>
        <w:t>Mysteries of the Snake Goddess: Art, Desire, and the Forging of History</w:t>
      </w:r>
      <w:r w:rsidRPr="00C61DE2">
        <w:rPr>
          <w:rFonts w:ascii="Times New Roman" w:hAnsi="Times New Roman" w:cs="Times New Roman"/>
        </w:rPr>
        <w:t>, (Cambridge, MA: Da Capo Press, 2003), 73.</w:t>
      </w:r>
    </w:p>
  </w:footnote>
  <w:footnote w:id="21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Masseti, “Representations of Birds in Minoan Art.”</w:t>
      </w:r>
    </w:p>
  </w:footnote>
  <w:footnote w:id="21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Masseti, “Representations of Birds in Minoan Art.”</w:t>
      </w:r>
    </w:p>
  </w:footnote>
  <w:footnote w:id="21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Pausanias, </w:t>
      </w:r>
      <w:r w:rsidRPr="00C61DE2">
        <w:rPr>
          <w:rFonts w:ascii="Times New Roman" w:hAnsi="Times New Roman" w:cs="Times New Roman"/>
          <w:i/>
        </w:rPr>
        <w:t>Description of Greece</w:t>
      </w:r>
      <w:r w:rsidRPr="00C61DE2">
        <w:rPr>
          <w:rFonts w:ascii="Times New Roman" w:hAnsi="Times New Roman" w:cs="Times New Roman"/>
        </w:rPr>
        <w:t>, Book II (2.15.2), Kindle.</w:t>
      </w:r>
    </w:p>
  </w:footnote>
  <w:footnote w:id="22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Pausanius, </w:t>
      </w:r>
      <w:r w:rsidRPr="00C61DE2">
        <w:rPr>
          <w:rFonts w:ascii="Times New Roman" w:hAnsi="Times New Roman" w:cs="Times New Roman"/>
          <w:i/>
        </w:rPr>
        <w:t>Descsription of Greece</w:t>
      </w:r>
      <w:r w:rsidRPr="00C61DE2">
        <w:rPr>
          <w:rFonts w:ascii="Times New Roman" w:hAnsi="Times New Roman" w:cs="Times New Roman"/>
        </w:rPr>
        <w:t>, Book VI (6.5.4), Kindle.</w:t>
      </w:r>
    </w:p>
  </w:footnote>
  <w:footnote w:id="221">
    <w:p w:rsidR="00350400" w:rsidRPr="00C61DE2" w:rsidRDefault="00350400" w:rsidP="004D0DE2">
      <w:pPr>
        <w:pStyle w:val="FootnoteText"/>
        <w:rPr>
          <w:rFonts w:ascii="Times New Roman" w:hAnsi="Times New Roman" w:cs="Times New Roman"/>
          <w:sz w:val="24"/>
          <w:szCs w:val="24"/>
        </w:rPr>
      </w:pPr>
      <w:r w:rsidRPr="00C61DE2">
        <w:rPr>
          <w:rStyle w:val="FootnoteReference"/>
          <w:rFonts w:ascii="Times New Roman" w:hAnsi="Times New Roman" w:cs="Times New Roman"/>
          <w:sz w:val="24"/>
          <w:szCs w:val="24"/>
        </w:rPr>
        <w:footnoteRef/>
      </w:r>
      <w:r w:rsidRPr="00C61DE2">
        <w:rPr>
          <w:rFonts w:ascii="Times New Roman" w:hAnsi="Times New Roman" w:cs="Times New Roman"/>
          <w:sz w:val="24"/>
          <w:szCs w:val="24"/>
        </w:rPr>
        <w:t xml:space="preserve"> </w:t>
      </w:r>
      <w:bookmarkStart w:id="70" w:name="_Hlk481322495"/>
      <w:r w:rsidRPr="00C61DE2">
        <w:rPr>
          <w:rFonts w:ascii="Times New Roman" w:hAnsi="Times New Roman" w:cs="Times New Roman"/>
          <w:sz w:val="24"/>
          <w:szCs w:val="24"/>
        </w:rPr>
        <w:t>N. Yamaguchi, A. Cooper, L. Werdelin, and D. W. Macdonald, “Evolution of the Mane and Group-Living in the Lion (</w:t>
      </w:r>
      <w:r w:rsidRPr="00C61DE2">
        <w:rPr>
          <w:rFonts w:ascii="Times New Roman" w:hAnsi="Times New Roman" w:cs="Times New Roman"/>
          <w:i/>
          <w:sz w:val="24"/>
          <w:szCs w:val="24"/>
        </w:rPr>
        <w:t>Panthera leo</w:t>
      </w:r>
      <w:r w:rsidRPr="00C61DE2">
        <w:rPr>
          <w:rFonts w:ascii="Times New Roman" w:hAnsi="Times New Roman" w:cs="Times New Roman"/>
          <w:sz w:val="24"/>
          <w:szCs w:val="24"/>
        </w:rPr>
        <w:t xml:space="preserve">): A Review,” </w:t>
      </w:r>
      <w:r w:rsidRPr="00C61DE2">
        <w:rPr>
          <w:rFonts w:ascii="Times New Roman" w:hAnsi="Times New Roman" w:cs="Times New Roman"/>
          <w:i/>
          <w:sz w:val="24"/>
          <w:szCs w:val="24"/>
        </w:rPr>
        <w:t>Journal of Zoology</w:t>
      </w:r>
      <w:r w:rsidRPr="00C61DE2">
        <w:rPr>
          <w:rFonts w:ascii="Times New Roman" w:hAnsi="Times New Roman" w:cs="Times New Roman"/>
          <w:sz w:val="24"/>
          <w:szCs w:val="24"/>
        </w:rPr>
        <w:t xml:space="preserve"> 263 (2004), 329–342, accessed 4/30/2017, doi:10.1017/S0952836904005242.</w:t>
      </w:r>
    </w:p>
    <w:bookmarkEnd w:id="70"/>
  </w:footnote>
  <w:footnote w:id="222">
    <w:p w:rsidR="00350400" w:rsidRPr="00C61DE2" w:rsidRDefault="00350400" w:rsidP="004D0DE2">
      <w:pPr>
        <w:pStyle w:val="FootnoteText"/>
        <w:rPr>
          <w:rFonts w:ascii="Times New Roman" w:hAnsi="Times New Roman" w:cs="Times New Roman"/>
          <w:sz w:val="24"/>
          <w:szCs w:val="24"/>
        </w:rPr>
      </w:pPr>
      <w:r w:rsidRPr="00C61DE2">
        <w:rPr>
          <w:rStyle w:val="FootnoteReference"/>
          <w:rFonts w:ascii="Times New Roman" w:hAnsi="Times New Roman" w:cs="Times New Roman"/>
          <w:sz w:val="24"/>
          <w:szCs w:val="24"/>
        </w:rPr>
        <w:footnoteRef/>
      </w:r>
      <w:r w:rsidRPr="00C61DE2">
        <w:rPr>
          <w:rFonts w:ascii="Times New Roman" w:hAnsi="Times New Roman" w:cs="Times New Roman"/>
          <w:sz w:val="24"/>
          <w:szCs w:val="24"/>
        </w:rPr>
        <w:t xml:space="preserve"> Gimbutas, </w:t>
      </w:r>
      <w:r w:rsidRPr="00C61DE2">
        <w:rPr>
          <w:rFonts w:ascii="Times New Roman" w:hAnsi="Times New Roman" w:cs="Times New Roman"/>
          <w:i/>
          <w:sz w:val="24"/>
          <w:szCs w:val="24"/>
        </w:rPr>
        <w:t>The Language of the Goddess</w:t>
      </w:r>
      <w:r w:rsidRPr="00C61DE2">
        <w:rPr>
          <w:rFonts w:ascii="Times New Roman" w:hAnsi="Times New Roman" w:cs="Times New Roman"/>
          <w:sz w:val="24"/>
          <w:szCs w:val="24"/>
        </w:rPr>
        <w:t xml:space="preserve">, 270. </w:t>
      </w:r>
    </w:p>
  </w:footnote>
  <w:footnote w:id="223">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sz w:val="24"/>
          <w:szCs w:val="24"/>
        </w:rPr>
        <w:footnoteRef/>
      </w:r>
      <w:r w:rsidRPr="00C61DE2">
        <w:rPr>
          <w:rFonts w:ascii="Times New Roman" w:hAnsi="Times New Roman" w:cs="Times New Roman"/>
          <w:sz w:val="24"/>
          <w:szCs w:val="24"/>
        </w:rPr>
        <w:t xml:space="preserve"> Gimbutas, </w:t>
      </w:r>
      <w:r w:rsidRPr="00C61DE2">
        <w:rPr>
          <w:rFonts w:ascii="Times New Roman" w:hAnsi="Times New Roman" w:cs="Times New Roman"/>
          <w:i/>
          <w:sz w:val="24"/>
          <w:szCs w:val="24"/>
        </w:rPr>
        <w:t>The Language of the Goddess</w:t>
      </w:r>
      <w:r w:rsidRPr="00C61DE2">
        <w:rPr>
          <w:rFonts w:ascii="Times New Roman" w:hAnsi="Times New Roman" w:cs="Times New Roman"/>
          <w:sz w:val="24"/>
          <w:szCs w:val="24"/>
        </w:rPr>
        <w:t>, 270.</w:t>
      </w:r>
    </w:p>
  </w:footnote>
  <w:footnote w:id="224">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Chevalier and Gheerbrant, </w:t>
      </w:r>
      <w:r w:rsidRPr="00C61DE2">
        <w:rPr>
          <w:rFonts w:ascii="Times New Roman" w:hAnsi="Times New Roman" w:cs="Times New Roman"/>
          <w:i/>
        </w:rPr>
        <w:t>A Dictionary of Symbols</w:t>
      </w:r>
      <w:r w:rsidRPr="00C61DE2">
        <w:rPr>
          <w:rFonts w:ascii="Times New Roman" w:hAnsi="Times New Roman" w:cs="Times New Roman"/>
        </w:rPr>
        <w:t>, 396-97.</w:t>
      </w:r>
    </w:p>
  </w:footnote>
  <w:footnote w:id="225">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J.C. Cooper, </w:t>
      </w:r>
      <w:r w:rsidRPr="00C61DE2">
        <w:rPr>
          <w:rFonts w:ascii="Times New Roman" w:hAnsi="Times New Roman" w:cs="Times New Roman"/>
          <w:i/>
        </w:rPr>
        <w:t>An Illustrated Encyclopedia of Traditional Symbols</w:t>
      </w:r>
      <w:r w:rsidRPr="00C61DE2">
        <w:rPr>
          <w:rFonts w:ascii="Times New Roman" w:hAnsi="Times New Roman" w:cs="Times New Roman"/>
        </w:rPr>
        <w:t>, (London: Thames and Hudson, 1978), 70.</w:t>
      </w:r>
    </w:p>
  </w:footnote>
  <w:footnote w:id="226">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Hall, </w:t>
      </w:r>
      <w:r w:rsidRPr="00C61DE2">
        <w:rPr>
          <w:rFonts w:ascii="Times New Roman" w:hAnsi="Times New Roman" w:cs="Times New Roman"/>
          <w:i/>
          <w:lang w:bidi="en-US"/>
        </w:rPr>
        <w:t xml:space="preserve">Illustrated Dictionary of Symbols, </w:t>
      </w:r>
      <w:r w:rsidRPr="00C61DE2">
        <w:rPr>
          <w:rFonts w:ascii="Times New Roman" w:hAnsi="Times New Roman" w:cs="Times New Roman"/>
          <w:lang w:bidi="en-US"/>
        </w:rPr>
        <w:t>11.</w:t>
      </w:r>
    </w:p>
  </w:footnote>
  <w:footnote w:id="227">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Cooper, </w:t>
      </w:r>
      <w:r w:rsidRPr="00C61DE2">
        <w:rPr>
          <w:rFonts w:ascii="Times New Roman" w:hAnsi="Times New Roman" w:cs="Times New Roman"/>
          <w:i/>
        </w:rPr>
        <w:t>An Illustrated Encyclopedia of Traditional Symbols</w:t>
      </w:r>
      <w:r w:rsidRPr="00C61DE2">
        <w:rPr>
          <w:rFonts w:ascii="Times New Roman" w:hAnsi="Times New Roman" w:cs="Times New Roman"/>
        </w:rPr>
        <w:t>, 19.</w:t>
      </w:r>
    </w:p>
  </w:footnote>
  <w:footnote w:id="228">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Brenda Rosen, </w:t>
      </w:r>
      <w:r w:rsidRPr="00C61DE2">
        <w:rPr>
          <w:rFonts w:ascii="Times New Roman" w:hAnsi="Times New Roman" w:cs="Times New Roman"/>
          <w:i/>
        </w:rPr>
        <w:t>The Mythical Creatures Bible: The Definitive Guide to Legendary Beings</w:t>
      </w:r>
      <w:r w:rsidRPr="00C61DE2">
        <w:rPr>
          <w:rFonts w:ascii="Times New Roman" w:hAnsi="Times New Roman" w:cs="Times New Roman"/>
        </w:rPr>
        <w:t>, (New York: Sterling, 2009), 107.</w:t>
      </w:r>
    </w:p>
  </w:footnote>
  <w:footnote w:id="229">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Aristotle, </w:t>
      </w:r>
      <w:r w:rsidRPr="00C61DE2">
        <w:rPr>
          <w:rFonts w:ascii="Times New Roman" w:hAnsi="Times New Roman" w:cs="Times New Roman"/>
          <w:i/>
        </w:rPr>
        <w:t>History of Animals</w:t>
      </w:r>
      <w:r w:rsidRPr="00C61DE2">
        <w:rPr>
          <w:rFonts w:ascii="Times New Roman" w:hAnsi="Times New Roman" w:cs="Times New Roman"/>
        </w:rPr>
        <w:t>, Book II, Part I, Kindle.</w:t>
      </w:r>
    </w:p>
  </w:footnote>
  <w:footnote w:id="230">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Pliny the Elder, </w:t>
      </w:r>
      <w:r w:rsidRPr="00C61DE2">
        <w:rPr>
          <w:rFonts w:ascii="Times New Roman" w:hAnsi="Times New Roman" w:cs="Times New Roman"/>
          <w:i/>
          <w:lang w:bidi="en-US"/>
        </w:rPr>
        <w:t>Natural Histories</w:t>
      </w:r>
      <w:r w:rsidRPr="00C61DE2">
        <w:rPr>
          <w:rFonts w:ascii="Times New Roman" w:hAnsi="Times New Roman" w:cs="Times New Roman"/>
          <w:lang w:bidi="en-US"/>
        </w:rPr>
        <w:t>, Book VIII, ch. 30, Kindle.</w:t>
      </w:r>
    </w:p>
  </w:footnote>
  <w:footnote w:id="231">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Pausanias, </w:t>
      </w:r>
      <w:r w:rsidRPr="00C61DE2">
        <w:rPr>
          <w:rFonts w:ascii="Times New Roman" w:hAnsi="Times New Roman" w:cs="Times New Roman"/>
          <w:i/>
        </w:rPr>
        <w:t>Description of Greece,</w:t>
      </w:r>
      <w:r w:rsidRPr="00C61DE2">
        <w:rPr>
          <w:rFonts w:ascii="Times New Roman" w:hAnsi="Times New Roman" w:cs="Times New Roman"/>
        </w:rPr>
        <w:t xml:space="preserve"> 9.21.4, Kindle. </w:t>
      </w:r>
    </w:p>
  </w:footnote>
  <w:footnote w:id="232">
    <w:p w:rsidR="00350400" w:rsidRPr="00C61DE2" w:rsidRDefault="00350400" w:rsidP="004D0DE2">
      <w:pPr>
        <w:pStyle w:val="FootnoteText"/>
        <w:rPr>
          <w:rFonts w:ascii="Times New Roman" w:hAnsi="Times New Roman" w:cs="Times New Roman"/>
        </w:rPr>
      </w:pPr>
      <w:r w:rsidRPr="00C61DE2">
        <w:rPr>
          <w:rStyle w:val="FootnoteReference"/>
          <w:rFonts w:ascii="Times New Roman" w:hAnsi="Times New Roman" w:cs="Times New Roman"/>
        </w:rPr>
        <w:footnoteRef/>
      </w:r>
      <w:r w:rsidRPr="00C61DE2">
        <w:rPr>
          <w:rFonts w:ascii="Times New Roman" w:hAnsi="Times New Roman" w:cs="Times New Roman"/>
        </w:rPr>
        <w:t xml:space="preserve"> Schoch, Robert M. "Redating the Great Sphinx of Giza," </w:t>
      </w:r>
      <w:r w:rsidRPr="00C61DE2">
        <w:rPr>
          <w:rFonts w:ascii="Times New Roman" w:hAnsi="Times New Roman" w:cs="Times New Roman"/>
          <w:i/>
        </w:rPr>
        <w:t xml:space="preserve">KMT: A Modern Journal of Ancient Egypt </w:t>
      </w:r>
      <w:r w:rsidRPr="00C61DE2">
        <w:rPr>
          <w:rFonts w:ascii="Times New Roman" w:hAnsi="Times New Roman" w:cs="Times New Roman"/>
        </w:rPr>
        <w:t xml:space="preserve">3, no. 2 (1992): 52-59. More recently, archaeologists from Hebrew University in Israel, at Tel Hazor unearthed fragments of a sphinx in August 2012.  The hieroglyphic inscription accompanying the find dedicates the sphinx to Mycerinus, who ruled Egypt circa 2500 BCE and was the builder of the smallest of Giza's three great pyramids. This find is the first statue ever found dedicated to the king, and the first time an Egyptian statue has ever been found in the Levant. I am hopeful that a discovery of this nature may yet be found in the Cyclades, giving further evidence to the ‘international spirit.’ See: Jonah Mandel, “Unique Egyptian Sphinx Unearthed in North Israel,” </w:t>
      </w:r>
      <w:r w:rsidRPr="00C61DE2">
        <w:rPr>
          <w:rFonts w:ascii="Times New Roman" w:hAnsi="Times New Roman" w:cs="Times New Roman"/>
          <w:i/>
        </w:rPr>
        <w:t>Phys.org</w:t>
      </w:r>
      <w:r w:rsidRPr="00C61DE2">
        <w:rPr>
          <w:rFonts w:ascii="Times New Roman" w:hAnsi="Times New Roman" w:cs="Times New Roman"/>
        </w:rPr>
        <w:t xml:space="preserve"> (July 9, 2013), accessed 4/15/2017, https://phys.org/news/2013-07-archaeological-tel-hazor-sphinx-fragment.html.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E8A4745"/>
    <w:multiLevelType w:val="hybridMultilevel"/>
    <w:tmpl w:val="31669702"/>
    <w:lvl w:ilvl="0" w:tplc="FE7ED0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rAwsjA1NzK2NDQ0MTJQ0lEKTi0uzszPAykwqQUATq4tLywAAAA="/>
  </w:docVars>
  <w:rsids>
    <w:rsidRoot w:val="003A060D"/>
    <w:rsid w:val="00012AC6"/>
    <w:rsid w:val="00025A12"/>
    <w:rsid w:val="00041638"/>
    <w:rsid w:val="000504BA"/>
    <w:rsid w:val="00076B36"/>
    <w:rsid w:val="00077F0A"/>
    <w:rsid w:val="0008176F"/>
    <w:rsid w:val="000844F6"/>
    <w:rsid w:val="000921DE"/>
    <w:rsid w:val="000C18E6"/>
    <w:rsid w:val="000C24B8"/>
    <w:rsid w:val="000C7359"/>
    <w:rsid w:val="000D0CE4"/>
    <w:rsid w:val="000F56FF"/>
    <w:rsid w:val="00105BBB"/>
    <w:rsid w:val="00106C83"/>
    <w:rsid w:val="00111915"/>
    <w:rsid w:val="00111E02"/>
    <w:rsid w:val="0012758E"/>
    <w:rsid w:val="001315CA"/>
    <w:rsid w:val="00144B35"/>
    <w:rsid w:val="00172240"/>
    <w:rsid w:val="00174266"/>
    <w:rsid w:val="00177E36"/>
    <w:rsid w:val="00180428"/>
    <w:rsid w:val="00187691"/>
    <w:rsid w:val="001B12EF"/>
    <w:rsid w:val="001C3B63"/>
    <w:rsid w:val="001E2404"/>
    <w:rsid w:val="00211162"/>
    <w:rsid w:val="002147D8"/>
    <w:rsid w:val="0023375C"/>
    <w:rsid w:val="00234D34"/>
    <w:rsid w:val="00260F9A"/>
    <w:rsid w:val="00271ED6"/>
    <w:rsid w:val="00272CAD"/>
    <w:rsid w:val="002B01D9"/>
    <w:rsid w:val="002C2FDF"/>
    <w:rsid w:val="002D5618"/>
    <w:rsid w:val="002D6E20"/>
    <w:rsid w:val="002E157F"/>
    <w:rsid w:val="00301A5F"/>
    <w:rsid w:val="0030639F"/>
    <w:rsid w:val="00306FF7"/>
    <w:rsid w:val="0030767B"/>
    <w:rsid w:val="00314F3F"/>
    <w:rsid w:val="003218D0"/>
    <w:rsid w:val="003240AA"/>
    <w:rsid w:val="00343673"/>
    <w:rsid w:val="003450B1"/>
    <w:rsid w:val="00350400"/>
    <w:rsid w:val="003635D6"/>
    <w:rsid w:val="00383C0A"/>
    <w:rsid w:val="00383CF6"/>
    <w:rsid w:val="0038435D"/>
    <w:rsid w:val="00385E9D"/>
    <w:rsid w:val="00386E26"/>
    <w:rsid w:val="00393159"/>
    <w:rsid w:val="00396207"/>
    <w:rsid w:val="00397ACF"/>
    <w:rsid w:val="003A060D"/>
    <w:rsid w:val="003B73A8"/>
    <w:rsid w:val="003B763D"/>
    <w:rsid w:val="003D30E3"/>
    <w:rsid w:val="003E22B5"/>
    <w:rsid w:val="003F1757"/>
    <w:rsid w:val="0041769D"/>
    <w:rsid w:val="004431F8"/>
    <w:rsid w:val="00444FEE"/>
    <w:rsid w:val="00461AA9"/>
    <w:rsid w:val="00472B7F"/>
    <w:rsid w:val="004B330E"/>
    <w:rsid w:val="004B55DC"/>
    <w:rsid w:val="004D0DE2"/>
    <w:rsid w:val="0053028C"/>
    <w:rsid w:val="005354E8"/>
    <w:rsid w:val="0057775C"/>
    <w:rsid w:val="00582EBC"/>
    <w:rsid w:val="00596960"/>
    <w:rsid w:val="005A2B79"/>
    <w:rsid w:val="005B0705"/>
    <w:rsid w:val="005C67D8"/>
    <w:rsid w:val="00616A57"/>
    <w:rsid w:val="006273C0"/>
    <w:rsid w:val="00630017"/>
    <w:rsid w:val="00633C74"/>
    <w:rsid w:val="00643E1B"/>
    <w:rsid w:val="006459A1"/>
    <w:rsid w:val="00645A8F"/>
    <w:rsid w:val="00653C73"/>
    <w:rsid w:val="00657884"/>
    <w:rsid w:val="00660B74"/>
    <w:rsid w:val="00661C13"/>
    <w:rsid w:val="00683D2F"/>
    <w:rsid w:val="0069415A"/>
    <w:rsid w:val="006A16BA"/>
    <w:rsid w:val="006A6340"/>
    <w:rsid w:val="006B1D41"/>
    <w:rsid w:val="006B4F27"/>
    <w:rsid w:val="006B5145"/>
    <w:rsid w:val="006B5C7A"/>
    <w:rsid w:val="006E3332"/>
    <w:rsid w:val="006E3512"/>
    <w:rsid w:val="006F10CE"/>
    <w:rsid w:val="006F706E"/>
    <w:rsid w:val="006F7E97"/>
    <w:rsid w:val="0070017B"/>
    <w:rsid w:val="00705086"/>
    <w:rsid w:val="0072358B"/>
    <w:rsid w:val="00730F0A"/>
    <w:rsid w:val="0074694C"/>
    <w:rsid w:val="00746E16"/>
    <w:rsid w:val="007478E4"/>
    <w:rsid w:val="007510EC"/>
    <w:rsid w:val="007559B1"/>
    <w:rsid w:val="0075642F"/>
    <w:rsid w:val="00761FDB"/>
    <w:rsid w:val="007739FB"/>
    <w:rsid w:val="00775701"/>
    <w:rsid w:val="00777E64"/>
    <w:rsid w:val="0078679A"/>
    <w:rsid w:val="007A3C32"/>
    <w:rsid w:val="007B3298"/>
    <w:rsid w:val="007D767B"/>
    <w:rsid w:val="007E5847"/>
    <w:rsid w:val="007F2648"/>
    <w:rsid w:val="007F7A84"/>
    <w:rsid w:val="00844477"/>
    <w:rsid w:val="00851C56"/>
    <w:rsid w:val="0086523C"/>
    <w:rsid w:val="00886A75"/>
    <w:rsid w:val="008A4233"/>
    <w:rsid w:val="008A4685"/>
    <w:rsid w:val="008A4F22"/>
    <w:rsid w:val="008A65BE"/>
    <w:rsid w:val="008A6643"/>
    <w:rsid w:val="008D135E"/>
    <w:rsid w:val="008E1C26"/>
    <w:rsid w:val="008E1CF0"/>
    <w:rsid w:val="008F1822"/>
    <w:rsid w:val="009075F0"/>
    <w:rsid w:val="00910E2C"/>
    <w:rsid w:val="00917D6C"/>
    <w:rsid w:val="009245C5"/>
    <w:rsid w:val="00927233"/>
    <w:rsid w:val="00941CCD"/>
    <w:rsid w:val="009438AE"/>
    <w:rsid w:val="009501BE"/>
    <w:rsid w:val="009671ED"/>
    <w:rsid w:val="00981B1B"/>
    <w:rsid w:val="00992C28"/>
    <w:rsid w:val="009B49FC"/>
    <w:rsid w:val="009C4FEF"/>
    <w:rsid w:val="009E3AD5"/>
    <w:rsid w:val="00A0094B"/>
    <w:rsid w:val="00A07FBA"/>
    <w:rsid w:val="00A460F3"/>
    <w:rsid w:val="00A50007"/>
    <w:rsid w:val="00A5626C"/>
    <w:rsid w:val="00A76D67"/>
    <w:rsid w:val="00A773AA"/>
    <w:rsid w:val="00A90647"/>
    <w:rsid w:val="00A96143"/>
    <w:rsid w:val="00AA0B13"/>
    <w:rsid w:val="00AA1B3B"/>
    <w:rsid w:val="00AA456B"/>
    <w:rsid w:val="00AA4AED"/>
    <w:rsid w:val="00AC5E50"/>
    <w:rsid w:val="00AE2D85"/>
    <w:rsid w:val="00AF0BB2"/>
    <w:rsid w:val="00B05303"/>
    <w:rsid w:val="00B13AC0"/>
    <w:rsid w:val="00B242CA"/>
    <w:rsid w:val="00B26394"/>
    <w:rsid w:val="00B328CA"/>
    <w:rsid w:val="00B35E38"/>
    <w:rsid w:val="00B36426"/>
    <w:rsid w:val="00B91E22"/>
    <w:rsid w:val="00BA1A3A"/>
    <w:rsid w:val="00BB2DDE"/>
    <w:rsid w:val="00BB3F72"/>
    <w:rsid w:val="00BB678C"/>
    <w:rsid w:val="00BD1142"/>
    <w:rsid w:val="00BD2769"/>
    <w:rsid w:val="00BD45C8"/>
    <w:rsid w:val="00BD529A"/>
    <w:rsid w:val="00BD614F"/>
    <w:rsid w:val="00BD6CA1"/>
    <w:rsid w:val="00C16C66"/>
    <w:rsid w:val="00C30CCE"/>
    <w:rsid w:val="00C36E17"/>
    <w:rsid w:val="00C3745C"/>
    <w:rsid w:val="00C378FA"/>
    <w:rsid w:val="00C4062A"/>
    <w:rsid w:val="00C4480F"/>
    <w:rsid w:val="00C61DE2"/>
    <w:rsid w:val="00C63C23"/>
    <w:rsid w:val="00C8326D"/>
    <w:rsid w:val="00C92079"/>
    <w:rsid w:val="00CD0846"/>
    <w:rsid w:val="00CE1629"/>
    <w:rsid w:val="00D23514"/>
    <w:rsid w:val="00D332B1"/>
    <w:rsid w:val="00D417E2"/>
    <w:rsid w:val="00D418C5"/>
    <w:rsid w:val="00D72088"/>
    <w:rsid w:val="00DA0169"/>
    <w:rsid w:val="00DA10D5"/>
    <w:rsid w:val="00DA1971"/>
    <w:rsid w:val="00DB664C"/>
    <w:rsid w:val="00DD71BF"/>
    <w:rsid w:val="00DE1EF7"/>
    <w:rsid w:val="00DE50F8"/>
    <w:rsid w:val="00DF7412"/>
    <w:rsid w:val="00E0501B"/>
    <w:rsid w:val="00E13792"/>
    <w:rsid w:val="00E20B9A"/>
    <w:rsid w:val="00E252B0"/>
    <w:rsid w:val="00E35386"/>
    <w:rsid w:val="00E453E8"/>
    <w:rsid w:val="00E53D7E"/>
    <w:rsid w:val="00E6062A"/>
    <w:rsid w:val="00E77477"/>
    <w:rsid w:val="00E915E0"/>
    <w:rsid w:val="00E948D0"/>
    <w:rsid w:val="00E95A08"/>
    <w:rsid w:val="00EA7E4F"/>
    <w:rsid w:val="00EE3797"/>
    <w:rsid w:val="00F061D4"/>
    <w:rsid w:val="00F27248"/>
    <w:rsid w:val="00F46A49"/>
    <w:rsid w:val="00F6021C"/>
    <w:rsid w:val="00F62475"/>
    <w:rsid w:val="00FA2425"/>
    <w:rsid w:val="00FB148A"/>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A4BEC"/>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unhideWhenUsed/>
    <w:rsid w:val="004D0DE2"/>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4D0DE2"/>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D0DE2"/>
    <w:rPr>
      <w:vertAlign w:val="superscript"/>
    </w:rPr>
  </w:style>
  <w:style w:type="character" w:customStyle="1" w:styleId="Mention1">
    <w:name w:val="Mention1"/>
    <w:basedOn w:val="DefaultParagraphFont"/>
    <w:uiPriority w:val="99"/>
    <w:semiHidden/>
    <w:unhideWhenUsed/>
    <w:rsid w:val="004D0DE2"/>
    <w:rPr>
      <w:color w:val="2B579A"/>
      <w:shd w:val="clear" w:color="auto" w:fill="E6E6E6"/>
    </w:rPr>
  </w:style>
  <w:style w:type="character" w:styleId="FollowedHyperlink">
    <w:name w:val="FollowedHyperlink"/>
    <w:basedOn w:val="DefaultParagraphFont"/>
    <w:uiPriority w:val="99"/>
    <w:semiHidden/>
    <w:unhideWhenUsed/>
    <w:rsid w:val="004D0DE2"/>
    <w:rPr>
      <w:color w:val="800080" w:themeColor="followedHyperlink"/>
      <w:u w:val="single"/>
    </w:rPr>
  </w:style>
  <w:style w:type="character" w:styleId="Mention">
    <w:name w:val="Mention"/>
    <w:basedOn w:val="DefaultParagraphFont"/>
    <w:uiPriority w:val="99"/>
    <w:semiHidden/>
    <w:unhideWhenUsed/>
    <w:rsid w:val="004D0D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Mariah\Desktop\ThesisTemplateFull.docx"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image" Target="media/image68.pn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3.png"/><Relationship Id="rId11" Type="http://schemas.openxmlformats.org/officeDocument/2006/relationships/hyperlink" Target="file:///C:\Users\Mariah\Desktop\ThesisTemplateFull.docx" TargetMode="Externa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file:///C:\Users\Mariah\Desktop\ThesisTemplateFull.docx" TargetMode="External"/><Relationship Id="rId14" Type="http://schemas.openxmlformats.org/officeDocument/2006/relationships/hyperlink" Target="file:///C:\Users\Mariah\Desktop\ThesisTemplateFull.docx"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hyperlink" Target="file:///C:\Users\Mariah\Desktop\ThesisTemplateFull.docx" TargetMode="Externa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hyperlink" Target="file:///C:\Users\Mariah\Desktop\ThesisTemplateFull.docx"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4.jpe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Mariah\Desktop\ThesisTemplateFull.docx"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hyperlink" Target="file:///C:\Users\Mariah\Desktop\ThesisTemplateFull.docx" TargetMode="Externa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226A6"/>
    <w:rsid w:val="00287587"/>
    <w:rsid w:val="002F2904"/>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CE3E85"/>
    <w:rsid w:val="00E5448F"/>
    <w:rsid w:val="00E637F6"/>
    <w:rsid w:val="00FA1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1E3B6-0EFE-41E8-A330-21FEBFC8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210</Pages>
  <Words>32061</Words>
  <Characters>182751</Characters>
  <Application>Microsoft Office Word</Application>
  <DocSecurity>0</DocSecurity>
  <Lines>1522</Lines>
  <Paragraphs>428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214384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Mariah</cp:lastModifiedBy>
  <cp:revision>9</cp:revision>
  <cp:lastPrinted>2011-12-05T16:17:00Z</cp:lastPrinted>
  <dcterms:created xsi:type="dcterms:W3CDTF">2017-05-09T19:49:00Z</dcterms:created>
  <dcterms:modified xsi:type="dcterms:W3CDTF">2017-05-12T14:04:00Z</dcterms:modified>
</cp:coreProperties>
</file>