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67722" w14:textId="77777777" w:rsidR="002E29FE" w:rsidRDefault="002E29FE" w:rsidP="002E29FE">
      <w:pPr>
        <w:spacing w:after="252" w:line="259" w:lineRule="auto"/>
        <w:ind w:left="3416"/>
        <w:jc w:val="left"/>
      </w:pPr>
      <w:bookmarkStart w:id="0" w:name="_Hlk134093062"/>
      <w:bookmarkStart w:id="1" w:name="_Hlk21425196"/>
      <w:bookmarkEnd w:id="0"/>
      <w:r>
        <w:rPr>
          <w:rFonts w:eastAsia="Times New Roman" w:cs="Times New Roman"/>
          <w:color w:val="1C1C1C"/>
        </w:rPr>
        <w:t xml:space="preserve">UNIVERSITY OF OKLAHOMA </w:t>
      </w:r>
    </w:p>
    <w:p w14:paraId="790526D2" w14:textId="77777777" w:rsidR="002E29FE" w:rsidRDefault="002E29FE" w:rsidP="002E29FE">
      <w:pPr>
        <w:spacing w:after="262" w:line="249" w:lineRule="auto"/>
        <w:ind w:left="731" w:right="1"/>
        <w:jc w:val="center"/>
      </w:pPr>
      <w:r>
        <w:rPr>
          <w:rFonts w:eastAsia="Times New Roman" w:cs="Times New Roman"/>
          <w:color w:val="1C1C1C"/>
        </w:rPr>
        <w:t xml:space="preserve">GRADUATE COLLEGE </w:t>
      </w:r>
    </w:p>
    <w:p w14:paraId="55AF2D77" w14:textId="77777777" w:rsidR="002E29FE" w:rsidRDefault="002E29FE" w:rsidP="002E29FE">
      <w:pPr>
        <w:spacing w:after="252" w:line="259" w:lineRule="auto"/>
        <w:ind w:left="781" w:firstLine="0"/>
        <w:jc w:val="center"/>
      </w:pPr>
      <w:r>
        <w:rPr>
          <w:rFonts w:eastAsia="Times New Roman" w:cs="Times New Roman"/>
          <w:color w:val="1C1C1C"/>
        </w:rPr>
        <w:t xml:space="preserve"> </w:t>
      </w:r>
    </w:p>
    <w:p w14:paraId="3C700CB7" w14:textId="77777777" w:rsidR="00D0494B" w:rsidRDefault="00D0494B" w:rsidP="002E29FE">
      <w:pPr>
        <w:spacing w:after="252" w:line="259" w:lineRule="auto"/>
        <w:ind w:left="781" w:firstLine="0"/>
        <w:jc w:val="center"/>
        <w:rPr>
          <w:rFonts w:eastAsia="Times New Roman" w:cs="Times New Roman"/>
          <w:color w:val="1C1C1C"/>
        </w:rPr>
      </w:pPr>
    </w:p>
    <w:p w14:paraId="31A4A432" w14:textId="77777777" w:rsidR="00D478BD" w:rsidRDefault="002E29FE" w:rsidP="00D478BD">
      <w:pPr>
        <w:spacing w:after="252" w:line="259" w:lineRule="auto"/>
        <w:ind w:left="781" w:firstLine="0"/>
        <w:jc w:val="center"/>
      </w:pPr>
      <w:r>
        <w:rPr>
          <w:rFonts w:eastAsia="Times New Roman" w:cs="Times New Roman"/>
          <w:color w:val="1C1C1C"/>
        </w:rPr>
        <w:t xml:space="preserve"> </w:t>
      </w:r>
      <w:bookmarkStart w:id="2" w:name="_Hlk18645161"/>
    </w:p>
    <w:p w14:paraId="35C9B59C" w14:textId="77777777" w:rsidR="0031761C" w:rsidRDefault="0031761C" w:rsidP="0031761C">
      <w:pPr>
        <w:spacing w:after="252" w:line="259" w:lineRule="auto"/>
        <w:ind w:left="781" w:firstLine="0"/>
        <w:jc w:val="center"/>
      </w:pPr>
      <w:r>
        <w:t xml:space="preserve">ON THE PROBLEM OF RESOLVING MONOPOLY HOLDOUTS </w:t>
      </w:r>
    </w:p>
    <w:p w14:paraId="55FCE086" w14:textId="1648F838" w:rsidR="00154A76" w:rsidRPr="00160ADE" w:rsidRDefault="0031761C" w:rsidP="0031761C">
      <w:pPr>
        <w:spacing w:after="252" w:line="259" w:lineRule="auto"/>
        <w:ind w:left="781" w:firstLine="0"/>
        <w:jc w:val="center"/>
      </w:pPr>
      <w:r>
        <w:t>WITHOUT REQUIRING EMINENT DOMAIN</w:t>
      </w:r>
    </w:p>
    <w:bookmarkEnd w:id="2"/>
    <w:p w14:paraId="613E4C45" w14:textId="77777777" w:rsidR="002E29FE" w:rsidRDefault="002E29FE" w:rsidP="002E29FE">
      <w:pPr>
        <w:spacing w:after="252" w:line="259" w:lineRule="auto"/>
        <w:ind w:left="781" w:firstLine="0"/>
        <w:jc w:val="center"/>
      </w:pPr>
    </w:p>
    <w:p w14:paraId="2E00D9DF" w14:textId="77777777" w:rsidR="002E29FE" w:rsidRDefault="002E29FE" w:rsidP="002E29FE">
      <w:pPr>
        <w:spacing w:after="252" w:line="259" w:lineRule="auto"/>
        <w:ind w:left="781" w:firstLine="0"/>
        <w:jc w:val="center"/>
      </w:pPr>
      <w:r>
        <w:rPr>
          <w:rFonts w:eastAsia="Times New Roman" w:cs="Times New Roman"/>
          <w:color w:val="1C1C1C"/>
        </w:rPr>
        <w:t xml:space="preserve"> </w:t>
      </w:r>
    </w:p>
    <w:p w14:paraId="71B2FB94" w14:textId="77777777" w:rsidR="002E29FE" w:rsidRDefault="002E29FE" w:rsidP="002E29FE">
      <w:pPr>
        <w:spacing w:after="252" w:line="259" w:lineRule="auto"/>
        <w:ind w:left="781" w:firstLine="0"/>
        <w:jc w:val="center"/>
      </w:pPr>
      <w:r>
        <w:rPr>
          <w:rFonts w:eastAsia="Times New Roman" w:cs="Times New Roman"/>
          <w:color w:val="1C1C1C"/>
        </w:rPr>
        <w:t xml:space="preserve"> </w:t>
      </w:r>
    </w:p>
    <w:p w14:paraId="7A6A461D" w14:textId="77777777" w:rsidR="002E29FE" w:rsidRDefault="002E29FE" w:rsidP="002E29FE">
      <w:pPr>
        <w:spacing w:after="262" w:line="249" w:lineRule="auto"/>
        <w:ind w:left="731" w:right="4"/>
        <w:jc w:val="center"/>
      </w:pPr>
      <w:r>
        <w:rPr>
          <w:rFonts w:eastAsia="Times New Roman" w:cs="Times New Roman"/>
          <w:color w:val="1C1C1C"/>
        </w:rPr>
        <w:t xml:space="preserve">A DISSERTATION  </w:t>
      </w:r>
    </w:p>
    <w:p w14:paraId="5A10AF5C" w14:textId="77777777" w:rsidR="002E29FE" w:rsidRDefault="002E29FE" w:rsidP="002E29FE">
      <w:pPr>
        <w:spacing w:after="252" w:line="259" w:lineRule="auto"/>
        <w:ind w:left="2621"/>
        <w:jc w:val="left"/>
      </w:pPr>
      <w:r>
        <w:rPr>
          <w:rFonts w:eastAsia="Times New Roman" w:cs="Times New Roman"/>
          <w:color w:val="1C1C1C"/>
        </w:rPr>
        <w:t xml:space="preserve">SUBMITTED TO THE GRADUATE FACULTY </w:t>
      </w:r>
    </w:p>
    <w:p w14:paraId="4D243AC2" w14:textId="77777777" w:rsidR="002E29FE" w:rsidRDefault="002E29FE" w:rsidP="002E29FE">
      <w:pPr>
        <w:spacing w:after="252" w:line="259" w:lineRule="auto"/>
        <w:ind w:left="2768"/>
        <w:jc w:val="left"/>
      </w:pPr>
      <w:r>
        <w:rPr>
          <w:rFonts w:eastAsia="Times New Roman" w:cs="Times New Roman"/>
          <w:color w:val="1C1C1C"/>
        </w:rPr>
        <w:t xml:space="preserve">in partial fulfillment of the requirements for the </w:t>
      </w:r>
    </w:p>
    <w:p w14:paraId="01EEF242" w14:textId="77777777" w:rsidR="002E29FE" w:rsidRDefault="002E29FE" w:rsidP="002E29FE">
      <w:pPr>
        <w:spacing w:after="262" w:line="249" w:lineRule="auto"/>
        <w:ind w:left="731" w:right="5"/>
        <w:jc w:val="center"/>
      </w:pPr>
      <w:r>
        <w:rPr>
          <w:rFonts w:eastAsia="Times New Roman" w:cs="Times New Roman"/>
          <w:color w:val="1C1C1C"/>
        </w:rPr>
        <w:t xml:space="preserve">Degree of </w:t>
      </w:r>
    </w:p>
    <w:p w14:paraId="46D06FEB" w14:textId="77777777" w:rsidR="002E29FE" w:rsidRDefault="002E29FE" w:rsidP="002E29FE">
      <w:pPr>
        <w:spacing w:after="252" w:line="259" w:lineRule="auto"/>
        <w:ind w:left="3610"/>
        <w:jc w:val="left"/>
      </w:pPr>
      <w:r>
        <w:rPr>
          <w:rFonts w:eastAsia="Times New Roman" w:cs="Times New Roman"/>
          <w:color w:val="1C1C1C"/>
        </w:rPr>
        <w:t>DOCTOR OF PHILOSOPHY</w:t>
      </w:r>
    </w:p>
    <w:p w14:paraId="45626F14" w14:textId="77777777" w:rsidR="002E29FE" w:rsidRDefault="002E29FE" w:rsidP="002E29FE">
      <w:pPr>
        <w:spacing w:after="252" w:line="259" w:lineRule="auto"/>
        <w:ind w:left="781" w:firstLine="0"/>
        <w:jc w:val="center"/>
      </w:pPr>
      <w:r>
        <w:rPr>
          <w:rFonts w:eastAsia="Times New Roman" w:cs="Times New Roman"/>
          <w:color w:val="1C1C1C"/>
        </w:rPr>
        <w:t xml:space="preserve"> </w:t>
      </w:r>
    </w:p>
    <w:p w14:paraId="6C4C218A" w14:textId="77777777" w:rsidR="002E29FE" w:rsidRDefault="002E29FE" w:rsidP="002E29FE">
      <w:pPr>
        <w:spacing w:after="252" w:line="259" w:lineRule="auto"/>
        <w:ind w:left="781" w:firstLine="0"/>
        <w:jc w:val="center"/>
      </w:pPr>
      <w:r>
        <w:rPr>
          <w:rFonts w:eastAsia="Times New Roman" w:cs="Times New Roman"/>
          <w:color w:val="1C1C1C"/>
        </w:rPr>
        <w:t xml:space="preserve"> </w:t>
      </w:r>
    </w:p>
    <w:p w14:paraId="3FAF8BB7" w14:textId="77777777" w:rsidR="002E29FE" w:rsidRDefault="002E29FE" w:rsidP="002E29FE">
      <w:pPr>
        <w:spacing w:after="252" w:line="259" w:lineRule="auto"/>
        <w:ind w:left="781" w:firstLine="0"/>
        <w:jc w:val="center"/>
      </w:pPr>
      <w:r>
        <w:rPr>
          <w:rFonts w:eastAsia="Times New Roman" w:cs="Times New Roman"/>
          <w:color w:val="1C1C1C"/>
        </w:rPr>
        <w:t xml:space="preserve"> </w:t>
      </w:r>
    </w:p>
    <w:p w14:paraId="4C8FCA90" w14:textId="77777777" w:rsidR="002E29FE" w:rsidRDefault="002E29FE" w:rsidP="002E29FE">
      <w:pPr>
        <w:spacing w:after="252" w:line="259" w:lineRule="auto"/>
        <w:ind w:left="781" w:firstLine="0"/>
        <w:jc w:val="center"/>
      </w:pPr>
      <w:r>
        <w:rPr>
          <w:rFonts w:eastAsia="Times New Roman" w:cs="Times New Roman"/>
          <w:color w:val="1C1C1C"/>
        </w:rPr>
        <w:t xml:space="preserve"> </w:t>
      </w:r>
    </w:p>
    <w:p w14:paraId="435AE369" w14:textId="65D66546" w:rsidR="002E29FE" w:rsidRDefault="002E29FE" w:rsidP="002E29FE">
      <w:pPr>
        <w:spacing w:after="10" w:line="249" w:lineRule="auto"/>
        <w:ind w:left="731"/>
        <w:jc w:val="center"/>
      </w:pPr>
      <w:r>
        <w:rPr>
          <w:rFonts w:eastAsia="Times New Roman" w:cs="Times New Roman"/>
          <w:color w:val="1C1C1C"/>
        </w:rPr>
        <w:t>By</w:t>
      </w:r>
      <w:r w:rsidR="00D529E8">
        <w:rPr>
          <w:rFonts w:eastAsia="Times New Roman" w:cs="Times New Roman"/>
          <w:color w:val="1C1C1C"/>
        </w:rPr>
        <w:t>:</w:t>
      </w:r>
      <w:r>
        <w:rPr>
          <w:rFonts w:eastAsia="Times New Roman" w:cs="Times New Roman"/>
          <w:color w:val="1C1C1C"/>
        </w:rPr>
        <w:t xml:space="preserve"> </w:t>
      </w:r>
    </w:p>
    <w:p w14:paraId="10D2F89B" w14:textId="77777777" w:rsidR="002E29FE" w:rsidRDefault="002E29FE" w:rsidP="002E29FE">
      <w:pPr>
        <w:spacing w:after="0" w:line="259" w:lineRule="auto"/>
        <w:ind w:left="781" w:firstLine="0"/>
        <w:jc w:val="center"/>
      </w:pPr>
      <w:r>
        <w:rPr>
          <w:rFonts w:eastAsia="Times New Roman" w:cs="Times New Roman"/>
          <w:color w:val="1C1C1C"/>
        </w:rPr>
        <w:t xml:space="preserve"> </w:t>
      </w:r>
    </w:p>
    <w:p w14:paraId="08981466" w14:textId="77777777" w:rsidR="002E29FE" w:rsidRDefault="002E29FE" w:rsidP="002E29FE">
      <w:pPr>
        <w:spacing w:after="10" w:line="249" w:lineRule="auto"/>
        <w:ind w:left="731" w:right="5"/>
        <w:jc w:val="center"/>
      </w:pPr>
      <w:r>
        <w:rPr>
          <w:rFonts w:eastAsia="Times New Roman" w:cs="Times New Roman"/>
          <w:color w:val="1C1C1C"/>
        </w:rPr>
        <w:t>WILLIAM LINDLEY RIDLEY</w:t>
      </w:r>
    </w:p>
    <w:p w14:paraId="4D534879" w14:textId="77777777" w:rsidR="002E29FE" w:rsidRDefault="002E29FE" w:rsidP="002E29FE">
      <w:pPr>
        <w:spacing w:after="10" w:line="249" w:lineRule="auto"/>
        <w:ind w:left="731" w:right="2"/>
        <w:jc w:val="center"/>
      </w:pPr>
      <w:r>
        <w:rPr>
          <w:rFonts w:eastAsia="Times New Roman" w:cs="Times New Roman"/>
          <w:color w:val="1C1C1C"/>
        </w:rPr>
        <w:t xml:space="preserve">Norman, Oklahoma </w:t>
      </w:r>
    </w:p>
    <w:p w14:paraId="0F10255F" w14:textId="5730C6B9" w:rsidR="002E29FE" w:rsidRDefault="002E29FE" w:rsidP="002E29FE">
      <w:pPr>
        <w:spacing w:after="610" w:line="249" w:lineRule="auto"/>
        <w:ind w:left="731" w:right="2"/>
        <w:jc w:val="center"/>
      </w:pPr>
      <w:r>
        <w:rPr>
          <w:rFonts w:eastAsia="Times New Roman" w:cs="Times New Roman"/>
          <w:color w:val="1C1C1C"/>
        </w:rPr>
        <w:t>20</w:t>
      </w:r>
      <w:r w:rsidR="0031761C">
        <w:rPr>
          <w:rFonts w:eastAsia="Times New Roman" w:cs="Times New Roman"/>
          <w:color w:val="1C1C1C"/>
        </w:rPr>
        <w:t>23</w:t>
      </w:r>
      <w:r>
        <w:rPr>
          <w:rFonts w:eastAsia="Times New Roman" w:cs="Times New Roman"/>
          <w:color w:val="1C1C1C"/>
        </w:rPr>
        <w:t xml:space="preserve"> </w:t>
      </w:r>
    </w:p>
    <w:p w14:paraId="79767810" w14:textId="2230BD21" w:rsidR="00C21629" w:rsidRDefault="00C21629"/>
    <w:p w14:paraId="50E8F3C0" w14:textId="77777777" w:rsidR="005E672C" w:rsidRDefault="005E672C"/>
    <w:p w14:paraId="13DBE2FF" w14:textId="77777777" w:rsidR="00D478BD" w:rsidRDefault="00D478BD" w:rsidP="00D478BD">
      <w:pPr>
        <w:spacing w:after="0" w:line="259" w:lineRule="auto"/>
        <w:ind w:left="667" w:right="1"/>
        <w:jc w:val="center"/>
        <w:rPr>
          <w:rFonts w:eastAsia="Times New Roman" w:cs="Times New Roman"/>
        </w:rPr>
      </w:pPr>
    </w:p>
    <w:p w14:paraId="75A006BB" w14:textId="77777777" w:rsidR="00D478BD" w:rsidRDefault="00D478BD" w:rsidP="00D478BD">
      <w:pPr>
        <w:spacing w:after="0" w:line="259" w:lineRule="auto"/>
        <w:ind w:left="667" w:right="1"/>
        <w:jc w:val="center"/>
        <w:rPr>
          <w:rFonts w:eastAsia="Times New Roman" w:cs="Times New Roman"/>
        </w:rPr>
      </w:pPr>
    </w:p>
    <w:p w14:paraId="29F04E85" w14:textId="77777777" w:rsidR="0060735E" w:rsidRDefault="0060735E" w:rsidP="0060735E">
      <w:pPr>
        <w:spacing w:after="0" w:line="259" w:lineRule="auto"/>
        <w:ind w:left="720" w:firstLine="0"/>
        <w:jc w:val="center"/>
      </w:pPr>
      <w:r>
        <w:t xml:space="preserve">ON THE PROBLEM OF RESOLVING MONOPOLY HOLDOUTS </w:t>
      </w:r>
    </w:p>
    <w:p w14:paraId="58DCCF22" w14:textId="03011EAF" w:rsidR="009E100D" w:rsidRDefault="0060735E" w:rsidP="0060735E">
      <w:pPr>
        <w:spacing w:after="0" w:line="259" w:lineRule="auto"/>
        <w:ind w:left="720" w:firstLine="0"/>
        <w:jc w:val="center"/>
      </w:pPr>
      <w:r>
        <w:t>WITHOUT REQUIRING EMINENT DOMAIN</w:t>
      </w:r>
    </w:p>
    <w:p w14:paraId="0C79086D" w14:textId="77777777" w:rsidR="0060735E" w:rsidRDefault="0060735E" w:rsidP="0060735E">
      <w:pPr>
        <w:spacing w:after="0" w:line="259" w:lineRule="auto"/>
        <w:ind w:left="720" w:firstLine="0"/>
        <w:jc w:val="center"/>
      </w:pPr>
    </w:p>
    <w:p w14:paraId="2A03312E" w14:textId="77777777" w:rsidR="009E100D" w:rsidRDefault="009E100D" w:rsidP="009E100D">
      <w:pPr>
        <w:spacing w:after="0" w:line="259" w:lineRule="auto"/>
        <w:ind w:left="720" w:firstLine="0"/>
        <w:jc w:val="center"/>
      </w:pPr>
      <w:r>
        <w:rPr>
          <w:rFonts w:eastAsia="Times New Roman" w:cs="Times New Roman"/>
        </w:rPr>
        <w:t xml:space="preserve"> </w:t>
      </w:r>
    </w:p>
    <w:p w14:paraId="578285C8" w14:textId="77777777" w:rsidR="009E100D" w:rsidRDefault="009E100D" w:rsidP="009E100D">
      <w:pPr>
        <w:spacing w:after="0" w:line="259" w:lineRule="auto"/>
        <w:ind w:left="667" w:right="2"/>
        <w:jc w:val="center"/>
      </w:pPr>
      <w:r>
        <w:rPr>
          <w:rFonts w:eastAsia="Times New Roman" w:cs="Times New Roman"/>
        </w:rPr>
        <w:t xml:space="preserve">A DISSERTATION APPROVED FOR THE </w:t>
      </w:r>
    </w:p>
    <w:p w14:paraId="45531BDA" w14:textId="77777777" w:rsidR="009E100D" w:rsidRDefault="00D478BD" w:rsidP="009E100D">
      <w:pPr>
        <w:spacing w:after="0" w:line="259" w:lineRule="auto"/>
        <w:ind w:left="667" w:right="1"/>
        <w:jc w:val="center"/>
        <w:rPr>
          <w:rFonts w:eastAsia="Times New Roman" w:cs="Times New Roman"/>
        </w:rPr>
      </w:pPr>
      <w:r>
        <w:rPr>
          <w:rFonts w:eastAsia="Times New Roman" w:cs="Times New Roman"/>
        </w:rPr>
        <w:t>CHRISTOPHER C. GIBBS COLLEGE OF ARCHITECTURE</w:t>
      </w:r>
      <w:r w:rsidR="009E100D">
        <w:rPr>
          <w:rFonts w:eastAsia="Times New Roman" w:cs="Times New Roman"/>
        </w:rPr>
        <w:t xml:space="preserve"> </w:t>
      </w:r>
    </w:p>
    <w:p w14:paraId="20605E01" w14:textId="77777777" w:rsidR="009E100D" w:rsidRDefault="009E100D" w:rsidP="009E100D">
      <w:pPr>
        <w:spacing w:after="0" w:line="259" w:lineRule="auto"/>
        <w:ind w:left="720" w:firstLine="0"/>
        <w:jc w:val="center"/>
      </w:pPr>
    </w:p>
    <w:p w14:paraId="2C02FDBE" w14:textId="77777777" w:rsidR="009E100D" w:rsidRDefault="009E100D" w:rsidP="009E100D">
      <w:pPr>
        <w:spacing w:after="0" w:line="259" w:lineRule="auto"/>
        <w:ind w:left="720" w:firstLine="0"/>
        <w:jc w:val="center"/>
      </w:pPr>
      <w:r>
        <w:rPr>
          <w:rFonts w:eastAsia="Times New Roman" w:cs="Times New Roman"/>
        </w:rPr>
        <w:t xml:space="preserve"> </w:t>
      </w:r>
    </w:p>
    <w:p w14:paraId="09CD3067" w14:textId="77777777" w:rsidR="009E100D" w:rsidRDefault="009E100D" w:rsidP="009E100D">
      <w:pPr>
        <w:spacing w:after="0" w:line="259" w:lineRule="auto"/>
        <w:ind w:left="720" w:firstLine="0"/>
        <w:jc w:val="center"/>
      </w:pPr>
      <w:r>
        <w:rPr>
          <w:rFonts w:eastAsia="Times New Roman" w:cs="Times New Roman"/>
        </w:rPr>
        <w:t xml:space="preserve"> </w:t>
      </w:r>
    </w:p>
    <w:p w14:paraId="1FC692BF" w14:textId="77777777" w:rsidR="009E100D" w:rsidRDefault="009E100D" w:rsidP="009E100D">
      <w:pPr>
        <w:spacing w:after="0" w:line="259" w:lineRule="auto"/>
        <w:ind w:left="720" w:firstLine="0"/>
        <w:jc w:val="center"/>
      </w:pPr>
      <w:r>
        <w:rPr>
          <w:rFonts w:eastAsia="Times New Roman" w:cs="Times New Roman"/>
        </w:rPr>
        <w:t xml:space="preserve"> </w:t>
      </w:r>
    </w:p>
    <w:p w14:paraId="1FF86D20" w14:textId="77777777" w:rsidR="009E100D" w:rsidRDefault="009E100D" w:rsidP="009E100D">
      <w:pPr>
        <w:spacing w:after="0" w:line="259" w:lineRule="auto"/>
        <w:ind w:left="720" w:firstLine="0"/>
        <w:jc w:val="center"/>
      </w:pPr>
      <w:r>
        <w:rPr>
          <w:rFonts w:eastAsia="Times New Roman" w:cs="Times New Roman"/>
        </w:rPr>
        <w:t xml:space="preserve"> </w:t>
      </w:r>
    </w:p>
    <w:p w14:paraId="187F1FE5" w14:textId="77777777" w:rsidR="009E100D" w:rsidRDefault="009E100D" w:rsidP="009E100D">
      <w:pPr>
        <w:spacing w:after="0" w:line="259" w:lineRule="auto"/>
        <w:ind w:left="720" w:firstLine="0"/>
        <w:jc w:val="center"/>
      </w:pPr>
      <w:r>
        <w:rPr>
          <w:rFonts w:eastAsia="Times New Roman" w:cs="Times New Roman"/>
        </w:rPr>
        <w:t xml:space="preserve"> </w:t>
      </w:r>
    </w:p>
    <w:p w14:paraId="5FF761AA" w14:textId="77777777" w:rsidR="009E100D" w:rsidRDefault="009E100D" w:rsidP="009E100D">
      <w:pPr>
        <w:spacing w:after="0" w:line="259" w:lineRule="auto"/>
        <w:ind w:left="720" w:firstLine="0"/>
        <w:jc w:val="center"/>
      </w:pPr>
      <w:r>
        <w:rPr>
          <w:rFonts w:eastAsia="Times New Roman" w:cs="Times New Roman"/>
        </w:rPr>
        <w:t xml:space="preserve"> </w:t>
      </w:r>
    </w:p>
    <w:p w14:paraId="306AAFEB" w14:textId="77777777" w:rsidR="009E100D" w:rsidRDefault="009E100D" w:rsidP="009E100D">
      <w:pPr>
        <w:spacing w:after="0" w:line="259" w:lineRule="auto"/>
        <w:ind w:left="720" w:firstLine="0"/>
        <w:jc w:val="center"/>
      </w:pPr>
      <w:r>
        <w:rPr>
          <w:rFonts w:eastAsia="Times New Roman" w:cs="Times New Roman"/>
        </w:rPr>
        <w:t xml:space="preserve"> </w:t>
      </w:r>
    </w:p>
    <w:p w14:paraId="07EB9933" w14:textId="77777777" w:rsidR="009E100D" w:rsidRDefault="009E100D" w:rsidP="004F0B0F">
      <w:pPr>
        <w:spacing w:after="0" w:line="259" w:lineRule="auto"/>
        <w:ind w:left="720" w:firstLine="0"/>
        <w:jc w:val="center"/>
      </w:pPr>
      <w:r>
        <w:rPr>
          <w:rFonts w:eastAsia="Times New Roman" w:cs="Times New Roman"/>
        </w:rPr>
        <w:t xml:space="preserve">  </w:t>
      </w:r>
    </w:p>
    <w:p w14:paraId="7460F04C" w14:textId="17B42BBA" w:rsidR="009E100D" w:rsidRDefault="009E100D" w:rsidP="009E100D">
      <w:pPr>
        <w:spacing w:after="0" w:line="259" w:lineRule="auto"/>
        <w:ind w:left="667" w:right="2"/>
        <w:jc w:val="center"/>
      </w:pPr>
      <w:r>
        <w:rPr>
          <w:rFonts w:eastAsia="Times New Roman" w:cs="Times New Roman"/>
        </w:rPr>
        <w:t>BY</w:t>
      </w:r>
      <w:r w:rsidR="00DF1FE6">
        <w:rPr>
          <w:rFonts w:eastAsia="Times New Roman" w:cs="Times New Roman"/>
        </w:rPr>
        <w:t xml:space="preserve"> </w:t>
      </w:r>
      <w:r w:rsidR="00DF1FE6" w:rsidRPr="00DF1FE6">
        <w:rPr>
          <w:rFonts w:eastAsia="Times New Roman" w:cs="Times New Roman"/>
        </w:rPr>
        <w:t>THE COMMITTEE CONSISTING OF</w:t>
      </w:r>
      <w:r w:rsidR="00AA1E8F">
        <w:rPr>
          <w:rFonts w:eastAsia="Times New Roman" w:cs="Times New Roman"/>
        </w:rPr>
        <w:t>:</w:t>
      </w:r>
      <w:r>
        <w:rPr>
          <w:rFonts w:eastAsia="Times New Roman" w:cs="Times New Roman"/>
        </w:rPr>
        <w:t xml:space="preserve"> </w:t>
      </w:r>
    </w:p>
    <w:p w14:paraId="45EF8B58" w14:textId="77777777" w:rsidR="009E100D" w:rsidRDefault="009E100D" w:rsidP="009E100D">
      <w:pPr>
        <w:spacing w:after="0" w:line="259" w:lineRule="auto"/>
        <w:ind w:left="720" w:firstLine="0"/>
        <w:jc w:val="center"/>
      </w:pPr>
      <w:r>
        <w:rPr>
          <w:rFonts w:eastAsia="Times New Roman" w:cs="Times New Roman"/>
        </w:rPr>
        <w:t xml:space="preserve"> </w:t>
      </w:r>
    </w:p>
    <w:p w14:paraId="11C19300" w14:textId="77777777" w:rsidR="009E100D" w:rsidRDefault="009E100D" w:rsidP="009E100D">
      <w:pPr>
        <w:spacing w:after="50" w:line="259" w:lineRule="auto"/>
        <w:ind w:left="720" w:firstLine="0"/>
        <w:jc w:val="center"/>
      </w:pPr>
      <w:r>
        <w:rPr>
          <w:rFonts w:eastAsia="Times New Roman" w:cs="Times New Roman"/>
        </w:rPr>
        <w:t xml:space="preserve"> </w:t>
      </w:r>
    </w:p>
    <w:p w14:paraId="5BA30B88" w14:textId="48786672" w:rsidR="009E100D" w:rsidRDefault="009E100D" w:rsidP="001E0C57">
      <w:pPr>
        <w:spacing w:after="0" w:line="259" w:lineRule="auto"/>
        <w:ind w:left="740" w:firstLine="0"/>
        <w:jc w:val="center"/>
        <w:rPr>
          <w:rFonts w:eastAsia="Times New Roman" w:cs="Times New Roman"/>
          <w:sz w:val="32"/>
        </w:rPr>
      </w:pPr>
      <w:r>
        <w:rPr>
          <w:rFonts w:eastAsia="Times New Roman" w:cs="Times New Roman"/>
          <w:sz w:val="32"/>
        </w:rPr>
        <w:t xml:space="preserve"> </w:t>
      </w:r>
    </w:p>
    <w:p w14:paraId="5882AF94" w14:textId="77777777" w:rsidR="001E0C57" w:rsidRDefault="001E0C57" w:rsidP="001E0C57">
      <w:pPr>
        <w:spacing w:after="0" w:line="259" w:lineRule="auto"/>
        <w:ind w:left="740" w:firstLine="0"/>
        <w:jc w:val="center"/>
      </w:pPr>
    </w:p>
    <w:p w14:paraId="18FE3B39" w14:textId="77777777" w:rsidR="009E100D" w:rsidRDefault="009E100D" w:rsidP="009E100D">
      <w:pPr>
        <w:spacing w:after="0" w:line="259" w:lineRule="auto"/>
        <w:ind w:left="720" w:firstLine="0"/>
        <w:jc w:val="center"/>
      </w:pPr>
      <w:r>
        <w:rPr>
          <w:rFonts w:eastAsia="Times New Roman" w:cs="Times New Roman"/>
        </w:rPr>
        <w:t xml:space="preserve"> </w:t>
      </w:r>
    </w:p>
    <w:p w14:paraId="6C32B2E0" w14:textId="75FE4D78" w:rsidR="009E100D" w:rsidRDefault="009E100D" w:rsidP="009E100D">
      <w:pPr>
        <w:tabs>
          <w:tab w:val="center" w:pos="720"/>
          <w:tab w:val="center" w:pos="5041"/>
          <w:tab w:val="right" w:pos="9422"/>
        </w:tabs>
        <w:spacing w:after="10" w:line="249" w:lineRule="auto"/>
        <w:ind w:left="0" w:firstLine="0"/>
        <w:jc w:val="left"/>
      </w:pPr>
      <w:r>
        <w:rPr>
          <w:sz w:val="22"/>
        </w:rPr>
        <w:tab/>
      </w:r>
      <w:r>
        <w:rPr>
          <w:rFonts w:eastAsia="Times New Roman" w:cs="Times New Roman"/>
        </w:rPr>
        <w:t xml:space="preserve"> </w:t>
      </w:r>
      <w:r>
        <w:rPr>
          <w:rFonts w:eastAsia="Times New Roman" w:cs="Times New Roman"/>
        </w:rPr>
        <w:tab/>
        <w:t xml:space="preserve"> </w:t>
      </w:r>
      <w:r>
        <w:rPr>
          <w:rFonts w:eastAsia="Times New Roman" w:cs="Times New Roman"/>
        </w:rPr>
        <w:tab/>
        <w:t xml:space="preserve"> </w:t>
      </w:r>
    </w:p>
    <w:p w14:paraId="70052BEA" w14:textId="77777777" w:rsidR="009E100D" w:rsidRDefault="009E100D" w:rsidP="009E100D">
      <w:pPr>
        <w:spacing w:after="3" w:line="259" w:lineRule="auto"/>
        <w:ind w:left="10" w:right="48"/>
        <w:jc w:val="right"/>
      </w:pPr>
      <w:r>
        <w:rPr>
          <w:rFonts w:eastAsia="Times New Roman" w:cs="Times New Roman"/>
        </w:rPr>
        <w:t xml:space="preserve">Dr. </w:t>
      </w:r>
      <w:r w:rsidR="00D478BD">
        <w:rPr>
          <w:rFonts w:eastAsia="Times New Roman" w:cs="Times New Roman"/>
        </w:rPr>
        <w:t xml:space="preserve">Charles </w:t>
      </w:r>
      <w:r w:rsidR="004D3313">
        <w:rPr>
          <w:rFonts w:eastAsia="Times New Roman" w:cs="Times New Roman"/>
        </w:rPr>
        <w:t>G. W</w:t>
      </w:r>
      <w:r w:rsidR="00D478BD">
        <w:rPr>
          <w:rFonts w:eastAsia="Times New Roman" w:cs="Times New Roman"/>
        </w:rPr>
        <w:t>arnken</w:t>
      </w:r>
      <w:r>
        <w:rPr>
          <w:rFonts w:eastAsia="Times New Roman" w:cs="Times New Roman"/>
        </w:rPr>
        <w:t xml:space="preserve">, Chair </w:t>
      </w:r>
    </w:p>
    <w:p w14:paraId="1172A99F" w14:textId="77777777" w:rsidR="009E100D" w:rsidRDefault="009E100D" w:rsidP="009E100D">
      <w:pPr>
        <w:spacing w:after="0" w:line="259" w:lineRule="auto"/>
        <w:ind w:left="0" w:firstLine="0"/>
        <w:jc w:val="right"/>
      </w:pPr>
      <w:r>
        <w:rPr>
          <w:rFonts w:eastAsia="Times New Roman" w:cs="Times New Roman"/>
        </w:rPr>
        <w:t xml:space="preserve"> </w:t>
      </w:r>
    </w:p>
    <w:p w14:paraId="76E1E4BE" w14:textId="77777777" w:rsidR="009E100D" w:rsidRDefault="009E100D" w:rsidP="009E100D">
      <w:pPr>
        <w:spacing w:after="0" w:line="259" w:lineRule="auto"/>
        <w:ind w:left="0" w:firstLine="0"/>
        <w:jc w:val="right"/>
      </w:pPr>
      <w:r>
        <w:rPr>
          <w:rFonts w:eastAsia="Times New Roman" w:cs="Times New Roman"/>
        </w:rPr>
        <w:t xml:space="preserve"> </w:t>
      </w:r>
    </w:p>
    <w:p w14:paraId="53113EC4" w14:textId="37EED8B3" w:rsidR="009E100D" w:rsidRPr="00E44816" w:rsidRDefault="009E100D" w:rsidP="0027692A">
      <w:pPr>
        <w:tabs>
          <w:tab w:val="center" w:pos="720"/>
          <w:tab w:val="right" w:pos="9422"/>
        </w:tabs>
        <w:spacing w:after="10" w:line="249" w:lineRule="auto"/>
        <w:ind w:left="0" w:firstLine="0"/>
        <w:jc w:val="right"/>
        <w:rPr>
          <w:szCs w:val="24"/>
        </w:rPr>
      </w:pPr>
      <w:r>
        <w:rPr>
          <w:sz w:val="22"/>
        </w:rPr>
        <w:tab/>
      </w:r>
      <w:r>
        <w:rPr>
          <w:rFonts w:eastAsia="Times New Roman" w:cs="Times New Roman"/>
        </w:rPr>
        <w:t xml:space="preserve"> </w:t>
      </w:r>
      <w:r>
        <w:rPr>
          <w:rFonts w:eastAsia="Times New Roman" w:cs="Times New Roman"/>
        </w:rPr>
        <w:tab/>
      </w:r>
      <w:r w:rsidRPr="00E44816">
        <w:rPr>
          <w:rFonts w:eastAsia="Times New Roman" w:cs="Times New Roman"/>
          <w:szCs w:val="24"/>
        </w:rPr>
        <w:t xml:space="preserve"> </w:t>
      </w:r>
    </w:p>
    <w:p w14:paraId="38AB6A62" w14:textId="7E9D803F" w:rsidR="009E100D" w:rsidRDefault="0027692A" w:rsidP="0027692A">
      <w:pPr>
        <w:spacing w:after="3" w:line="259" w:lineRule="auto"/>
        <w:ind w:left="10" w:right="48"/>
        <w:jc w:val="right"/>
        <w:rPr>
          <w:rFonts w:eastAsia="Perpetua" w:cs="Times New Roman"/>
          <w:szCs w:val="24"/>
        </w:rPr>
      </w:pPr>
      <w:r>
        <w:rPr>
          <w:rFonts w:eastAsia="Times New Roman" w:cs="Times New Roman"/>
          <w:szCs w:val="24"/>
        </w:rPr>
        <w:t xml:space="preserve"> </w:t>
      </w:r>
      <w:r w:rsidR="0060735E" w:rsidRPr="00E44816">
        <w:rPr>
          <w:rFonts w:eastAsia="Times New Roman" w:cs="Times New Roman"/>
          <w:szCs w:val="24"/>
        </w:rPr>
        <w:t>Dr. Aimee Franklin</w:t>
      </w:r>
      <w:r w:rsidR="00E2461E">
        <w:rPr>
          <w:rFonts w:eastAsia="Times New Roman" w:cs="Times New Roman"/>
          <w:szCs w:val="24"/>
        </w:rPr>
        <w:t xml:space="preserve">, </w:t>
      </w:r>
      <w:r w:rsidR="00E44816" w:rsidRPr="00E44816">
        <w:rPr>
          <w:rFonts w:eastAsia="Perpetua" w:cs="Times New Roman"/>
          <w:szCs w:val="24"/>
        </w:rPr>
        <w:t xml:space="preserve">Outside </w:t>
      </w:r>
      <w:r w:rsidR="00A914EE">
        <w:rPr>
          <w:rFonts w:eastAsia="Perpetua" w:cs="Times New Roman"/>
          <w:szCs w:val="24"/>
        </w:rPr>
        <w:t>Member</w:t>
      </w:r>
    </w:p>
    <w:p w14:paraId="7C47AA50" w14:textId="77777777" w:rsidR="001E0C57" w:rsidRDefault="001E0C57" w:rsidP="0027692A">
      <w:pPr>
        <w:spacing w:after="3" w:line="259" w:lineRule="auto"/>
        <w:ind w:left="10" w:right="48"/>
        <w:jc w:val="right"/>
        <w:rPr>
          <w:rFonts w:eastAsia="Perpetua" w:cs="Times New Roman"/>
          <w:szCs w:val="24"/>
        </w:rPr>
      </w:pPr>
    </w:p>
    <w:p w14:paraId="7BE9C096" w14:textId="77777777" w:rsidR="001E0C57" w:rsidRDefault="001E0C57" w:rsidP="0027692A">
      <w:pPr>
        <w:spacing w:after="3" w:line="259" w:lineRule="auto"/>
        <w:ind w:left="10" w:right="48"/>
        <w:jc w:val="right"/>
      </w:pPr>
    </w:p>
    <w:p w14:paraId="231CF351" w14:textId="60FC1847" w:rsidR="009E100D" w:rsidRDefault="009E100D" w:rsidP="009E100D">
      <w:pPr>
        <w:tabs>
          <w:tab w:val="center" w:pos="720"/>
          <w:tab w:val="right" w:pos="9422"/>
        </w:tabs>
        <w:spacing w:after="10" w:line="249" w:lineRule="auto"/>
        <w:ind w:left="0" w:firstLine="0"/>
        <w:jc w:val="left"/>
      </w:pPr>
      <w:r>
        <w:rPr>
          <w:sz w:val="22"/>
        </w:rPr>
        <w:tab/>
      </w:r>
      <w:r>
        <w:rPr>
          <w:rFonts w:eastAsia="Times New Roman" w:cs="Times New Roman"/>
        </w:rPr>
        <w:t xml:space="preserve"> </w:t>
      </w:r>
      <w:r>
        <w:rPr>
          <w:rFonts w:eastAsia="Times New Roman" w:cs="Times New Roman"/>
        </w:rPr>
        <w:tab/>
        <w:t xml:space="preserve"> </w:t>
      </w:r>
    </w:p>
    <w:p w14:paraId="05FCC001" w14:textId="77777777" w:rsidR="00573BA6" w:rsidRDefault="00573BA6" w:rsidP="00573BA6">
      <w:pPr>
        <w:spacing w:after="3" w:line="259" w:lineRule="auto"/>
        <w:ind w:left="10" w:right="48"/>
        <w:jc w:val="right"/>
      </w:pPr>
      <w:r>
        <w:rPr>
          <w:rFonts w:eastAsia="Times New Roman" w:cs="Times New Roman"/>
        </w:rPr>
        <w:t xml:space="preserve">Dr. John Harris </w:t>
      </w:r>
    </w:p>
    <w:p w14:paraId="62D2C4CD" w14:textId="1E090E2E" w:rsidR="009E100D" w:rsidRDefault="009E100D" w:rsidP="009E100D">
      <w:pPr>
        <w:spacing w:after="0" w:line="259" w:lineRule="auto"/>
        <w:ind w:left="0" w:firstLine="0"/>
        <w:jc w:val="right"/>
      </w:pPr>
    </w:p>
    <w:p w14:paraId="4AD4DB84" w14:textId="77777777" w:rsidR="009E100D" w:rsidRDefault="009E100D" w:rsidP="009E100D">
      <w:pPr>
        <w:spacing w:after="0" w:line="259" w:lineRule="auto"/>
        <w:ind w:left="0" w:firstLine="0"/>
        <w:jc w:val="right"/>
      </w:pPr>
      <w:r>
        <w:rPr>
          <w:rFonts w:eastAsia="Times New Roman" w:cs="Times New Roman"/>
        </w:rPr>
        <w:t xml:space="preserve"> </w:t>
      </w:r>
    </w:p>
    <w:p w14:paraId="62F63822" w14:textId="423C400C" w:rsidR="009E100D" w:rsidRDefault="009E100D" w:rsidP="009E100D">
      <w:pPr>
        <w:tabs>
          <w:tab w:val="center" w:pos="720"/>
          <w:tab w:val="right" w:pos="9422"/>
        </w:tabs>
        <w:spacing w:after="10" w:line="249" w:lineRule="auto"/>
        <w:ind w:left="0" w:firstLine="0"/>
        <w:jc w:val="left"/>
      </w:pPr>
      <w:r>
        <w:rPr>
          <w:sz w:val="22"/>
        </w:rPr>
        <w:tab/>
      </w:r>
      <w:r>
        <w:rPr>
          <w:rFonts w:eastAsia="Times New Roman" w:cs="Times New Roman"/>
        </w:rPr>
        <w:t xml:space="preserve"> </w:t>
      </w:r>
      <w:r>
        <w:rPr>
          <w:rFonts w:eastAsia="Times New Roman" w:cs="Times New Roman"/>
        </w:rPr>
        <w:tab/>
        <w:t xml:space="preserve"> </w:t>
      </w:r>
    </w:p>
    <w:p w14:paraId="5C71C543" w14:textId="77777777" w:rsidR="00573BA6" w:rsidRDefault="00573BA6" w:rsidP="00573BA6">
      <w:pPr>
        <w:spacing w:after="3" w:line="259" w:lineRule="auto"/>
        <w:ind w:left="10" w:right="48"/>
        <w:jc w:val="right"/>
      </w:pPr>
      <w:r>
        <w:rPr>
          <w:rFonts w:eastAsia="Times New Roman" w:cs="Times New Roman"/>
        </w:rPr>
        <w:t xml:space="preserve">Dr. Bryce Lowery </w:t>
      </w:r>
    </w:p>
    <w:p w14:paraId="6090448B" w14:textId="15981225" w:rsidR="009E100D" w:rsidRDefault="009E100D" w:rsidP="009E100D">
      <w:pPr>
        <w:spacing w:after="0" w:line="259" w:lineRule="auto"/>
        <w:ind w:left="0" w:firstLine="0"/>
        <w:jc w:val="right"/>
      </w:pPr>
    </w:p>
    <w:p w14:paraId="19A27B70" w14:textId="77777777" w:rsidR="009E100D" w:rsidRDefault="009E100D" w:rsidP="009E100D">
      <w:pPr>
        <w:spacing w:after="0" w:line="259" w:lineRule="auto"/>
        <w:ind w:left="0" w:firstLine="0"/>
        <w:jc w:val="right"/>
      </w:pPr>
      <w:r>
        <w:rPr>
          <w:rFonts w:eastAsia="Times New Roman" w:cs="Times New Roman"/>
        </w:rPr>
        <w:t xml:space="preserve"> </w:t>
      </w:r>
    </w:p>
    <w:p w14:paraId="09664398" w14:textId="47165203" w:rsidR="009E100D" w:rsidRDefault="009E100D" w:rsidP="009E100D">
      <w:pPr>
        <w:tabs>
          <w:tab w:val="center" w:pos="720"/>
          <w:tab w:val="right" w:pos="9422"/>
        </w:tabs>
        <w:spacing w:after="10" w:line="249" w:lineRule="auto"/>
        <w:ind w:left="0" w:firstLine="0"/>
        <w:jc w:val="left"/>
      </w:pPr>
      <w:r>
        <w:rPr>
          <w:sz w:val="22"/>
        </w:rPr>
        <w:tab/>
      </w:r>
      <w:r>
        <w:rPr>
          <w:rFonts w:eastAsia="Times New Roman" w:cs="Times New Roman"/>
        </w:rPr>
        <w:t xml:space="preserve"> </w:t>
      </w:r>
      <w:r>
        <w:rPr>
          <w:rFonts w:eastAsia="Times New Roman" w:cs="Times New Roman"/>
        </w:rPr>
        <w:tab/>
        <w:t xml:space="preserve"> </w:t>
      </w:r>
    </w:p>
    <w:p w14:paraId="18EB4B36" w14:textId="77777777" w:rsidR="009E100D" w:rsidRDefault="009E100D"/>
    <w:p w14:paraId="15B10586" w14:textId="77777777" w:rsidR="009E100D" w:rsidRDefault="009E100D"/>
    <w:p w14:paraId="432DB448" w14:textId="77777777" w:rsidR="009E100D" w:rsidRDefault="009E100D"/>
    <w:p w14:paraId="4B69F663" w14:textId="77777777" w:rsidR="009E100D" w:rsidRDefault="009E100D"/>
    <w:p w14:paraId="3B1E11B3" w14:textId="77777777" w:rsidR="009E100D" w:rsidRDefault="009E100D"/>
    <w:p w14:paraId="0B99E2C9" w14:textId="77777777" w:rsidR="009E100D" w:rsidRDefault="009E100D"/>
    <w:p w14:paraId="299DFBEF" w14:textId="77777777" w:rsidR="008D65D6" w:rsidRDefault="008D65D6" w:rsidP="008D65D6">
      <w:pPr>
        <w:spacing w:after="10" w:line="249" w:lineRule="auto"/>
        <w:ind w:left="2160" w:right="2240" w:firstLine="0"/>
        <w:jc w:val="center"/>
        <w:rPr>
          <w:rFonts w:eastAsia="Times New Roman" w:cs="Times New Roman"/>
        </w:rPr>
      </w:pPr>
    </w:p>
    <w:p w14:paraId="2CD6BB2B" w14:textId="77777777" w:rsidR="008D65D6" w:rsidRDefault="008D65D6" w:rsidP="008D65D6">
      <w:pPr>
        <w:spacing w:after="10" w:line="249" w:lineRule="auto"/>
        <w:ind w:left="2160" w:right="2240" w:firstLine="0"/>
        <w:jc w:val="center"/>
        <w:rPr>
          <w:rFonts w:eastAsia="Times New Roman" w:cs="Times New Roman"/>
        </w:rPr>
      </w:pPr>
    </w:p>
    <w:p w14:paraId="44D73511" w14:textId="77777777" w:rsidR="008D65D6" w:rsidRDefault="008D65D6" w:rsidP="008D65D6">
      <w:pPr>
        <w:spacing w:after="10" w:line="249" w:lineRule="auto"/>
        <w:ind w:left="2160" w:right="2240" w:firstLine="0"/>
        <w:jc w:val="center"/>
        <w:rPr>
          <w:rFonts w:eastAsia="Times New Roman" w:cs="Times New Roman"/>
        </w:rPr>
      </w:pPr>
    </w:p>
    <w:p w14:paraId="0F1B9BDB" w14:textId="77777777" w:rsidR="008D65D6" w:rsidRDefault="008D65D6" w:rsidP="008D65D6">
      <w:pPr>
        <w:spacing w:after="10" w:line="249" w:lineRule="auto"/>
        <w:ind w:left="2160" w:right="2240" w:firstLine="0"/>
        <w:jc w:val="center"/>
        <w:rPr>
          <w:rFonts w:eastAsia="Times New Roman" w:cs="Times New Roman"/>
        </w:rPr>
      </w:pPr>
    </w:p>
    <w:p w14:paraId="3136C965" w14:textId="77777777" w:rsidR="008D65D6" w:rsidRDefault="008D65D6" w:rsidP="008D65D6">
      <w:pPr>
        <w:spacing w:after="10" w:line="249" w:lineRule="auto"/>
        <w:ind w:left="2160" w:right="2240" w:firstLine="0"/>
        <w:jc w:val="center"/>
        <w:rPr>
          <w:rFonts w:eastAsia="Times New Roman" w:cs="Times New Roman"/>
        </w:rPr>
      </w:pPr>
    </w:p>
    <w:p w14:paraId="1DD9014F" w14:textId="77777777" w:rsidR="008D65D6" w:rsidRDefault="008D65D6" w:rsidP="008D65D6">
      <w:pPr>
        <w:spacing w:after="10" w:line="249" w:lineRule="auto"/>
        <w:ind w:left="2160" w:right="2240" w:firstLine="0"/>
        <w:jc w:val="center"/>
        <w:rPr>
          <w:rFonts w:eastAsia="Times New Roman" w:cs="Times New Roman"/>
        </w:rPr>
      </w:pPr>
    </w:p>
    <w:p w14:paraId="2913F078" w14:textId="77777777" w:rsidR="008D65D6" w:rsidRDefault="008D65D6" w:rsidP="008D65D6">
      <w:pPr>
        <w:spacing w:after="10" w:line="249" w:lineRule="auto"/>
        <w:ind w:left="2160" w:right="2240" w:firstLine="0"/>
        <w:jc w:val="center"/>
        <w:rPr>
          <w:rFonts w:eastAsia="Times New Roman" w:cs="Times New Roman"/>
        </w:rPr>
      </w:pPr>
    </w:p>
    <w:p w14:paraId="7CFCEAFB" w14:textId="77777777" w:rsidR="008D65D6" w:rsidRDefault="008D65D6" w:rsidP="008D65D6">
      <w:pPr>
        <w:spacing w:after="10" w:line="249" w:lineRule="auto"/>
        <w:ind w:left="2160" w:right="2240" w:firstLine="0"/>
        <w:jc w:val="center"/>
        <w:rPr>
          <w:rFonts w:eastAsia="Times New Roman" w:cs="Times New Roman"/>
        </w:rPr>
      </w:pPr>
    </w:p>
    <w:p w14:paraId="0DCF92A7" w14:textId="77777777" w:rsidR="008D65D6" w:rsidRDefault="008D65D6" w:rsidP="008D65D6">
      <w:pPr>
        <w:spacing w:after="10" w:line="249" w:lineRule="auto"/>
        <w:ind w:left="2160" w:right="2240" w:firstLine="0"/>
        <w:jc w:val="center"/>
        <w:rPr>
          <w:rFonts w:eastAsia="Times New Roman" w:cs="Times New Roman"/>
        </w:rPr>
      </w:pPr>
    </w:p>
    <w:p w14:paraId="6F39C0B2" w14:textId="77777777" w:rsidR="008D65D6" w:rsidRDefault="008D65D6" w:rsidP="008D65D6">
      <w:pPr>
        <w:spacing w:after="10" w:line="249" w:lineRule="auto"/>
        <w:ind w:left="2160" w:right="2240" w:firstLine="0"/>
        <w:jc w:val="center"/>
        <w:rPr>
          <w:rFonts w:eastAsia="Times New Roman" w:cs="Times New Roman"/>
        </w:rPr>
      </w:pPr>
    </w:p>
    <w:p w14:paraId="15A25711" w14:textId="77777777" w:rsidR="008D65D6" w:rsidRDefault="008D65D6" w:rsidP="008D65D6">
      <w:pPr>
        <w:spacing w:after="10" w:line="249" w:lineRule="auto"/>
        <w:ind w:left="2160" w:right="2240" w:firstLine="0"/>
        <w:jc w:val="center"/>
        <w:rPr>
          <w:rFonts w:eastAsia="Times New Roman" w:cs="Times New Roman"/>
        </w:rPr>
      </w:pPr>
    </w:p>
    <w:p w14:paraId="0FF2D7F5" w14:textId="77777777" w:rsidR="008D65D6" w:rsidRDefault="008D65D6" w:rsidP="008D65D6">
      <w:pPr>
        <w:spacing w:after="10" w:line="249" w:lineRule="auto"/>
        <w:ind w:left="2160" w:right="2240" w:firstLine="0"/>
        <w:jc w:val="center"/>
        <w:rPr>
          <w:rFonts w:eastAsia="Times New Roman" w:cs="Times New Roman"/>
        </w:rPr>
      </w:pPr>
    </w:p>
    <w:p w14:paraId="72538EFE" w14:textId="77777777" w:rsidR="008D65D6" w:rsidRDefault="008D65D6" w:rsidP="008D65D6">
      <w:pPr>
        <w:spacing w:after="10" w:line="249" w:lineRule="auto"/>
        <w:ind w:left="2160" w:right="2240" w:firstLine="0"/>
        <w:jc w:val="center"/>
        <w:rPr>
          <w:rFonts w:eastAsia="Times New Roman" w:cs="Times New Roman"/>
        </w:rPr>
      </w:pPr>
    </w:p>
    <w:p w14:paraId="0AA1A0EF" w14:textId="77777777" w:rsidR="008D65D6" w:rsidRDefault="008D65D6" w:rsidP="008D65D6">
      <w:pPr>
        <w:spacing w:after="10" w:line="249" w:lineRule="auto"/>
        <w:ind w:left="2160" w:right="2240" w:firstLine="0"/>
        <w:jc w:val="center"/>
        <w:rPr>
          <w:rFonts w:eastAsia="Times New Roman" w:cs="Times New Roman"/>
        </w:rPr>
      </w:pPr>
    </w:p>
    <w:p w14:paraId="75A7B1A2" w14:textId="77777777" w:rsidR="008D65D6" w:rsidRDefault="008D65D6" w:rsidP="008D65D6">
      <w:pPr>
        <w:spacing w:after="10" w:line="249" w:lineRule="auto"/>
        <w:ind w:left="2160" w:right="2240" w:firstLine="0"/>
        <w:jc w:val="center"/>
        <w:rPr>
          <w:rFonts w:eastAsia="Times New Roman" w:cs="Times New Roman"/>
        </w:rPr>
      </w:pPr>
    </w:p>
    <w:p w14:paraId="3D5698A0" w14:textId="77777777" w:rsidR="008D65D6" w:rsidRDefault="008D65D6" w:rsidP="008D65D6">
      <w:pPr>
        <w:spacing w:after="10" w:line="249" w:lineRule="auto"/>
        <w:ind w:left="2160" w:right="2240" w:firstLine="0"/>
        <w:jc w:val="center"/>
        <w:rPr>
          <w:rFonts w:eastAsia="Times New Roman" w:cs="Times New Roman"/>
        </w:rPr>
      </w:pPr>
    </w:p>
    <w:p w14:paraId="3E2A06DF" w14:textId="77777777" w:rsidR="008D65D6" w:rsidRDefault="008D65D6" w:rsidP="008D65D6">
      <w:pPr>
        <w:spacing w:after="10" w:line="249" w:lineRule="auto"/>
        <w:ind w:left="2160" w:right="2240" w:firstLine="0"/>
        <w:jc w:val="center"/>
        <w:rPr>
          <w:rFonts w:eastAsia="Times New Roman" w:cs="Times New Roman"/>
        </w:rPr>
      </w:pPr>
    </w:p>
    <w:p w14:paraId="6D565D32" w14:textId="77777777" w:rsidR="008D65D6" w:rsidRDefault="008D65D6" w:rsidP="008D65D6">
      <w:pPr>
        <w:spacing w:after="10" w:line="249" w:lineRule="auto"/>
        <w:ind w:left="2160" w:right="2240" w:firstLine="0"/>
        <w:jc w:val="center"/>
        <w:rPr>
          <w:rFonts w:eastAsia="Times New Roman" w:cs="Times New Roman"/>
        </w:rPr>
      </w:pPr>
    </w:p>
    <w:p w14:paraId="25422C3F" w14:textId="77777777" w:rsidR="008D65D6" w:rsidRDefault="008D65D6" w:rsidP="008D65D6">
      <w:pPr>
        <w:spacing w:after="10" w:line="249" w:lineRule="auto"/>
        <w:ind w:left="2160" w:right="2240" w:firstLine="0"/>
        <w:jc w:val="center"/>
        <w:rPr>
          <w:rFonts w:eastAsia="Times New Roman" w:cs="Times New Roman"/>
        </w:rPr>
      </w:pPr>
    </w:p>
    <w:p w14:paraId="76A821B5" w14:textId="77777777" w:rsidR="008D65D6" w:rsidRDefault="008D65D6" w:rsidP="008D65D6">
      <w:pPr>
        <w:spacing w:after="10" w:line="249" w:lineRule="auto"/>
        <w:ind w:left="2160" w:right="2240" w:firstLine="0"/>
        <w:jc w:val="center"/>
        <w:rPr>
          <w:rFonts w:eastAsia="Times New Roman" w:cs="Times New Roman"/>
        </w:rPr>
      </w:pPr>
    </w:p>
    <w:p w14:paraId="2B221F21" w14:textId="77777777" w:rsidR="008D65D6" w:rsidRDefault="008D65D6" w:rsidP="008D65D6">
      <w:pPr>
        <w:spacing w:after="10" w:line="249" w:lineRule="auto"/>
        <w:ind w:left="2160" w:right="2240" w:firstLine="0"/>
        <w:jc w:val="center"/>
        <w:rPr>
          <w:rFonts w:eastAsia="Times New Roman" w:cs="Times New Roman"/>
        </w:rPr>
      </w:pPr>
    </w:p>
    <w:p w14:paraId="571110ED" w14:textId="77777777" w:rsidR="008D65D6" w:rsidRDefault="008D65D6" w:rsidP="008D65D6">
      <w:pPr>
        <w:spacing w:after="10" w:line="249" w:lineRule="auto"/>
        <w:ind w:left="2160" w:right="2240" w:firstLine="0"/>
        <w:jc w:val="center"/>
        <w:rPr>
          <w:rFonts w:eastAsia="Times New Roman" w:cs="Times New Roman"/>
        </w:rPr>
      </w:pPr>
    </w:p>
    <w:p w14:paraId="44C32911" w14:textId="77777777" w:rsidR="008D65D6" w:rsidRDefault="008D65D6" w:rsidP="008D65D6">
      <w:pPr>
        <w:spacing w:after="10" w:line="249" w:lineRule="auto"/>
        <w:ind w:left="2160" w:right="2240" w:firstLine="0"/>
        <w:jc w:val="center"/>
        <w:rPr>
          <w:rFonts w:eastAsia="Times New Roman" w:cs="Times New Roman"/>
        </w:rPr>
      </w:pPr>
    </w:p>
    <w:p w14:paraId="0E0B4A45" w14:textId="77777777" w:rsidR="008D65D6" w:rsidRDefault="008D65D6" w:rsidP="008D65D6">
      <w:pPr>
        <w:spacing w:after="10" w:line="249" w:lineRule="auto"/>
        <w:ind w:left="2160" w:right="2240" w:firstLine="0"/>
        <w:jc w:val="center"/>
        <w:rPr>
          <w:rFonts w:eastAsia="Times New Roman" w:cs="Times New Roman"/>
        </w:rPr>
      </w:pPr>
    </w:p>
    <w:p w14:paraId="622CEB6B" w14:textId="77777777" w:rsidR="008D65D6" w:rsidRDefault="008D65D6" w:rsidP="008D65D6">
      <w:pPr>
        <w:spacing w:after="10" w:line="249" w:lineRule="auto"/>
        <w:ind w:left="2160" w:right="2240" w:firstLine="0"/>
        <w:jc w:val="center"/>
        <w:rPr>
          <w:rFonts w:eastAsia="Times New Roman" w:cs="Times New Roman"/>
        </w:rPr>
      </w:pPr>
    </w:p>
    <w:p w14:paraId="7050441B" w14:textId="77777777" w:rsidR="008D65D6" w:rsidRDefault="008D65D6" w:rsidP="008D65D6">
      <w:pPr>
        <w:spacing w:after="10" w:line="249" w:lineRule="auto"/>
        <w:ind w:left="2160" w:right="2240" w:firstLine="0"/>
        <w:jc w:val="center"/>
        <w:rPr>
          <w:rFonts w:eastAsia="Times New Roman" w:cs="Times New Roman"/>
        </w:rPr>
      </w:pPr>
    </w:p>
    <w:p w14:paraId="5251B0A6" w14:textId="77777777" w:rsidR="008D65D6" w:rsidRDefault="008D65D6" w:rsidP="008D65D6">
      <w:pPr>
        <w:spacing w:after="10" w:line="249" w:lineRule="auto"/>
        <w:ind w:left="2160" w:right="2240" w:firstLine="0"/>
        <w:jc w:val="center"/>
        <w:rPr>
          <w:rFonts w:eastAsia="Times New Roman" w:cs="Times New Roman"/>
        </w:rPr>
      </w:pPr>
    </w:p>
    <w:p w14:paraId="22F2BF6D" w14:textId="77777777" w:rsidR="008D65D6" w:rsidRDefault="008D65D6" w:rsidP="004F0B0F">
      <w:pPr>
        <w:spacing w:after="10" w:line="249" w:lineRule="auto"/>
        <w:ind w:left="0" w:right="2240" w:firstLine="0"/>
        <w:rPr>
          <w:rFonts w:eastAsia="Times New Roman" w:cs="Times New Roman"/>
        </w:rPr>
      </w:pPr>
    </w:p>
    <w:p w14:paraId="35A9FCA8" w14:textId="77777777" w:rsidR="006A4A44" w:rsidRDefault="006A4A44" w:rsidP="004F0B0F">
      <w:pPr>
        <w:spacing w:after="10" w:line="249" w:lineRule="auto"/>
        <w:ind w:left="0" w:right="2240" w:firstLine="0"/>
        <w:rPr>
          <w:rFonts w:eastAsia="Times New Roman" w:cs="Times New Roman"/>
        </w:rPr>
      </w:pPr>
    </w:p>
    <w:p w14:paraId="1EBE4DE2" w14:textId="77777777" w:rsidR="006A4A44" w:rsidRDefault="006A4A44" w:rsidP="004F0B0F">
      <w:pPr>
        <w:spacing w:after="10" w:line="249" w:lineRule="auto"/>
        <w:ind w:left="0" w:right="2240" w:firstLine="0"/>
        <w:rPr>
          <w:rFonts w:eastAsia="Times New Roman" w:cs="Times New Roman"/>
        </w:rPr>
      </w:pPr>
    </w:p>
    <w:p w14:paraId="55A67A62" w14:textId="77777777" w:rsidR="008D65D6" w:rsidRDefault="008D65D6" w:rsidP="008D65D6">
      <w:pPr>
        <w:spacing w:after="10" w:line="249" w:lineRule="auto"/>
        <w:ind w:left="2160" w:right="2240" w:firstLine="0"/>
        <w:jc w:val="center"/>
        <w:rPr>
          <w:rFonts w:eastAsia="Times New Roman" w:cs="Times New Roman"/>
        </w:rPr>
      </w:pPr>
    </w:p>
    <w:p w14:paraId="6EB1EDDF" w14:textId="358D472A" w:rsidR="009E100D" w:rsidRDefault="009E100D" w:rsidP="0029192F">
      <w:pPr>
        <w:spacing w:after="10" w:line="249" w:lineRule="auto"/>
        <w:ind w:left="1742" w:right="2240" w:firstLine="720"/>
        <w:jc w:val="center"/>
        <w:rPr>
          <w:rFonts w:eastAsia="Times New Roman" w:cs="Times New Roman"/>
        </w:rPr>
      </w:pPr>
      <w:r>
        <w:rPr>
          <w:rFonts w:eastAsia="Times New Roman" w:cs="Times New Roman"/>
        </w:rPr>
        <w:t>© Copyright by WILLIAM L</w:t>
      </w:r>
      <w:r w:rsidR="00F44024">
        <w:rPr>
          <w:rFonts w:eastAsia="Times New Roman" w:cs="Times New Roman"/>
        </w:rPr>
        <w:t xml:space="preserve">. </w:t>
      </w:r>
      <w:r>
        <w:rPr>
          <w:rFonts w:eastAsia="Times New Roman" w:cs="Times New Roman"/>
        </w:rPr>
        <w:t>RIDLE</w:t>
      </w:r>
      <w:r w:rsidR="00F44024">
        <w:rPr>
          <w:rFonts w:eastAsia="Times New Roman" w:cs="Times New Roman"/>
        </w:rPr>
        <w:t xml:space="preserve">Y </w:t>
      </w:r>
      <w:r>
        <w:rPr>
          <w:rFonts w:eastAsia="Times New Roman" w:cs="Times New Roman"/>
        </w:rPr>
        <w:t>20</w:t>
      </w:r>
      <w:r w:rsidR="0061502B">
        <w:rPr>
          <w:rFonts w:eastAsia="Times New Roman" w:cs="Times New Roman"/>
        </w:rPr>
        <w:t>23</w:t>
      </w:r>
    </w:p>
    <w:p w14:paraId="3AFF6FE9" w14:textId="77777777" w:rsidR="009E100D" w:rsidRDefault="009E100D" w:rsidP="0029192F">
      <w:pPr>
        <w:spacing w:after="10" w:line="249" w:lineRule="auto"/>
        <w:ind w:left="2462" w:right="2240" w:firstLine="418"/>
        <w:jc w:val="center"/>
      </w:pPr>
      <w:r>
        <w:rPr>
          <w:rFonts w:eastAsia="Times New Roman" w:cs="Times New Roman"/>
        </w:rPr>
        <w:t>All Rights Reserved.</w:t>
      </w:r>
    </w:p>
    <w:p w14:paraId="1A1281A6" w14:textId="77777777" w:rsidR="009A4C8C" w:rsidRDefault="009A4C8C" w:rsidP="009A4C8C">
      <w:pPr>
        <w:spacing w:after="160" w:line="256" w:lineRule="auto"/>
        <w:ind w:left="0" w:firstLine="0"/>
        <w:rPr>
          <w:rFonts w:cs="Times New Roman"/>
          <w:szCs w:val="24"/>
        </w:rPr>
        <w:sectPr w:rsidR="009A4C8C" w:rsidSect="00F630B1">
          <w:pgSz w:w="12240" w:h="15840"/>
          <w:pgMar w:top="1440" w:right="1440" w:bottom="1440" w:left="1440" w:header="720" w:footer="720" w:gutter="0"/>
          <w:pgNumType w:fmt="lowerRoman" w:start="6"/>
          <w:cols w:space="720"/>
          <w:titlePg/>
          <w:docGrid w:linePitch="360"/>
        </w:sectPr>
      </w:pPr>
    </w:p>
    <w:p w14:paraId="17FB7505" w14:textId="77777777" w:rsidR="00E328F8" w:rsidRDefault="00E328F8" w:rsidP="009A4C8C">
      <w:pPr>
        <w:spacing w:after="160" w:line="256" w:lineRule="auto"/>
        <w:ind w:left="0" w:firstLine="0"/>
        <w:rPr>
          <w:rFonts w:cs="Times New Roman"/>
          <w:szCs w:val="24"/>
        </w:rPr>
      </w:pPr>
    </w:p>
    <w:p w14:paraId="4DD2B09B" w14:textId="77777777" w:rsidR="00E328F8" w:rsidRDefault="00E328F8" w:rsidP="009A4C8C">
      <w:pPr>
        <w:spacing w:after="160" w:line="256" w:lineRule="auto"/>
        <w:ind w:left="0" w:firstLine="0"/>
        <w:rPr>
          <w:rFonts w:cs="Times New Roman"/>
          <w:szCs w:val="24"/>
        </w:rPr>
      </w:pPr>
    </w:p>
    <w:p w14:paraId="38287647" w14:textId="77777777" w:rsidR="001E0C57" w:rsidRDefault="001E0C57" w:rsidP="009A4C8C">
      <w:pPr>
        <w:spacing w:after="160" w:line="256" w:lineRule="auto"/>
        <w:ind w:left="0" w:firstLine="0"/>
        <w:rPr>
          <w:rFonts w:cs="Times New Roman"/>
          <w:szCs w:val="24"/>
        </w:rPr>
      </w:pPr>
    </w:p>
    <w:p w14:paraId="46F82932" w14:textId="77777777" w:rsidR="00E328F8" w:rsidRDefault="00E328F8" w:rsidP="00CF2321">
      <w:pPr>
        <w:spacing w:after="160" w:line="256" w:lineRule="auto"/>
        <w:ind w:left="0" w:firstLine="0"/>
        <w:jc w:val="center"/>
        <w:rPr>
          <w:rFonts w:cs="Times New Roman"/>
          <w:szCs w:val="24"/>
        </w:rPr>
      </w:pPr>
    </w:p>
    <w:p w14:paraId="4A390663" w14:textId="77777777" w:rsidR="00EF3C38" w:rsidRDefault="00EF3C38" w:rsidP="00CF2321">
      <w:pPr>
        <w:spacing w:after="160" w:line="256" w:lineRule="auto"/>
        <w:ind w:left="0" w:firstLine="0"/>
        <w:jc w:val="center"/>
        <w:rPr>
          <w:rFonts w:cs="Times New Roman"/>
          <w:szCs w:val="24"/>
          <w:u w:val="single"/>
        </w:rPr>
        <w:sectPr w:rsidR="00EF3C38" w:rsidSect="00F75BD1">
          <w:footerReference w:type="default" r:id="rId8"/>
          <w:type w:val="continuous"/>
          <w:pgSz w:w="12240" w:h="15840"/>
          <w:pgMar w:top="1440" w:right="1440" w:bottom="1440" w:left="1440" w:header="720" w:footer="720" w:gutter="0"/>
          <w:pgNumType w:fmt="lowerRoman" w:start="3"/>
          <w:cols w:space="720"/>
          <w:docGrid w:linePitch="360"/>
        </w:sectPr>
      </w:pPr>
    </w:p>
    <w:p w14:paraId="4A67D82A" w14:textId="395131B1" w:rsidR="00CF2321" w:rsidRPr="00DA4C07" w:rsidRDefault="00CF2321" w:rsidP="00CF2321">
      <w:pPr>
        <w:spacing w:after="160" w:line="256" w:lineRule="auto"/>
        <w:ind w:left="0" w:firstLine="0"/>
        <w:jc w:val="center"/>
        <w:rPr>
          <w:rFonts w:cs="Times New Roman"/>
          <w:szCs w:val="24"/>
          <w:u w:val="single"/>
        </w:rPr>
      </w:pPr>
      <w:r w:rsidRPr="00DA4C07">
        <w:rPr>
          <w:rFonts w:cs="Times New Roman"/>
          <w:szCs w:val="24"/>
          <w:u w:val="single"/>
        </w:rPr>
        <w:t>DEDICATION:</w:t>
      </w:r>
    </w:p>
    <w:p w14:paraId="0CDC9F7F" w14:textId="77777777" w:rsidR="00CF2321" w:rsidRDefault="00CF2321" w:rsidP="00C654F9">
      <w:pPr>
        <w:spacing w:after="160" w:line="256" w:lineRule="auto"/>
        <w:ind w:left="0" w:firstLine="0"/>
        <w:jc w:val="center"/>
        <w:rPr>
          <w:rFonts w:cs="Times New Roman"/>
          <w:szCs w:val="24"/>
        </w:rPr>
      </w:pPr>
      <w:r>
        <w:rPr>
          <w:rFonts w:cs="Times New Roman"/>
          <w:szCs w:val="24"/>
        </w:rPr>
        <w:t xml:space="preserve">Dean Charles W. Graham </w:t>
      </w:r>
      <w:r w:rsidR="004918CD">
        <w:rPr>
          <w:rFonts w:cs="Times New Roman"/>
          <w:szCs w:val="24"/>
        </w:rPr>
        <w:t xml:space="preserve">PhD, </w:t>
      </w:r>
      <w:r w:rsidR="00DF3CBB">
        <w:rPr>
          <w:rFonts w:cs="Times New Roman"/>
          <w:szCs w:val="24"/>
        </w:rPr>
        <w:t xml:space="preserve">AIA </w:t>
      </w:r>
      <w:r>
        <w:rPr>
          <w:rFonts w:cs="Times New Roman"/>
          <w:szCs w:val="24"/>
        </w:rPr>
        <w:t>(1951-2016)</w:t>
      </w:r>
    </w:p>
    <w:p w14:paraId="47D049CC" w14:textId="25A9F107" w:rsidR="009A5C7F" w:rsidRDefault="00DF3CBB" w:rsidP="00A023FA">
      <w:pPr>
        <w:spacing w:after="160" w:line="256" w:lineRule="auto"/>
        <w:ind w:left="0" w:firstLine="0"/>
        <w:jc w:val="center"/>
        <w:rPr>
          <w:rFonts w:cs="Times New Roman"/>
          <w:szCs w:val="24"/>
        </w:rPr>
      </w:pPr>
      <w:r>
        <w:rPr>
          <w:rFonts w:cs="Times New Roman"/>
          <w:szCs w:val="24"/>
        </w:rPr>
        <w:t>F</w:t>
      </w:r>
      <w:r w:rsidR="00CF2321">
        <w:rPr>
          <w:rFonts w:cs="Times New Roman"/>
          <w:szCs w:val="24"/>
        </w:rPr>
        <w:t>or your wisdom, courage, and foresight</w:t>
      </w:r>
      <w:r>
        <w:rPr>
          <w:rFonts w:cs="Times New Roman"/>
          <w:szCs w:val="24"/>
        </w:rPr>
        <w:t>.</w:t>
      </w:r>
    </w:p>
    <w:p w14:paraId="0989E000" w14:textId="77777777" w:rsidR="009A5C7F" w:rsidRDefault="009A5C7F" w:rsidP="00DF3CBB">
      <w:pPr>
        <w:spacing w:after="160" w:line="256" w:lineRule="auto"/>
        <w:ind w:left="0" w:firstLine="0"/>
        <w:jc w:val="center"/>
        <w:rPr>
          <w:rFonts w:cs="Times New Roman"/>
          <w:szCs w:val="24"/>
        </w:rPr>
      </w:pPr>
    </w:p>
    <w:p w14:paraId="702C86E0" w14:textId="77777777" w:rsidR="001E0C57" w:rsidRDefault="001E0C57" w:rsidP="00DF3CBB">
      <w:pPr>
        <w:spacing w:after="160" w:line="256" w:lineRule="auto"/>
        <w:ind w:left="0" w:firstLine="0"/>
        <w:jc w:val="center"/>
        <w:rPr>
          <w:rFonts w:cs="Times New Roman"/>
          <w:szCs w:val="24"/>
        </w:rPr>
      </w:pPr>
    </w:p>
    <w:p w14:paraId="3BCFF038" w14:textId="77777777" w:rsidR="00ED0B29" w:rsidRDefault="00ED0B29" w:rsidP="00DF3CBB">
      <w:pPr>
        <w:spacing w:after="160" w:line="256" w:lineRule="auto"/>
        <w:ind w:left="0" w:firstLine="0"/>
        <w:jc w:val="center"/>
        <w:rPr>
          <w:rFonts w:cs="Times New Roman"/>
          <w:szCs w:val="24"/>
        </w:rPr>
      </w:pPr>
    </w:p>
    <w:p w14:paraId="025CDB95" w14:textId="77777777" w:rsidR="00CF2321" w:rsidRDefault="00DF3CBB" w:rsidP="00DF3CBB">
      <w:pPr>
        <w:spacing w:after="160" w:line="256" w:lineRule="auto"/>
        <w:ind w:left="0" w:firstLine="0"/>
        <w:jc w:val="center"/>
        <w:rPr>
          <w:rFonts w:cs="Times New Roman"/>
          <w:szCs w:val="24"/>
        </w:rPr>
      </w:pPr>
      <w:r>
        <w:rPr>
          <w:rFonts w:cs="Times New Roman"/>
          <w:szCs w:val="24"/>
        </w:rPr>
        <w:t>Founder:</w:t>
      </w:r>
      <w:r w:rsidR="00CF2321">
        <w:rPr>
          <w:rFonts w:cs="Times New Roman"/>
          <w:szCs w:val="24"/>
        </w:rPr>
        <w:t xml:space="preserve"> </w:t>
      </w:r>
    </w:p>
    <w:p w14:paraId="3F608AEB" w14:textId="77777777" w:rsidR="00CF2321" w:rsidRDefault="00CF2321" w:rsidP="00CF2321">
      <w:pPr>
        <w:spacing w:after="160" w:line="256" w:lineRule="auto"/>
        <w:ind w:left="0" w:firstLine="0"/>
        <w:jc w:val="center"/>
        <w:rPr>
          <w:rFonts w:cs="Times New Roman"/>
          <w:szCs w:val="24"/>
        </w:rPr>
      </w:pPr>
      <w:r>
        <w:rPr>
          <w:rFonts w:cs="Times New Roman"/>
          <w:szCs w:val="24"/>
        </w:rPr>
        <w:t>Planning, Design, and Construction PhD Program</w:t>
      </w:r>
    </w:p>
    <w:p w14:paraId="75BE1E28" w14:textId="77777777" w:rsidR="00CF2321" w:rsidRDefault="00CF2321" w:rsidP="00CF2321">
      <w:pPr>
        <w:spacing w:after="160" w:line="256" w:lineRule="auto"/>
        <w:ind w:left="0" w:firstLine="0"/>
        <w:jc w:val="center"/>
        <w:rPr>
          <w:rFonts w:cs="Times New Roman"/>
          <w:szCs w:val="24"/>
        </w:rPr>
      </w:pPr>
      <w:r>
        <w:rPr>
          <w:rFonts w:cs="Times New Roman"/>
          <w:szCs w:val="24"/>
        </w:rPr>
        <w:t>University of Oklahoma Christopher C. Gibbs College of Architecture</w:t>
      </w:r>
      <w:r w:rsidRPr="00CF2321">
        <w:rPr>
          <w:rFonts w:cs="Times New Roman"/>
          <w:szCs w:val="24"/>
        </w:rPr>
        <w:t xml:space="preserve"> </w:t>
      </w:r>
    </w:p>
    <w:p w14:paraId="1997CBA3" w14:textId="77777777" w:rsidR="00CF2321" w:rsidRDefault="00CF2321" w:rsidP="00CF2321">
      <w:pPr>
        <w:spacing w:after="160" w:line="256" w:lineRule="auto"/>
        <w:ind w:left="0" w:firstLine="0"/>
        <w:jc w:val="center"/>
        <w:rPr>
          <w:rFonts w:cs="Times New Roman"/>
          <w:szCs w:val="24"/>
        </w:rPr>
      </w:pPr>
      <w:r>
        <w:rPr>
          <w:rFonts w:cs="Times New Roman"/>
          <w:szCs w:val="24"/>
        </w:rPr>
        <w:t>Norman, Oklahoma</w:t>
      </w:r>
    </w:p>
    <w:p w14:paraId="6F6BDD4A" w14:textId="77777777" w:rsidR="00CF2321" w:rsidRDefault="00CF2321" w:rsidP="00CF2321">
      <w:pPr>
        <w:spacing w:after="160" w:line="256" w:lineRule="auto"/>
        <w:ind w:left="0" w:firstLine="0"/>
        <w:jc w:val="center"/>
        <w:rPr>
          <w:rFonts w:cs="Times New Roman"/>
          <w:szCs w:val="24"/>
        </w:rPr>
      </w:pPr>
    </w:p>
    <w:p w14:paraId="42B364FE" w14:textId="77777777" w:rsidR="00ED0B29" w:rsidRDefault="00ED0B29" w:rsidP="00CF2321">
      <w:pPr>
        <w:spacing w:after="160" w:line="256" w:lineRule="auto"/>
        <w:ind w:left="0" w:firstLine="0"/>
        <w:jc w:val="center"/>
        <w:rPr>
          <w:rFonts w:cs="Times New Roman"/>
          <w:szCs w:val="24"/>
        </w:rPr>
      </w:pPr>
    </w:p>
    <w:p w14:paraId="7547A3BB" w14:textId="77777777" w:rsidR="00ED0B29" w:rsidRDefault="00ED0B29" w:rsidP="00CF2321">
      <w:pPr>
        <w:spacing w:after="160" w:line="256" w:lineRule="auto"/>
        <w:ind w:left="0" w:firstLine="0"/>
        <w:jc w:val="center"/>
        <w:rPr>
          <w:rFonts w:cs="Times New Roman"/>
          <w:szCs w:val="24"/>
        </w:rPr>
      </w:pPr>
    </w:p>
    <w:p w14:paraId="26A9AB7F" w14:textId="77777777" w:rsidR="00ED0B29" w:rsidRDefault="00ED0B29" w:rsidP="00CF2321">
      <w:pPr>
        <w:spacing w:after="160" w:line="256" w:lineRule="auto"/>
        <w:ind w:left="0" w:firstLine="0"/>
        <w:jc w:val="center"/>
        <w:rPr>
          <w:rFonts w:cs="Times New Roman"/>
          <w:szCs w:val="24"/>
        </w:rPr>
      </w:pPr>
    </w:p>
    <w:p w14:paraId="62280512" w14:textId="77777777" w:rsidR="00ED0B29" w:rsidRDefault="00ED0B29" w:rsidP="00CF2321">
      <w:pPr>
        <w:spacing w:after="160" w:line="256" w:lineRule="auto"/>
        <w:ind w:left="0" w:firstLine="0"/>
        <w:jc w:val="center"/>
        <w:rPr>
          <w:rFonts w:cs="Times New Roman"/>
          <w:szCs w:val="24"/>
        </w:rPr>
      </w:pPr>
    </w:p>
    <w:p w14:paraId="1AD653AD" w14:textId="77777777" w:rsidR="00ED0B29" w:rsidRDefault="00ED0B29" w:rsidP="00CF2321">
      <w:pPr>
        <w:spacing w:after="160" w:line="256" w:lineRule="auto"/>
        <w:ind w:left="0" w:firstLine="0"/>
        <w:jc w:val="center"/>
        <w:rPr>
          <w:rFonts w:cs="Times New Roman"/>
          <w:szCs w:val="24"/>
        </w:rPr>
      </w:pPr>
    </w:p>
    <w:p w14:paraId="6DF9B220" w14:textId="77777777" w:rsidR="00ED0B29" w:rsidRDefault="00ED0B29" w:rsidP="00CF2321">
      <w:pPr>
        <w:spacing w:after="160" w:line="256" w:lineRule="auto"/>
        <w:ind w:left="0" w:firstLine="0"/>
        <w:jc w:val="center"/>
        <w:rPr>
          <w:rFonts w:cs="Times New Roman"/>
          <w:szCs w:val="24"/>
        </w:rPr>
      </w:pPr>
    </w:p>
    <w:p w14:paraId="10BE1FE9" w14:textId="77777777" w:rsidR="00ED0B29" w:rsidRDefault="00ED0B29" w:rsidP="00CF2321">
      <w:pPr>
        <w:spacing w:after="160" w:line="256" w:lineRule="auto"/>
        <w:ind w:left="0" w:firstLine="0"/>
        <w:jc w:val="center"/>
        <w:rPr>
          <w:rFonts w:cs="Times New Roman"/>
          <w:szCs w:val="24"/>
        </w:rPr>
      </w:pPr>
    </w:p>
    <w:p w14:paraId="3242B9AE" w14:textId="77777777" w:rsidR="00ED0B29" w:rsidRDefault="00ED0B29" w:rsidP="00CF2321">
      <w:pPr>
        <w:spacing w:after="160" w:line="256" w:lineRule="auto"/>
        <w:ind w:left="0" w:firstLine="0"/>
        <w:jc w:val="center"/>
        <w:rPr>
          <w:rFonts w:cs="Times New Roman"/>
          <w:szCs w:val="24"/>
        </w:rPr>
      </w:pPr>
    </w:p>
    <w:p w14:paraId="0064725F" w14:textId="77777777" w:rsidR="00ED0B29" w:rsidRDefault="00ED0B29" w:rsidP="00CF2321">
      <w:pPr>
        <w:spacing w:after="160" w:line="256" w:lineRule="auto"/>
        <w:ind w:left="0" w:firstLine="0"/>
        <w:jc w:val="center"/>
        <w:rPr>
          <w:rFonts w:cs="Times New Roman"/>
          <w:szCs w:val="24"/>
        </w:rPr>
      </w:pPr>
    </w:p>
    <w:p w14:paraId="787A30B6" w14:textId="77777777" w:rsidR="00ED0B29" w:rsidRDefault="00ED0B29" w:rsidP="00CF2321">
      <w:pPr>
        <w:spacing w:after="160" w:line="256" w:lineRule="auto"/>
        <w:ind w:left="0" w:firstLine="0"/>
        <w:jc w:val="center"/>
        <w:rPr>
          <w:rFonts w:cs="Times New Roman"/>
          <w:szCs w:val="24"/>
        </w:rPr>
      </w:pPr>
    </w:p>
    <w:p w14:paraId="0D733C83" w14:textId="77777777" w:rsidR="00ED0B29" w:rsidRDefault="00ED0B29" w:rsidP="00CF2321">
      <w:pPr>
        <w:spacing w:after="160" w:line="256" w:lineRule="auto"/>
        <w:ind w:left="0" w:firstLine="0"/>
        <w:jc w:val="center"/>
        <w:rPr>
          <w:rFonts w:cs="Times New Roman"/>
          <w:szCs w:val="24"/>
        </w:rPr>
      </w:pPr>
    </w:p>
    <w:p w14:paraId="46482FE1" w14:textId="77777777" w:rsidR="00A772F2" w:rsidRDefault="00A772F2" w:rsidP="00D72883">
      <w:pPr>
        <w:spacing w:after="160" w:line="256" w:lineRule="auto"/>
        <w:ind w:left="0" w:firstLine="0"/>
        <w:rPr>
          <w:rFonts w:cs="Times New Roman"/>
          <w:szCs w:val="24"/>
          <w:u w:val="single"/>
        </w:rPr>
        <w:sectPr w:rsidR="00A772F2" w:rsidSect="00951A56">
          <w:type w:val="continuous"/>
          <w:pgSz w:w="12240" w:h="15840"/>
          <w:pgMar w:top="1440" w:right="1440" w:bottom="1440" w:left="1440" w:header="720" w:footer="720" w:gutter="0"/>
          <w:pgNumType w:fmt="lowerRoman" w:start="6"/>
          <w:cols w:space="720"/>
          <w:docGrid w:linePitch="360"/>
        </w:sectPr>
      </w:pPr>
    </w:p>
    <w:p w14:paraId="02128526" w14:textId="77777777" w:rsidR="00D72883" w:rsidRDefault="00D72883" w:rsidP="00D72883">
      <w:pPr>
        <w:spacing w:after="160" w:line="256" w:lineRule="auto"/>
        <w:ind w:left="0" w:firstLine="0"/>
        <w:jc w:val="center"/>
        <w:rPr>
          <w:rFonts w:cs="Times New Roman"/>
          <w:szCs w:val="24"/>
          <w:u w:val="single"/>
        </w:rPr>
      </w:pPr>
    </w:p>
    <w:p w14:paraId="3174915E" w14:textId="77777777" w:rsidR="00D72883" w:rsidRDefault="00D72883" w:rsidP="00D72883">
      <w:pPr>
        <w:spacing w:after="160" w:line="256" w:lineRule="auto"/>
        <w:ind w:left="0" w:firstLine="0"/>
        <w:jc w:val="center"/>
        <w:rPr>
          <w:rFonts w:cs="Times New Roman"/>
          <w:szCs w:val="24"/>
          <w:u w:val="single"/>
        </w:rPr>
      </w:pPr>
    </w:p>
    <w:p w14:paraId="06D47E67" w14:textId="77777777" w:rsidR="00D72883" w:rsidRDefault="00D72883" w:rsidP="00D72883">
      <w:pPr>
        <w:spacing w:after="160" w:line="256" w:lineRule="auto"/>
        <w:ind w:left="0" w:firstLine="0"/>
        <w:jc w:val="center"/>
        <w:rPr>
          <w:rFonts w:cs="Times New Roman"/>
          <w:szCs w:val="24"/>
          <w:u w:val="single"/>
        </w:rPr>
      </w:pPr>
    </w:p>
    <w:p w14:paraId="06EE9F80" w14:textId="5FF9A24E" w:rsidR="00CF2321" w:rsidRDefault="007D6877" w:rsidP="00D72883">
      <w:pPr>
        <w:spacing w:after="160" w:line="256" w:lineRule="auto"/>
        <w:ind w:left="0" w:firstLine="0"/>
        <w:jc w:val="center"/>
        <w:rPr>
          <w:rFonts w:cs="Times New Roman"/>
          <w:szCs w:val="24"/>
          <w:u w:val="single"/>
        </w:rPr>
      </w:pPr>
      <w:r w:rsidRPr="00687956">
        <w:rPr>
          <w:rFonts w:cs="Times New Roman"/>
          <w:szCs w:val="24"/>
          <w:u w:val="single"/>
        </w:rPr>
        <w:t>ACKNOWLEDGEMENT</w:t>
      </w:r>
      <w:r w:rsidR="00AD4964" w:rsidRPr="00687956">
        <w:rPr>
          <w:rFonts w:cs="Times New Roman"/>
          <w:szCs w:val="24"/>
          <w:u w:val="single"/>
        </w:rPr>
        <w:t>S</w:t>
      </w:r>
      <w:r w:rsidRPr="00687956">
        <w:rPr>
          <w:rFonts w:cs="Times New Roman"/>
          <w:szCs w:val="24"/>
          <w:u w:val="single"/>
        </w:rPr>
        <w:t>:</w:t>
      </w:r>
    </w:p>
    <w:p w14:paraId="3047AF07" w14:textId="77777777" w:rsidR="00687956" w:rsidRPr="00687956" w:rsidRDefault="00687956" w:rsidP="00CF2321">
      <w:pPr>
        <w:spacing w:after="160" w:line="256" w:lineRule="auto"/>
        <w:ind w:left="0" w:firstLine="0"/>
        <w:jc w:val="center"/>
        <w:rPr>
          <w:rFonts w:cs="Times New Roman"/>
          <w:szCs w:val="24"/>
          <w:u w:val="single"/>
        </w:rPr>
      </w:pPr>
    </w:p>
    <w:p w14:paraId="796A4D6D" w14:textId="62A089B0" w:rsidR="007D6877" w:rsidRDefault="007D6877" w:rsidP="007C6D0E">
      <w:pPr>
        <w:spacing w:after="160" w:line="256" w:lineRule="auto"/>
        <w:ind w:left="0" w:firstLine="0"/>
        <w:jc w:val="center"/>
        <w:rPr>
          <w:rFonts w:cs="Times New Roman"/>
          <w:szCs w:val="24"/>
        </w:rPr>
      </w:pPr>
      <w:r>
        <w:rPr>
          <w:rFonts w:cs="Times New Roman"/>
          <w:szCs w:val="24"/>
        </w:rPr>
        <w:t xml:space="preserve">This is to gratefully </w:t>
      </w:r>
      <w:r w:rsidR="00802338">
        <w:rPr>
          <w:rFonts w:cs="Times New Roman"/>
          <w:szCs w:val="24"/>
        </w:rPr>
        <w:t>acknowledge</w:t>
      </w:r>
      <w:r>
        <w:rPr>
          <w:rFonts w:cs="Times New Roman"/>
          <w:szCs w:val="24"/>
        </w:rPr>
        <w:t xml:space="preserve"> </w:t>
      </w:r>
      <w:r w:rsidR="00802338">
        <w:rPr>
          <w:rFonts w:cs="Times New Roman"/>
          <w:szCs w:val="24"/>
        </w:rPr>
        <w:t xml:space="preserve">the invaluable assistance </w:t>
      </w:r>
      <w:r w:rsidR="00687956">
        <w:rPr>
          <w:rFonts w:cs="Times New Roman"/>
          <w:szCs w:val="24"/>
        </w:rPr>
        <w:t xml:space="preserve">provided to this research </w:t>
      </w:r>
      <w:r w:rsidR="00802338">
        <w:rPr>
          <w:rFonts w:cs="Times New Roman"/>
          <w:szCs w:val="24"/>
        </w:rPr>
        <w:t>by:</w:t>
      </w:r>
    </w:p>
    <w:p w14:paraId="49E66BDB" w14:textId="5643F045" w:rsidR="00802338" w:rsidRDefault="007C6D0E" w:rsidP="007C6D0E">
      <w:pPr>
        <w:spacing w:after="160" w:line="256" w:lineRule="auto"/>
        <w:ind w:left="0" w:firstLine="0"/>
        <w:jc w:val="center"/>
        <w:rPr>
          <w:rFonts w:cs="Times New Roman"/>
          <w:szCs w:val="24"/>
        </w:rPr>
      </w:pPr>
      <w:r>
        <w:rPr>
          <w:rFonts w:cs="Times New Roman"/>
          <w:szCs w:val="24"/>
        </w:rPr>
        <w:t xml:space="preserve">The </w:t>
      </w:r>
      <w:r w:rsidR="00802338">
        <w:rPr>
          <w:rFonts w:cs="Times New Roman"/>
          <w:szCs w:val="24"/>
        </w:rPr>
        <w:t xml:space="preserve">Association of University Real Estate </w:t>
      </w:r>
      <w:r w:rsidR="00444BFC">
        <w:rPr>
          <w:rFonts w:cs="Times New Roman"/>
          <w:szCs w:val="24"/>
        </w:rPr>
        <w:t>Official</w:t>
      </w:r>
      <w:r w:rsidR="00802338">
        <w:rPr>
          <w:rFonts w:cs="Times New Roman"/>
          <w:szCs w:val="24"/>
        </w:rPr>
        <w:t>s</w:t>
      </w:r>
      <w:r w:rsidR="00AD4964">
        <w:rPr>
          <w:rFonts w:cs="Times New Roman"/>
          <w:szCs w:val="24"/>
        </w:rPr>
        <w:t xml:space="preserve"> [AUREO]</w:t>
      </w:r>
    </w:p>
    <w:p w14:paraId="46FABED5" w14:textId="77777777" w:rsidR="00BD25C7" w:rsidRDefault="00BD25C7" w:rsidP="007C6D0E">
      <w:pPr>
        <w:spacing w:after="160" w:line="256" w:lineRule="auto"/>
        <w:ind w:left="0" w:firstLine="0"/>
        <w:jc w:val="center"/>
        <w:rPr>
          <w:rFonts w:cs="Times New Roman"/>
          <w:szCs w:val="24"/>
        </w:rPr>
      </w:pPr>
    </w:p>
    <w:p w14:paraId="6D09178D" w14:textId="77777777" w:rsidR="007E09C7" w:rsidRDefault="007E09C7" w:rsidP="007C6D0E">
      <w:pPr>
        <w:spacing w:after="160" w:line="256" w:lineRule="auto"/>
        <w:ind w:left="0" w:firstLine="0"/>
        <w:jc w:val="center"/>
        <w:rPr>
          <w:rFonts w:cs="Times New Roman"/>
          <w:szCs w:val="24"/>
        </w:rPr>
      </w:pPr>
    </w:p>
    <w:p w14:paraId="3CF51B69" w14:textId="77777777" w:rsidR="00BD25C7" w:rsidRDefault="00BD25C7" w:rsidP="007C6D0E">
      <w:pPr>
        <w:spacing w:after="160" w:line="256" w:lineRule="auto"/>
        <w:ind w:left="0" w:firstLine="0"/>
        <w:jc w:val="center"/>
        <w:rPr>
          <w:rFonts w:cs="Times New Roman"/>
          <w:szCs w:val="24"/>
        </w:rPr>
      </w:pPr>
    </w:p>
    <w:p w14:paraId="5EBE475A" w14:textId="562A3B89" w:rsidR="00D64CF9" w:rsidRDefault="00BD25C7" w:rsidP="00BD25C7">
      <w:pPr>
        <w:spacing w:after="160" w:line="256" w:lineRule="auto"/>
        <w:ind w:left="0" w:firstLine="0"/>
        <w:jc w:val="center"/>
        <w:rPr>
          <w:rFonts w:cs="Times New Roman"/>
          <w:szCs w:val="24"/>
          <w:u w:val="single"/>
        </w:rPr>
      </w:pPr>
      <w:r w:rsidRPr="00E153CE">
        <w:rPr>
          <w:rFonts w:cs="Times New Roman"/>
          <w:szCs w:val="24"/>
          <w:u w:val="single"/>
        </w:rPr>
        <w:t>A</w:t>
      </w:r>
      <w:r w:rsidR="00D64CF9" w:rsidRPr="00E153CE">
        <w:rPr>
          <w:rFonts w:cs="Times New Roman"/>
          <w:szCs w:val="24"/>
          <w:u w:val="single"/>
        </w:rPr>
        <w:t>nd</w:t>
      </w:r>
      <w:r w:rsidR="00C65B66" w:rsidRPr="00E153CE">
        <w:rPr>
          <w:rFonts w:cs="Times New Roman"/>
          <w:szCs w:val="24"/>
          <w:u w:val="single"/>
        </w:rPr>
        <w:t xml:space="preserve"> to</w:t>
      </w:r>
      <w:r w:rsidR="00687956" w:rsidRPr="00E153CE">
        <w:rPr>
          <w:rFonts w:cs="Times New Roman"/>
          <w:szCs w:val="24"/>
          <w:u w:val="single"/>
        </w:rPr>
        <w:t>:</w:t>
      </w:r>
    </w:p>
    <w:p w14:paraId="4B48BD4E" w14:textId="77777777" w:rsidR="00E153CE" w:rsidRPr="00E153CE" w:rsidRDefault="00E153CE" w:rsidP="00BD25C7">
      <w:pPr>
        <w:spacing w:after="160" w:line="256" w:lineRule="auto"/>
        <w:ind w:left="0" w:firstLine="0"/>
        <w:jc w:val="center"/>
        <w:rPr>
          <w:rFonts w:cs="Times New Roman"/>
          <w:szCs w:val="24"/>
          <w:u w:val="single"/>
        </w:rPr>
      </w:pPr>
    </w:p>
    <w:p w14:paraId="71EBF273" w14:textId="551E20BD" w:rsidR="00D64CF9" w:rsidRDefault="00D64CF9" w:rsidP="007C6D0E">
      <w:pPr>
        <w:spacing w:after="160" w:line="256" w:lineRule="auto"/>
        <w:ind w:left="0" w:firstLine="0"/>
        <w:jc w:val="center"/>
        <w:rPr>
          <w:rFonts w:cs="Times New Roman"/>
          <w:szCs w:val="24"/>
        </w:rPr>
      </w:pPr>
      <w:r>
        <w:rPr>
          <w:rFonts w:cs="Times New Roman"/>
          <w:szCs w:val="24"/>
        </w:rPr>
        <w:t xml:space="preserve">Mr. Guy Tozzoli </w:t>
      </w:r>
      <w:r w:rsidR="00CC6C5F">
        <w:rPr>
          <w:rFonts w:cs="Times New Roman"/>
          <w:szCs w:val="24"/>
        </w:rPr>
        <w:t>(1922- 2013)</w:t>
      </w:r>
    </w:p>
    <w:p w14:paraId="1A99652C" w14:textId="758B26CC" w:rsidR="00217F4A" w:rsidRDefault="00D64CF9" w:rsidP="007C6D0E">
      <w:pPr>
        <w:spacing w:after="160" w:line="256" w:lineRule="auto"/>
        <w:ind w:left="0" w:firstLine="0"/>
        <w:jc w:val="center"/>
        <w:rPr>
          <w:rFonts w:cs="Times New Roman"/>
          <w:szCs w:val="24"/>
        </w:rPr>
      </w:pPr>
      <w:r>
        <w:rPr>
          <w:rFonts w:cs="Times New Roman"/>
          <w:szCs w:val="24"/>
        </w:rPr>
        <w:t>Project Manager</w:t>
      </w:r>
      <w:r w:rsidR="00217F4A">
        <w:rPr>
          <w:rFonts w:cs="Times New Roman"/>
          <w:szCs w:val="24"/>
        </w:rPr>
        <w:t xml:space="preserve">/ Lead </w:t>
      </w:r>
      <w:r w:rsidR="000D15A4">
        <w:rPr>
          <w:rFonts w:cs="Times New Roman"/>
          <w:szCs w:val="24"/>
        </w:rPr>
        <w:t xml:space="preserve">Land Assembly </w:t>
      </w:r>
      <w:r w:rsidR="00217F4A">
        <w:rPr>
          <w:rFonts w:cs="Times New Roman"/>
          <w:szCs w:val="24"/>
        </w:rPr>
        <w:t>Negotiator</w:t>
      </w:r>
    </w:p>
    <w:p w14:paraId="0F7FE348" w14:textId="339FF57C" w:rsidR="00D64CF9" w:rsidRDefault="00D64CF9" w:rsidP="007C6D0E">
      <w:pPr>
        <w:spacing w:after="160" w:line="256" w:lineRule="auto"/>
        <w:ind w:left="0" w:firstLine="0"/>
        <w:jc w:val="center"/>
        <w:rPr>
          <w:rFonts w:cs="Times New Roman"/>
          <w:szCs w:val="24"/>
        </w:rPr>
      </w:pPr>
      <w:r>
        <w:rPr>
          <w:rFonts w:cs="Times New Roman"/>
          <w:szCs w:val="24"/>
        </w:rPr>
        <w:t xml:space="preserve"> World Trade Center, NYC</w:t>
      </w:r>
    </w:p>
    <w:p w14:paraId="0B699B50" w14:textId="77777777" w:rsidR="00DF3CBB" w:rsidRDefault="00DF3CBB" w:rsidP="00CF2321">
      <w:pPr>
        <w:spacing w:after="160" w:line="256" w:lineRule="auto"/>
        <w:ind w:left="0" w:firstLine="0"/>
        <w:jc w:val="center"/>
        <w:rPr>
          <w:rFonts w:cs="Times New Roman"/>
          <w:szCs w:val="24"/>
        </w:rPr>
      </w:pPr>
    </w:p>
    <w:p w14:paraId="6D780D2C" w14:textId="77777777" w:rsidR="00DF3CBB" w:rsidRDefault="00DF3CBB" w:rsidP="00CF2321">
      <w:pPr>
        <w:spacing w:after="160" w:line="256" w:lineRule="auto"/>
        <w:ind w:left="0" w:firstLine="0"/>
        <w:jc w:val="center"/>
        <w:rPr>
          <w:rFonts w:cs="Times New Roman"/>
          <w:szCs w:val="24"/>
        </w:rPr>
      </w:pPr>
    </w:p>
    <w:p w14:paraId="319E4B45" w14:textId="77777777" w:rsidR="00DF3CBB" w:rsidRDefault="00DF3CBB" w:rsidP="00CF2321">
      <w:pPr>
        <w:spacing w:after="160" w:line="256" w:lineRule="auto"/>
        <w:ind w:left="0" w:firstLine="0"/>
        <w:jc w:val="center"/>
        <w:rPr>
          <w:rFonts w:cs="Times New Roman"/>
          <w:szCs w:val="24"/>
        </w:rPr>
      </w:pPr>
    </w:p>
    <w:p w14:paraId="20BA5A54" w14:textId="77777777" w:rsidR="00DF3CBB" w:rsidRDefault="00DF3CBB" w:rsidP="00CF2321">
      <w:pPr>
        <w:spacing w:after="160" w:line="256" w:lineRule="auto"/>
        <w:ind w:left="0" w:firstLine="0"/>
        <w:jc w:val="center"/>
        <w:rPr>
          <w:rFonts w:cs="Times New Roman"/>
          <w:szCs w:val="24"/>
        </w:rPr>
      </w:pPr>
    </w:p>
    <w:p w14:paraId="28280E33" w14:textId="77777777" w:rsidR="00DF3CBB" w:rsidRDefault="00DF3CBB" w:rsidP="00CF2321">
      <w:pPr>
        <w:spacing w:after="160" w:line="256" w:lineRule="auto"/>
        <w:ind w:left="0" w:firstLine="0"/>
        <w:jc w:val="center"/>
        <w:rPr>
          <w:rFonts w:cs="Times New Roman"/>
          <w:szCs w:val="24"/>
        </w:rPr>
      </w:pPr>
    </w:p>
    <w:p w14:paraId="23B59185" w14:textId="77777777" w:rsidR="00DF3CBB" w:rsidRDefault="00DF3CBB" w:rsidP="00CF2321">
      <w:pPr>
        <w:spacing w:after="160" w:line="256" w:lineRule="auto"/>
        <w:ind w:left="0" w:firstLine="0"/>
        <w:jc w:val="center"/>
        <w:rPr>
          <w:rFonts w:cs="Times New Roman"/>
          <w:szCs w:val="24"/>
        </w:rPr>
      </w:pPr>
    </w:p>
    <w:p w14:paraId="079C70BD" w14:textId="77777777" w:rsidR="00DF3CBB" w:rsidRDefault="00DF3CBB" w:rsidP="00CF2321">
      <w:pPr>
        <w:spacing w:after="160" w:line="256" w:lineRule="auto"/>
        <w:ind w:left="0" w:firstLine="0"/>
        <w:jc w:val="center"/>
        <w:rPr>
          <w:rFonts w:cs="Times New Roman"/>
          <w:szCs w:val="24"/>
        </w:rPr>
      </w:pPr>
    </w:p>
    <w:p w14:paraId="179DB8D6" w14:textId="77777777" w:rsidR="00DF3CBB" w:rsidRDefault="00DF3CBB" w:rsidP="00CF2321">
      <w:pPr>
        <w:spacing w:after="160" w:line="256" w:lineRule="auto"/>
        <w:ind w:left="0" w:firstLine="0"/>
        <w:jc w:val="center"/>
        <w:rPr>
          <w:rFonts w:cs="Times New Roman"/>
          <w:szCs w:val="24"/>
        </w:rPr>
      </w:pPr>
    </w:p>
    <w:p w14:paraId="65DCFEDA" w14:textId="77777777" w:rsidR="00752B52" w:rsidRDefault="00752B52" w:rsidP="00A97296">
      <w:pPr>
        <w:spacing w:after="160" w:line="256" w:lineRule="auto"/>
        <w:ind w:left="0" w:firstLine="0"/>
        <w:rPr>
          <w:rFonts w:cs="Times New Roman"/>
          <w:szCs w:val="24"/>
          <w:u w:val="single"/>
        </w:rPr>
      </w:pPr>
    </w:p>
    <w:p w14:paraId="0892185D" w14:textId="77777777" w:rsidR="0043428B" w:rsidRDefault="0043428B" w:rsidP="00A97296">
      <w:pPr>
        <w:spacing w:after="160" w:line="256" w:lineRule="auto"/>
        <w:ind w:left="0" w:firstLine="0"/>
        <w:rPr>
          <w:rFonts w:cs="Times New Roman"/>
          <w:szCs w:val="24"/>
          <w:u w:val="single"/>
        </w:rPr>
      </w:pPr>
    </w:p>
    <w:p w14:paraId="6F0AFA69" w14:textId="77777777" w:rsidR="00D72883" w:rsidRDefault="00D72883" w:rsidP="000152B3">
      <w:pPr>
        <w:spacing w:after="160" w:line="256" w:lineRule="auto"/>
        <w:ind w:left="0" w:firstLine="0"/>
        <w:jc w:val="center"/>
        <w:rPr>
          <w:rFonts w:cs="Times New Roman"/>
          <w:szCs w:val="24"/>
          <w:u w:val="single"/>
        </w:rPr>
      </w:pPr>
    </w:p>
    <w:p w14:paraId="058F2185" w14:textId="77777777" w:rsidR="00D72883" w:rsidRDefault="00D72883" w:rsidP="000152B3">
      <w:pPr>
        <w:spacing w:after="160" w:line="256" w:lineRule="auto"/>
        <w:ind w:left="0" w:firstLine="0"/>
        <w:jc w:val="center"/>
        <w:rPr>
          <w:rFonts w:cs="Times New Roman"/>
          <w:szCs w:val="24"/>
          <w:u w:val="single"/>
        </w:rPr>
      </w:pPr>
    </w:p>
    <w:p w14:paraId="73621DAB" w14:textId="77777777" w:rsidR="00D72883" w:rsidRDefault="00D72883" w:rsidP="000152B3">
      <w:pPr>
        <w:spacing w:after="160" w:line="256" w:lineRule="auto"/>
        <w:ind w:left="0" w:firstLine="0"/>
        <w:jc w:val="center"/>
        <w:rPr>
          <w:rFonts w:cs="Times New Roman"/>
          <w:szCs w:val="24"/>
          <w:u w:val="single"/>
        </w:rPr>
      </w:pPr>
    </w:p>
    <w:p w14:paraId="5D25548D" w14:textId="77777777" w:rsidR="00D72883" w:rsidRDefault="00D72883" w:rsidP="000152B3">
      <w:pPr>
        <w:spacing w:after="160" w:line="256" w:lineRule="auto"/>
        <w:ind w:left="0" w:firstLine="0"/>
        <w:jc w:val="center"/>
        <w:rPr>
          <w:rFonts w:cs="Times New Roman"/>
          <w:szCs w:val="24"/>
          <w:u w:val="single"/>
        </w:rPr>
      </w:pPr>
    </w:p>
    <w:p w14:paraId="4CE58A0B" w14:textId="77777777" w:rsidR="00D72883" w:rsidRDefault="00D72883" w:rsidP="000152B3">
      <w:pPr>
        <w:spacing w:after="160" w:line="256" w:lineRule="auto"/>
        <w:ind w:left="0" w:firstLine="0"/>
        <w:jc w:val="center"/>
        <w:rPr>
          <w:rFonts w:cs="Times New Roman"/>
          <w:szCs w:val="24"/>
          <w:u w:val="single"/>
        </w:rPr>
      </w:pPr>
    </w:p>
    <w:p w14:paraId="64C7F081" w14:textId="77777777" w:rsidR="00D72883" w:rsidRDefault="00D72883" w:rsidP="000152B3">
      <w:pPr>
        <w:spacing w:after="160" w:line="256" w:lineRule="auto"/>
        <w:ind w:left="0" w:firstLine="0"/>
        <w:jc w:val="center"/>
        <w:rPr>
          <w:rFonts w:cs="Times New Roman"/>
          <w:szCs w:val="24"/>
          <w:u w:val="single"/>
        </w:rPr>
      </w:pPr>
    </w:p>
    <w:p w14:paraId="46B52396" w14:textId="1CEDAB0E" w:rsidR="00D451D1" w:rsidRPr="00D451D1" w:rsidRDefault="00D45282" w:rsidP="000152B3">
      <w:pPr>
        <w:spacing w:after="160" w:line="256" w:lineRule="auto"/>
        <w:ind w:left="0" w:firstLine="0"/>
        <w:jc w:val="center"/>
        <w:rPr>
          <w:rFonts w:cs="Times New Roman"/>
          <w:szCs w:val="24"/>
          <w:u w:val="single"/>
        </w:rPr>
      </w:pPr>
      <w:r>
        <w:rPr>
          <w:rFonts w:cs="Times New Roman"/>
          <w:szCs w:val="24"/>
          <w:u w:val="single"/>
        </w:rPr>
        <w:t>FRONTISPIECE</w:t>
      </w:r>
      <w:r w:rsidR="00063996">
        <w:rPr>
          <w:rFonts w:cs="Times New Roman"/>
          <w:szCs w:val="24"/>
          <w:u w:val="single"/>
        </w:rPr>
        <w:t>:</w:t>
      </w:r>
    </w:p>
    <w:p w14:paraId="2E23167F" w14:textId="77777777" w:rsidR="008704CB" w:rsidRDefault="008704CB" w:rsidP="008F6013">
      <w:pPr>
        <w:spacing w:after="160" w:line="256" w:lineRule="auto"/>
        <w:ind w:left="0" w:firstLine="0"/>
        <w:jc w:val="center"/>
        <w:rPr>
          <w:rFonts w:cs="Times New Roman"/>
          <w:szCs w:val="24"/>
        </w:rPr>
      </w:pPr>
    </w:p>
    <w:p w14:paraId="1322DA49" w14:textId="77777777" w:rsidR="00182321" w:rsidRPr="00182321" w:rsidRDefault="00182321" w:rsidP="008F6013">
      <w:pPr>
        <w:spacing w:after="160" w:line="256" w:lineRule="auto"/>
        <w:ind w:left="0" w:firstLine="0"/>
        <w:jc w:val="center"/>
        <w:rPr>
          <w:rFonts w:cs="Times New Roman"/>
          <w:i/>
          <w:szCs w:val="24"/>
        </w:rPr>
      </w:pPr>
      <w:r w:rsidRPr="00182321">
        <w:rPr>
          <w:rFonts w:cs="Times New Roman"/>
          <w:szCs w:val="24"/>
        </w:rPr>
        <w:t>“</w:t>
      </w:r>
      <w:r w:rsidRPr="00182321">
        <w:rPr>
          <w:rFonts w:cs="Times New Roman"/>
          <w:i/>
          <w:szCs w:val="24"/>
        </w:rPr>
        <w:t>Don't it always seem to go…</w:t>
      </w:r>
    </w:p>
    <w:p w14:paraId="3B1CD552" w14:textId="77777777" w:rsidR="00182321" w:rsidRPr="00182321" w:rsidRDefault="00182321" w:rsidP="00182321">
      <w:pPr>
        <w:spacing w:after="160" w:line="256" w:lineRule="auto"/>
        <w:ind w:left="0" w:firstLine="0"/>
        <w:jc w:val="center"/>
        <w:rPr>
          <w:rFonts w:cs="Times New Roman"/>
          <w:i/>
          <w:szCs w:val="24"/>
        </w:rPr>
      </w:pPr>
      <w:r w:rsidRPr="00182321">
        <w:rPr>
          <w:rFonts w:cs="Times New Roman"/>
          <w:i/>
          <w:szCs w:val="24"/>
        </w:rPr>
        <w:t>That you don't know what you've got ‘til it’s gone…</w:t>
      </w:r>
    </w:p>
    <w:p w14:paraId="5C308A79" w14:textId="77777777" w:rsidR="00CF2321" w:rsidRDefault="00182321" w:rsidP="00CB6585">
      <w:pPr>
        <w:spacing w:after="160" w:line="256" w:lineRule="auto"/>
        <w:ind w:left="0" w:firstLine="0"/>
        <w:jc w:val="center"/>
        <w:rPr>
          <w:rFonts w:cs="Times New Roman"/>
          <w:szCs w:val="24"/>
        </w:rPr>
      </w:pPr>
      <w:r w:rsidRPr="00182321">
        <w:rPr>
          <w:rFonts w:cs="Times New Roman"/>
          <w:i/>
          <w:szCs w:val="24"/>
        </w:rPr>
        <w:t>They paved paradise</w:t>
      </w:r>
      <w:r w:rsidR="00664600">
        <w:rPr>
          <w:rFonts w:cs="Times New Roman"/>
          <w:i/>
          <w:szCs w:val="24"/>
        </w:rPr>
        <w:t xml:space="preserve"> </w:t>
      </w:r>
      <w:r w:rsidRPr="00182321">
        <w:rPr>
          <w:rFonts w:cs="Times New Roman"/>
          <w:i/>
          <w:szCs w:val="24"/>
        </w:rPr>
        <w:t>and put up a parking lot</w:t>
      </w:r>
      <w:r w:rsidRPr="00182321">
        <w:rPr>
          <w:rFonts w:cs="Times New Roman"/>
          <w:szCs w:val="24"/>
        </w:rPr>
        <w:t>”.</w:t>
      </w:r>
    </w:p>
    <w:p w14:paraId="4D3D1C12" w14:textId="77777777" w:rsidR="00711B26" w:rsidRDefault="00711B26" w:rsidP="00182321">
      <w:pPr>
        <w:spacing w:after="160" w:line="256" w:lineRule="auto"/>
        <w:ind w:left="0" w:firstLine="0"/>
        <w:jc w:val="center"/>
        <w:rPr>
          <w:rFonts w:cs="Times New Roman"/>
          <w:szCs w:val="24"/>
        </w:rPr>
      </w:pPr>
    </w:p>
    <w:p w14:paraId="3C6ACFC2" w14:textId="3D766610" w:rsidR="00C22A9A" w:rsidRDefault="00523B09" w:rsidP="006E24F1">
      <w:pPr>
        <w:spacing w:after="160" w:line="256" w:lineRule="auto"/>
        <w:ind w:left="0" w:firstLine="0"/>
        <w:jc w:val="center"/>
        <w:rPr>
          <w:rFonts w:cs="Times New Roman"/>
          <w:szCs w:val="24"/>
        </w:rPr>
      </w:pPr>
      <w:r>
        <w:rPr>
          <w:rFonts w:cs="Times New Roman"/>
          <w:szCs w:val="24"/>
        </w:rPr>
        <w:t xml:space="preserve"> </w:t>
      </w:r>
      <w:r w:rsidR="00182321" w:rsidRPr="00182321">
        <w:rPr>
          <w:rFonts w:cs="Times New Roman"/>
          <w:szCs w:val="24"/>
        </w:rPr>
        <w:t>Joni Mitchell</w:t>
      </w:r>
    </w:p>
    <w:p w14:paraId="13CA3394" w14:textId="77777777" w:rsidR="00DF004D" w:rsidRDefault="00DF004D" w:rsidP="00DF004D">
      <w:pPr>
        <w:spacing w:after="160" w:line="256" w:lineRule="auto"/>
        <w:ind w:left="0" w:firstLine="0"/>
        <w:jc w:val="right"/>
        <w:rPr>
          <w:rFonts w:cs="Times New Roman"/>
          <w:szCs w:val="24"/>
        </w:rPr>
      </w:pPr>
    </w:p>
    <w:p w14:paraId="040F3300" w14:textId="77777777" w:rsidR="00DF004D" w:rsidRDefault="00DF004D" w:rsidP="00DF004D">
      <w:pPr>
        <w:spacing w:after="160" w:line="256" w:lineRule="auto"/>
        <w:ind w:left="0" w:firstLine="0"/>
        <w:jc w:val="right"/>
        <w:rPr>
          <w:rFonts w:cs="Times New Roman"/>
          <w:szCs w:val="24"/>
        </w:rPr>
      </w:pPr>
    </w:p>
    <w:p w14:paraId="452C5FC7" w14:textId="77777777" w:rsidR="00DF004D" w:rsidRDefault="00DF004D" w:rsidP="00DF004D">
      <w:pPr>
        <w:spacing w:after="160" w:line="256" w:lineRule="auto"/>
        <w:ind w:left="0" w:firstLine="0"/>
        <w:jc w:val="center"/>
        <w:rPr>
          <w:rFonts w:cs="Times New Roman"/>
          <w:szCs w:val="24"/>
        </w:rPr>
      </w:pPr>
    </w:p>
    <w:p w14:paraId="3CDECDD8" w14:textId="77777777" w:rsidR="009534E5" w:rsidRDefault="009534E5" w:rsidP="00DF004D">
      <w:pPr>
        <w:spacing w:after="160" w:line="256" w:lineRule="auto"/>
        <w:ind w:left="0" w:firstLine="0"/>
        <w:jc w:val="center"/>
        <w:rPr>
          <w:rFonts w:cs="Times New Roman"/>
          <w:szCs w:val="24"/>
        </w:rPr>
      </w:pPr>
    </w:p>
    <w:p w14:paraId="6DBEC29E" w14:textId="77777777" w:rsidR="009534E5" w:rsidRDefault="009534E5" w:rsidP="00DF004D">
      <w:pPr>
        <w:spacing w:after="160" w:line="256" w:lineRule="auto"/>
        <w:ind w:left="0" w:firstLine="0"/>
        <w:jc w:val="center"/>
        <w:rPr>
          <w:rFonts w:cs="Times New Roman"/>
          <w:szCs w:val="24"/>
        </w:rPr>
      </w:pPr>
    </w:p>
    <w:p w14:paraId="68B10A8F" w14:textId="65627C72" w:rsidR="004F0B0F" w:rsidRDefault="00D54497" w:rsidP="00587CA0">
      <w:pPr>
        <w:jc w:val="center"/>
      </w:pPr>
      <w:r>
        <w:rPr>
          <w:noProof/>
        </w:rPr>
        <w:drawing>
          <wp:inline distT="0" distB="0" distL="0" distR="0" wp14:anchorId="50A4221C" wp14:editId="17DD9F65">
            <wp:extent cx="3864106" cy="2743200"/>
            <wp:effectExtent l="0" t="0" r="3175" b="0"/>
            <wp:docPr id="35" name="Picture 3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92027" cy="2763021"/>
                    </a:xfrm>
                    <a:prstGeom prst="rect">
                      <a:avLst/>
                    </a:prstGeom>
                    <a:noFill/>
                  </pic:spPr>
                </pic:pic>
              </a:graphicData>
            </a:graphic>
          </wp:inline>
        </w:drawing>
      </w:r>
    </w:p>
    <w:p w14:paraId="51AC0924" w14:textId="77777777" w:rsidR="00D72883" w:rsidRDefault="00D72883" w:rsidP="00587CA0">
      <w:pPr>
        <w:jc w:val="center"/>
      </w:pPr>
    </w:p>
    <w:p w14:paraId="4D4F3DDB" w14:textId="77777777" w:rsidR="001E0C57" w:rsidRDefault="001E0C57" w:rsidP="00587CA0">
      <w:pPr>
        <w:jc w:val="center"/>
      </w:pPr>
    </w:p>
    <w:p w14:paraId="790756B5" w14:textId="77777777" w:rsidR="001E0C57" w:rsidRPr="003A2407" w:rsidRDefault="001E0C57" w:rsidP="00587CA0">
      <w:pPr>
        <w:jc w:val="center"/>
      </w:pPr>
    </w:p>
    <w:sdt>
      <w:sdtPr>
        <w:rPr>
          <w:rFonts w:eastAsiaTheme="minorHAnsi" w:cs="Calibri"/>
          <w:b/>
          <w:noProof w:val="0"/>
          <w:sz w:val="24"/>
          <w:szCs w:val="22"/>
        </w:rPr>
        <w:id w:val="1165824256"/>
        <w:docPartObj>
          <w:docPartGallery w:val="Table of Contents"/>
          <w:docPartUnique/>
        </w:docPartObj>
      </w:sdtPr>
      <w:sdtEndPr>
        <w:rPr>
          <w:b w:val="0"/>
          <w:bCs/>
        </w:rPr>
      </w:sdtEndPr>
      <w:sdtContent>
        <w:p w14:paraId="15715C7A" w14:textId="1A967300" w:rsidR="00160A16" w:rsidRPr="00A11A39" w:rsidRDefault="00160A16" w:rsidP="00F11372">
          <w:pPr>
            <w:pStyle w:val="TOCHeading"/>
            <w:rPr>
              <w:b/>
              <w:bCs/>
            </w:rPr>
          </w:pPr>
          <w:r w:rsidRPr="00A11A39">
            <w:rPr>
              <w:b/>
              <w:bCs/>
            </w:rPr>
            <w:t>Table of Contents</w:t>
          </w:r>
          <w:r w:rsidR="00445261">
            <w:rPr>
              <w:b/>
              <w:bCs/>
            </w:rPr>
            <w:t>:</w:t>
          </w:r>
        </w:p>
        <w:p w14:paraId="7969340B" w14:textId="22A3BC3E" w:rsidR="00017297" w:rsidRDefault="00160A16">
          <w:pPr>
            <w:pStyle w:val="TOC1"/>
            <w:rPr>
              <w:rFonts w:asciiTheme="minorHAnsi" w:eastAsiaTheme="minorEastAsia" w:hAnsiTheme="minorHAnsi" w:cstheme="minorBidi"/>
              <w:b w:val="0"/>
              <w:bCs w:val="0"/>
              <w:kern w:val="2"/>
              <w:sz w:val="22"/>
              <w14:ligatures w14:val="standardContextual"/>
            </w:rPr>
          </w:pPr>
          <w:r>
            <w:fldChar w:fldCharType="begin"/>
          </w:r>
          <w:r>
            <w:instrText xml:space="preserve"> TOC \o "1-3" \h \z \u </w:instrText>
          </w:r>
          <w:r>
            <w:fldChar w:fldCharType="separate"/>
          </w:r>
          <w:hyperlink w:anchor="_Toc134346723" w:history="1">
            <w:r w:rsidR="00017297" w:rsidRPr="00C348A3">
              <w:rPr>
                <w:rStyle w:val="Hyperlink"/>
              </w:rPr>
              <w:t>Abstract:</w:t>
            </w:r>
            <w:r w:rsidR="00017297">
              <w:rPr>
                <w:webHidden/>
              </w:rPr>
              <w:tab/>
            </w:r>
            <w:r w:rsidR="00017297">
              <w:rPr>
                <w:webHidden/>
              </w:rPr>
              <w:fldChar w:fldCharType="begin"/>
            </w:r>
            <w:r w:rsidR="00017297">
              <w:rPr>
                <w:webHidden/>
              </w:rPr>
              <w:instrText xml:space="preserve"> PAGEREF _Toc134346723 \h </w:instrText>
            </w:r>
            <w:r w:rsidR="00017297">
              <w:rPr>
                <w:webHidden/>
              </w:rPr>
            </w:r>
            <w:r w:rsidR="00017297">
              <w:rPr>
                <w:webHidden/>
              </w:rPr>
              <w:fldChar w:fldCharType="separate"/>
            </w:r>
            <w:r w:rsidR="00E153CE">
              <w:rPr>
                <w:webHidden/>
              </w:rPr>
              <w:t>ix</w:t>
            </w:r>
            <w:r w:rsidR="00017297">
              <w:rPr>
                <w:webHidden/>
              </w:rPr>
              <w:fldChar w:fldCharType="end"/>
            </w:r>
          </w:hyperlink>
        </w:p>
        <w:p w14:paraId="53FE77FD" w14:textId="4F5E284A" w:rsidR="00017297" w:rsidRDefault="00000000">
          <w:pPr>
            <w:pStyle w:val="TOC1"/>
            <w:rPr>
              <w:rFonts w:asciiTheme="minorHAnsi" w:eastAsiaTheme="minorEastAsia" w:hAnsiTheme="minorHAnsi" w:cstheme="minorBidi"/>
              <w:b w:val="0"/>
              <w:bCs w:val="0"/>
              <w:kern w:val="2"/>
              <w:sz w:val="22"/>
              <w14:ligatures w14:val="standardContextual"/>
            </w:rPr>
          </w:pPr>
          <w:hyperlink w:anchor="_Toc134346724" w:history="1">
            <w:r w:rsidR="00017297" w:rsidRPr="00C348A3">
              <w:rPr>
                <w:rStyle w:val="Hyperlink"/>
              </w:rPr>
              <w:t>List of Figures:</w:t>
            </w:r>
            <w:r w:rsidR="00017297">
              <w:rPr>
                <w:webHidden/>
              </w:rPr>
              <w:tab/>
            </w:r>
            <w:r w:rsidR="00017297">
              <w:rPr>
                <w:webHidden/>
              </w:rPr>
              <w:fldChar w:fldCharType="begin"/>
            </w:r>
            <w:r w:rsidR="00017297">
              <w:rPr>
                <w:webHidden/>
              </w:rPr>
              <w:instrText xml:space="preserve"> PAGEREF _Toc134346724 \h </w:instrText>
            </w:r>
            <w:r w:rsidR="00017297">
              <w:rPr>
                <w:webHidden/>
              </w:rPr>
            </w:r>
            <w:r w:rsidR="00017297">
              <w:rPr>
                <w:webHidden/>
              </w:rPr>
              <w:fldChar w:fldCharType="separate"/>
            </w:r>
            <w:r w:rsidR="00E153CE">
              <w:rPr>
                <w:webHidden/>
              </w:rPr>
              <w:t>x</w:t>
            </w:r>
            <w:r w:rsidR="00017297">
              <w:rPr>
                <w:webHidden/>
              </w:rPr>
              <w:fldChar w:fldCharType="end"/>
            </w:r>
          </w:hyperlink>
        </w:p>
        <w:p w14:paraId="644E17A0" w14:textId="30B037AF" w:rsidR="00017297" w:rsidRDefault="00000000">
          <w:pPr>
            <w:pStyle w:val="TOC1"/>
            <w:rPr>
              <w:rFonts w:asciiTheme="minorHAnsi" w:eastAsiaTheme="minorEastAsia" w:hAnsiTheme="minorHAnsi" w:cstheme="minorBidi"/>
              <w:b w:val="0"/>
              <w:bCs w:val="0"/>
              <w:kern w:val="2"/>
              <w:sz w:val="22"/>
              <w14:ligatures w14:val="standardContextual"/>
            </w:rPr>
          </w:pPr>
          <w:hyperlink w:anchor="_Toc134346725" w:history="1">
            <w:r w:rsidR="00017297" w:rsidRPr="00C348A3">
              <w:rPr>
                <w:rStyle w:val="Hyperlink"/>
              </w:rPr>
              <w:t>List of Tables:</w:t>
            </w:r>
            <w:r w:rsidR="00017297">
              <w:rPr>
                <w:webHidden/>
              </w:rPr>
              <w:tab/>
            </w:r>
            <w:r w:rsidR="00017297">
              <w:rPr>
                <w:webHidden/>
              </w:rPr>
              <w:fldChar w:fldCharType="begin"/>
            </w:r>
            <w:r w:rsidR="00017297">
              <w:rPr>
                <w:webHidden/>
              </w:rPr>
              <w:instrText xml:space="preserve"> PAGEREF _Toc134346725 \h </w:instrText>
            </w:r>
            <w:r w:rsidR="00017297">
              <w:rPr>
                <w:webHidden/>
              </w:rPr>
            </w:r>
            <w:r w:rsidR="00017297">
              <w:rPr>
                <w:webHidden/>
              </w:rPr>
              <w:fldChar w:fldCharType="separate"/>
            </w:r>
            <w:r w:rsidR="00E153CE">
              <w:rPr>
                <w:webHidden/>
              </w:rPr>
              <w:t>xi</w:t>
            </w:r>
            <w:r w:rsidR="00017297">
              <w:rPr>
                <w:webHidden/>
              </w:rPr>
              <w:fldChar w:fldCharType="end"/>
            </w:r>
          </w:hyperlink>
        </w:p>
        <w:p w14:paraId="22ED327D" w14:textId="21B7C2F1" w:rsidR="00017297" w:rsidRDefault="00000000">
          <w:pPr>
            <w:pStyle w:val="TOC1"/>
            <w:rPr>
              <w:rFonts w:asciiTheme="minorHAnsi" w:eastAsiaTheme="minorEastAsia" w:hAnsiTheme="minorHAnsi" w:cstheme="minorBidi"/>
              <w:b w:val="0"/>
              <w:bCs w:val="0"/>
              <w:kern w:val="2"/>
              <w:sz w:val="22"/>
              <w14:ligatures w14:val="standardContextual"/>
            </w:rPr>
          </w:pPr>
          <w:hyperlink w:anchor="_Toc134346726" w:history="1">
            <w:r w:rsidR="00017297" w:rsidRPr="00C348A3">
              <w:rPr>
                <w:rStyle w:val="Hyperlink"/>
              </w:rPr>
              <w:t>Chapter 1: Introduction</w:t>
            </w:r>
            <w:r w:rsidR="00017297">
              <w:rPr>
                <w:webHidden/>
              </w:rPr>
              <w:tab/>
            </w:r>
            <w:r w:rsidR="00017297">
              <w:rPr>
                <w:webHidden/>
              </w:rPr>
              <w:fldChar w:fldCharType="begin"/>
            </w:r>
            <w:r w:rsidR="00017297">
              <w:rPr>
                <w:webHidden/>
              </w:rPr>
              <w:instrText xml:space="preserve"> PAGEREF _Toc134346726 \h </w:instrText>
            </w:r>
            <w:r w:rsidR="00017297">
              <w:rPr>
                <w:webHidden/>
              </w:rPr>
            </w:r>
            <w:r w:rsidR="00017297">
              <w:rPr>
                <w:webHidden/>
              </w:rPr>
              <w:fldChar w:fldCharType="separate"/>
            </w:r>
            <w:r w:rsidR="00E153CE">
              <w:rPr>
                <w:webHidden/>
              </w:rPr>
              <w:t>1</w:t>
            </w:r>
            <w:r w:rsidR="00017297">
              <w:rPr>
                <w:webHidden/>
              </w:rPr>
              <w:fldChar w:fldCharType="end"/>
            </w:r>
          </w:hyperlink>
        </w:p>
        <w:p w14:paraId="00B6A554" w14:textId="1C2E9EC5" w:rsidR="00017297" w:rsidRDefault="00000000">
          <w:pPr>
            <w:pStyle w:val="TOC2"/>
            <w:rPr>
              <w:rFonts w:asciiTheme="minorHAnsi" w:eastAsiaTheme="minorEastAsia" w:hAnsiTheme="minorHAnsi" w:cstheme="minorBidi"/>
              <w:noProof/>
              <w:kern w:val="2"/>
              <w:sz w:val="22"/>
              <w14:ligatures w14:val="standardContextual"/>
            </w:rPr>
          </w:pPr>
          <w:hyperlink w:anchor="_Toc134346727" w:history="1">
            <w:r w:rsidR="00017297" w:rsidRPr="00C348A3">
              <w:rPr>
                <w:rStyle w:val="Hyperlink"/>
                <w:noProof/>
              </w:rPr>
              <w:t>Background of the Problem:</w:t>
            </w:r>
            <w:r w:rsidR="00017297">
              <w:rPr>
                <w:noProof/>
                <w:webHidden/>
              </w:rPr>
              <w:tab/>
            </w:r>
            <w:r w:rsidR="00017297">
              <w:rPr>
                <w:noProof/>
                <w:webHidden/>
              </w:rPr>
              <w:fldChar w:fldCharType="begin"/>
            </w:r>
            <w:r w:rsidR="00017297">
              <w:rPr>
                <w:noProof/>
                <w:webHidden/>
              </w:rPr>
              <w:instrText xml:space="preserve"> PAGEREF _Toc134346727 \h </w:instrText>
            </w:r>
            <w:r w:rsidR="00017297">
              <w:rPr>
                <w:noProof/>
                <w:webHidden/>
              </w:rPr>
            </w:r>
            <w:r w:rsidR="00017297">
              <w:rPr>
                <w:noProof/>
                <w:webHidden/>
              </w:rPr>
              <w:fldChar w:fldCharType="separate"/>
            </w:r>
            <w:r w:rsidR="00E153CE">
              <w:rPr>
                <w:noProof/>
                <w:webHidden/>
              </w:rPr>
              <w:t>1</w:t>
            </w:r>
            <w:r w:rsidR="00017297">
              <w:rPr>
                <w:noProof/>
                <w:webHidden/>
              </w:rPr>
              <w:fldChar w:fldCharType="end"/>
            </w:r>
          </w:hyperlink>
        </w:p>
        <w:p w14:paraId="79F138AA" w14:textId="2CB3684E" w:rsidR="00017297" w:rsidRDefault="00000000">
          <w:pPr>
            <w:pStyle w:val="TOC2"/>
            <w:rPr>
              <w:rFonts w:asciiTheme="minorHAnsi" w:eastAsiaTheme="minorEastAsia" w:hAnsiTheme="minorHAnsi" w:cstheme="minorBidi"/>
              <w:noProof/>
              <w:kern w:val="2"/>
              <w:sz w:val="22"/>
              <w14:ligatures w14:val="standardContextual"/>
            </w:rPr>
          </w:pPr>
          <w:hyperlink w:anchor="_Toc134346728" w:history="1">
            <w:r w:rsidR="00017297" w:rsidRPr="00C348A3">
              <w:rPr>
                <w:rStyle w:val="Hyperlink"/>
                <w:noProof/>
              </w:rPr>
              <w:t>Statement of the Problem:</w:t>
            </w:r>
            <w:r w:rsidR="00017297">
              <w:rPr>
                <w:noProof/>
                <w:webHidden/>
              </w:rPr>
              <w:tab/>
            </w:r>
            <w:r w:rsidR="00017297">
              <w:rPr>
                <w:noProof/>
                <w:webHidden/>
              </w:rPr>
              <w:fldChar w:fldCharType="begin"/>
            </w:r>
            <w:r w:rsidR="00017297">
              <w:rPr>
                <w:noProof/>
                <w:webHidden/>
              </w:rPr>
              <w:instrText xml:space="preserve"> PAGEREF _Toc134346728 \h </w:instrText>
            </w:r>
            <w:r w:rsidR="00017297">
              <w:rPr>
                <w:noProof/>
                <w:webHidden/>
              </w:rPr>
            </w:r>
            <w:r w:rsidR="00017297">
              <w:rPr>
                <w:noProof/>
                <w:webHidden/>
              </w:rPr>
              <w:fldChar w:fldCharType="separate"/>
            </w:r>
            <w:r w:rsidR="00E153CE">
              <w:rPr>
                <w:noProof/>
                <w:webHidden/>
              </w:rPr>
              <w:t>5</w:t>
            </w:r>
            <w:r w:rsidR="00017297">
              <w:rPr>
                <w:noProof/>
                <w:webHidden/>
              </w:rPr>
              <w:fldChar w:fldCharType="end"/>
            </w:r>
          </w:hyperlink>
        </w:p>
        <w:p w14:paraId="3617D7F5" w14:textId="3A976B9C" w:rsidR="00017297" w:rsidRDefault="00000000">
          <w:pPr>
            <w:pStyle w:val="TOC2"/>
            <w:rPr>
              <w:rFonts w:asciiTheme="minorHAnsi" w:eastAsiaTheme="minorEastAsia" w:hAnsiTheme="minorHAnsi" w:cstheme="minorBidi"/>
              <w:noProof/>
              <w:kern w:val="2"/>
              <w:sz w:val="22"/>
              <w14:ligatures w14:val="standardContextual"/>
            </w:rPr>
          </w:pPr>
          <w:hyperlink w:anchor="_Toc134346729" w:history="1">
            <w:r w:rsidR="00017297" w:rsidRPr="00C348A3">
              <w:rPr>
                <w:rStyle w:val="Hyperlink"/>
                <w:noProof/>
              </w:rPr>
              <w:t>Purpose of the Study:</w:t>
            </w:r>
            <w:r w:rsidR="00017297">
              <w:rPr>
                <w:noProof/>
                <w:webHidden/>
              </w:rPr>
              <w:tab/>
            </w:r>
            <w:r w:rsidR="00017297">
              <w:rPr>
                <w:noProof/>
                <w:webHidden/>
              </w:rPr>
              <w:fldChar w:fldCharType="begin"/>
            </w:r>
            <w:r w:rsidR="00017297">
              <w:rPr>
                <w:noProof/>
                <w:webHidden/>
              </w:rPr>
              <w:instrText xml:space="preserve"> PAGEREF _Toc134346729 \h </w:instrText>
            </w:r>
            <w:r w:rsidR="00017297">
              <w:rPr>
                <w:noProof/>
                <w:webHidden/>
              </w:rPr>
            </w:r>
            <w:r w:rsidR="00017297">
              <w:rPr>
                <w:noProof/>
                <w:webHidden/>
              </w:rPr>
              <w:fldChar w:fldCharType="separate"/>
            </w:r>
            <w:r w:rsidR="00E153CE">
              <w:rPr>
                <w:noProof/>
                <w:webHidden/>
              </w:rPr>
              <w:t>6</w:t>
            </w:r>
            <w:r w:rsidR="00017297">
              <w:rPr>
                <w:noProof/>
                <w:webHidden/>
              </w:rPr>
              <w:fldChar w:fldCharType="end"/>
            </w:r>
          </w:hyperlink>
        </w:p>
        <w:p w14:paraId="4BC49D4E" w14:textId="757D22A4" w:rsidR="00017297" w:rsidRDefault="00000000">
          <w:pPr>
            <w:pStyle w:val="TOC2"/>
            <w:rPr>
              <w:rFonts w:asciiTheme="minorHAnsi" w:eastAsiaTheme="minorEastAsia" w:hAnsiTheme="minorHAnsi" w:cstheme="minorBidi"/>
              <w:noProof/>
              <w:kern w:val="2"/>
              <w:sz w:val="22"/>
              <w14:ligatures w14:val="standardContextual"/>
            </w:rPr>
          </w:pPr>
          <w:hyperlink w:anchor="_Toc134346730" w:history="1">
            <w:r w:rsidR="00017297" w:rsidRPr="00C348A3">
              <w:rPr>
                <w:rStyle w:val="Hyperlink"/>
                <w:noProof/>
              </w:rPr>
              <w:t>Primary Research Question:</w:t>
            </w:r>
            <w:r w:rsidR="00017297">
              <w:rPr>
                <w:noProof/>
                <w:webHidden/>
              </w:rPr>
              <w:tab/>
            </w:r>
            <w:r w:rsidR="00017297">
              <w:rPr>
                <w:noProof/>
                <w:webHidden/>
              </w:rPr>
              <w:fldChar w:fldCharType="begin"/>
            </w:r>
            <w:r w:rsidR="00017297">
              <w:rPr>
                <w:noProof/>
                <w:webHidden/>
              </w:rPr>
              <w:instrText xml:space="preserve"> PAGEREF _Toc134346730 \h </w:instrText>
            </w:r>
            <w:r w:rsidR="00017297">
              <w:rPr>
                <w:noProof/>
                <w:webHidden/>
              </w:rPr>
            </w:r>
            <w:r w:rsidR="00017297">
              <w:rPr>
                <w:noProof/>
                <w:webHidden/>
              </w:rPr>
              <w:fldChar w:fldCharType="separate"/>
            </w:r>
            <w:r w:rsidR="00E153CE">
              <w:rPr>
                <w:noProof/>
                <w:webHidden/>
              </w:rPr>
              <w:t>9</w:t>
            </w:r>
            <w:r w:rsidR="00017297">
              <w:rPr>
                <w:noProof/>
                <w:webHidden/>
              </w:rPr>
              <w:fldChar w:fldCharType="end"/>
            </w:r>
          </w:hyperlink>
        </w:p>
        <w:p w14:paraId="50D3A83B" w14:textId="0A6D29DF" w:rsidR="00017297" w:rsidRDefault="00000000">
          <w:pPr>
            <w:pStyle w:val="TOC2"/>
            <w:rPr>
              <w:rFonts w:asciiTheme="minorHAnsi" w:eastAsiaTheme="minorEastAsia" w:hAnsiTheme="minorHAnsi" w:cstheme="minorBidi"/>
              <w:noProof/>
              <w:kern w:val="2"/>
              <w:sz w:val="22"/>
              <w14:ligatures w14:val="standardContextual"/>
            </w:rPr>
          </w:pPr>
          <w:hyperlink w:anchor="_Toc134346731" w:history="1">
            <w:r w:rsidR="00017297" w:rsidRPr="00C348A3">
              <w:rPr>
                <w:rStyle w:val="Hyperlink"/>
                <w:noProof/>
              </w:rPr>
              <w:t>Significance of the Study:</w:t>
            </w:r>
            <w:r w:rsidR="00017297">
              <w:rPr>
                <w:noProof/>
                <w:webHidden/>
              </w:rPr>
              <w:tab/>
            </w:r>
            <w:r w:rsidR="00017297">
              <w:rPr>
                <w:noProof/>
                <w:webHidden/>
              </w:rPr>
              <w:fldChar w:fldCharType="begin"/>
            </w:r>
            <w:r w:rsidR="00017297">
              <w:rPr>
                <w:noProof/>
                <w:webHidden/>
              </w:rPr>
              <w:instrText xml:space="preserve"> PAGEREF _Toc134346731 \h </w:instrText>
            </w:r>
            <w:r w:rsidR="00017297">
              <w:rPr>
                <w:noProof/>
                <w:webHidden/>
              </w:rPr>
            </w:r>
            <w:r w:rsidR="00017297">
              <w:rPr>
                <w:noProof/>
                <w:webHidden/>
              </w:rPr>
              <w:fldChar w:fldCharType="separate"/>
            </w:r>
            <w:r w:rsidR="00E153CE">
              <w:rPr>
                <w:noProof/>
                <w:webHidden/>
              </w:rPr>
              <w:t>12</w:t>
            </w:r>
            <w:r w:rsidR="00017297">
              <w:rPr>
                <w:noProof/>
                <w:webHidden/>
              </w:rPr>
              <w:fldChar w:fldCharType="end"/>
            </w:r>
          </w:hyperlink>
        </w:p>
        <w:p w14:paraId="62E9B2AD" w14:textId="346AE042" w:rsidR="00017297" w:rsidRDefault="00000000">
          <w:pPr>
            <w:pStyle w:val="TOC2"/>
            <w:rPr>
              <w:rFonts w:asciiTheme="minorHAnsi" w:eastAsiaTheme="minorEastAsia" w:hAnsiTheme="minorHAnsi" w:cstheme="minorBidi"/>
              <w:noProof/>
              <w:kern w:val="2"/>
              <w:sz w:val="22"/>
              <w14:ligatures w14:val="standardContextual"/>
            </w:rPr>
          </w:pPr>
          <w:hyperlink w:anchor="_Toc134346732" w:history="1">
            <w:r w:rsidR="00017297" w:rsidRPr="00C348A3">
              <w:rPr>
                <w:rStyle w:val="Hyperlink"/>
                <w:noProof/>
              </w:rPr>
              <w:t>Description of the Chapters:</w:t>
            </w:r>
            <w:r w:rsidR="00017297">
              <w:rPr>
                <w:noProof/>
                <w:webHidden/>
              </w:rPr>
              <w:tab/>
            </w:r>
            <w:r w:rsidR="00017297">
              <w:rPr>
                <w:noProof/>
                <w:webHidden/>
              </w:rPr>
              <w:fldChar w:fldCharType="begin"/>
            </w:r>
            <w:r w:rsidR="00017297">
              <w:rPr>
                <w:noProof/>
                <w:webHidden/>
              </w:rPr>
              <w:instrText xml:space="preserve"> PAGEREF _Toc134346732 \h </w:instrText>
            </w:r>
            <w:r w:rsidR="00017297">
              <w:rPr>
                <w:noProof/>
                <w:webHidden/>
              </w:rPr>
            </w:r>
            <w:r w:rsidR="00017297">
              <w:rPr>
                <w:noProof/>
                <w:webHidden/>
              </w:rPr>
              <w:fldChar w:fldCharType="separate"/>
            </w:r>
            <w:r w:rsidR="00E153CE">
              <w:rPr>
                <w:noProof/>
                <w:webHidden/>
              </w:rPr>
              <w:t>13</w:t>
            </w:r>
            <w:r w:rsidR="00017297">
              <w:rPr>
                <w:noProof/>
                <w:webHidden/>
              </w:rPr>
              <w:fldChar w:fldCharType="end"/>
            </w:r>
          </w:hyperlink>
        </w:p>
        <w:p w14:paraId="3A788F7C" w14:textId="031CBD36" w:rsidR="00017297" w:rsidRDefault="00000000">
          <w:pPr>
            <w:pStyle w:val="TOC1"/>
            <w:rPr>
              <w:rFonts w:asciiTheme="minorHAnsi" w:eastAsiaTheme="minorEastAsia" w:hAnsiTheme="minorHAnsi" w:cstheme="minorBidi"/>
              <w:b w:val="0"/>
              <w:bCs w:val="0"/>
              <w:kern w:val="2"/>
              <w:sz w:val="22"/>
              <w14:ligatures w14:val="standardContextual"/>
            </w:rPr>
          </w:pPr>
          <w:hyperlink w:anchor="_Toc134346733" w:history="1">
            <w:r w:rsidR="00017297" w:rsidRPr="00C348A3">
              <w:rPr>
                <w:rStyle w:val="Hyperlink"/>
              </w:rPr>
              <w:t>Chapter 2: Literature Review</w:t>
            </w:r>
            <w:r w:rsidR="00017297">
              <w:rPr>
                <w:webHidden/>
              </w:rPr>
              <w:tab/>
            </w:r>
            <w:r w:rsidR="00017297">
              <w:rPr>
                <w:webHidden/>
              </w:rPr>
              <w:fldChar w:fldCharType="begin"/>
            </w:r>
            <w:r w:rsidR="00017297">
              <w:rPr>
                <w:webHidden/>
              </w:rPr>
              <w:instrText xml:space="preserve"> PAGEREF _Toc134346733 \h </w:instrText>
            </w:r>
            <w:r w:rsidR="00017297">
              <w:rPr>
                <w:webHidden/>
              </w:rPr>
            </w:r>
            <w:r w:rsidR="00017297">
              <w:rPr>
                <w:webHidden/>
              </w:rPr>
              <w:fldChar w:fldCharType="separate"/>
            </w:r>
            <w:r w:rsidR="00E153CE">
              <w:rPr>
                <w:webHidden/>
              </w:rPr>
              <w:t>15</w:t>
            </w:r>
            <w:r w:rsidR="00017297">
              <w:rPr>
                <w:webHidden/>
              </w:rPr>
              <w:fldChar w:fldCharType="end"/>
            </w:r>
          </w:hyperlink>
        </w:p>
        <w:p w14:paraId="3E254C75" w14:textId="350777D0" w:rsidR="00017297" w:rsidRDefault="00000000">
          <w:pPr>
            <w:pStyle w:val="TOC2"/>
            <w:rPr>
              <w:rFonts w:asciiTheme="minorHAnsi" w:eastAsiaTheme="minorEastAsia" w:hAnsiTheme="minorHAnsi" w:cstheme="minorBidi"/>
              <w:noProof/>
              <w:kern w:val="2"/>
              <w:sz w:val="22"/>
              <w14:ligatures w14:val="standardContextual"/>
            </w:rPr>
          </w:pPr>
          <w:hyperlink w:anchor="_Toc134346734" w:history="1">
            <w:r w:rsidR="00017297" w:rsidRPr="00C348A3">
              <w:rPr>
                <w:rStyle w:val="Hyperlink"/>
                <w:noProof/>
              </w:rPr>
              <w:t>Introduction:</w:t>
            </w:r>
            <w:r w:rsidR="00017297">
              <w:rPr>
                <w:noProof/>
                <w:webHidden/>
              </w:rPr>
              <w:tab/>
            </w:r>
            <w:r w:rsidR="00017297">
              <w:rPr>
                <w:noProof/>
                <w:webHidden/>
              </w:rPr>
              <w:fldChar w:fldCharType="begin"/>
            </w:r>
            <w:r w:rsidR="00017297">
              <w:rPr>
                <w:noProof/>
                <w:webHidden/>
              </w:rPr>
              <w:instrText xml:space="preserve"> PAGEREF _Toc134346734 \h </w:instrText>
            </w:r>
            <w:r w:rsidR="00017297">
              <w:rPr>
                <w:noProof/>
                <w:webHidden/>
              </w:rPr>
            </w:r>
            <w:r w:rsidR="00017297">
              <w:rPr>
                <w:noProof/>
                <w:webHidden/>
              </w:rPr>
              <w:fldChar w:fldCharType="separate"/>
            </w:r>
            <w:r w:rsidR="00E153CE">
              <w:rPr>
                <w:noProof/>
                <w:webHidden/>
              </w:rPr>
              <w:t>15</w:t>
            </w:r>
            <w:r w:rsidR="00017297">
              <w:rPr>
                <w:noProof/>
                <w:webHidden/>
              </w:rPr>
              <w:fldChar w:fldCharType="end"/>
            </w:r>
          </w:hyperlink>
        </w:p>
        <w:p w14:paraId="37F2F820" w14:textId="6D62C6AE" w:rsidR="00017297" w:rsidRDefault="00000000">
          <w:pPr>
            <w:pStyle w:val="TOC2"/>
            <w:rPr>
              <w:rFonts w:asciiTheme="minorHAnsi" w:eastAsiaTheme="minorEastAsia" w:hAnsiTheme="minorHAnsi" w:cstheme="minorBidi"/>
              <w:noProof/>
              <w:kern w:val="2"/>
              <w:sz w:val="22"/>
              <w14:ligatures w14:val="standardContextual"/>
            </w:rPr>
          </w:pPr>
          <w:hyperlink w:anchor="_Toc134346735" w:history="1">
            <w:r w:rsidR="00017297" w:rsidRPr="00C348A3">
              <w:rPr>
                <w:rStyle w:val="Hyperlink"/>
                <w:noProof/>
              </w:rPr>
              <w:t>Part 1: Traditional Market Failure/ Externalities Theory</w:t>
            </w:r>
            <w:r w:rsidR="00017297">
              <w:rPr>
                <w:noProof/>
                <w:webHidden/>
              </w:rPr>
              <w:tab/>
            </w:r>
            <w:r w:rsidR="00017297">
              <w:rPr>
                <w:noProof/>
                <w:webHidden/>
              </w:rPr>
              <w:fldChar w:fldCharType="begin"/>
            </w:r>
            <w:r w:rsidR="00017297">
              <w:rPr>
                <w:noProof/>
                <w:webHidden/>
              </w:rPr>
              <w:instrText xml:space="preserve"> PAGEREF _Toc134346735 \h </w:instrText>
            </w:r>
            <w:r w:rsidR="00017297">
              <w:rPr>
                <w:noProof/>
                <w:webHidden/>
              </w:rPr>
            </w:r>
            <w:r w:rsidR="00017297">
              <w:rPr>
                <w:noProof/>
                <w:webHidden/>
              </w:rPr>
              <w:fldChar w:fldCharType="separate"/>
            </w:r>
            <w:r w:rsidR="00E153CE">
              <w:rPr>
                <w:noProof/>
                <w:webHidden/>
              </w:rPr>
              <w:t>15</w:t>
            </w:r>
            <w:r w:rsidR="00017297">
              <w:rPr>
                <w:noProof/>
                <w:webHidden/>
              </w:rPr>
              <w:fldChar w:fldCharType="end"/>
            </w:r>
          </w:hyperlink>
        </w:p>
        <w:p w14:paraId="7F25B25F" w14:textId="49F97E00" w:rsidR="00017297" w:rsidRDefault="00000000">
          <w:pPr>
            <w:pStyle w:val="TOC2"/>
            <w:rPr>
              <w:rFonts w:asciiTheme="minorHAnsi" w:eastAsiaTheme="minorEastAsia" w:hAnsiTheme="minorHAnsi" w:cstheme="minorBidi"/>
              <w:noProof/>
              <w:kern w:val="2"/>
              <w:sz w:val="22"/>
              <w14:ligatures w14:val="standardContextual"/>
            </w:rPr>
          </w:pPr>
          <w:hyperlink w:anchor="_Toc134346736" w:history="1">
            <w:r w:rsidR="00017297" w:rsidRPr="00C348A3">
              <w:rPr>
                <w:rStyle w:val="Hyperlink"/>
                <w:noProof/>
              </w:rPr>
              <w:t>Part 2: Codification of US Eminent Domain Policy Orthodoxy</w:t>
            </w:r>
            <w:r w:rsidR="00017297">
              <w:rPr>
                <w:noProof/>
                <w:webHidden/>
              </w:rPr>
              <w:tab/>
            </w:r>
            <w:r w:rsidR="00017297">
              <w:rPr>
                <w:noProof/>
                <w:webHidden/>
              </w:rPr>
              <w:fldChar w:fldCharType="begin"/>
            </w:r>
            <w:r w:rsidR="00017297">
              <w:rPr>
                <w:noProof/>
                <w:webHidden/>
              </w:rPr>
              <w:instrText xml:space="preserve"> PAGEREF _Toc134346736 \h </w:instrText>
            </w:r>
            <w:r w:rsidR="00017297">
              <w:rPr>
                <w:noProof/>
                <w:webHidden/>
              </w:rPr>
            </w:r>
            <w:r w:rsidR="00017297">
              <w:rPr>
                <w:noProof/>
                <w:webHidden/>
              </w:rPr>
              <w:fldChar w:fldCharType="separate"/>
            </w:r>
            <w:r w:rsidR="00E153CE">
              <w:rPr>
                <w:noProof/>
                <w:webHidden/>
              </w:rPr>
              <w:t>20</w:t>
            </w:r>
            <w:r w:rsidR="00017297">
              <w:rPr>
                <w:noProof/>
                <w:webHidden/>
              </w:rPr>
              <w:fldChar w:fldCharType="end"/>
            </w:r>
          </w:hyperlink>
        </w:p>
        <w:p w14:paraId="6438E30A" w14:textId="21E921DF" w:rsidR="00017297" w:rsidRDefault="00000000">
          <w:pPr>
            <w:pStyle w:val="TOC2"/>
            <w:rPr>
              <w:rFonts w:asciiTheme="minorHAnsi" w:eastAsiaTheme="minorEastAsia" w:hAnsiTheme="minorHAnsi" w:cstheme="minorBidi"/>
              <w:noProof/>
              <w:kern w:val="2"/>
              <w:sz w:val="22"/>
              <w14:ligatures w14:val="standardContextual"/>
            </w:rPr>
          </w:pPr>
          <w:hyperlink w:anchor="_Toc134346737" w:history="1">
            <w:r w:rsidR="00017297" w:rsidRPr="00C348A3">
              <w:rPr>
                <w:rStyle w:val="Hyperlink"/>
                <w:noProof/>
              </w:rPr>
              <w:t>Part 3: Heterodox/Grounded Theory Research Methods</w:t>
            </w:r>
            <w:r w:rsidR="00017297">
              <w:rPr>
                <w:noProof/>
                <w:webHidden/>
              </w:rPr>
              <w:tab/>
            </w:r>
            <w:r w:rsidR="00017297">
              <w:rPr>
                <w:noProof/>
                <w:webHidden/>
              </w:rPr>
              <w:fldChar w:fldCharType="begin"/>
            </w:r>
            <w:r w:rsidR="00017297">
              <w:rPr>
                <w:noProof/>
                <w:webHidden/>
              </w:rPr>
              <w:instrText xml:space="preserve"> PAGEREF _Toc134346737 \h </w:instrText>
            </w:r>
            <w:r w:rsidR="00017297">
              <w:rPr>
                <w:noProof/>
                <w:webHidden/>
              </w:rPr>
            </w:r>
            <w:r w:rsidR="00017297">
              <w:rPr>
                <w:noProof/>
                <w:webHidden/>
              </w:rPr>
              <w:fldChar w:fldCharType="separate"/>
            </w:r>
            <w:r w:rsidR="00E153CE">
              <w:rPr>
                <w:noProof/>
                <w:webHidden/>
              </w:rPr>
              <w:t>23</w:t>
            </w:r>
            <w:r w:rsidR="00017297">
              <w:rPr>
                <w:noProof/>
                <w:webHidden/>
              </w:rPr>
              <w:fldChar w:fldCharType="end"/>
            </w:r>
          </w:hyperlink>
        </w:p>
        <w:p w14:paraId="756AF2A3" w14:textId="30DBCF27" w:rsidR="00017297" w:rsidRDefault="00000000">
          <w:pPr>
            <w:pStyle w:val="TOC1"/>
            <w:rPr>
              <w:rFonts w:asciiTheme="minorHAnsi" w:eastAsiaTheme="minorEastAsia" w:hAnsiTheme="minorHAnsi" w:cstheme="minorBidi"/>
              <w:b w:val="0"/>
              <w:bCs w:val="0"/>
              <w:kern w:val="2"/>
              <w:sz w:val="22"/>
              <w14:ligatures w14:val="standardContextual"/>
            </w:rPr>
          </w:pPr>
          <w:hyperlink w:anchor="_Toc134346738" w:history="1">
            <w:r w:rsidR="00017297" w:rsidRPr="00C348A3">
              <w:rPr>
                <w:rStyle w:val="Hyperlink"/>
              </w:rPr>
              <w:t>Chapter 3: Historical Case Studies</w:t>
            </w:r>
            <w:r w:rsidR="00017297">
              <w:rPr>
                <w:webHidden/>
              </w:rPr>
              <w:tab/>
            </w:r>
            <w:r w:rsidR="00017297">
              <w:rPr>
                <w:webHidden/>
              </w:rPr>
              <w:fldChar w:fldCharType="begin"/>
            </w:r>
            <w:r w:rsidR="00017297">
              <w:rPr>
                <w:webHidden/>
              </w:rPr>
              <w:instrText xml:space="preserve"> PAGEREF _Toc134346738 \h </w:instrText>
            </w:r>
            <w:r w:rsidR="00017297">
              <w:rPr>
                <w:webHidden/>
              </w:rPr>
            </w:r>
            <w:r w:rsidR="00017297">
              <w:rPr>
                <w:webHidden/>
              </w:rPr>
              <w:fldChar w:fldCharType="separate"/>
            </w:r>
            <w:r w:rsidR="00E153CE">
              <w:rPr>
                <w:webHidden/>
              </w:rPr>
              <w:t>29</w:t>
            </w:r>
            <w:r w:rsidR="00017297">
              <w:rPr>
                <w:webHidden/>
              </w:rPr>
              <w:fldChar w:fldCharType="end"/>
            </w:r>
          </w:hyperlink>
        </w:p>
        <w:p w14:paraId="22EB48A9" w14:textId="4856C151" w:rsidR="00017297" w:rsidRDefault="00000000">
          <w:pPr>
            <w:pStyle w:val="TOC2"/>
            <w:rPr>
              <w:rFonts w:asciiTheme="minorHAnsi" w:eastAsiaTheme="minorEastAsia" w:hAnsiTheme="minorHAnsi" w:cstheme="minorBidi"/>
              <w:noProof/>
              <w:kern w:val="2"/>
              <w:sz w:val="22"/>
              <w14:ligatures w14:val="standardContextual"/>
            </w:rPr>
          </w:pPr>
          <w:hyperlink w:anchor="_Toc134346739" w:history="1">
            <w:r w:rsidR="00017297" w:rsidRPr="00C348A3">
              <w:rPr>
                <w:rStyle w:val="Hyperlink"/>
                <w:noProof/>
              </w:rPr>
              <w:t>Case Study #1: Columbia, Maryland (1962-1965) James Rouse Developer</w:t>
            </w:r>
            <w:r w:rsidR="00017297">
              <w:rPr>
                <w:noProof/>
                <w:webHidden/>
              </w:rPr>
              <w:tab/>
            </w:r>
            <w:r w:rsidR="00017297">
              <w:rPr>
                <w:noProof/>
                <w:webHidden/>
              </w:rPr>
              <w:fldChar w:fldCharType="begin"/>
            </w:r>
            <w:r w:rsidR="00017297">
              <w:rPr>
                <w:noProof/>
                <w:webHidden/>
              </w:rPr>
              <w:instrText xml:space="preserve"> PAGEREF _Toc134346739 \h </w:instrText>
            </w:r>
            <w:r w:rsidR="00017297">
              <w:rPr>
                <w:noProof/>
                <w:webHidden/>
              </w:rPr>
            </w:r>
            <w:r w:rsidR="00017297">
              <w:rPr>
                <w:noProof/>
                <w:webHidden/>
              </w:rPr>
              <w:fldChar w:fldCharType="separate"/>
            </w:r>
            <w:r w:rsidR="00E153CE">
              <w:rPr>
                <w:noProof/>
                <w:webHidden/>
              </w:rPr>
              <w:t>29</w:t>
            </w:r>
            <w:r w:rsidR="00017297">
              <w:rPr>
                <w:noProof/>
                <w:webHidden/>
              </w:rPr>
              <w:fldChar w:fldCharType="end"/>
            </w:r>
          </w:hyperlink>
        </w:p>
        <w:p w14:paraId="374F2F2C" w14:textId="02EE5660" w:rsidR="00017297" w:rsidRDefault="00000000">
          <w:pPr>
            <w:pStyle w:val="TOC2"/>
            <w:rPr>
              <w:rFonts w:asciiTheme="minorHAnsi" w:eastAsiaTheme="minorEastAsia" w:hAnsiTheme="minorHAnsi" w:cstheme="minorBidi"/>
              <w:noProof/>
              <w:kern w:val="2"/>
              <w:sz w:val="22"/>
              <w14:ligatures w14:val="standardContextual"/>
            </w:rPr>
          </w:pPr>
          <w:hyperlink w:anchor="_Toc134346740" w:history="1">
            <w:r w:rsidR="00017297" w:rsidRPr="00C348A3">
              <w:rPr>
                <w:rStyle w:val="Hyperlink"/>
                <w:noProof/>
              </w:rPr>
              <w:t xml:space="preserve">Case Study #2: Walt Disneyworld, FL (1964-1967) </w:t>
            </w:r>
            <w:r w:rsidR="00017297" w:rsidRPr="00C348A3">
              <w:rPr>
                <w:rStyle w:val="Hyperlink"/>
                <w:rFonts w:cs="Times New Roman"/>
                <w:noProof/>
              </w:rPr>
              <w:t>Walt Disney Developer</w:t>
            </w:r>
            <w:r w:rsidR="00017297">
              <w:rPr>
                <w:noProof/>
                <w:webHidden/>
              </w:rPr>
              <w:tab/>
            </w:r>
            <w:r w:rsidR="00017297">
              <w:rPr>
                <w:noProof/>
                <w:webHidden/>
              </w:rPr>
              <w:fldChar w:fldCharType="begin"/>
            </w:r>
            <w:r w:rsidR="00017297">
              <w:rPr>
                <w:noProof/>
                <w:webHidden/>
              </w:rPr>
              <w:instrText xml:space="preserve"> PAGEREF _Toc134346740 \h </w:instrText>
            </w:r>
            <w:r w:rsidR="00017297">
              <w:rPr>
                <w:noProof/>
                <w:webHidden/>
              </w:rPr>
            </w:r>
            <w:r w:rsidR="00017297">
              <w:rPr>
                <w:noProof/>
                <w:webHidden/>
              </w:rPr>
              <w:fldChar w:fldCharType="separate"/>
            </w:r>
            <w:r w:rsidR="00E153CE">
              <w:rPr>
                <w:noProof/>
                <w:webHidden/>
              </w:rPr>
              <w:t>44</w:t>
            </w:r>
            <w:r w:rsidR="00017297">
              <w:rPr>
                <w:noProof/>
                <w:webHidden/>
              </w:rPr>
              <w:fldChar w:fldCharType="end"/>
            </w:r>
          </w:hyperlink>
        </w:p>
        <w:p w14:paraId="73D1722A" w14:textId="66368DF8" w:rsidR="00017297" w:rsidRDefault="00000000">
          <w:pPr>
            <w:pStyle w:val="TOC2"/>
            <w:rPr>
              <w:rFonts w:asciiTheme="minorHAnsi" w:eastAsiaTheme="minorEastAsia" w:hAnsiTheme="minorHAnsi" w:cstheme="minorBidi"/>
              <w:noProof/>
              <w:kern w:val="2"/>
              <w:sz w:val="22"/>
              <w14:ligatures w14:val="standardContextual"/>
            </w:rPr>
          </w:pPr>
          <w:hyperlink w:anchor="_Toc134346741" w:history="1">
            <w:r w:rsidR="00017297" w:rsidRPr="00C348A3">
              <w:rPr>
                <w:rStyle w:val="Hyperlink"/>
                <w:noProof/>
              </w:rPr>
              <w:t>Case Study #3: World Trade Center, NYC (1961-72) Guy Tozzoli Project Manager</w:t>
            </w:r>
            <w:r w:rsidR="00017297">
              <w:rPr>
                <w:noProof/>
                <w:webHidden/>
              </w:rPr>
              <w:tab/>
            </w:r>
            <w:r w:rsidR="00017297">
              <w:rPr>
                <w:noProof/>
                <w:webHidden/>
              </w:rPr>
              <w:fldChar w:fldCharType="begin"/>
            </w:r>
            <w:r w:rsidR="00017297">
              <w:rPr>
                <w:noProof/>
                <w:webHidden/>
              </w:rPr>
              <w:instrText xml:space="preserve"> PAGEREF _Toc134346741 \h </w:instrText>
            </w:r>
            <w:r w:rsidR="00017297">
              <w:rPr>
                <w:noProof/>
                <w:webHidden/>
              </w:rPr>
            </w:r>
            <w:r w:rsidR="00017297">
              <w:rPr>
                <w:noProof/>
                <w:webHidden/>
              </w:rPr>
              <w:fldChar w:fldCharType="separate"/>
            </w:r>
            <w:r w:rsidR="00E153CE">
              <w:rPr>
                <w:noProof/>
                <w:webHidden/>
              </w:rPr>
              <w:t>50</w:t>
            </w:r>
            <w:r w:rsidR="00017297">
              <w:rPr>
                <w:noProof/>
                <w:webHidden/>
              </w:rPr>
              <w:fldChar w:fldCharType="end"/>
            </w:r>
          </w:hyperlink>
        </w:p>
        <w:p w14:paraId="4515A487" w14:textId="281BF48A" w:rsidR="00017297" w:rsidRDefault="00000000">
          <w:pPr>
            <w:pStyle w:val="TOC1"/>
            <w:rPr>
              <w:rFonts w:asciiTheme="minorHAnsi" w:eastAsiaTheme="minorEastAsia" w:hAnsiTheme="minorHAnsi" w:cstheme="minorBidi"/>
              <w:b w:val="0"/>
              <w:bCs w:val="0"/>
              <w:kern w:val="2"/>
              <w:sz w:val="22"/>
              <w14:ligatures w14:val="standardContextual"/>
            </w:rPr>
          </w:pPr>
          <w:hyperlink w:anchor="_Toc134346742" w:history="1">
            <w:r w:rsidR="00017297" w:rsidRPr="00C348A3">
              <w:rPr>
                <w:rStyle w:val="Hyperlink"/>
              </w:rPr>
              <w:t>Chapter 4: IRB Interview Study Results</w:t>
            </w:r>
            <w:r w:rsidR="00017297">
              <w:rPr>
                <w:webHidden/>
              </w:rPr>
              <w:tab/>
            </w:r>
            <w:r w:rsidR="00017297">
              <w:rPr>
                <w:webHidden/>
              </w:rPr>
              <w:fldChar w:fldCharType="begin"/>
            </w:r>
            <w:r w:rsidR="00017297">
              <w:rPr>
                <w:webHidden/>
              </w:rPr>
              <w:instrText xml:space="preserve"> PAGEREF _Toc134346742 \h </w:instrText>
            </w:r>
            <w:r w:rsidR="00017297">
              <w:rPr>
                <w:webHidden/>
              </w:rPr>
            </w:r>
            <w:r w:rsidR="00017297">
              <w:rPr>
                <w:webHidden/>
              </w:rPr>
              <w:fldChar w:fldCharType="separate"/>
            </w:r>
            <w:r w:rsidR="00E153CE">
              <w:rPr>
                <w:webHidden/>
              </w:rPr>
              <w:t>62</w:t>
            </w:r>
            <w:r w:rsidR="00017297">
              <w:rPr>
                <w:webHidden/>
              </w:rPr>
              <w:fldChar w:fldCharType="end"/>
            </w:r>
          </w:hyperlink>
        </w:p>
        <w:p w14:paraId="6A559ED7" w14:textId="1A8143A9" w:rsidR="00017297" w:rsidRDefault="00000000">
          <w:pPr>
            <w:pStyle w:val="TOC2"/>
            <w:rPr>
              <w:rFonts w:asciiTheme="minorHAnsi" w:eastAsiaTheme="minorEastAsia" w:hAnsiTheme="minorHAnsi" w:cstheme="minorBidi"/>
              <w:noProof/>
              <w:kern w:val="2"/>
              <w:sz w:val="22"/>
              <w14:ligatures w14:val="standardContextual"/>
            </w:rPr>
          </w:pPr>
          <w:hyperlink w:anchor="_Toc134346743" w:history="1">
            <w:r w:rsidR="00017297" w:rsidRPr="00C348A3">
              <w:rPr>
                <w:rStyle w:val="Hyperlink"/>
                <w:noProof/>
              </w:rPr>
              <w:t>IRB Research Interview Design Methodology:</w:t>
            </w:r>
            <w:r w:rsidR="00017297">
              <w:rPr>
                <w:noProof/>
                <w:webHidden/>
              </w:rPr>
              <w:tab/>
            </w:r>
            <w:r w:rsidR="00017297">
              <w:rPr>
                <w:noProof/>
                <w:webHidden/>
              </w:rPr>
              <w:fldChar w:fldCharType="begin"/>
            </w:r>
            <w:r w:rsidR="00017297">
              <w:rPr>
                <w:noProof/>
                <w:webHidden/>
              </w:rPr>
              <w:instrText xml:space="preserve"> PAGEREF _Toc134346743 \h </w:instrText>
            </w:r>
            <w:r w:rsidR="00017297">
              <w:rPr>
                <w:noProof/>
                <w:webHidden/>
              </w:rPr>
            </w:r>
            <w:r w:rsidR="00017297">
              <w:rPr>
                <w:noProof/>
                <w:webHidden/>
              </w:rPr>
              <w:fldChar w:fldCharType="separate"/>
            </w:r>
            <w:r w:rsidR="00E153CE">
              <w:rPr>
                <w:noProof/>
                <w:webHidden/>
              </w:rPr>
              <w:t>62</w:t>
            </w:r>
            <w:r w:rsidR="00017297">
              <w:rPr>
                <w:noProof/>
                <w:webHidden/>
              </w:rPr>
              <w:fldChar w:fldCharType="end"/>
            </w:r>
          </w:hyperlink>
        </w:p>
        <w:p w14:paraId="71BB891A" w14:textId="5BB0F953" w:rsidR="00017297" w:rsidRDefault="00000000">
          <w:pPr>
            <w:pStyle w:val="TOC2"/>
            <w:rPr>
              <w:rFonts w:asciiTheme="minorHAnsi" w:eastAsiaTheme="minorEastAsia" w:hAnsiTheme="minorHAnsi" w:cstheme="minorBidi"/>
              <w:noProof/>
              <w:kern w:val="2"/>
              <w:sz w:val="22"/>
              <w14:ligatures w14:val="standardContextual"/>
            </w:rPr>
          </w:pPr>
          <w:hyperlink w:anchor="_Toc134346744" w:history="1">
            <w:r w:rsidR="00017297" w:rsidRPr="00C348A3">
              <w:rPr>
                <w:rStyle w:val="Hyperlink"/>
                <w:noProof/>
              </w:rPr>
              <w:t>IRB Study #1: Memorial Stadium Expansion Project Univ of OK -Norman (2005)</w:t>
            </w:r>
            <w:r w:rsidR="00017297">
              <w:rPr>
                <w:noProof/>
                <w:webHidden/>
              </w:rPr>
              <w:tab/>
            </w:r>
            <w:r w:rsidR="00017297">
              <w:rPr>
                <w:noProof/>
                <w:webHidden/>
              </w:rPr>
              <w:fldChar w:fldCharType="begin"/>
            </w:r>
            <w:r w:rsidR="00017297">
              <w:rPr>
                <w:noProof/>
                <w:webHidden/>
              </w:rPr>
              <w:instrText xml:space="preserve"> PAGEREF _Toc134346744 \h </w:instrText>
            </w:r>
            <w:r w:rsidR="00017297">
              <w:rPr>
                <w:noProof/>
                <w:webHidden/>
              </w:rPr>
            </w:r>
            <w:r w:rsidR="00017297">
              <w:rPr>
                <w:noProof/>
                <w:webHidden/>
              </w:rPr>
              <w:fldChar w:fldCharType="separate"/>
            </w:r>
            <w:r w:rsidR="00E153CE">
              <w:rPr>
                <w:noProof/>
                <w:webHidden/>
              </w:rPr>
              <w:t>63</w:t>
            </w:r>
            <w:r w:rsidR="00017297">
              <w:rPr>
                <w:noProof/>
                <w:webHidden/>
              </w:rPr>
              <w:fldChar w:fldCharType="end"/>
            </w:r>
          </w:hyperlink>
        </w:p>
        <w:p w14:paraId="428792F8" w14:textId="21D59E61" w:rsidR="00017297" w:rsidRDefault="00000000">
          <w:pPr>
            <w:pStyle w:val="TOC2"/>
            <w:rPr>
              <w:rFonts w:asciiTheme="minorHAnsi" w:eastAsiaTheme="minorEastAsia" w:hAnsiTheme="minorHAnsi" w:cstheme="minorBidi"/>
              <w:noProof/>
              <w:kern w:val="2"/>
              <w:sz w:val="22"/>
              <w14:ligatures w14:val="standardContextual"/>
            </w:rPr>
          </w:pPr>
          <w:hyperlink w:anchor="_Toc134346745" w:history="1">
            <w:r w:rsidR="00017297" w:rsidRPr="00C348A3">
              <w:rPr>
                <w:rStyle w:val="Hyperlink"/>
                <w:noProof/>
              </w:rPr>
              <w:t>IRB Study #2: BLACKLAND Transitional Housing Project UT-Austin (2005)</w:t>
            </w:r>
            <w:r w:rsidR="00017297">
              <w:rPr>
                <w:noProof/>
                <w:webHidden/>
              </w:rPr>
              <w:tab/>
            </w:r>
            <w:r w:rsidR="00017297">
              <w:rPr>
                <w:noProof/>
                <w:webHidden/>
              </w:rPr>
              <w:fldChar w:fldCharType="begin"/>
            </w:r>
            <w:r w:rsidR="00017297">
              <w:rPr>
                <w:noProof/>
                <w:webHidden/>
              </w:rPr>
              <w:instrText xml:space="preserve"> PAGEREF _Toc134346745 \h </w:instrText>
            </w:r>
            <w:r w:rsidR="00017297">
              <w:rPr>
                <w:noProof/>
                <w:webHidden/>
              </w:rPr>
            </w:r>
            <w:r w:rsidR="00017297">
              <w:rPr>
                <w:noProof/>
                <w:webHidden/>
              </w:rPr>
              <w:fldChar w:fldCharType="separate"/>
            </w:r>
            <w:r w:rsidR="00E153CE">
              <w:rPr>
                <w:noProof/>
                <w:webHidden/>
              </w:rPr>
              <w:t>66</w:t>
            </w:r>
            <w:r w:rsidR="00017297">
              <w:rPr>
                <w:noProof/>
                <w:webHidden/>
              </w:rPr>
              <w:fldChar w:fldCharType="end"/>
            </w:r>
          </w:hyperlink>
        </w:p>
        <w:p w14:paraId="661E1CEB" w14:textId="278D9591" w:rsidR="00017297" w:rsidRDefault="00000000">
          <w:pPr>
            <w:pStyle w:val="TOC2"/>
            <w:rPr>
              <w:rFonts w:asciiTheme="minorHAnsi" w:eastAsiaTheme="minorEastAsia" w:hAnsiTheme="minorHAnsi" w:cstheme="minorBidi"/>
              <w:noProof/>
              <w:kern w:val="2"/>
              <w:sz w:val="22"/>
              <w14:ligatures w14:val="standardContextual"/>
            </w:rPr>
          </w:pPr>
          <w:hyperlink w:anchor="_Toc134346746" w:history="1">
            <w:r w:rsidR="00017297" w:rsidRPr="00C348A3">
              <w:rPr>
                <w:rStyle w:val="Hyperlink"/>
                <w:noProof/>
              </w:rPr>
              <w:t>IRB Study #3: South Campus Expansion Project UI-Urbana-Champaign (2006)</w:t>
            </w:r>
            <w:r w:rsidR="00017297">
              <w:rPr>
                <w:noProof/>
                <w:webHidden/>
              </w:rPr>
              <w:tab/>
            </w:r>
            <w:r w:rsidR="00017297">
              <w:rPr>
                <w:noProof/>
                <w:webHidden/>
              </w:rPr>
              <w:fldChar w:fldCharType="begin"/>
            </w:r>
            <w:r w:rsidR="00017297">
              <w:rPr>
                <w:noProof/>
                <w:webHidden/>
              </w:rPr>
              <w:instrText xml:space="preserve"> PAGEREF _Toc134346746 \h </w:instrText>
            </w:r>
            <w:r w:rsidR="00017297">
              <w:rPr>
                <w:noProof/>
                <w:webHidden/>
              </w:rPr>
            </w:r>
            <w:r w:rsidR="00017297">
              <w:rPr>
                <w:noProof/>
                <w:webHidden/>
              </w:rPr>
              <w:fldChar w:fldCharType="separate"/>
            </w:r>
            <w:r w:rsidR="00E153CE">
              <w:rPr>
                <w:noProof/>
                <w:webHidden/>
              </w:rPr>
              <w:t>72</w:t>
            </w:r>
            <w:r w:rsidR="00017297">
              <w:rPr>
                <w:noProof/>
                <w:webHidden/>
              </w:rPr>
              <w:fldChar w:fldCharType="end"/>
            </w:r>
          </w:hyperlink>
        </w:p>
        <w:p w14:paraId="2C4841A2" w14:textId="57E7A53B" w:rsidR="00017297" w:rsidRDefault="00000000">
          <w:pPr>
            <w:pStyle w:val="TOC2"/>
            <w:rPr>
              <w:rFonts w:asciiTheme="minorHAnsi" w:eastAsiaTheme="minorEastAsia" w:hAnsiTheme="minorHAnsi" w:cstheme="minorBidi"/>
              <w:noProof/>
              <w:kern w:val="2"/>
              <w:sz w:val="22"/>
              <w14:ligatures w14:val="standardContextual"/>
            </w:rPr>
          </w:pPr>
          <w:hyperlink w:anchor="_Toc134346747" w:history="1">
            <w:r w:rsidR="00017297" w:rsidRPr="00C348A3">
              <w:rPr>
                <w:rStyle w:val="Hyperlink"/>
                <w:noProof/>
              </w:rPr>
              <w:t>IRB Study #4: Clifton Heights Revitalization Project   Univ of Cincinnati (2006)</w:t>
            </w:r>
            <w:r w:rsidR="00017297">
              <w:rPr>
                <w:noProof/>
                <w:webHidden/>
              </w:rPr>
              <w:tab/>
            </w:r>
            <w:r w:rsidR="00017297">
              <w:rPr>
                <w:noProof/>
                <w:webHidden/>
              </w:rPr>
              <w:fldChar w:fldCharType="begin"/>
            </w:r>
            <w:r w:rsidR="00017297">
              <w:rPr>
                <w:noProof/>
                <w:webHidden/>
              </w:rPr>
              <w:instrText xml:space="preserve"> PAGEREF _Toc134346747 \h </w:instrText>
            </w:r>
            <w:r w:rsidR="00017297">
              <w:rPr>
                <w:noProof/>
                <w:webHidden/>
              </w:rPr>
            </w:r>
            <w:r w:rsidR="00017297">
              <w:rPr>
                <w:noProof/>
                <w:webHidden/>
              </w:rPr>
              <w:fldChar w:fldCharType="separate"/>
            </w:r>
            <w:r w:rsidR="00E153CE">
              <w:rPr>
                <w:noProof/>
                <w:webHidden/>
              </w:rPr>
              <w:t>75</w:t>
            </w:r>
            <w:r w:rsidR="00017297">
              <w:rPr>
                <w:noProof/>
                <w:webHidden/>
              </w:rPr>
              <w:fldChar w:fldCharType="end"/>
            </w:r>
          </w:hyperlink>
        </w:p>
        <w:p w14:paraId="6B0AAAA8" w14:textId="4DC5368D" w:rsidR="00017297" w:rsidRDefault="00000000">
          <w:pPr>
            <w:pStyle w:val="TOC2"/>
            <w:rPr>
              <w:rFonts w:asciiTheme="minorHAnsi" w:eastAsiaTheme="minorEastAsia" w:hAnsiTheme="minorHAnsi" w:cstheme="minorBidi"/>
              <w:noProof/>
              <w:kern w:val="2"/>
              <w:sz w:val="22"/>
              <w14:ligatures w14:val="standardContextual"/>
            </w:rPr>
          </w:pPr>
          <w:hyperlink w:anchor="_Toc134346748" w:history="1">
            <w:r w:rsidR="00017297" w:rsidRPr="00C348A3">
              <w:rPr>
                <w:rStyle w:val="Hyperlink"/>
                <w:noProof/>
              </w:rPr>
              <w:t>IRB Study #5: (Counterexample) Rookwood Exchange, Norwood, OH (2006)</w:t>
            </w:r>
            <w:r w:rsidR="00017297">
              <w:rPr>
                <w:noProof/>
                <w:webHidden/>
              </w:rPr>
              <w:tab/>
            </w:r>
            <w:r w:rsidR="00017297">
              <w:rPr>
                <w:noProof/>
                <w:webHidden/>
              </w:rPr>
              <w:fldChar w:fldCharType="begin"/>
            </w:r>
            <w:r w:rsidR="00017297">
              <w:rPr>
                <w:noProof/>
                <w:webHidden/>
              </w:rPr>
              <w:instrText xml:space="preserve"> PAGEREF _Toc134346748 \h </w:instrText>
            </w:r>
            <w:r w:rsidR="00017297">
              <w:rPr>
                <w:noProof/>
                <w:webHidden/>
              </w:rPr>
            </w:r>
            <w:r w:rsidR="00017297">
              <w:rPr>
                <w:noProof/>
                <w:webHidden/>
              </w:rPr>
              <w:fldChar w:fldCharType="separate"/>
            </w:r>
            <w:r w:rsidR="00E153CE">
              <w:rPr>
                <w:noProof/>
                <w:webHidden/>
              </w:rPr>
              <w:t>79</w:t>
            </w:r>
            <w:r w:rsidR="00017297">
              <w:rPr>
                <w:noProof/>
                <w:webHidden/>
              </w:rPr>
              <w:fldChar w:fldCharType="end"/>
            </w:r>
          </w:hyperlink>
        </w:p>
        <w:p w14:paraId="1341E1D3" w14:textId="7550419E" w:rsidR="00017297" w:rsidRDefault="00000000">
          <w:pPr>
            <w:pStyle w:val="TOC2"/>
            <w:rPr>
              <w:rFonts w:asciiTheme="minorHAnsi" w:eastAsiaTheme="minorEastAsia" w:hAnsiTheme="minorHAnsi" w:cstheme="minorBidi"/>
              <w:noProof/>
              <w:kern w:val="2"/>
              <w:sz w:val="22"/>
              <w14:ligatures w14:val="standardContextual"/>
            </w:rPr>
          </w:pPr>
          <w:hyperlink w:anchor="_Toc134346749" w:history="1">
            <w:r w:rsidR="00017297" w:rsidRPr="00C348A3">
              <w:rPr>
                <w:rStyle w:val="Hyperlink"/>
                <w:noProof/>
              </w:rPr>
              <w:t>IRB Study Conclusions:</w:t>
            </w:r>
            <w:r w:rsidR="00017297">
              <w:rPr>
                <w:noProof/>
                <w:webHidden/>
              </w:rPr>
              <w:tab/>
            </w:r>
            <w:r w:rsidR="00017297">
              <w:rPr>
                <w:noProof/>
                <w:webHidden/>
              </w:rPr>
              <w:fldChar w:fldCharType="begin"/>
            </w:r>
            <w:r w:rsidR="00017297">
              <w:rPr>
                <w:noProof/>
                <w:webHidden/>
              </w:rPr>
              <w:instrText xml:space="preserve"> PAGEREF _Toc134346749 \h </w:instrText>
            </w:r>
            <w:r w:rsidR="00017297">
              <w:rPr>
                <w:noProof/>
                <w:webHidden/>
              </w:rPr>
            </w:r>
            <w:r w:rsidR="00017297">
              <w:rPr>
                <w:noProof/>
                <w:webHidden/>
              </w:rPr>
              <w:fldChar w:fldCharType="separate"/>
            </w:r>
            <w:r w:rsidR="00E153CE">
              <w:rPr>
                <w:noProof/>
                <w:webHidden/>
              </w:rPr>
              <w:t>82</w:t>
            </w:r>
            <w:r w:rsidR="00017297">
              <w:rPr>
                <w:noProof/>
                <w:webHidden/>
              </w:rPr>
              <w:fldChar w:fldCharType="end"/>
            </w:r>
          </w:hyperlink>
        </w:p>
        <w:p w14:paraId="6181199E" w14:textId="43F10A05" w:rsidR="00017297" w:rsidRDefault="00000000">
          <w:pPr>
            <w:pStyle w:val="TOC1"/>
            <w:rPr>
              <w:rFonts w:asciiTheme="minorHAnsi" w:eastAsiaTheme="minorEastAsia" w:hAnsiTheme="minorHAnsi" w:cstheme="minorBidi"/>
              <w:b w:val="0"/>
              <w:bCs w:val="0"/>
              <w:kern w:val="2"/>
              <w:sz w:val="22"/>
              <w14:ligatures w14:val="standardContextual"/>
            </w:rPr>
          </w:pPr>
          <w:hyperlink w:anchor="_Toc134346750" w:history="1">
            <w:r w:rsidR="00017297" w:rsidRPr="00C348A3">
              <w:rPr>
                <w:rStyle w:val="Hyperlink"/>
              </w:rPr>
              <w:t>Chapter 5: Discussion</w:t>
            </w:r>
            <w:r w:rsidR="00017297">
              <w:rPr>
                <w:webHidden/>
              </w:rPr>
              <w:tab/>
            </w:r>
            <w:r w:rsidR="00017297">
              <w:rPr>
                <w:webHidden/>
              </w:rPr>
              <w:fldChar w:fldCharType="begin"/>
            </w:r>
            <w:r w:rsidR="00017297">
              <w:rPr>
                <w:webHidden/>
              </w:rPr>
              <w:instrText xml:space="preserve"> PAGEREF _Toc134346750 \h </w:instrText>
            </w:r>
            <w:r w:rsidR="00017297">
              <w:rPr>
                <w:webHidden/>
              </w:rPr>
            </w:r>
            <w:r w:rsidR="00017297">
              <w:rPr>
                <w:webHidden/>
              </w:rPr>
              <w:fldChar w:fldCharType="separate"/>
            </w:r>
            <w:r w:rsidR="00E153CE">
              <w:rPr>
                <w:webHidden/>
              </w:rPr>
              <w:t>84</w:t>
            </w:r>
            <w:r w:rsidR="00017297">
              <w:rPr>
                <w:webHidden/>
              </w:rPr>
              <w:fldChar w:fldCharType="end"/>
            </w:r>
          </w:hyperlink>
        </w:p>
        <w:p w14:paraId="30C0A48E" w14:textId="3707C6DA" w:rsidR="00017297" w:rsidRDefault="00000000">
          <w:pPr>
            <w:pStyle w:val="TOC2"/>
            <w:rPr>
              <w:rFonts w:asciiTheme="minorHAnsi" w:eastAsiaTheme="minorEastAsia" w:hAnsiTheme="minorHAnsi" w:cstheme="minorBidi"/>
              <w:noProof/>
              <w:kern w:val="2"/>
              <w:sz w:val="22"/>
              <w14:ligatures w14:val="standardContextual"/>
            </w:rPr>
          </w:pPr>
          <w:hyperlink w:anchor="_Toc134346751" w:history="1">
            <w:r w:rsidR="00017297" w:rsidRPr="00C348A3">
              <w:rPr>
                <w:rStyle w:val="Hyperlink"/>
                <w:noProof/>
              </w:rPr>
              <w:t>Inspiration for the Study:</w:t>
            </w:r>
            <w:r w:rsidR="00017297">
              <w:rPr>
                <w:noProof/>
                <w:webHidden/>
              </w:rPr>
              <w:tab/>
            </w:r>
            <w:r w:rsidR="00017297">
              <w:rPr>
                <w:noProof/>
                <w:webHidden/>
              </w:rPr>
              <w:fldChar w:fldCharType="begin"/>
            </w:r>
            <w:r w:rsidR="00017297">
              <w:rPr>
                <w:noProof/>
                <w:webHidden/>
              </w:rPr>
              <w:instrText xml:space="preserve"> PAGEREF _Toc134346751 \h </w:instrText>
            </w:r>
            <w:r w:rsidR="00017297">
              <w:rPr>
                <w:noProof/>
                <w:webHidden/>
              </w:rPr>
            </w:r>
            <w:r w:rsidR="00017297">
              <w:rPr>
                <w:noProof/>
                <w:webHidden/>
              </w:rPr>
              <w:fldChar w:fldCharType="separate"/>
            </w:r>
            <w:r w:rsidR="00E153CE">
              <w:rPr>
                <w:noProof/>
                <w:webHidden/>
              </w:rPr>
              <w:t>84</w:t>
            </w:r>
            <w:r w:rsidR="00017297">
              <w:rPr>
                <w:noProof/>
                <w:webHidden/>
              </w:rPr>
              <w:fldChar w:fldCharType="end"/>
            </w:r>
          </w:hyperlink>
        </w:p>
        <w:p w14:paraId="6975B37A" w14:textId="649040A0" w:rsidR="00017297" w:rsidRDefault="00000000">
          <w:pPr>
            <w:pStyle w:val="TOC2"/>
            <w:rPr>
              <w:rFonts w:asciiTheme="minorHAnsi" w:eastAsiaTheme="minorEastAsia" w:hAnsiTheme="minorHAnsi" w:cstheme="minorBidi"/>
              <w:noProof/>
              <w:kern w:val="2"/>
              <w:sz w:val="22"/>
              <w14:ligatures w14:val="standardContextual"/>
            </w:rPr>
          </w:pPr>
          <w:hyperlink w:anchor="_Toc134346752" w:history="1">
            <w:r w:rsidR="00017297" w:rsidRPr="00C348A3">
              <w:rPr>
                <w:rStyle w:val="Hyperlink"/>
                <w:noProof/>
              </w:rPr>
              <w:t>Summary of the IRB Study Results:</w:t>
            </w:r>
            <w:r w:rsidR="00017297">
              <w:rPr>
                <w:noProof/>
                <w:webHidden/>
              </w:rPr>
              <w:tab/>
            </w:r>
            <w:r w:rsidR="00017297">
              <w:rPr>
                <w:noProof/>
                <w:webHidden/>
              </w:rPr>
              <w:fldChar w:fldCharType="begin"/>
            </w:r>
            <w:r w:rsidR="00017297">
              <w:rPr>
                <w:noProof/>
                <w:webHidden/>
              </w:rPr>
              <w:instrText xml:space="preserve"> PAGEREF _Toc134346752 \h </w:instrText>
            </w:r>
            <w:r w:rsidR="00017297">
              <w:rPr>
                <w:noProof/>
                <w:webHidden/>
              </w:rPr>
            </w:r>
            <w:r w:rsidR="00017297">
              <w:rPr>
                <w:noProof/>
                <w:webHidden/>
              </w:rPr>
              <w:fldChar w:fldCharType="separate"/>
            </w:r>
            <w:r w:rsidR="00E153CE">
              <w:rPr>
                <w:noProof/>
                <w:webHidden/>
              </w:rPr>
              <w:t>85</w:t>
            </w:r>
            <w:r w:rsidR="00017297">
              <w:rPr>
                <w:noProof/>
                <w:webHidden/>
              </w:rPr>
              <w:fldChar w:fldCharType="end"/>
            </w:r>
          </w:hyperlink>
        </w:p>
        <w:p w14:paraId="63732BA1" w14:textId="27D06994" w:rsidR="00017297" w:rsidRDefault="00000000">
          <w:pPr>
            <w:pStyle w:val="TOC2"/>
            <w:rPr>
              <w:rFonts w:asciiTheme="minorHAnsi" w:eastAsiaTheme="minorEastAsia" w:hAnsiTheme="minorHAnsi" w:cstheme="minorBidi"/>
              <w:noProof/>
              <w:kern w:val="2"/>
              <w:sz w:val="22"/>
              <w14:ligatures w14:val="standardContextual"/>
            </w:rPr>
          </w:pPr>
          <w:hyperlink w:anchor="_Toc134346753" w:history="1">
            <w:r w:rsidR="00017297" w:rsidRPr="00C348A3">
              <w:rPr>
                <w:rStyle w:val="Hyperlink"/>
                <w:noProof/>
              </w:rPr>
              <w:t>Key Research Findings:</w:t>
            </w:r>
            <w:r w:rsidR="00017297">
              <w:rPr>
                <w:noProof/>
                <w:webHidden/>
              </w:rPr>
              <w:tab/>
            </w:r>
            <w:r w:rsidR="00017297">
              <w:rPr>
                <w:noProof/>
                <w:webHidden/>
              </w:rPr>
              <w:fldChar w:fldCharType="begin"/>
            </w:r>
            <w:r w:rsidR="00017297">
              <w:rPr>
                <w:noProof/>
                <w:webHidden/>
              </w:rPr>
              <w:instrText xml:space="preserve"> PAGEREF _Toc134346753 \h </w:instrText>
            </w:r>
            <w:r w:rsidR="00017297">
              <w:rPr>
                <w:noProof/>
                <w:webHidden/>
              </w:rPr>
            </w:r>
            <w:r w:rsidR="00017297">
              <w:rPr>
                <w:noProof/>
                <w:webHidden/>
              </w:rPr>
              <w:fldChar w:fldCharType="separate"/>
            </w:r>
            <w:r w:rsidR="00E153CE">
              <w:rPr>
                <w:noProof/>
                <w:webHidden/>
              </w:rPr>
              <w:t>89</w:t>
            </w:r>
            <w:r w:rsidR="00017297">
              <w:rPr>
                <w:noProof/>
                <w:webHidden/>
              </w:rPr>
              <w:fldChar w:fldCharType="end"/>
            </w:r>
          </w:hyperlink>
        </w:p>
        <w:p w14:paraId="545DB74C" w14:textId="1FBEB71D" w:rsidR="00017297" w:rsidRDefault="00000000">
          <w:pPr>
            <w:pStyle w:val="TOC2"/>
            <w:rPr>
              <w:rFonts w:asciiTheme="minorHAnsi" w:eastAsiaTheme="minorEastAsia" w:hAnsiTheme="minorHAnsi" w:cstheme="minorBidi"/>
              <w:noProof/>
              <w:kern w:val="2"/>
              <w:sz w:val="22"/>
              <w14:ligatures w14:val="standardContextual"/>
            </w:rPr>
          </w:pPr>
          <w:hyperlink w:anchor="_Toc134346754" w:history="1">
            <w:r w:rsidR="00017297" w:rsidRPr="00C348A3">
              <w:rPr>
                <w:rStyle w:val="Hyperlink"/>
                <w:noProof/>
              </w:rPr>
              <w:t>Synthesis of Research Findings:</w:t>
            </w:r>
            <w:r w:rsidR="00017297">
              <w:rPr>
                <w:noProof/>
                <w:webHidden/>
              </w:rPr>
              <w:tab/>
            </w:r>
            <w:r w:rsidR="00017297">
              <w:rPr>
                <w:noProof/>
                <w:webHidden/>
              </w:rPr>
              <w:fldChar w:fldCharType="begin"/>
            </w:r>
            <w:r w:rsidR="00017297">
              <w:rPr>
                <w:noProof/>
                <w:webHidden/>
              </w:rPr>
              <w:instrText xml:space="preserve"> PAGEREF _Toc134346754 \h </w:instrText>
            </w:r>
            <w:r w:rsidR="00017297">
              <w:rPr>
                <w:noProof/>
                <w:webHidden/>
              </w:rPr>
            </w:r>
            <w:r w:rsidR="00017297">
              <w:rPr>
                <w:noProof/>
                <w:webHidden/>
              </w:rPr>
              <w:fldChar w:fldCharType="separate"/>
            </w:r>
            <w:r w:rsidR="00E153CE">
              <w:rPr>
                <w:noProof/>
                <w:webHidden/>
              </w:rPr>
              <w:t>92</w:t>
            </w:r>
            <w:r w:rsidR="00017297">
              <w:rPr>
                <w:noProof/>
                <w:webHidden/>
              </w:rPr>
              <w:fldChar w:fldCharType="end"/>
            </w:r>
          </w:hyperlink>
        </w:p>
        <w:p w14:paraId="2A4DC975" w14:textId="3E129668" w:rsidR="00017297" w:rsidRDefault="00000000">
          <w:pPr>
            <w:pStyle w:val="TOC2"/>
            <w:rPr>
              <w:rFonts w:asciiTheme="minorHAnsi" w:eastAsiaTheme="minorEastAsia" w:hAnsiTheme="minorHAnsi" w:cstheme="minorBidi"/>
              <w:noProof/>
              <w:kern w:val="2"/>
              <w:sz w:val="22"/>
              <w14:ligatures w14:val="standardContextual"/>
            </w:rPr>
          </w:pPr>
          <w:hyperlink w:anchor="_Toc134346755" w:history="1">
            <w:r w:rsidR="00017297" w:rsidRPr="00C348A3">
              <w:rPr>
                <w:rStyle w:val="Hyperlink"/>
                <w:noProof/>
              </w:rPr>
              <w:t>Conclusions:</w:t>
            </w:r>
            <w:r w:rsidR="00017297">
              <w:rPr>
                <w:noProof/>
                <w:webHidden/>
              </w:rPr>
              <w:tab/>
            </w:r>
            <w:r w:rsidR="00017297">
              <w:rPr>
                <w:noProof/>
                <w:webHidden/>
              </w:rPr>
              <w:fldChar w:fldCharType="begin"/>
            </w:r>
            <w:r w:rsidR="00017297">
              <w:rPr>
                <w:noProof/>
                <w:webHidden/>
              </w:rPr>
              <w:instrText xml:space="preserve"> PAGEREF _Toc134346755 \h </w:instrText>
            </w:r>
            <w:r w:rsidR="00017297">
              <w:rPr>
                <w:noProof/>
                <w:webHidden/>
              </w:rPr>
            </w:r>
            <w:r w:rsidR="00017297">
              <w:rPr>
                <w:noProof/>
                <w:webHidden/>
              </w:rPr>
              <w:fldChar w:fldCharType="separate"/>
            </w:r>
            <w:r w:rsidR="00E153CE">
              <w:rPr>
                <w:noProof/>
                <w:webHidden/>
              </w:rPr>
              <w:t>95</w:t>
            </w:r>
            <w:r w:rsidR="00017297">
              <w:rPr>
                <w:noProof/>
                <w:webHidden/>
              </w:rPr>
              <w:fldChar w:fldCharType="end"/>
            </w:r>
          </w:hyperlink>
        </w:p>
        <w:p w14:paraId="05366819" w14:textId="0AE44E79" w:rsidR="00017297" w:rsidRDefault="00000000">
          <w:pPr>
            <w:pStyle w:val="TOC2"/>
            <w:rPr>
              <w:rFonts w:asciiTheme="minorHAnsi" w:eastAsiaTheme="minorEastAsia" w:hAnsiTheme="minorHAnsi" w:cstheme="minorBidi"/>
              <w:noProof/>
              <w:kern w:val="2"/>
              <w:sz w:val="22"/>
              <w14:ligatures w14:val="standardContextual"/>
            </w:rPr>
          </w:pPr>
          <w:hyperlink w:anchor="_Toc134346756" w:history="1">
            <w:r w:rsidR="00017297" w:rsidRPr="00C348A3">
              <w:rPr>
                <w:rStyle w:val="Hyperlink"/>
                <w:noProof/>
              </w:rPr>
              <w:t>Final Observations:</w:t>
            </w:r>
            <w:r w:rsidR="00017297">
              <w:rPr>
                <w:noProof/>
                <w:webHidden/>
              </w:rPr>
              <w:tab/>
            </w:r>
            <w:r w:rsidR="00017297">
              <w:rPr>
                <w:noProof/>
                <w:webHidden/>
              </w:rPr>
              <w:fldChar w:fldCharType="begin"/>
            </w:r>
            <w:r w:rsidR="00017297">
              <w:rPr>
                <w:noProof/>
                <w:webHidden/>
              </w:rPr>
              <w:instrText xml:space="preserve"> PAGEREF _Toc134346756 \h </w:instrText>
            </w:r>
            <w:r w:rsidR="00017297">
              <w:rPr>
                <w:noProof/>
                <w:webHidden/>
              </w:rPr>
            </w:r>
            <w:r w:rsidR="00017297">
              <w:rPr>
                <w:noProof/>
                <w:webHidden/>
              </w:rPr>
              <w:fldChar w:fldCharType="separate"/>
            </w:r>
            <w:r w:rsidR="00E153CE">
              <w:rPr>
                <w:noProof/>
                <w:webHidden/>
              </w:rPr>
              <w:t>96</w:t>
            </w:r>
            <w:r w:rsidR="00017297">
              <w:rPr>
                <w:noProof/>
                <w:webHidden/>
              </w:rPr>
              <w:fldChar w:fldCharType="end"/>
            </w:r>
          </w:hyperlink>
        </w:p>
        <w:p w14:paraId="13442B5A" w14:textId="578C3E90" w:rsidR="00017297" w:rsidRDefault="00000000">
          <w:pPr>
            <w:pStyle w:val="TOC1"/>
            <w:rPr>
              <w:rFonts w:asciiTheme="minorHAnsi" w:eastAsiaTheme="minorEastAsia" w:hAnsiTheme="minorHAnsi" w:cstheme="minorBidi"/>
              <w:b w:val="0"/>
              <w:bCs w:val="0"/>
              <w:kern w:val="2"/>
              <w:sz w:val="22"/>
              <w14:ligatures w14:val="standardContextual"/>
            </w:rPr>
          </w:pPr>
          <w:hyperlink w:anchor="_Toc134346757" w:history="1">
            <w:r w:rsidR="00017297" w:rsidRPr="00C348A3">
              <w:rPr>
                <w:rStyle w:val="Hyperlink"/>
              </w:rPr>
              <w:t>References:</w:t>
            </w:r>
            <w:r w:rsidR="00017297">
              <w:rPr>
                <w:webHidden/>
              </w:rPr>
              <w:tab/>
            </w:r>
            <w:r w:rsidR="00017297">
              <w:rPr>
                <w:webHidden/>
              </w:rPr>
              <w:fldChar w:fldCharType="begin"/>
            </w:r>
            <w:r w:rsidR="00017297">
              <w:rPr>
                <w:webHidden/>
              </w:rPr>
              <w:instrText xml:space="preserve"> PAGEREF _Toc134346757 \h </w:instrText>
            </w:r>
            <w:r w:rsidR="00017297">
              <w:rPr>
                <w:webHidden/>
              </w:rPr>
            </w:r>
            <w:r w:rsidR="00017297">
              <w:rPr>
                <w:webHidden/>
              </w:rPr>
              <w:fldChar w:fldCharType="separate"/>
            </w:r>
            <w:r w:rsidR="00E153CE">
              <w:rPr>
                <w:webHidden/>
              </w:rPr>
              <w:t>98</w:t>
            </w:r>
            <w:r w:rsidR="00017297">
              <w:rPr>
                <w:webHidden/>
              </w:rPr>
              <w:fldChar w:fldCharType="end"/>
            </w:r>
          </w:hyperlink>
        </w:p>
        <w:p w14:paraId="393FCBE0" w14:textId="1BE24CCF" w:rsidR="00017297" w:rsidRDefault="00000000">
          <w:pPr>
            <w:pStyle w:val="TOC1"/>
            <w:rPr>
              <w:rFonts w:asciiTheme="minorHAnsi" w:eastAsiaTheme="minorEastAsia" w:hAnsiTheme="minorHAnsi" w:cstheme="minorBidi"/>
              <w:b w:val="0"/>
              <w:bCs w:val="0"/>
              <w:kern w:val="2"/>
              <w:sz w:val="22"/>
              <w14:ligatures w14:val="standardContextual"/>
            </w:rPr>
          </w:pPr>
          <w:hyperlink w:anchor="_Toc134346758" w:history="1">
            <w:r w:rsidR="00017297" w:rsidRPr="00C348A3">
              <w:rPr>
                <w:rStyle w:val="Hyperlink"/>
              </w:rPr>
              <w:t>Appendix A: IRB “Expedited Review” Application Protocol</w:t>
            </w:r>
            <w:r w:rsidR="00017297">
              <w:rPr>
                <w:webHidden/>
              </w:rPr>
              <w:tab/>
            </w:r>
            <w:r w:rsidR="00017297">
              <w:rPr>
                <w:webHidden/>
              </w:rPr>
              <w:fldChar w:fldCharType="begin"/>
            </w:r>
            <w:r w:rsidR="00017297">
              <w:rPr>
                <w:webHidden/>
              </w:rPr>
              <w:instrText xml:space="preserve"> PAGEREF _Toc134346758 \h </w:instrText>
            </w:r>
            <w:r w:rsidR="00017297">
              <w:rPr>
                <w:webHidden/>
              </w:rPr>
            </w:r>
            <w:r w:rsidR="00017297">
              <w:rPr>
                <w:webHidden/>
              </w:rPr>
              <w:fldChar w:fldCharType="separate"/>
            </w:r>
            <w:r w:rsidR="00E153CE">
              <w:rPr>
                <w:webHidden/>
              </w:rPr>
              <w:t>103</w:t>
            </w:r>
            <w:r w:rsidR="00017297">
              <w:rPr>
                <w:webHidden/>
              </w:rPr>
              <w:fldChar w:fldCharType="end"/>
            </w:r>
          </w:hyperlink>
        </w:p>
        <w:p w14:paraId="5F7D2258" w14:textId="22DFF9FC" w:rsidR="00017297" w:rsidRDefault="00000000">
          <w:pPr>
            <w:pStyle w:val="TOC1"/>
            <w:rPr>
              <w:rFonts w:asciiTheme="minorHAnsi" w:eastAsiaTheme="minorEastAsia" w:hAnsiTheme="minorHAnsi" w:cstheme="minorBidi"/>
              <w:b w:val="0"/>
              <w:bCs w:val="0"/>
              <w:kern w:val="2"/>
              <w:sz w:val="22"/>
              <w14:ligatures w14:val="standardContextual"/>
            </w:rPr>
          </w:pPr>
          <w:hyperlink w:anchor="_Toc134346759" w:history="1">
            <w:r w:rsidR="00017297" w:rsidRPr="00C348A3">
              <w:rPr>
                <w:rStyle w:val="Hyperlink"/>
              </w:rPr>
              <w:t>Appendix B: Case Study Transactions/Acquisitions Records</w:t>
            </w:r>
            <w:r w:rsidR="00017297">
              <w:rPr>
                <w:webHidden/>
              </w:rPr>
              <w:tab/>
            </w:r>
            <w:r w:rsidR="00017297">
              <w:rPr>
                <w:webHidden/>
              </w:rPr>
              <w:fldChar w:fldCharType="begin"/>
            </w:r>
            <w:r w:rsidR="00017297">
              <w:rPr>
                <w:webHidden/>
              </w:rPr>
              <w:instrText xml:space="preserve"> PAGEREF _Toc134346759 \h </w:instrText>
            </w:r>
            <w:r w:rsidR="00017297">
              <w:rPr>
                <w:webHidden/>
              </w:rPr>
            </w:r>
            <w:r w:rsidR="00017297">
              <w:rPr>
                <w:webHidden/>
              </w:rPr>
              <w:fldChar w:fldCharType="separate"/>
            </w:r>
            <w:r w:rsidR="00E153CE">
              <w:rPr>
                <w:webHidden/>
              </w:rPr>
              <w:t>109</w:t>
            </w:r>
            <w:r w:rsidR="00017297">
              <w:rPr>
                <w:webHidden/>
              </w:rPr>
              <w:fldChar w:fldCharType="end"/>
            </w:r>
          </w:hyperlink>
        </w:p>
        <w:p w14:paraId="5E9B7F3B" w14:textId="02E6B85E" w:rsidR="00017297" w:rsidRDefault="00000000">
          <w:pPr>
            <w:pStyle w:val="TOC1"/>
            <w:rPr>
              <w:rFonts w:asciiTheme="minorHAnsi" w:eastAsiaTheme="minorEastAsia" w:hAnsiTheme="minorHAnsi" w:cstheme="minorBidi"/>
              <w:b w:val="0"/>
              <w:bCs w:val="0"/>
              <w:kern w:val="2"/>
              <w:sz w:val="22"/>
              <w14:ligatures w14:val="standardContextual"/>
            </w:rPr>
          </w:pPr>
          <w:hyperlink w:anchor="_Toc134346760" w:history="1">
            <w:r w:rsidR="00017297" w:rsidRPr="00C348A3">
              <w:rPr>
                <w:rStyle w:val="Hyperlink"/>
              </w:rPr>
              <w:t>Appendix C: 3D Synthesis Matrix Analysis of Coursework Readings</w:t>
            </w:r>
            <w:r w:rsidR="00017297">
              <w:rPr>
                <w:webHidden/>
              </w:rPr>
              <w:tab/>
            </w:r>
            <w:r w:rsidR="00017297">
              <w:rPr>
                <w:webHidden/>
              </w:rPr>
              <w:fldChar w:fldCharType="begin"/>
            </w:r>
            <w:r w:rsidR="00017297">
              <w:rPr>
                <w:webHidden/>
              </w:rPr>
              <w:instrText xml:space="preserve"> PAGEREF _Toc134346760 \h </w:instrText>
            </w:r>
            <w:r w:rsidR="00017297">
              <w:rPr>
                <w:webHidden/>
              </w:rPr>
            </w:r>
            <w:r w:rsidR="00017297">
              <w:rPr>
                <w:webHidden/>
              </w:rPr>
              <w:fldChar w:fldCharType="separate"/>
            </w:r>
            <w:r w:rsidR="00E153CE">
              <w:rPr>
                <w:webHidden/>
              </w:rPr>
              <w:t>116</w:t>
            </w:r>
            <w:r w:rsidR="00017297">
              <w:rPr>
                <w:webHidden/>
              </w:rPr>
              <w:fldChar w:fldCharType="end"/>
            </w:r>
          </w:hyperlink>
        </w:p>
        <w:p w14:paraId="38F5640D" w14:textId="0E6CDE8B" w:rsidR="00160A16" w:rsidRDefault="00160A16">
          <w:r>
            <w:rPr>
              <w:b/>
              <w:bCs/>
              <w:noProof/>
            </w:rPr>
            <w:fldChar w:fldCharType="end"/>
          </w:r>
        </w:p>
      </w:sdtContent>
    </w:sdt>
    <w:p w14:paraId="3E06CA0C" w14:textId="77777777" w:rsidR="00C67DC1" w:rsidRDefault="00C67DC1" w:rsidP="00F11372">
      <w:pPr>
        <w:pStyle w:val="Heading1"/>
        <w:sectPr w:rsidR="00C67DC1" w:rsidSect="006C493E">
          <w:pgSz w:w="12240" w:h="15840"/>
          <w:pgMar w:top="1440" w:right="1440" w:bottom="1440" w:left="2304" w:header="720" w:footer="720" w:gutter="0"/>
          <w:pgNumType w:fmt="lowerRoman" w:start="5"/>
          <w:cols w:space="720"/>
          <w:docGrid w:linePitch="360"/>
        </w:sectPr>
      </w:pPr>
      <w:bookmarkStart w:id="3" w:name="_Toc126651362"/>
    </w:p>
    <w:p w14:paraId="4F0F7B3C" w14:textId="37D6610C" w:rsidR="00A97296" w:rsidRPr="00247802" w:rsidRDefault="00A97296" w:rsidP="00F11372">
      <w:pPr>
        <w:pStyle w:val="Heading1"/>
      </w:pPr>
      <w:bookmarkStart w:id="4" w:name="_Toc134346723"/>
      <w:r w:rsidRPr="00247802">
        <w:lastRenderedPageBreak/>
        <w:t>Abstract:</w:t>
      </w:r>
      <w:bookmarkEnd w:id="3"/>
      <w:bookmarkEnd w:id="4"/>
    </w:p>
    <w:p w14:paraId="1FF77960" w14:textId="14963839" w:rsidR="00A97296" w:rsidRDefault="00A97296" w:rsidP="00552E6A">
      <w:pPr>
        <w:spacing w:after="160"/>
        <w:ind w:left="0" w:firstLine="0"/>
        <w:jc w:val="left"/>
        <w:rPr>
          <w:rFonts w:cs="Times New Roman"/>
          <w:szCs w:val="24"/>
        </w:rPr>
      </w:pPr>
      <w:r w:rsidRPr="005E1A20">
        <w:rPr>
          <w:rFonts w:cs="Times New Roman"/>
          <w:szCs w:val="24"/>
        </w:rPr>
        <w:t>The</w:t>
      </w:r>
      <w:r w:rsidR="00D21321">
        <w:rPr>
          <w:rFonts w:cs="Times New Roman"/>
          <w:szCs w:val="24"/>
        </w:rPr>
        <w:t xml:space="preserve"> </w:t>
      </w:r>
      <w:r w:rsidRPr="005E1A20">
        <w:rPr>
          <w:rFonts w:cs="Times New Roman"/>
          <w:szCs w:val="24"/>
        </w:rPr>
        <w:t>purpose of this study is</w:t>
      </w:r>
      <w:bookmarkStart w:id="5" w:name="_Hlk124235117"/>
      <w:r w:rsidRPr="005E1A20">
        <w:rPr>
          <w:rFonts w:cs="Times New Roman"/>
          <w:szCs w:val="24"/>
        </w:rPr>
        <w:t xml:space="preserve"> </w:t>
      </w:r>
      <w:r w:rsidR="001710B0">
        <w:rPr>
          <w:rFonts w:cs="Times New Roman"/>
          <w:szCs w:val="24"/>
        </w:rPr>
        <w:t xml:space="preserve">to </w:t>
      </w:r>
      <w:r>
        <w:rPr>
          <w:rFonts w:cs="Times New Roman"/>
          <w:szCs w:val="24"/>
        </w:rPr>
        <w:t>explor</w:t>
      </w:r>
      <w:r w:rsidR="001710B0">
        <w:rPr>
          <w:rFonts w:cs="Times New Roman"/>
          <w:szCs w:val="24"/>
        </w:rPr>
        <w:t>e</w:t>
      </w:r>
      <w:r w:rsidRPr="005E1A20">
        <w:rPr>
          <w:rFonts w:cs="Times New Roman"/>
          <w:szCs w:val="24"/>
        </w:rPr>
        <w:t xml:space="preserve"> practical alternative</w:t>
      </w:r>
      <w:r w:rsidR="007461FF">
        <w:rPr>
          <w:rFonts w:cs="Times New Roman"/>
          <w:szCs w:val="24"/>
        </w:rPr>
        <w:t>s</w:t>
      </w:r>
      <w:r w:rsidRPr="005E1A20">
        <w:rPr>
          <w:rFonts w:cs="Times New Roman"/>
          <w:szCs w:val="24"/>
        </w:rPr>
        <w:t xml:space="preserve"> for </w:t>
      </w:r>
      <w:bookmarkStart w:id="6" w:name="_Hlk124423040"/>
      <w:r w:rsidRPr="005E1A20">
        <w:rPr>
          <w:rFonts w:cs="Times New Roman"/>
          <w:szCs w:val="24"/>
        </w:rPr>
        <w:t>resolving monopoly holdouts, i.e., without requiring eminent domain</w:t>
      </w:r>
      <w:bookmarkEnd w:id="6"/>
      <w:r w:rsidRPr="005E1A20">
        <w:rPr>
          <w:rFonts w:cs="Times New Roman"/>
          <w:szCs w:val="24"/>
        </w:rPr>
        <w:t xml:space="preserve">. </w:t>
      </w:r>
      <w:r w:rsidRPr="005E1A20">
        <w:rPr>
          <w:rFonts w:cs="Times New Roman"/>
          <w:i/>
          <w:iCs/>
          <w:szCs w:val="24"/>
        </w:rPr>
        <w:t>Berman</w:t>
      </w:r>
      <w:bookmarkEnd w:id="5"/>
      <w:r w:rsidRPr="005E1A20">
        <w:rPr>
          <w:rFonts w:cs="Times New Roman"/>
          <w:i/>
          <w:iCs/>
          <w:szCs w:val="24"/>
        </w:rPr>
        <w:t xml:space="preserve"> v Parker </w:t>
      </w:r>
      <w:r w:rsidRPr="005E1A20">
        <w:rPr>
          <w:rFonts w:cs="Times New Roman"/>
          <w:szCs w:val="24"/>
        </w:rPr>
        <w:t xml:space="preserve">(1954) </w:t>
      </w:r>
      <w:r w:rsidR="00F42AF6">
        <w:rPr>
          <w:rFonts w:cs="Times New Roman"/>
          <w:szCs w:val="24"/>
        </w:rPr>
        <w:t xml:space="preserve">first </w:t>
      </w:r>
      <w:r w:rsidRPr="005E1A20">
        <w:rPr>
          <w:rFonts w:cs="Times New Roman"/>
          <w:szCs w:val="24"/>
        </w:rPr>
        <w:t xml:space="preserve">set formal precedent </w:t>
      </w:r>
      <w:r w:rsidR="0092506C">
        <w:rPr>
          <w:rFonts w:cs="Times New Roman"/>
          <w:szCs w:val="24"/>
        </w:rPr>
        <w:t xml:space="preserve">by </w:t>
      </w:r>
      <w:r w:rsidRPr="005E1A20">
        <w:rPr>
          <w:rFonts w:cs="Times New Roman"/>
          <w:szCs w:val="24"/>
        </w:rPr>
        <w:t xml:space="preserve">allowing eminent domain to be used for taking strictly non-blighted property. </w:t>
      </w:r>
      <w:r w:rsidRPr="005E1A20">
        <w:rPr>
          <w:rFonts w:cs="Times New Roman"/>
          <w:i/>
          <w:iCs/>
          <w:szCs w:val="24"/>
        </w:rPr>
        <w:t>Kelo v City of New London</w:t>
      </w:r>
      <w:r w:rsidRPr="005E1A20">
        <w:rPr>
          <w:rFonts w:cs="Times New Roman"/>
          <w:szCs w:val="24"/>
        </w:rPr>
        <w:t xml:space="preserve"> (2005) simply reaffirmed </w:t>
      </w:r>
      <w:r w:rsidRPr="005E1A20">
        <w:rPr>
          <w:rFonts w:cs="Times New Roman"/>
          <w:i/>
          <w:iCs/>
          <w:szCs w:val="24"/>
        </w:rPr>
        <w:t>Berman</w:t>
      </w:r>
      <w:r w:rsidRPr="005E1A20">
        <w:rPr>
          <w:rFonts w:cs="Times New Roman"/>
          <w:szCs w:val="24"/>
        </w:rPr>
        <w:t>, authorizing the use of eminent domain to overcome seven monopoly holdouts, including that of Ms. Susette Kelo, for a new Pfizer Corporation headquarters, on grounds that creating new jobs and tax revenues constituted “Public Benefits” under the Takings Clause. Heller (1998) argued that using direct government intervention in this manner simply transfers monopoly ownership rights between private individuals, i.e., while leaving scarce public resources persistently underutilized as “anticommons” property… a classic market failure</w:t>
      </w:r>
      <w:r w:rsidR="0055196C">
        <w:rPr>
          <w:rFonts w:cs="Times New Roman"/>
          <w:szCs w:val="24"/>
        </w:rPr>
        <w:t xml:space="preserve">. </w:t>
      </w:r>
      <w:r w:rsidRPr="005E1A20">
        <w:rPr>
          <w:rFonts w:cs="Times New Roman"/>
          <w:szCs w:val="24"/>
        </w:rPr>
        <w:t xml:space="preserve">Following Coase’s landmark research on free riders, this study conducted formal IRB interviews with </w:t>
      </w:r>
      <w:r w:rsidR="00216781">
        <w:rPr>
          <w:rFonts w:cs="Times New Roman"/>
          <w:szCs w:val="24"/>
        </w:rPr>
        <w:t xml:space="preserve">members of </w:t>
      </w:r>
      <w:r w:rsidRPr="005E1A20">
        <w:rPr>
          <w:rFonts w:cs="Times New Roman"/>
          <w:szCs w:val="24"/>
        </w:rPr>
        <w:t xml:space="preserve">AUREO [Association of University Real Estate Officials] who willingly discussed their direct participation, i.e., during ongoing campus expansion projects at four respective public universities across the US. Chapters 3 and 4 fully document the firsthand narrative accounts provided by </w:t>
      </w:r>
      <w:r>
        <w:rPr>
          <w:rFonts w:cs="Times New Roman"/>
          <w:szCs w:val="24"/>
        </w:rPr>
        <w:t xml:space="preserve">these </w:t>
      </w:r>
      <w:r w:rsidRPr="005E1A20">
        <w:rPr>
          <w:rFonts w:cs="Times New Roman"/>
          <w:szCs w:val="24"/>
        </w:rPr>
        <w:t xml:space="preserve">real-world practitioners, who described the host of innovative bargaining mechanisms they routinely employed, i.e., enabling them to successfully resolve monopoly holdouts </w:t>
      </w:r>
      <w:r w:rsidRPr="005E1A20">
        <w:rPr>
          <w:rFonts w:cs="Times New Roman"/>
          <w:i/>
          <w:iCs/>
          <w:szCs w:val="24"/>
        </w:rPr>
        <w:t>without</w:t>
      </w:r>
      <w:r w:rsidRPr="005E1A20">
        <w:rPr>
          <w:rFonts w:cs="Times New Roman"/>
          <w:szCs w:val="24"/>
        </w:rPr>
        <w:t xml:space="preserve"> requiring eminent domain. As a practical alternative to longstanding policy orthodoxy, this study finds that by systematically negotiating reciprocal, mutually beneficial [Coasean] bargaining agreements with recalcitrant landowners, it is possible to successfully resolve monopoly holdouts </w:t>
      </w:r>
      <w:r w:rsidRPr="005E1A20">
        <w:rPr>
          <w:rFonts w:cs="Times New Roman"/>
          <w:i/>
          <w:iCs/>
          <w:szCs w:val="24"/>
        </w:rPr>
        <w:t xml:space="preserve">without </w:t>
      </w:r>
      <w:r w:rsidRPr="005E1A20">
        <w:rPr>
          <w:rFonts w:cs="Times New Roman"/>
          <w:szCs w:val="24"/>
        </w:rPr>
        <w:t>requiring eminent domain. While these results may seem pedestrian</w:t>
      </w:r>
      <w:r w:rsidR="005F524C">
        <w:rPr>
          <w:rFonts w:cs="Times New Roman"/>
          <w:szCs w:val="24"/>
        </w:rPr>
        <w:t xml:space="preserve"> to the layperson</w:t>
      </w:r>
      <w:r w:rsidRPr="005E1A20">
        <w:rPr>
          <w:rFonts w:cs="Times New Roman"/>
          <w:szCs w:val="24"/>
        </w:rPr>
        <w:t>, the</w:t>
      </w:r>
      <w:r w:rsidR="005F524C">
        <w:rPr>
          <w:rFonts w:cs="Times New Roman"/>
          <w:szCs w:val="24"/>
        </w:rPr>
        <w:t>ir practical</w:t>
      </w:r>
      <w:r w:rsidRPr="005E1A20">
        <w:rPr>
          <w:rFonts w:cs="Times New Roman"/>
          <w:szCs w:val="24"/>
        </w:rPr>
        <w:t xml:space="preserve"> implications for </w:t>
      </w:r>
      <w:r w:rsidR="005F524C">
        <w:rPr>
          <w:rFonts w:cs="Times New Roman"/>
          <w:szCs w:val="24"/>
        </w:rPr>
        <w:t xml:space="preserve">the </w:t>
      </w:r>
      <w:r w:rsidR="005F524C">
        <w:rPr>
          <w:rFonts w:cs="Times New Roman"/>
          <w:szCs w:val="24"/>
        </w:rPr>
        <w:lastRenderedPageBreak/>
        <w:t xml:space="preserve">practice of </w:t>
      </w:r>
      <w:r w:rsidRPr="005E1A20">
        <w:rPr>
          <w:rFonts w:cs="Times New Roman"/>
          <w:szCs w:val="24"/>
        </w:rPr>
        <w:t>Regional/City Planning</w:t>
      </w:r>
      <w:r w:rsidR="005F524C" w:rsidRPr="005F524C">
        <w:rPr>
          <w:rFonts w:cs="Times New Roman"/>
          <w:szCs w:val="24"/>
        </w:rPr>
        <w:t xml:space="preserve"> </w:t>
      </w:r>
      <w:r w:rsidR="00DB3E52">
        <w:rPr>
          <w:rFonts w:cs="Times New Roman"/>
          <w:szCs w:val="24"/>
        </w:rPr>
        <w:t xml:space="preserve">are </w:t>
      </w:r>
      <w:r w:rsidR="005F524C" w:rsidRPr="005E1A20">
        <w:rPr>
          <w:rFonts w:cs="Times New Roman"/>
          <w:szCs w:val="24"/>
        </w:rPr>
        <w:t>profound</w:t>
      </w:r>
      <w:r w:rsidRPr="005E1A20">
        <w:rPr>
          <w:rFonts w:cs="Times New Roman"/>
          <w:szCs w:val="24"/>
        </w:rPr>
        <w:t>. By employing these same innovative bargaining mechanisms, it enables urban planners/designers/administrators to continually seek out local innovators (of all stripes), partner them with youthful entrepreneurs, and create new economic, social, and political synergies, i.e., enabling any local municipality to achieve the same urban growth/redevelopment/revitalization renaissance pioneered in so-called “College Towns”.</w:t>
      </w:r>
    </w:p>
    <w:p w14:paraId="73F823C6" w14:textId="764299EA" w:rsidR="00A97296" w:rsidRPr="006514C8" w:rsidRDefault="00A97296" w:rsidP="00E37D5C">
      <w:pPr>
        <w:spacing w:after="160" w:line="240" w:lineRule="auto"/>
        <w:ind w:left="0" w:firstLine="0"/>
        <w:jc w:val="left"/>
        <w:rPr>
          <w:rFonts w:cs="Times New Roman"/>
          <w:b/>
          <w:bCs/>
          <w:szCs w:val="24"/>
        </w:rPr>
      </w:pPr>
      <w:r w:rsidRPr="006514C8">
        <w:rPr>
          <w:rFonts w:cs="Times New Roman"/>
          <w:b/>
          <w:bCs/>
          <w:szCs w:val="24"/>
        </w:rPr>
        <w:t xml:space="preserve">Keywords: Coase Theorem; Market Externalities: </w:t>
      </w:r>
      <w:r w:rsidR="006514C8">
        <w:rPr>
          <w:rFonts w:cs="Times New Roman"/>
          <w:b/>
          <w:bCs/>
          <w:szCs w:val="24"/>
        </w:rPr>
        <w:t xml:space="preserve">Holdout Problem; </w:t>
      </w:r>
      <w:r w:rsidRPr="006514C8">
        <w:rPr>
          <w:rFonts w:cs="Times New Roman"/>
          <w:b/>
          <w:bCs/>
          <w:szCs w:val="24"/>
        </w:rPr>
        <w:t>Anticommons; Pigouvian Taxation; Takings Clause: Eminent Domain; Market Failure Theory; Samuelson Condition; Nash Equilibrium; Sustainability:</w:t>
      </w:r>
    </w:p>
    <w:p w14:paraId="4101E5E1" w14:textId="77777777" w:rsidR="00E37D5C" w:rsidRPr="00E37D5C" w:rsidRDefault="00E37D5C" w:rsidP="00E37D5C">
      <w:pPr>
        <w:spacing w:after="160" w:line="240" w:lineRule="auto"/>
        <w:ind w:left="0" w:firstLine="0"/>
        <w:jc w:val="left"/>
        <w:rPr>
          <w:rFonts w:cs="Times New Roman"/>
          <w:szCs w:val="24"/>
        </w:rPr>
      </w:pPr>
    </w:p>
    <w:p w14:paraId="7F2F79A8" w14:textId="60A1134E" w:rsidR="00AA249E" w:rsidRPr="00AA249E" w:rsidRDefault="00AA249E" w:rsidP="00F11372">
      <w:pPr>
        <w:pStyle w:val="Heading1"/>
      </w:pPr>
      <w:bookmarkStart w:id="7" w:name="_Toc134346724"/>
      <w:r w:rsidRPr="00AA249E">
        <w:t xml:space="preserve">List of </w:t>
      </w:r>
      <w:r w:rsidR="00381852">
        <w:t>Figure</w:t>
      </w:r>
      <w:r w:rsidRPr="00AA249E">
        <w:t>s</w:t>
      </w:r>
      <w:r w:rsidR="00AC7ED1">
        <w:t>:</w:t>
      </w:r>
      <w:bookmarkEnd w:id="7"/>
    </w:p>
    <w:p w14:paraId="5A641B8A" w14:textId="6F71563C" w:rsidR="009A0BBF" w:rsidRDefault="00DF766B">
      <w:pPr>
        <w:pStyle w:val="TableofFigures"/>
        <w:tabs>
          <w:tab w:val="right" w:leader="dot" w:pos="8486"/>
        </w:tabs>
        <w:rPr>
          <w:rFonts w:asciiTheme="minorHAnsi" w:eastAsiaTheme="minorEastAsia" w:hAnsiTheme="minorHAnsi" w:cstheme="minorBidi"/>
          <w:noProof/>
          <w:sz w:val="22"/>
        </w:rPr>
      </w:pPr>
      <w:r>
        <w:rPr>
          <w:rFonts w:eastAsiaTheme="majorEastAsia" w:cstheme="majorBidi"/>
          <w:b/>
          <w:bCs/>
          <w:noProof/>
        </w:rPr>
        <w:fldChar w:fldCharType="begin"/>
      </w:r>
      <w:r>
        <w:rPr>
          <w:rFonts w:eastAsiaTheme="majorEastAsia" w:cstheme="majorBidi"/>
          <w:b/>
          <w:bCs/>
          <w:noProof/>
        </w:rPr>
        <w:instrText xml:space="preserve"> TOC \h \z \t "Figures,1" \c "Figure" </w:instrText>
      </w:r>
      <w:r>
        <w:rPr>
          <w:rFonts w:eastAsiaTheme="majorEastAsia" w:cstheme="majorBidi"/>
          <w:b/>
          <w:bCs/>
          <w:noProof/>
        </w:rPr>
        <w:fldChar w:fldCharType="separate"/>
      </w:r>
      <w:hyperlink w:anchor="_Toc127439124" w:history="1">
        <w:r w:rsidR="009A0BBF" w:rsidRPr="00CD242B">
          <w:rPr>
            <w:rStyle w:val="Hyperlink"/>
            <w:noProof/>
          </w:rPr>
          <w:t>Figure 3.1 Establishing Initial Target Assembly Area for Columbia, MD (1962)</w:t>
        </w:r>
        <w:r w:rsidR="009A0BBF">
          <w:rPr>
            <w:noProof/>
            <w:webHidden/>
          </w:rPr>
          <w:tab/>
        </w:r>
        <w:r w:rsidR="009A0BBF">
          <w:rPr>
            <w:noProof/>
            <w:webHidden/>
          </w:rPr>
          <w:fldChar w:fldCharType="begin"/>
        </w:r>
        <w:r w:rsidR="009A0BBF">
          <w:rPr>
            <w:noProof/>
            <w:webHidden/>
          </w:rPr>
          <w:instrText xml:space="preserve"> PAGEREF _Toc127439124 \h </w:instrText>
        </w:r>
        <w:r w:rsidR="009A0BBF">
          <w:rPr>
            <w:noProof/>
            <w:webHidden/>
          </w:rPr>
        </w:r>
        <w:r w:rsidR="009A0BBF">
          <w:rPr>
            <w:noProof/>
            <w:webHidden/>
          </w:rPr>
          <w:fldChar w:fldCharType="separate"/>
        </w:r>
        <w:r w:rsidR="00E153CE">
          <w:rPr>
            <w:noProof/>
            <w:webHidden/>
          </w:rPr>
          <w:t>30</w:t>
        </w:r>
        <w:r w:rsidR="009A0BBF">
          <w:rPr>
            <w:noProof/>
            <w:webHidden/>
          </w:rPr>
          <w:fldChar w:fldCharType="end"/>
        </w:r>
      </w:hyperlink>
    </w:p>
    <w:p w14:paraId="4D8162A9" w14:textId="0D1313EC" w:rsidR="009A0BBF" w:rsidRDefault="00000000">
      <w:pPr>
        <w:pStyle w:val="TableofFigures"/>
        <w:tabs>
          <w:tab w:val="right" w:leader="dot" w:pos="8486"/>
        </w:tabs>
        <w:rPr>
          <w:rFonts w:asciiTheme="minorHAnsi" w:eastAsiaTheme="minorEastAsia" w:hAnsiTheme="minorHAnsi" w:cstheme="minorBidi"/>
          <w:noProof/>
          <w:sz w:val="22"/>
        </w:rPr>
      </w:pPr>
      <w:hyperlink w:anchor="_Toc127439125" w:history="1">
        <w:r w:rsidR="009A0BBF" w:rsidRPr="00CD242B">
          <w:rPr>
            <w:rStyle w:val="Hyperlink"/>
            <w:noProof/>
          </w:rPr>
          <w:t>Figure 3.2 Original Robert Moxley Plat Map (Phase 1)</w:t>
        </w:r>
        <w:r w:rsidR="009A0BBF">
          <w:rPr>
            <w:noProof/>
            <w:webHidden/>
          </w:rPr>
          <w:tab/>
        </w:r>
        <w:r w:rsidR="009A0BBF">
          <w:rPr>
            <w:noProof/>
            <w:webHidden/>
          </w:rPr>
          <w:fldChar w:fldCharType="begin"/>
        </w:r>
        <w:r w:rsidR="009A0BBF">
          <w:rPr>
            <w:noProof/>
            <w:webHidden/>
          </w:rPr>
          <w:instrText xml:space="preserve"> PAGEREF _Toc127439125 \h </w:instrText>
        </w:r>
        <w:r w:rsidR="009A0BBF">
          <w:rPr>
            <w:noProof/>
            <w:webHidden/>
          </w:rPr>
        </w:r>
        <w:r w:rsidR="009A0BBF">
          <w:rPr>
            <w:noProof/>
            <w:webHidden/>
          </w:rPr>
          <w:fldChar w:fldCharType="separate"/>
        </w:r>
        <w:r w:rsidR="00E153CE">
          <w:rPr>
            <w:noProof/>
            <w:webHidden/>
          </w:rPr>
          <w:t>31</w:t>
        </w:r>
        <w:r w:rsidR="009A0BBF">
          <w:rPr>
            <w:noProof/>
            <w:webHidden/>
          </w:rPr>
          <w:fldChar w:fldCharType="end"/>
        </w:r>
      </w:hyperlink>
    </w:p>
    <w:p w14:paraId="77B2CBF3" w14:textId="241AA0E7" w:rsidR="009A0BBF" w:rsidRDefault="00000000">
      <w:pPr>
        <w:pStyle w:val="TableofFigures"/>
        <w:tabs>
          <w:tab w:val="right" w:leader="dot" w:pos="8486"/>
        </w:tabs>
        <w:rPr>
          <w:rFonts w:asciiTheme="minorHAnsi" w:eastAsiaTheme="minorEastAsia" w:hAnsiTheme="minorHAnsi" w:cstheme="minorBidi"/>
          <w:noProof/>
          <w:sz w:val="22"/>
        </w:rPr>
      </w:pPr>
      <w:hyperlink w:anchor="_Toc127439126" w:history="1">
        <w:r w:rsidR="009A0BBF" w:rsidRPr="00CD242B">
          <w:rPr>
            <w:rStyle w:val="Hyperlink"/>
            <w:noProof/>
          </w:rPr>
          <w:t>Figure 3.3 Composite Scan of Original Moxley Plat Map (with Landowner Data)</w:t>
        </w:r>
        <w:r w:rsidR="009A0BBF">
          <w:rPr>
            <w:noProof/>
            <w:webHidden/>
          </w:rPr>
          <w:tab/>
        </w:r>
        <w:r w:rsidR="009A0BBF">
          <w:rPr>
            <w:noProof/>
            <w:webHidden/>
          </w:rPr>
          <w:fldChar w:fldCharType="begin"/>
        </w:r>
        <w:r w:rsidR="009A0BBF">
          <w:rPr>
            <w:noProof/>
            <w:webHidden/>
          </w:rPr>
          <w:instrText xml:space="preserve"> PAGEREF _Toc127439126 \h </w:instrText>
        </w:r>
        <w:r w:rsidR="009A0BBF">
          <w:rPr>
            <w:noProof/>
            <w:webHidden/>
          </w:rPr>
        </w:r>
        <w:r w:rsidR="009A0BBF">
          <w:rPr>
            <w:noProof/>
            <w:webHidden/>
          </w:rPr>
          <w:fldChar w:fldCharType="separate"/>
        </w:r>
        <w:r w:rsidR="00E153CE">
          <w:rPr>
            <w:noProof/>
            <w:webHidden/>
          </w:rPr>
          <w:t>33</w:t>
        </w:r>
        <w:r w:rsidR="009A0BBF">
          <w:rPr>
            <w:noProof/>
            <w:webHidden/>
          </w:rPr>
          <w:fldChar w:fldCharType="end"/>
        </w:r>
      </w:hyperlink>
    </w:p>
    <w:p w14:paraId="21473253" w14:textId="662E3543" w:rsidR="009A0BBF" w:rsidRDefault="00000000">
      <w:pPr>
        <w:pStyle w:val="TableofFigures"/>
        <w:tabs>
          <w:tab w:val="right" w:leader="dot" w:pos="8486"/>
        </w:tabs>
        <w:rPr>
          <w:rFonts w:asciiTheme="minorHAnsi" w:eastAsiaTheme="minorEastAsia" w:hAnsiTheme="minorHAnsi" w:cstheme="minorBidi"/>
          <w:noProof/>
          <w:sz w:val="22"/>
        </w:rPr>
      </w:pPr>
      <w:hyperlink w:anchor="_Toc127439127" w:history="1">
        <w:r w:rsidR="009A0BBF" w:rsidRPr="00CD242B">
          <w:rPr>
            <w:rStyle w:val="Hyperlink"/>
            <w:noProof/>
          </w:rPr>
          <w:t>Figure 3.4 (CAD-Digitized) Initial “Cedar Lane” Acquisition 1962 (Phase 1)</w:t>
        </w:r>
        <w:r w:rsidR="009A0BBF">
          <w:rPr>
            <w:noProof/>
            <w:webHidden/>
          </w:rPr>
          <w:tab/>
        </w:r>
        <w:r w:rsidR="009A0BBF">
          <w:rPr>
            <w:noProof/>
            <w:webHidden/>
          </w:rPr>
          <w:fldChar w:fldCharType="begin"/>
        </w:r>
        <w:r w:rsidR="009A0BBF">
          <w:rPr>
            <w:noProof/>
            <w:webHidden/>
          </w:rPr>
          <w:instrText xml:space="preserve"> PAGEREF _Toc127439127 \h </w:instrText>
        </w:r>
        <w:r w:rsidR="009A0BBF">
          <w:rPr>
            <w:noProof/>
            <w:webHidden/>
          </w:rPr>
        </w:r>
        <w:r w:rsidR="009A0BBF">
          <w:rPr>
            <w:noProof/>
            <w:webHidden/>
          </w:rPr>
          <w:fldChar w:fldCharType="separate"/>
        </w:r>
        <w:r w:rsidR="00E153CE">
          <w:rPr>
            <w:noProof/>
            <w:webHidden/>
          </w:rPr>
          <w:t>34</w:t>
        </w:r>
        <w:r w:rsidR="009A0BBF">
          <w:rPr>
            <w:noProof/>
            <w:webHidden/>
          </w:rPr>
          <w:fldChar w:fldCharType="end"/>
        </w:r>
      </w:hyperlink>
    </w:p>
    <w:p w14:paraId="4362562C" w14:textId="3CB32FB7" w:rsidR="009A0BBF" w:rsidRDefault="00000000">
      <w:pPr>
        <w:pStyle w:val="TableofFigures"/>
        <w:tabs>
          <w:tab w:val="right" w:leader="dot" w:pos="8486"/>
        </w:tabs>
        <w:rPr>
          <w:rFonts w:asciiTheme="minorHAnsi" w:eastAsiaTheme="minorEastAsia" w:hAnsiTheme="minorHAnsi" w:cstheme="minorBidi"/>
          <w:noProof/>
          <w:sz w:val="22"/>
        </w:rPr>
      </w:pPr>
      <w:hyperlink w:anchor="_Toc127439128" w:history="1">
        <w:r w:rsidR="009A0BBF" w:rsidRPr="00CD242B">
          <w:rPr>
            <w:rStyle w:val="Hyperlink"/>
            <w:noProof/>
          </w:rPr>
          <w:t>Figure 3.5 Viable Parcel Nucleus Acquisition (Phase 2)</w:t>
        </w:r>
        <w:r w:rsidR="009A0BBF">
          <w:rPr>
            <w:noProof/>
            <w:webHidden/>
          </w:rPr>
          <w:tab/>
        </w:r>
        <w:r w:rsidR="009A0BBF">
          <w:rPr>
            <w:noProof/>
            <w:webHidden/>
          </w:rPr>
          <w:fldChar w:fldCharType="begin"/>
        </w:r>
        <w:r w:rsidR="009A0BBF">
          <w:rPr>
            <w:noProof/>
            <w:webHidden/>
          </w:rPr>
          <w:instrText xml:space="preserve"> PAGEREF _Toc127439128 \h </w:instrText>
        </w:r>
        <w:r w:rsidR="009A0BBF">
          <w:rPr>
            <w:noProof/>
            <w:webHidden/>
          </w:rPr>
        </w:r>
        <w:r w:rsidR="009A0BBF">
          <w:rPr>
            <w:noProof/>
            <w:webHidden/>
          </w:rPr>
          <w:fldChar w:fldCharType="separate"/>
        </w:r>
        <w:r w:rsidR="00E153CE">
          <w:rPr>
            <w:noProof/>
            <w:webHidden/>
          </w:rPr>
          <w:t>34</w:t>
        </w:r>
        <w:r w:rsidR="009A0BBF">
          <w:rPr>
            <w:noProof/>
            <w:webHidden/>
          </w:rPr>
          <w:fldChar w:fldCharType="end"/>
        </w:r>
      </w:hyperlink>
    </w:p>
    <w:p w14:paraId="2E909C6B" w14:textId="78673A9A" w:rsidR="009A0BBF" w:rsidRDefault="00000000">
      <w:pPr>
        <w:pStyle w:val="TableofFigures"/>
        <w:tabs>
          <w:tab w:val="right" w:leader="dot" w:pos="8486"/>
        </w:tabs>
        <w:rPr>
          <w:rFonts w:asciiTheme="minorHAnsi" w:eastAsiaTheme="minorEastAsia" w:hAnsiTheme="minorHAnsi" w:cstheme="minorBidi"/>
          <w:noProof/>
          <w:sz w:val="22"/>
        </w:rPr>
      </w:pPr>
      <w:hyperlink w:anchor="_Toc127439129" w:history="1">
        <w:r w:rsidR="009A0BBF" w:rsidRPr="00CD242B">
          <w:rPr>
            <w:rStyle w:val="Hyperlink"/>
            <w:noProof/>
          </w:rPr>
          <w:t>Figure 3.6 Coordinated Straw-Purchasing of Viable Parcel Nucleus (Phase 2)</w:t>
        </w:r>
        <w:r w:rsidR="009A0BBF">
          <w:rPr>
            <w:noProof/>
            <w:webHidden/>
          </w:rPr>
          <w:tab/>
        </w:r>
        <w:r w:rsidR="009A0BBF">
          <w:rPr>
            <w:noProof/>
            <w:webHidden/>
          </w:rPr>
          <w:fldChar w:fldCharType="begin"/>
        </w:r>
        <w:r w:rsidR="009A0BBF">
          <w:rPr>
            <w:noProof/>
            <w:webHidden/>
          </w:rPr>
          <w:instrText xml:space="preserve"> PAGEREF _Toc127439129 \h </w:instrText>
        </w:r>
        <w:r w:rsidR="009A0BBF">
          <w:rPr>
            <w:noProof/>
            <w:webHidden/>
          </w:rPr>
        </w:r>
        <w:r w:rsidR="009A0BBF">
          <w:rPr>
            <w:noProof/>
            <w:webHidden/>
          </w:rPr>
          <w:fldChar w:fldCharType="separate"/>
        </w:r>
        <w:r w:rsidR="00E153CE">
          <w:rPr>
            <w:noProof/>
            <w:webHidden/>
          </w:rPr>
          <w:t>35</w:t>
        </w:r>
        <w:r w:rsidR="009A0BBF">
          <w:rPr>
            <w:noProof/>
            <w:webHidden/>
          </w:rPr>
          <w:fldChar w:fldCharType="end"/>
        </w:r>
      </w:hyperlink>
    </w:p>
    <w:p w14:paraId="7CCD84D1" w14:textId="560FFC9E" w:rsidR="009A0BBF" w:rsidRDefault="00000000">
      <w:pPr>
        <w:pStyle w:val="TableofFigures"/>
        <w:tabs>
          <w:tab w:val="right" w:leader="dot" w:pos="8486"/>
        </w:tabs>
        <w:rPr>
          <w:rFonts w:asciiTheme="minorHAnsi" w:eastAsiaTheme="minorEastAsia" w:hAnsiTheme="minorHAnsi" w:cstheme="minorBidi"/>
          <w:noProof/>
          <w:sz w:val="22"/>
        </w:rPr>
      </w:pPr>
      <w:hyperlink w:anchor="_Toc127439130" w:history="1">
        <w:r w:rsidR="009A0BBF" w:rsidRPr="00CD242B">
          <w:rPr>
            <w:rStyle w:val="Hyperlink"/>
            <w:noProof/>
          </w:rPr>
          <w:t>Figure 3.7 Dasher Holdout Property (Phase 2)</w:t>
        </w:r>
        <w:r w:rsidR="009A0BBF">
          <w:rPr>
            <w:noProof/>
            <w:webHidden/>
          </w:rPr>
          <w:tab/>
        </w:r>
        <w:r w:rsidR="009A0BBF">
          <w:rPr>
            <w:noProof/>
            <w:webHidden/>
          </w:rPr>
          <w:fldChar w:fldCharType="begin"/>
        </w:r>
        <w:r w:rsidR="009A0BBF">
          <w:rPr>
            <w:noProof/>
            <w:webHidden/>
          </w:rPr>
          <w:instrText xml:space="preserve"> PAGEREF _Toc127439130 \h </w:instrText>
        </w:r>
        <w:r w:rsidR="009A0BBF">
          <w:rPr>
            <w:noProof/>
            <w:webHidden/>
          </w:rPr>
        </w:r>
        <w:r w:rsidR="009A0BBF">
          <w:rPr>
            <w:noProof/>
            <w:webHidden/>
          </w:rPr>
          <w:fldChar w:fldCharType="separate"/>
        </w:r>
        <w:r w:rsidR="00E153CE">
          <w:rPr>
            <w:noProof/>
            <w:webHidden/>
          </w:rPr>
          <w:t>36</w:t>
        </w:r>
        <w:r w:rsidR="009A0BBF">
          <w:rPr>
            <w:noProof/>
            <w:webHidden/>
          </w:rPr>
          <w:fldChar w:fldCharType="end"/>
        </w:r>
      </w:hyperlink>
    </w:p>
    <w:p w14:paraId="736D3EDB" w14:textId="49C3DCE3" w:rsidR="009A0BBF" w:rsidRDefault="00000000">
      <w:pPr>
        <w:pStyle w:val="TableofFigures"/>
        <w:tabs>
          <w:tab w:val="right" w:leader="dot" w:pos="8486"/>
        </w:tabs>
        <w:rPr>
          <w:rFonts w:asciiTheme="minorHAnsi" w:eastAsiaTheme="minorEastAsia" w:hAnsiTheme="minorHAnsi" w:cstheme="minorBidi"/>
          <w:noProof/>
          <w:sz w:val="22"/>
        </w:rPr>
      </w:pPr>
      <w:hyperlink w:anchor="_Toc127439131" w:history="1">
        <w:r w:rsidR="009A0BBF" w:rsidRPr="00CD242B">
          <w:rPr>
            <w:rStyle w:val="Hyperlink"/>
            <w:noProof/>
          </w:rPr>
          <w:t>Figure 3. 8 Consolidation of Outparcels to Establish Outer Boundaries (Phase 3)</w:t>
        </w:r>
        <w:r w:rsidR="009A0BBF">
          <w:rPr>
            <w:noProof/>
            <w:webHidden/>
          </w:rPr>
          <w:tab/>
        </w:r>
        <w:r w:rsidR="009A0BBF">
          <w:rPr>
            <w:noProof/>
            <w:webHidden/>
          </w:rPr>
          <w:fldChar w:fldCharType="begin"/>
        </w:r>
        <w:r w:rsidR="009A0BBF">
          <w:rPr>
            <w:noProof/>
            <w:webHidden/>
          </w:rPr>
          <w:instrText xml:space="preserve"> PAGEREF _Toc127439131 \h </w:instrText>
        </w:r>
        <w:r w:rsidR="009A0BBF">
          <w:rPr>
            <w:noProof/>
            <w:webHidden/>
          </w:rPr>
        </w:r>
        <w:r w:rsidR="009A0BBF">
          <w:rPr>
            <w:noProof/>
            <w:webHidden/>
          </w:rPr>
          <w:fldChar w:fldCharType="separate"/>
        </w:r>
        <w:r w:rsidR="00E153CE">
          <w:rPr>
            <w:noProof/>
            <w:webHidden/>
          </w:rPr>
          <w:t>37</w:t>
        </w:r>
        <w:r w:rsidR="009A0BBF">
          <w:rPr>
            <w:noProof/>
            <w:webHidden/>
          </w:rPr>
          <w:fldChar w:fldCharType="end"/>
        </w:r>
      </w:hyperlink>
    </w:p>
    <w:p w14:paraId="41115E5B" w14:textId="1AE4A5E1" w:rsidR="009A0BBF" w:rsidRDefault="00000000">
      <w:pPr>
        <w:pStyle w:val="TableofFigures"/>
        <w:tabs>
          <w:tab w:val="right" w:leader="dot" w:pos="8486"/>
        </w:tabs>
        <w:rPr>
          <w:rFonts w:asciiTheme="minorHAnsi" w:eastAsiaTheme="minorEastAsia" w:hAnsiTheme="minorHAnsi" w:cstheme="minorBidi"/>
          <w:noProof/>
          <w:sz w:val="22"/>
        </w:rPr>
      </w:pPr>
      <w:hyperlink w:anchor="_Toc127439132" w:history="1">
        <w:r w:rsidR="009A0BBF" w:rsidRPr="00CD242B">
          <w:rPr>
            <w:rStyle w:val="Hyperlink"/>
            <w:noProof/>
          </w:rPr>
          <w:t>Figure 3.9 “Three G’s” Holdout Properties (Phase 3)</w:t>
        </w:r>
        <w:r w:rsidR="009A0BBF">
          <w:rPr>
            <w:noProof/>
            <w:webHidden/>
          </w:rPr>
          <w:tab/>
        </w:r>
        <w:r w:rsidR="009A0BBF">
          <w:rPr>
            <w:noProof/>
            <w:webHidden/>
          </w:rPr>
          <w:fldChar w:fldCharType="begin"/>
        </w:r>
        <w:r w:rsidR="009A0BBF">
          <w:rPr>
            <w:noProof/>
            <w:webHidden/>
          </w:rPr>
          <w:instrText xml:space="preserve"> PAGEREF _Toc127439132 \h </w:instrText>
        </w:r>
        <w:r w:rsidR="009A0BBF">
          <w:rPr>
            <w:noProof/>
            <w:webHidden/>
          </w:rPr>
        </w:r>
        <w:r w:rsidR="009A0BBF">
          <w:rPr>
            <w:noProof/>
            <w:webHidden/>
          </w:rPr>
          <w:fldChar w:fldCharType="separate"/>
        </w:r>
        <w:r w:rsidR="00E153CE">
          <w:rPr>
            <w:noProof/>
            <w:webHidden/>
          </w:rPr>
          <w:t>38</w:t>
        </w:r>
        <w:r w:rsidR="009A0BBF">
          <w:rPr>
            <w:noProof/>
            <w:webHidden/>
          </w:rPr>
          <w:fldChar w:fldCharType="end"/>
        </w:r>
      </w:hyperlink>
    </w:p>
    <w:p w14:paraId="525D9A35" w14:textId="64F0FE3D" w:rsidR="009A0BBF" w:rsidRDefault="00000000">
      <w:pPr>
        <w:pStyle w:val="TableofFigures"/>
        <w:tabs>
          <w:tab w:val="right" w:leader="dot" w:pos="8486"/>
        </w:tabs>
        <w:rPr>
          <w:rFonts w:asciiTheme="minorHAnsi" w:eastAsiaTheme="minorEastAsia" w:hAnsiTheme="minorHAnsi" w:cstheme="minorBidi"/>
          <w:noProof/>
          <w:sz w:val="22"/>
        </w:rPr>
      </w:pPr>
      <w:hyperlink w:anchor="_Toc127439133" w:history="1">
        <w:r w:rsidR="009A0BBF" w:rsidRPr="00CD242B">
          <w:rPr>
            <w:rStyle w:val="Hyperlink"/>
            <w:noProof/>
          </w:rPr>
          <w:t>Figure 3.10 Final Consolidation of Remaining/Available Infill Parcels (Phase 4)</w:t>
        </w:r>
        <w:r w:rsidR="009A0BBF">
          <w:rPr>
            <w:noProof/>
            <w:webHidden/>
          </w:rPr>
          <w:tab/>
        </w:r>
        <w:r w:rsidR="009A0BBF">
          <w:rPr>
            <w:noProof/>
            <w:webHidden/>
          </w:rPr>
          <w:fldChar w:fldCharType="begin"/>
        </w:r>
        <w:r w:rsidR="009A0BBF">
          <w:rPr>
            <w:noProof/>
            <w:webHidden/>
          </w:rPr>
          <w:instrText xml:space="preserve"> PAGEREF _Toc127439133 \h </w:instrText>
        </w:r>
        <w:r w:rsidR="009A0BBF">
          <w:rPr>
            <w:noProof/>
            <w:webHidden/>
          </w:rPr>
        </w:r>
        <w:r w:rsidR="009A0BBF">
          <w:rPr>
            <w:noProof/>
            <w:webHidden/>
          </w:rPr>
          <w:fldChar w:fldCharType="separate"/>
        </w:r>
        <w:r w:rsidR="00E153CE">
          <w:rPr>
            <w:noProof/>
            <w:webHidden/>
          </w:rPr>
          <w:t>40</w:t>
        </w:r>
        <w:r w:rsidR="009A0BBF">
          <w:rPr>
            <w:noProof/>
            <w:webHidden/>
          </w:rPr>
          <w:fldChar w:fldCharType="end"/>
        </w:r>
      </w:hyperlink>
    </w:p>
    <w:p w14:paraId="6BF1B23A" w14:textId="6544BC9E" w:rsidR="009A0BBF" w:rsidRDefault="00000000">
      <w:pPr>
        <w:pStyle w:val="TableofFigures"/>
        <w:tabs>
          <w:tab w:val="right" w:leader="dot" w:pos="8486"/>
        </w:tabs>
        <w:rPr>
          <w:rFonts w:asciiTheme="minorHAnsi" w:eastAsiaTheme="minorEastAsia" w:hAnsiTheme="minorHAnsi" w:cstheme="minorBidi"/>
          <w:noProof/>
          <w:sz w:val="22"/>
        </w:rPr>
      </w:pPr>
      <w:hyperlink w:anchor="_Toc127439134" w:history="1">
        <w:r w:rsidR="009A0BBF" w:rsidRPr="00CD242B">
          <w:rPr>
            <w:rStyle w:val="Hyperlink"/>
            <w:noProof/>
          </w:rPr>
          <w:t>Figure 3.11 Final “Swiss Cheese” [aka “Spotted Leopard”] Assemblage Pattern</w:t>
        </w:r>
        <w:r w:rsidR="009A0BBF">
          <w:rPr>
            <w:noProof/>
            <w:webHidden/>
          </w:rPr>
          <w:tab/>
        </w:r>
        <w:r w:rsidR="009A0BBF">
          <w:rPr>
            <w:noProof/>
            <w:webHidden/>
          </w:rPr>
          <w:fldChar w:fldCharType="begin"/>
        </w:r>
        <w:r w:rsidR="009A0BBF">
          <w:rPr>
            <w:noProof/>
            <w:webHidden/>
          </w:rPr>
          <w:instrText xml:space="preserve"> PAGEREF _Toc127439134 \h </w:instrText>
        </w:r>
        <w:r w:rsidR="009A0BBF">
          <w:rPr>
            <w:noProof/>
            <w:webHidden/>
          </w:rPr>
        </w:r>
        <w:r w:rsidR="009A0BBF">
          <w:rPr>
            <w:noProof/>
            <w:webHidden/>
          </w:rPr>
          <w:fldChar w:fldCharType="separate"/>
        </w:r>
        <w:r w:rsidR="00E153CE">
          <w:rPr>
            <w:noProof/>
            <w:webHidden/>
          </w:rPr>
          <w:t>41</w:t>
        </w:r>
        <w:r w:rsidR="009A0BBF">
          <w:rPr>
            <w:noProof/>
            <w:webHidden/>
          </w:rPr>
          <w:fldChar w:fldCharType="end"/>
        </w:r>
      </w:hyperlink>
    </w:p>
    <w:p w14:paraId="324F4625" w14:textId="6BDA7DCB" w:rsidR="009A0BBF" w:rsidRDefault="00000000">
      <w:pPr>
        <w:pStyle w:val="TableofFigures"/>
        <w:tabs>
          <w:tab w:val="right" w:leader="dot" w:pos="8486"/>
        </w:tabs>
        <w:rPr>
          <w:rFonts w:asciiTheme="minorHAnsi" w:eastAsiaTheme="minorEastAsia" w:hAnsiTheme="minorHAnsi" w:cstheme="minorBidi"/>
          <w:noProof/>
          <w:sz w:val="22"/>
        </w:rPr>
      </w:pPr>
      <w:hyperlink w:anchor="_Toc127439135" w:history="1">
        <w:r w:rsidR="009A0BBF" w:rsidRPr="00CD242B">
          <w:rPr>
            <w:rStyle w:val="Hyperlink"/>
            <w:noProof/>
          </w:rPr>
          <w:t>Figure 3.12 Smith Holdout Property [Schematic]</w:t>
        </w:r>
        <w:r w:rsidR="009A0BBF">
          <w:rPr>
            <w:noProof/>
            <w:webHidden/>
          </w:rPr>
          <w:tab/>
        </w:r>
        <w:r w:rsidR="009A0BBF">
          <w:rPr>
            <w:noProof/>
            <w:webHidden/>
          </w:rPr>
          <w:fldChar w:fldCharType="begin"/>
        </w:r>
        <w:r w:rsidR="009A0BBF">
          <w:rPr>
            <w:noProof/>
            <w:webHidden/>
          </w:rPr>
          <w:instrText xml:space="preserve"> PAGEREF _Toc127439135 \h </w:instrText>
        </w:r>
        <w:r w:rsidR="009A0BBF">
          <w:rPr>
            <w:noProof/>
            <w:webHidden/>
          </w:rPr>
        </w:r>
        <w:r w:rsidR="009A0BBF">
          <w:rPr>
            <w:noProof/>
            <w:webHidden/>
          </w:rPr>
          <w:fldChar w:fldCharType="separate"/>
        </w:r>
        <w:r w:rsidR="00E153CE">
          <w:rPr>
            <w:noProof/>
            <w:webHidden/>
          </w:rPr>
          <w:t>42</w:t>
        </w:r>
        <w:r w:rsidR="009A0BBF">
          <w:rPr>
            <w:noProof/>
            <w:webHidden/>
          </w:rPr>
          <w:fldChar w:fldCharType="end"/>
        </w:r>
      </w:hyperlink>
    </w:p>
    <w:p w14:paraId="2642C2A6" w14:textId="271F3488" w:rsidR="009A0BBF" w:rsidRDefault="00000000">
      <w:pPr>
        <w:pStyle w:val="TableofFigures"/>
        <w:tabs>
          <w:tab w:val="right" w:leader="dot" w:pos="8486"/>
        </w:tabs>
        <w:rPr>
          <w:rFonts w:asciiTheme="minorHAnsi" w:eastAsiaTheme="minorEastAsia" w:hAnsiTheme="minorHAnsi" w:cstheme="minorBidi"/>
          <w:noProof/>
          <w:sz w:val="22"/>
        </w:rPr>
      </w:pPr>
      <w:hyperlink w:anchor="_Toc127439136" w:history="1">
        <w:r w:rsidR="009A0BBF" w:rsidRPr="00CD242B">
          <w:rPr>
            <w:rStyle w:val="Hyperlink"/>
            <w:noProof/>
          </w:rPr>
          <w:t>Figure 3.13 Current Village Pattern Columbia, Maryland (c. 2019)</w:t>
        </w:r>
        <w:r w:rsidR="009A0BBF">
          <w:rPr>
            <w:noProof/>
            <w:webHidden/>
          </w:rPr>
          <w:tab/>
        </w:r>
        <w:r w:rsidR="009A0BBF">
          <w:rPr>
            <w:noProof/>
            <w:webHidden/>
          </w:rPr>
          <w:fldChar w:fldCharType="begin"/>
        </w:r>
        <w:r w:rsidR="009A0BBF">
          <w:rPr>
            <w:noProof/>
            <w:webHidden/>
          </w:rPr>
          <w:instrText xml:space="preserve"> PAGEREF _Toc127439136 \h </w:instrText>
        </w:r>
        <w:r w:rsidR="009A0BBF">
          <w:rPr>
            <w:noProof/>
            <w:webHidden/>
          </w:rPr>
        </w:r>
        <w:r w:rsidR="009A0BBF">
          <w:rPr>
            <w:noProof/>
            <w:webHidden/>
          </w:rPr>
          <w:fldChar w:fldCharType="separate"/>
        </w:r>
        <w:r w:rsidR="00E153CE">
          <w:rPr>
            <w:noProof/>
            <w:webHidden/>
          </w:rPr>
          <w:t>43</w:t>
        </w:r>
        <w:r w:rsidR="009A0BBF">
          <w:rPr>
            <w:noProof/>
            <w:webHidden/>
          </w:rPr>
          <w:fldChar w:fldCharType="end"/>
        </w:r>
      </w:hyperlink>
    </w:p>
    <w:p w14:paraId="6A321F89" w14:textId="708F73E9" w:rsidR="009A0BBF" w:rsidRDefault="00000000">
      <w:pPr>
        <w:pStyle w:val="TableofFigures"/>
        <w:tabs>
          <w:tab w:val="right" w:leader="dot" w:pos="8486"/>
        </w:tabs>
        <w:rPr>
          <w:rFonts w:asciiTheme="minorHAnsi" w:eastAsiaTheme="minorEastAsia" w:hAnsiTheme="minorHAnsi" w:cstheme="minorBidi"/>
          <w:noProof/>
          <w:sz w:val="22"/>
        </w:rPr>
      </w:pPr>
      <w:hyperlink w:anchor="_Toc127439137" w:history="1">
        <w:r w:rsidR="009A0BBF" w:rsidRPr="00CD242B">
          <w:rPr>
            <w:rStyle w:val="Hyperlink"/>
            <w:noProof/>
          </w:rPr>
          <w:t>Figure 4.1 Faerie Queen Lane Assembly Project Univ of Oklahoma, Norman (2002)</w:t>
        </w:r>
        <w:r w:rsidR="009A0BBF">
          <w:rPr>
            <w:noProof/>
            <w:webHidden/>
          </w:rPr>
          <w:tab/>
        </w:r>
        <w:r w:rsidR="009A0BBF">
          <w:rPr>
            <w:noProof/>
            <w:webHidden/>
          </w:rPr>
          <w:fldChar w:fldCharType="begin"/>
        </w:r>
        <w:r w:rsidR="009A0BBF">
          <w:rPr>
            <w:noProof/>
            <w:webHidden/>
          </w:rPr>
          <w:instrText xml:space="preserve"> PAGEREF _Toc127439137 \h </w:instrText>
        </w:r>
        <w:r w:rsidR="009A0BBF">
          <w:rPr>
            <w:noProof/>
            <w:webHidden/>
          </w:rPr>
        </w:r>
        <w:r w:rsidR="009A0BBF">
          <w:rPr>
            <w:noProof/>
            <w:webHidden/>
          </w:rPr>
          <w:fldChar w:fldCharType="separate"/>
        </w:r>
        <w:r w:rsidR="00E153CE">
          <w:rPr>
            <w:noProof/>
            <w:webHidden/>
          </w:rPr>
          <w:t>63</w:t>
        </w:r>
        <w:r w:rsidR="009A0BBF">
          <w:rPr>
            <w:noProof/>
            <w:webHidden/>
          </w:rPr>
          <w:fldChar w:fldCharType="end"/>
        </w:r>
      </w:hyperlink>
    </w:p>
    <w:p w14:paraId="1FF0C4AE" w14:textId="2D5B2945" w:rsidR="009A0BBF" w:rsidRDefault="00000000">
      <w:pPr>
        <w:pStyle w:val="TableofFigures"/>
        <w:tabs>
          <w:tab w:val="right" w:leader="dot" w:pos="8486"/>
        </w:tabs>
        <w:rPr>
          <w:rFonts w:asciiTheme="minorHAnsi" w:eastAsiaTheme="minorEastAsia" w:hAnsiTheme="minorHAnsi" w:cstheme="minorBidi"/>
          <w:noProof/>
          <w:sz w:val="22"/>
        </w:rPr>
      </w:pPr>
      <w:hyperlink w:anchor="_Toc127439138" w:history="1">
        <w:r w:rsidR="009A0BBF" w:rsidRPr="00CD242B">
          <w:rPr>
            <w:rStyle w:val="Hyperlink"/>
            <w:noProof/>
          </w:rPr>
          <w:t>Figure 4.2 “Rosebush” Monopoly Holdout   Faerie Queen Lane (c. 2002)</w:t>
        </w:r>
        <w:r w:rsidR="009A0BBF">
          <w:rPr>
            <w:noProof/>
            <w:webHidden/>
          </w:rPr>
          <w:tab/>
        </w:r>
        <w:r w:rsidR="009A0BBF">
          <w:rPr>
            <w:noProof/>
            <w:webHidden/>
          </w:rPr>
          <w:fldChar w:fldCharType="begin"/>
        </w:r>
        <w:r w:rsidR="009A0BBF">
          <w:rPr>
            <w:noProof/>
            <w:webHidden/>
          </w:rPr>
          <w:instrText xml:space="preserve"> PAGEREF _Toc127439138 \h </w:instrText>
        </w:r>
        <w:r w:rsidR="009A0BBF">
          <w:rPr>
            <w:noProof/>
            <w:webHidden/>
          </w:rPr>
        </w:r>
        <w:r w:rsidR="009A0BBF">
          <w:rPr>
            <w:noProof/>
            <w:webHidden/>
          </w:rPr>
          <w:fldChar w:fldCharType="separate"/>
        </w:r>
        <w:r w:rsidR="00E153CE">
          <w:rPr>
            <w:noProof/>
            <w:webHidden/>
          </w:rPr>
          <w:t>65</w:t>
        </w:r>
        <w:r w:rsidR="009A0BBF">
          <w:rPr>
            <w:noProof/>
            <w:webHidden/>
          </w:rPr>
          <w:fldChar w:fldCharType="end"/>
        </w:r>
      </w:hyperlink>
    </w:p>
    <w:p w14:paraId="72B60EFD" w14:textId="63FBDDCE" w:rsidR="009A0BBF" w:rsidRDefault="00000000">
      <w:pPr>
        <w:pStyle w:val="TableofFigures"/>
        <w:tabs>
          <w:tab w:val="right" w:leader="dot" w:pos="8486"/>
        </w:tabs>
        <w:rPr>
          <w:rFonts w:asciiTheme="minorHAnsi" w:eastAsiaTheme="minorEastAsia" w:hAnsiTheme="minorHAnsi" w:cstheme="minorBidi"/>
          <w:noProof/>
          <w:sz w:val="22"/>
        </w:rPr>
      </w:pPr>
      <w:hyperlink w:anchor="_Toc127439139" w:history="1">
        <w:r w:rsidR="009A0BBF" w:rsidRPr="00CD242B">
          <w:rPr>
            <w:rStyle w:val="Hyperlink"/>
            <w:noProof/>
          </w:rPr>
          <w:t>Figure 4.3 BLACKLAND Neighborhood Center Project Univ Texas-Austin (2004)</w:t>
        </w:r>
        <w:r w:rsidR="009A0BBF">
          <w:rPr>
            <w:noProof/>
            <w:webHidden/>
          </w:rPr>
          <w:tab/>
        </w:r>
        <w:r w:rsidR="009A0BBF">
          <w:rPr>
            <w:noProof/>
            <w:webHidden/>
          </w:rPr>
          <w:fldChar w:fldCharType="begin"/>
        </w:r>
        <w:r w:rsidR="009A0BBF">
          <w:rPr>
            <w:noProof/>
            <w:webHidden/>
          </w:rPr>
          <w:instrText xml:space="preserve"> PAGEREF _Toc127439139 \h </w:instrText>
        </w:r>
        <w:r w:rsidR="009A0BBF">
          <w:rPr>
            <w:noProof/>
            <w:webHidden/>
          </w:rPr>
        </w:r>
        <w:r w:rsidR="009A0BBF">
          <w:rPr>
            <w:noProof/>
            <w:webHidden/>
          </w:rPr>
          <w:fldChar w:fldCharType="separate"/>
        </w:r>
        <w:r w:rsidR="00E153CE">
          <w:rPr>
            <w:noProof/>
            <w:webHidden/>
          </w:rPr>
          <w:t>66</w:t>
        </w:r>
        <w:r w:rsidR="009A0BBF">
          <w:rPr>
            <w:noProof/>
            <w:webHidden/>
          </w:rPr>
          <w:fldChar w:fldCharType="end"/>
        </w:r>
      </w:hyperlink>
    </w:p>
    <w:p w14:paraId="4D6A0090" w14:textId="512D4E62" w:rsidR="009A0BBF" w:rsidRDefault="00000000">
      <w:pPr>
        <w:pStyle w:val="TableofFigures"/>
        <w:tabs>
          <w:tab w:val="right" w:leader="dot" w:pos="8486"/>
        </w:tabs>
        <w:rPr>
          <w:rFonts w:asciiTheme="minorHAnsi" w:eastAsiaTheme="minorEastAsia" w:hAnsiTheme="minorHAnsi" w:cstheme="minorBidi"/>
          <w:noProof/>
          <w:sz w:val="22"/>
        </w:rPr>
      </w:pPr>
      <w:hyperlink w:anchor="_Toc127439140" w:history="1">
        <w:r w:rsidR="009A0BBF" w:rsidRPr="00CD242B">
          <w:rPr>
            <w:rStyle w:val="Hyperlink"/>
            <w:noProof/>
          </w:rPr>
          <w:t>Figure 4.4 South Campus Expansion Project Univ Ill -Urbana-Champaign (2004)</w:t>
        </w:r>
        <w:r w:rsidR="009A0BBF">
          <w:rPr>
            <w:noProof/>
            <w:webHidden/>
          </w:rPr>
          <w:tab/>
        </w:r>
        <w:r w:rsidR="009A0BBF">
          <w:rPr>
            <w:noProof/>
            <w:webHidden/>
          </w:rPr>
          <w:fldChar w:fldCharType="begin"/>
        </w:r>
        <w:r w:rsidR="009A0BBF">
          <w:rPr>
            <w:noProof/>
            <w:webHidden/>
          </w:rPr>
          <w:instrText xml:space="preserve"> PAGEREF _Toc127439140 \h </w:instrText>
        </w:r>
        <w:r w:rsidR="009A0BBF">
          <w:rPr>
            <w:noProof/>
            <w:webHidden/>
          </w:rPr>
        </w:r>
        <w:r w:rsidR="009A0BBF">
          <w:rPr>
            <w:noProof/>
            <w:webHidden/>
          </w:rPr>
          <w:fldChar w:fldCharType="separate"/>
        </w:r>
        <w:r w:rsidR="00E153CE">
          <w:rPr>
            <w:noProof/>
            <w:webHidden/>
          </w:rPr>
          <w:t>72</w:t>
        </w:r>
        <w:r w:rsidR="009A0BBF">
          <w:rPr>
            <w:noProof/>
            <w:webHidden/>
          </w:rPr>
          <w:fldChar w:fldCharType="end"/>
        </w:r>
      </w:hyperlink>
    </w:p>
    <w:p w14:paraId="76A46981" w14:textId="6E79C2BE" w:rsidR="009A0BBF" w:rsidRDefault="00000000">
      <w:pPr>
        <w:pStyle w:val="TableofFigures"/>
        <w:tabs>
          <w:tab w:val="right" w:leader="dot" w:pos="8486"/>
        </w:tabs>
        <w:rPr>
          <w:rFonts w:asciiTheme="minorHAnsi" w:eastAsiaTheme="minorEastAsia" w:hAnsiTheme="minorHAnsi" w:cstheme="minorBidi"/>
          <w:noProof/>
          <w:sz w:val="22"/>
        </w:rPr>
      </w:pPr>
      <w:hyperlink w:anchor="_Toc127439141" w:history="1">
        <w:r w:rsidR="009A0BBF" w:rsidRPr="00CD242B">
          <w:rPr>
            <w:rStyle w:val="Hyperlink"/>
            <w:noProof/>
          </w:rPr>
          <w:t>Figure 4.5 South Campus Expansion Project Target Assembly Area (2004)</w:t>
        </w:r>
        <w:r w:rsidR="009A0BBF">
          <w:rPr>
            <w:noProof/>
            <w:webHidden/>
          </w:rPr>
          <w:tab/>
        </w:r>
        <w:r w:rsidR="009A0BBF">
          <w:rPr>
            <w:noProof/>
            <w:webHidden/>
          </w:rPr>
          <w:fldChar w:fldCharType="begin"/>
        </w:r>
        <w:r w:rsidR="009A0BBF">
          <w:rPr>
            <w:noProof/>
            <w:webHidden/>
          </w:rPr>
          <w:instrText xml:space="preserve"> PAGEREF _Toc127439141 \h </w:instrText>
        </w:r>
        <w:r w:rsidR="009A0BBF">
          <w:rPr>
            <w:noProof/>
            <w:webHidden/>
          </w:rPr>
        </w:r>
        <w:r w:rsidR="009A0BBF">
          <w:rPr>
            <w:noProof/>
            <w:webHidden/>
          </w:rPr>
          <w:fldChar w:fldCharType="separate"/>
        </w:r>
        <w:r w:rsidR="00E153CE">
          <w:rPr>
            <w:noProof/>
            <w:webHidden/>
          </w:rPr>
          <w:t>74</w:t>
        </w:r>
        <w:r w:rsidR="009A0BBF">
          <w:rPr>
            <w:noProof/>
            <w:webHidden/>
          </w:rPr>
          <w:fldChar w:fldCharType="end"/>
        </w:r>
      </w:hyperlink>
    </w:p>
    <w:p w14:paraId="1C7067DC" w14:textId="7E9CC482" w:rsidR="009A0BBF" w:rsidRDefault="00000000">
      <w:pPr>
        <w:pStyle w:val="TableofFigures"/>
        <w:tabs>
          <w:tab w:val="right" w:leader="dot" w:pos="8486"/>
        </w:tabs>
        <w:rPr>
          <w:rFonts w:asciiTheme="minorHAnsi" w:eastAsiaTheme="minorEastAsia" w:hAnsiTheme="minorHAnsi" w:cstheme="minorBidi"/>
          <w:noProof/>
          <w:sz w:val="22"/>
        </w:rPr>
      </w:pPr>
      <w:hyperlink w:anchor="_Toc127439142" w:history="1">
        <w:r w:rsidR="009A0BBF" w:rsidRPr="00CD242B">
          <w:rPr>
            <w:rStyle w:val="Hyperlink"/>
            <w:noProof/>
          </w:rPr>
          <w:t>Figure 4.6 Clifton Heights Revitalization Project Univ of Cincinnati (2004)</w:t>
        </w:r>
        <w:r w:rsidR="009A0BBF">
          <w:rPr>
            <w:noProof/>
            <w:webHidden/>
          </w:rPr>
          <w:tab/>
        </w:r>
        <w:r w:rsidR="009A0BBF">
          <w:rPr>
            <w:noProof/>
            <w:webHidden/>
          </w:rPr>
          <w:fldChar w:fldCharType="begin"/>
        </w:r>
        <w:r w:rsidR="009A0BBF">
          <w:rPr>
            <w:noProof/>
            <w:webHidden/>
          </w:rPr>
          <w:instrText xml:space="preserve"> PAGEREF _Toc127439142 \h </w:instrText>
        </w:r>
        <w:r w:rsidR="009A0BBF">
          <w:rPr>
            <w:noProof/>
            <w:webHidden/>
          </w:rPr>
        </w:r>
        <w:r w:rsidR="009A0BBF">
          <w:rPr>
            <w:noProof/>
            <w:webHidden/>
          </w:rPr>
          <w:fldChar w:fldCharType="separate"/>
        </w:r>
        <w:r w:rsidR="00E153CE">
          <w:rPr>
            <w:noProof/>
            <w:webHidden/>
          </w:rPr>
          <w:t>75</w:t>
        </w:r>
        <w:r w:rsidR="009A0BBF">
          <w:rPr>
            <w:noProof/>
            <w:webHidden/>
          </w:rPr>
          <w:fldChar w:fldCharType="end"/>
        </w:r>
      </w:hyperlink>
    </w:p>
    <w:p w14:paraId="1F4D2F47" w14:textId="2B4071E9" w:rsidR="009A0BBF" w:rsidRDefault="00000000">
      <w:pPr>
        <w:pStyle w:val="TableofFigures"/>
        <w:tabs>
          <w:tab w:val="right" w:leader="dot" w:pos="8486"/>
        </w:tabs>
        <w:rPr>
          <w:rFonts w:asciiTheme="minorHAnsi" w:eastAsiaTheme="minorEastAsia" w:hAnsiTheme="minorHAnsi" w:cstheme="minorBidi"/>
          <w:noProof/>
          <w:sz w:val="22"/>
        </w:rPr>
      </w:pPr>
      <w:hyperlink w:anchor="_Toc127439143" w:history="1">
        <w:r w:rsidR="009A0BBF" w:rsidRPr="00CD242B">
          <w:rPr>
            <w:rStyle w:val="Hyperlink"/>
            <w:noProof/>
          </w:rPr>
          <w:t>Figure 4.7 Clifton Heights Project Target Assembly Area Univ of Cincinnati (2004)</w:t>
        </w:r>
        <w:r w:rsidR="009A0BBF">
          <w:rPr>
            <w:noProof/>
            <w:webHidden/>
          </w:rPr>
          <w:tab/>
        </w:r>
        <w:r w:rsidR="009A0BBF">
          <w:rPr>
            <w:noProof/>
            <w:webHidden/>
          </w:rPr>
          <w:fldChar w:fldCharType="begin"/>
        </w:r>
        <w:r w:rsidR="009A0BBF">
          <w:rPr>
            <w:noProof/>
            <w:webHidden/>
          </w:rPr>
          <w:instrText xml:space="preserve"> PAGEREF _Toc127439143 \h </w:instrText>
        </w:r>
        <w:r w:rsidR="009A0BBF">
          <w:rPr>
            <w:noProof/>
            <w:webHidden/>
          </w:rPr>
        </w:r>
        <w:r w:rsidR="009A0BBF">
          <w:rPr>
            <w:noProof/>
            <w:webHidden/>
          </w:rPr>
          <w:fldChar w:fldCharType="separate"/>
        </w:r>
        <w:r w:rsidR="00E153CE">
          <w:rPr>
            <w:noProof/>
            <w:webHidden/>
          </w:rPr>
          <w:t>76</w:t>
        </w:r>
        <w:r w:rsidR="009A0BBF">
          <w:rPr>
            <w:noProof/>
            <w:webHidden/>
          </w:rPr>
          <w:fldChar w:fldCharType="end"/>
        </w:r>
      </w:hyperlink>
    </w:p>
    <w:p w14:paraId="6F1B6DCA" w14:textId="6A9473D9" w:rsidR="009A0BBF" w:rsidRDefault="00000000">
      <w:pPr>
        <w:pStyle w:val="TableofFigures"/>
        <w:tabs>
          <w:tab w:val="right" w:leader="dot" w:pos="8486"/>
        </w:tabs>
        <w:rPr>
          <w:rFonts w:asciiTheme="minorHAnsi" w:eastAsiaTheme="minorEastAsia" w:hAnsiTheme="minorHAnsi" w:cstheme="minorBidi"/>
          <w:noProof/>
          <w:sz w:val="22"/>
        </w:rPr>
      </w:pPr>
      <w:hyperlink w:anchor="_Toc127439144" w:history="1">
        <w:r w:rsidR="009A0BBF" w:rsidRPr="00CD242B">
          <w:rPr>
            <w:rStyle w:val="Hyperlink"/>
            <w:noProof/>
          </w:rPr>
          <w:t>Figure 4.8 Rookwood Exchange Project Norwood, Ohio (2002)</w:t>
        </w:r>
        <w:r w:rsidR="009A0BBF">
          <w:rPr>
            <w:noProof/>
            <w:webHidden/>
          </w:rPr>
          <w:tab/>
        </w:r>
        <w:r w:rsidR="009A0BBF">
          <w:rPr>
            <w:noProof/>
            <w:webHidden/>
          </w:rPr>
          <w:fldChar w:fldCharType="begin"/>
        </w:r>
        <w:r w:rsidR="009A0BBF">
          <w:rPr>
            <w:noProof/>
            <w:webHidden/>
          </w:rPr>
          <w:instrText xml:space="preserve"> PAGEREF _Toc127439144 \h </w:instrText>
        </w:r>
        <w:r w:rsidR="009A0BBF">
          <w:rPr>
            <w:noProof/>
            <w:webHidden/>
          </w:rPr>
        </w:r>
        <w:r w:rsidR="009A0BBF">
          <w:rPr>
            <w:noProof/>
            <w:webHidden/>
          </w:rPr>
          <w:fldChar w:fldCharType="separate"/>
        </w:r>
        <w:r w:rsidR="00E153CE">
          <w:rPr>
            <w:noProof/>
            <w:webHidden/>
          </w:rPr>
          <w:t>79</w:t>
        </w:r>
        <w:r w:rsidR="009A0BBF">
          <w:rPr>
            <w:noProof/>
            <w:webHidden/>
          </w:rPr>
          <w:fldChar w:fldCharType="end"/>
        </w:r>
      </w:hyperlink>
    </w:p>
    <w:p w14:paraId="0A4FC4AA" w14:textId="4B97E2D2" w:rsidR="009A0BBF" w:rsidRDefault="00000000">
      <w:pPr>
        <w:pStyle w:val="TableofFigures"/>
        <w:tabs>
          <w:tab w:val="right" w:leader="dot" w:pos="8486"/>
        </w:tabs>
        <w:rPr>
          <w:rFonts w:asciiTheme="minorHAnsi" w:eastAsiaTheme="minorEastAsia" w:hAnsiTheme="minorHAnsi" w:cstheme="minorBidi"/>
          <w:noProof/>
          <w:sz w:val="22"/>
        </w:rPr>
      </w:pPr>
      <w:hyperlink w:anchor="_Toc127439145" w:history="1">
        <w:r w:rsidR="009A0BBF" w:rsidRPr="00CD242B">
          <w:rPr>
            <w:rStyle w:val="Hyperlink"/>
            <w:noProof/>
          </w:rPr>
          <w:t>Figure 4.9 Rookwood Exchange Project Target Assembly Area  (2002)</w:t>
        </w:r>
        <w:r w:rsidR="009A0BBF">
          <w:rPr>
            <w:noProof/>
            <w:webHidden/>
          </w:rPr>
          <w:tab/>
        </w:r>
        <w:r w:rsidR="009A0BBF">
          <w:rPr>
            <w:noProof/>
            <w:webHidden/>
          </w:rPr>
          <w:fldChar w:fldCharType="begin"/>
        </w:r>
        <w:r w:rsidR="009A0BBF">
          <w:rPr>
            <w:noProof/>
            <w:webHidden/>
          </w:rPr>
          <w:instrText xml:space="preserve"> PAGEREF _Toc127439145 \h </w:instrText>
        </w:r>
        <w:r w:rsidR="009A0BBF">
          <w:rPr>
            <w:noProof/>
            <w:webHidden/>
          </w:rPr>
        </w:r>
        <w:r w:rsidR="009A0BBF">
          <w:rPr>
            <w:noProof/>
            <w:webHidden/>
          </w:rPr>
          <w:fldChar w:fldCharType="separate"/>
        </w:r>
        <w:r w:rsidR="00E153CE">
          <w:rPr>
            <w:noProof/>
            <w:webHidden/>
          </w:rPr>
          <w:t>81</w:t>
        </w:r>
        <w:r w:rsidR="009A0BBF">
          <w:rPr>
            <w:noProof/>
            <w:webHidden/>
          </w:rPr>
          <w:fldChar w:fldCharType="end"/>
        </w:r>
      </w:hyperlink>
    </w:p>
    <w:p w14:paraId="31385EFD" w14:textId="26DCB1E6" w:rsidR="009A0BBF" w:rsidRDefault="00000000">
      <w:pPr>
        <w:pStyle w:val="TableofFigures"/>
        <w:tabs>
          <w:tab w:val="right" w:leader="dot" w:pos="8486"/>
        </w:tabs>
        <w:rPr>
          <w:rFonts w:asciiTheme="minorHAnsi" w:eastAsiaTheme="minorEastAsia" w:hAnsiTheme="minorHAnsi" w:cstheme="minorBidi"/>
          <w:noProof/>
          <w:sz w:val="22"/>
        </w:rPr>
      </w:pPr>
      <w:hyperlink w:anchor="_Toc127439146" w:history="1">
        <w:r w:rsidR="009A0BBF" w:rsidRPr="00CD242B">
          <w:rPr>
            <w:rStyle w:val="Hyperlink"/>
            <w:noProof/>
          </w:rPr>
          <w:t>Figure A3.1 Literature Review   3D Synthesis Matrix</w:t>
        </w:r>
        <w:r w:rsidR="009A0BBF">
          <w:rPr>
            <w:noProof/>
            <w:webHidden/>
          </w:rPr>
          <w:tab/>
        </w:r>
        <w:r w:rsidR="009A0BBF">
          <w:rPr>
            <w:noProof/>
            <w:webHidden/>
          </w:rPr>
          <w:fldChar w:fldCharType="begin"/>
        </w:r>
        <w:r w:rsidR="009A0BBF">
          <w:rPr>
            <w:noProof/>
            <w:webHidden/>
          </w:rPr>
          <w:instrText xml:space="preserve"> PAGEREF _Toc127439146 \h </w:instrText>
        </w:r>
        <w:r w:rsidR="009A0BBF">
          <w:rPr>
            <w:noProof/>
            <w:webHidden/>
          </w:rPr>
        </w:r>
        <w:r w:rsidR="009A0BBF">
          <w:rPr>
            <w:noProof/>
            <w:webHidden/>
          </w:rPr>
          <w:fldChar w:fldCharType="separate"/>
        </w:r>
        <w:r w:rsidR="00E153CE">
          <w:rPr>
            <w:noProof/>
            <w:webHidden/>
          </w:rPr>
          <w:t>118</w:t>
        </w:r>
        <w:r w:rsidR="009A0BBF">
          <w:rPr>
            <w:noProof/>
            <w:webHidden/>
          </w:rPr>
          <w:fldChar w:fldCharType="end"/>
        </w:r>
      </w:hyperlink>
    </w:p>
    <w:p w14:paraId="5E850FD2" w14:textId="5AA0D059" w:rsidR="002E667F" w:rsidRDefault="00DF766B" w:rsidP="002E667F">
      <w:pPr>
        <w:ind w:left="0" w:firstLine="0"/>
        <w:rPr>
          <w:rFonts w:eastAsiaTheme="majorEastAsia" w:cstheme="majorBidi"/>
          <w:b/>
          <w:bCs/>
          <w:noProof/>
        </w:rPr>
      </w:pPr>
      <w:r>
        <w:rPr>
          <w:rFonts w:eastAsiaTheme="majorEastAsia" w:cstheme="majorBidi"/>
          <w:b/>
          <w:bCs/>
          <w:noProof/>
        </w:rPr>
        <w:fldChar w:fldCharType="end"/>
      </w:r>
    </w:p>
    <w:p w14:paraId="461CC1E5" w14:textId="771E4DF1" w:rsidR="00A136CF" w:rsidRPr="00F4691C" w:rsidRDefault="002E667F" w:rsidP="00184809">
      <w:pPr>
        <w:pStyle w:val="Heading1"/>
      </w:pPr>
      <w:bookmarkStart w:id="8" w:name="_Toc134346725"/>
      <w:r w:rsidRPr="00F4691C">
        <w:t>List of Tables</w:t>
      </w:r>
      <w:r w:rsidR="00AC7ED1">
        <w:t>:</w:t>
      </w:r>
      <w:bookmarkEnd w:id="8"/>
    </w:p>
    <w:p w14:paraId="0052C3A3" w14:textId="7D4CF3A7" w:rsidR="00766672" w:rsidRPr="00F4691C" w:rsidRDefault="00561F7B">
      <w:pPr>
        <w:pStyle w:val="TOC1"/>
        <w:rPr>
          <w:rFonts w:asciiTheme="minorHAnsi" w:eastAsiaTheme="minorEastAsia" w:hAnsiTheme="minorHAnsi" w:cstheme="minorBidi"/>
          <w:b w:val="0"/>
          <w:bCs w:val="0"/>
          <w:sz w:val="22"/>
        </w:rPr>
      </w:pPr>
      <w:r>
        <w:rPr>
          <w:rFonts w:eastAsiaTheme="minorHAnsi" w:cs="Calibri"/>
          <w:b w:val="0"/>
          <w:bCs w:val="0"/>
          <w:iCs/>
          <w:noProof w:val="0"/>
          <w:sz w:val="28"/>
          <w:szCs w:val="28"/>
        </w:rPr>
        <w:fldChar w:fldCharType="begin"/>
      </w:r>
      <w:r>
        <w:rPr>
          <w:sz w:val="28"/>
          <w:szCs w:val="28"/>
        </w:rPr>
        <w:instrText xml:space="preserve"> TOC \h \z \t "Tables,1" </w:instrText>
      </w:r>
      <w:r>
        <w:rPr>
          <w:rFonts w:eastAsiaTheme="minorHAnsi" w:cs="Calibri"/>
          <w:b w:val="0"/>
          <w:bCs w:val="0"/>
          <w:iCs/>
          <w:noProof w:val="0"/>
          <w:sz w:val="28"/>
          <w:szCs w:val="28"/>
        </w:rPr>
        <w:fldChar w:fldCharType="separate"/>
      </w:r>
      <w:hyperlink w:anchor="_Toc127439204" w:history="1">
        <w:r w:rsidR="00766672" w:rsidRPr="00F4691C">
          <w:rPr>
            <w:rStyle w:val="Hyperlink"/>
            <w:b w:val="0"/>
            <w:bCs w:val="0"/>
          </w:rPr>
          <w:t>Table A. 1 IRB Interview Protocol Application Format</w:t>
        </w:r>
        <w:r w:rsidR="00766672" w:rsidRPr="00F4691C">
          <w:rPr>
            <w:b w:val="0"/>
            <w:bCs w:val="0"/>
            <w:webHidden/>
          </w:rPr>
          <w:tab/>
        </w:r>
        <w:r w:rsidR="00766672" w:rsidRPr="00F4691C">
          <w:rPr>
            <w:b w:val="0"/>
            <w:bCs w:val="0"/>
            <w:webHidden/>
          </w:rPr>
          <w:fldChar w:fldCharType="begin"/>
        </w:r>
        <w:r w:rsidR="00766672" w:rsidRPr="00F4691C">
          <w:rPr>
            <w:b w:val="0"/>
            <w:bCs w:val="0"/>
            <w:webHidden/>
          </w:rPr>
          <w:instrText xml:space="preserve"> PAGEREF _Toc127439204 \h </w:instrText>
        </w:r>
        <w:r w:rsidR="00766672" w:rsidRPr="00F4691C">
          <w:rPr>
            <w:b w:val="0"/>
            <w:bCs w:val="0"/>
            <w:webHidden/>
          </w:rPr>
        </w:r>
        <w:r w:rsidR="00766672" w:rsidRPr="00F4691C">
          <w:rPr>
            <w:b w:val="0"/>
            <w:bCs w:val="0"/>
            <w:webHidden/>
          </w:rPr>
          <w:fldChar w:fldCharType="separate"/>
        </w:r>
        <w:r w:rsidR="00E153CE">
          <w:rPr>
            <w:b w:val="0"/>
            <w:bCs w:val="0"/>
            <w:webHidden/>
          </w:rPr>
          <w:t>103</w:t>
        </w:r>
        <w:r w:rsidR="00766672" w:rsidRPr="00F4691C">
          <w:rPr>
            <w:b w:val="0"/>
            <w:bCs w:val="0"/>
            <w:webHidden/>
          </w:rPr>
          <w:fldChar w:fldCharType="end"/>
        </w:r>
      </w:hyperlink>
    </w:p>
    <w:p w14:paraId="0227FED0" w14:textId="184751B2" w:rsidR="00766672" w:rsidRPr="00F4691C" w:rsidRDefault="00000000">
      <w:pPr>
        <w:pStyle w:val="TOC1"/>
        <w:rPr>
          <w:rFonts w:asciiTheme="minorHAnsi" w:eastAsiaTheme="minorEastAsia" w:hAnsiTheme="minorHAnsi" w:cstheme="minorBidi"/>
          <w:b w:val="0"/>
          <w:bCs w:val="0"/>
          <w:sz w:val="22"/>
        </w:rPr>
      </w:pPr>
      <w:hyperlink w:anchor="_Toc127439205" w:history="1">
        <w:r w:rsidR="00766672" w:rsidRPr="00F4691C">
          <w:rPr>
            <w:rStyle w:val="Hyperlink"/>
            <w:b w:val="0"/>
            <w:bCs w:val="0"/>
          </w:rPr>
          <w:t>Table A. 2 Initial AUREO Recruitment/Referral Tree [Sample Population (27)]</w:t>
        </w:r>
        <w:r w:rsidR="00766672" w:rsidRPr="00F4691C">
          <w:rPr>
            <w:b w:val="0"/>
            <w:bCs w:val="0"/>
            <w:webHidden/>
          </w:rPr>
          <w:tab/>
        </w:r>
        <w:r w:rsidR="00766672" w:rsidRPr="00F4691C">
          <w:rPr>
            <w:b w:val="0"/>
            <w:bCs w:val="0"/>
            <w:webHidden/>
          </w:rPr>
          <w:fldChar w:fldCharType="begin"/>
        </w:r>
        <w:r w:rsidR="00766672" w:rsidRPr="00F4691C">
          <w:rPr>
            <w:b w:val="0"/>
            <w:bCs w:val="0"/>
            <w:webHidden/>
          </w:rPr>
          <w:instrText xml:space="preserve"> PAGEREF _Toc127439205 \h </w:instrText>
        </w:r>
        <w:r w:rsidR="00766672" w:rsidRPr="00F4691C">
          <w:rPr>
            <w:b w:val="0"/>
            <w:bCs w:val="0"/>
            <w:webHidden/>
          </w:rPr>
        </w:r>
        <w:r w:rsidR="00766672" w:rsidRPr="00F4691C">
          <w:rPr>
            <w:b w:val="0"/>
            <w:bCs w:val="0"/>
            <w:webHidden/>
          </w:rPr>
          <w:fldChar w:fldCharType="separate"/>
        </w:r>
        <w:r w:rsidR="00E153CE">
          <w:rPr>
            <w:b w:val="0"/>
            <w:bCs w:val="0"/>
            <w:webHidden/>
          </w:rPr>
          <w:t>107</w:t>
        </w:r>
        <w:r w:rsidR="00766672" w:rsidRPr="00F4691C">
          <w:rPr>
            <w:b w:val="0"/>
            <w:bCs w:val="0"/>
            <w:webHidden/>
          </w:rPr>
          <w:fldChar w:fldCharType="end"/>
        </w:r>
      </w:hyperlink>
    </w:p>
    <w:p w14:paraId="536726B0" w14:textId="7890B70C" w:rsidR="00766672" w:rsidRPr="00F4691C" w:rsidRDefault="00000000">
      <w:pPr>
        <w:pStyle w:val="TOC1"/>
        <w:rPr>
          <w:rFonts w:asciiTheme="minorHAnsi" w:eastAsiaTheme="minorEastAsia" w:hAnsiTheme="minorHAnsi" w:cstheme="minorBidi"/>
          <w:b w:val="0"/>
          <w:bCs w:val="0"/>
          <w:sz w:val="22"/>
        </w:rPr>
      </w:pPr>
      <w:hyperlink w:anchor="_Toc127439206" w:history="1">
        <w:r w:rsidR="00766672" w:rsidRPr="00F4691C">
          <w:rPr>
            <w:rStyle w:val="Hyperlink"/>
            <w:b w:val="0"/>
            <w:bCs w:val="0"/>
          </w:rPr>
          <w:t>Table A. 3 Initial AUREO Listserv Recruitment Log</w:t>
        </w:r>
        <w:r w:rsidR="00766672" w:rsidRPr="00F4691C">
          <w:rPr>
            <w:b w:val="0"/>
            <w:bCs w:val="0"/>
            <w:webHidden/>
          </w:rPr>
          <w:tab/>
        </w:r>
        <w:r w:rsidR="00766672" w:rsidRPr="00F4691C">
          <w:rPr>
            <w:b w:val="0"/>
            <w:bCs w:val="0"/>
            <w:webHidden/>
          </w:rPr>
          <w:fldChar w:fldCharType="begin"/>
        </w:r>
        <w:r w:rsidR="00766672" w:rsidRPr="00F4691C">
          <w:rPr>
            <w:b w:val="0"/>
            <w:bCs w:val="0"/>
            <w:webHidden/>
          </w:rPr>
          <w:instrText xml:space="preserve"> PAGEREF _Toc127439206 \h </w:instrText>
        </w:r>
        <w:r w:rsidR="00766672" w:rsidRPr="00F4691C">
          <w:rPr>
            <w:b w:val="0"/>
            <w:bCs w:val="0"/>
            <w:webHidden/>
          </w:rPr>
        </w:r>
        <w:r w:rsidR="00766672" w:rsidRPr="00F4691C">
          <w:rPr>
            <w:b w:val="0"/>
            <w:bCs w:val="0"/>
            <w:webHidden/>
          </w:rPr>
          <w:fldChar w:fldCharType="separate"/>
        </w:r>
        <w:r w:rsidR="00E153CE">
          <w:rPr>
            <w:b w:val="0"/>
            <w:bCs w:val="0"/>
            <w:webHidden/>
          </w:rPr>
          <w:t>108</w:t>
        </w:r>
        <w:r w:rsidR="00766672" w:rsidRPr="00F4691C">
          <w:rPr>
            <w:b w:val="0"/>
            <w:bCs w:val="0"/>
            <w:webHidden/>
          </w:rPr>
          <w:fldChar w:fldCharType="end"/>
        </w:r>
      </w:hyperlink>
    </w:p>
    <w:p w14:paraId="37440DD6" w14:textId="287A4B1C" w:rsidR="00766672" w:rsidRPr="00F4691C" w:rsidRDefault="00000000">
      <w:pPr>
        <w:pStyle w:val="TOC1"/>
        <w:rPr>
          <w:rFonts w:asciiTheme="minorHAnsi" w:eastAsiaTheme="minorEastAsia" w:hAnsiTheme="minorHAnsi" w:cstheme="minorBidi"/>
          <w:b w:val="0"/>
          <w:bCs w:val="0"/>
          <w:sz w:val="22"/>
        </w:rPr>
      </w:pPr>
      <w:hyperlink w:anchor="_Toc127439207" w:history="1">
        <w:r w:rsidR="00766672" w:rsidRPr="00F4691C">
          <w:rPr>
            <w:rStyle w:val="Hyperlink"/>
            <w:b w:val="0"/>
            <w:bCs w:val="0"/>
          </w:rPr>
          <w:t>Table B. 1 Transactions/Acquisitions Data: Columbia, Maryland</w:t>
        </w:r>
        <w:r w:rsidR="00766672" w:rsidRPr="00F4691C">
          <w:rPr>
            <w:b w:val="0"/>
            <w:bCs w:val="0"/>
            <w:webHidden/>
          </w:rPr>
          <w:tab/>
        </w:r>
        <w:r w:rsidR="00766672" w:rsidRPr="00F4691C">
          <w:rPr>
            <w:b w:val="0"/>
            <w:bCs w:val="0"/>
            <w:webHidden/>
          </w:rPr>
          <w:fldChar w:fldCharType="begin"/>
        </w:r>
        <w:r w:rsidR="00766672" w:rsidRPr="00F4691C">
          <w:rPr>
            <w:b w:val="0"/>
            <w:bCs w:val="0"/>
            <w:webHidden/>
          </w:rPr>
          <w:instrText xml:space="preserve"> PAGEREF _Toc127439207 \h </w:instrText>
        </w:r>
        <w:r w:rsidR="00766672" w:rsidRPr="00F4691C">
          <w:rPr>
            <w:b w:val="0"/>
            <w:bCs w:val="0"/>
            <w:webHidden/>
          </w:rPr>
        </w:r>
        <w:r w:rsidR="00766672" w:rsidRPr="00F4691C">
          <w:rPr>
            <w:b w:val="0"/>
            <w:bCs w:val="0"/>
            <w:webHidden/>
          </w:rPr>
          <w:fldChar w:fldCharType="separate"/>
        </w:r>
        <w:r w:rsidR="00E153CE">
          <w:rPr>
            <w:b w:val="0"/>
            <w:bCs w:val="0"/>
            <w:webHidden/>
          </w:rPr>
          <w:t>109</w:t>
        </w:r>
        <w:r w:rsidR="00766672" w:rsidRPr="00F4691C">
          <w:rPr>
            <w:b w:val="0"/>
            <w:bCs w:val="0"/>
            <w:webHidden/>
          </w:rPr>
          <w:fldChar w:fldCharType="end"/>
        </w:r>
      </w:hyperlink>
    </w:p>
    <w:p w14:paraId="48D39179" w14:textId="7EACA0C9" w:rsidR="00766672" w:rsidRPr="00F4691C" w:rsidRDefault="00000000">
      <w:pPr>
        <w:pStyle w:val="TOC1"/>
        <w:rPr>
          <w:rFonts w:asciiTheme="minorHAnsi" w:eastAsiaTheme="minorEastAsia" w:hAnsiTheme="minorHAnsi" w:cstheme="minorBidi"/>
          <w:b w:val="0"/>
          <w:bCs w:val="0"/>
          <w:sz w:val="22"/>
        </w:rPr>
      </w:pPr>
      <w:hyperlink w:anchor="_Toc127439208" w:history="1">
        <w:r w:rsidR="00766672" w:rsidRPr="00F4691C">
          <w:rPr>
            <w:rStyle w:val="Hyperlink"/>
            <w:b w:val="0"/>
            <w:bCs w:val="0"/>
          </w:rPr>
          <w:t>Table B. 2 Transactions/Acquisitions Data: Walt Disneyworld, Orlando, Florida</w:t>
        </w:r>
        <w:r w:rsidR="00766672" w:rsidRPr="00F4691C">
          <w:rPr>
            <w:b w:val="0"/>
            <w:bCs w:val="0"/>
            <w:webHidden/>
          </w:rPr>
          <w:tab/>
        </w:r>
        <w:r w:rsidR="00766672" w:rsidRPr="00F4691C">
          <w:rPr>
            <w:b w:val="0"/>
            <w:bCs w:val="0"/>
            <w:webHidden/>
          </w:rPr>
          <w:fldChar w:fldCharType="begin"/>
        </w:r>
        <w:r w:rsidR="00766672" w:rsidRPr="00F4691C">
          <w:rPr>
            <w:b w:val="0"/>
            <w:bCs w:val="0"/>
            <w:webHidden/>
          </w:rPr>
          <w:instrText xml:space="preserve"> PAGEREF _Toc127439208 \h </w:instrText>
        </w:r>
        <w:r w:rsidR="00766672" w:rsidRPr="00F4691C">
          <w:rPr>
            <w:b w:val="0"/>
            <w:bCs w:val="0"/>
            <w:webHidden/>
          </w:rPr>
        </w:r>
        <w:r w:rsidR="00766672" w:rsidRPr="00F4691C">
          <w:rPr>
            <w:b w:val="0"/>
            <w:bCs w:val="0"/>
            <w:webHidden/>
          </w:rPr>
          <w:fldChar w:fldCharType="separate"/>
        </w:r>
        <w:r w:rsidR="00E153CE">
          <w:rPr>
            <w:b w:val="0"/>
            <w:bCs w:val="0"/>
            <w:webHidden/>
          </w:rPr>
          <w:t>112</w:t>
        </w:r>
        <w:r w:rsidR="00766672" w:rsidRPr="00F4691C">
          <w:rPr>
            <w:b w:val="0"/>
            <w:bCs w:val="0"/>
            <w:webHidden/>
          </w:rPr>
          <w:fldChar w:fldCharType="end"/>
        </w:r>
      </w:hyperlink>
    </w:p>
    <w:p w14:paraId="7780BAC7" w14:textId="25401F45" w:rsidR="00766672" w:rsidRPr="00F4691C" w:rsidRDefault="00000000">
      <w:pPr>
        <w:pStyle w:val="TOC1"/>
        <w:rPr>
          <w:rFonts w:asciiTheme="minorHAnsi" w:eastAsiaTheme="minorEastAsia" w:hAnsiTheme="minorHAnsi" w:cstheme="minorBidi"/>
          <w:b w:val="0"/>
          <w:bCs w:val="0"/>
          <w:sz w:val="22"/>
        </w:rPr>
      </w:pPr>
      <w:hyperlink w:anchor="_Toc127439209" w:history="1">
        <w:r w:rsidR="00766672" w:rsidRPr="00F4691C">
          <w:rPr>
            <w:rStyle w:val="Hyperlink"/>
            <w:b w:val="0"/>
            <w:bCs w:val="0"/>
          </w:rPr>
          <w:t>Table B. 3 Transactions/Acquisitions Data: World Trade Center, NYC</w:t>
        </w:r>
        <w:r w:rsidR="00766672" w:rsidRPr="00F4691C">
          <w:rPr>
            <w:b w:val="0"/>
            <w:bCs w:val="0"/>
            <w:webHidden/>
          </w:rPr>
          <w:tab/>
        </w:r>
        <w:r w:rsidR="00766672" w:rsidRPr="00F4691C">
          <w:rPr>
            <w:b w:val="0"/>
            <w:bCs w:val="0"/>
            <w:webHidden/>
          </w:rPr>
          <w:fldChar w:fldCharType="begin"/>
        </w:r>
        <w:r w:rsidR="00766672" w:rsidRPr="00F4691C">
          <w:rPr>
            <w:b w:val="0"/>
            <w:bCs w:val="0"/>
            <w:webHidden/>
          </w:rPr>
          <w:instrText xml:space="preserve"> PAGEREF _Toc127439209 \h </w:instrText>
        </w:r>
        <w:r w:rsidR="00766672" w:rsidRPr="00F4691C">
          <w:rPr>
            <w:b w:val="0"/>
            <w:bCs w:val="0"/>
            <w:webHidden/>
          </w:rPr>
        </w:r>
        <w:r w:rsidR="00766672" w:rsidRPr="00F4691C">
          <w:rPr>
            <w:b w:val="0"/>
            <w:bCs w:val="0"/>
            <w:webHidden/>
          </w:rPr>
          <w:fldChar w:fldCharType="separate"/>
        </w:r>
        <w:r w:rsidR="00E153CE">
          <w:rPr>
            <w:b w:val="0"/>
            <w:bCs w:val="0"/>
            <w:webHidden/>
          </w:rPr>
          <w:t>114</w:t>
        </w:r>
        <w:r w:rsidR="00766672" w:rsidRPr="00F4691C">
          <w:rPr>
            <w:b w:val="0"/>
            <w:bCs w:val="0"/>
            <w:webHidden/>
          </w:rPr>
          <w:fldChar w:fldCharType="end"/>
        </w:r>
      </w:hyperlink>
    </w:p>
    <w:p w14:paraId="208A4CBF" w14:textId="18A457BA" w:rsidR="00766672" w:rsidRPr="00F4691C" w:rsidRDefault="00000000">
      <w:pPr>
        <w:pStyle w:val="TOC1"/>
        <w:rPr>
          <w:rFonts w:asciiTheme="minorHAnsi" w:eastAsiaTheme="minorEastAsia" w:hAnsiTheme="minorHAnsi" w:cstheme="minorBidi"/>
          <w:b w:val="0"/>
          <w:bCs w:val="0"/>
          <w:sz w:val="22"/>
        </w:rPr>
      </w:pPr>
      <w:hyperlink w:anchor="_Toc127439210" w:history="1">
        <w:r w:rsidR="00766672" w:rsidRPr="00F4691C">
          <w:rPr>
            <w:rStyle w:val="Hyperlink"/>
            <w:b w:val="0"/>
            <w:bCs w:val="0"/>
          </w:rPr>
          <w:t>Table C. 1 Chronological Distribution Table of Relevant Literature (1945-present)</w:t>
        </w:r>
        <w:r w:rsidR="00766672" w:rsidRPr="00F4691C">
          <w:rPr>
            <w:b w:val="0"/>
            <w:bCs w:val="0"/>
            <w:webHidden/>
          </w:rPr>
          <w:tab/>
        </w:r>
        <w:r w:rsidR="00766672" w:rsidRPr="00F4691C">
          <w:rPr>
            <w:b w:val="0"/>
            <w:bCs w:val="0"/>
            <w:webHidden/>
          </w:rPr>
          <w:fldChar w:fldCharType="begin"/>
        </w:r>
        <w:r w:rsidR="00766672" w:rsidRPr="00F4691C">
          <w:rPr>
            <w:b w:val="0"/>
            <w:bCs w:val="0"/>
            <w:webHidden/>
          </w:rPr>
          <w:instrText xml:space="preserve"> PAGEREF _Toc127439210 \h </w:instrText>
        </w:r>
        <w:r w:rsidR="00766672" w:rsidRPr="00F4691C">
          <w:rPr>
            <w:b w:val="0"/>
            <w:bCs w:val="0"/>
            <w:webHidden/>
          </w:rPr>
        </w:r>
        <w:r w:rsidR="00766672" w:rsidRPr="00F4691C">
          <w:rPr>
            <w:b w:val="0"/>
            <w:bCs w:val="0"/>
            <w:webHidden/>
          </w:rPr>
          <w:fldChar w:fldCharType="separate"/>
        </w:r>
        <w:r w:rsidR="00E153CE">
          <w:rPr>
            <w:b w:val="0"/>
            <w:bCs w:val="0"/>
            <w:webHidden/>
          </w:rPr>
          <w:t>116</w:t>
        </w:r>
        <w:r w:rsidR="00766672" w:rsidRPr="00F4691C">
          <w:rPr>
            <w:b w:val="0"/>
            <w:bCs w:val="0"/>
            <w:webHidden/>
          </w:rPr>
          <w:fldChar w:fldCharType="end"/>
        </w:r>
      </w:hyperlink>
    </w:p>
    <w:p w14:paraId="74AEF6F4" w14:textId="162BE529" w:rsidR="00766672" w:rsidRDefault="00000000">
      <w:pPr>
        <w:pStyle w:val="TOC1"/>
        <w:rPr>
          <w:rFonts w:asciiTheme="minorHAnsi" w:eastAsiaTheme="minorEastAsia" w:hAnsiTheme="minorHAnsi" w:cstheme="minorBidi"/>
          <w:b w:val="0"/>
          <w:bCs w:val="0"/>
          <w:sz w:val="22"/>
        </w:rPr>
      </w:pPr>
      <w:hyperlink w:anchor="_Toc127439211" w:history="1">
        <w:r w:rsidR="00766672" w:rsidRPr="00F4691C">
          <w:rPr>
            <w:rStyle w:val="Hyperlink"/>
            <w:b w:val="0"/>
            <w:bCs w:val="0"/>
          </w:rPr>
          <w:t>Table C. 2 Chronological Table of Relevant Literature by Content Area and Decade</w:t>
        </w:r>
        <w:r w:rsidR="00766672" w:rsidRPr="00F4691C">
          <w:rPr>
            <w:b w:val="0"/>
            <w:bCs w:val="0"/>
            <w:webHidden/>
          </w:rPr>
          <w:tab/>
        </w:r>
        <w:r w:rsidR="00766672" w:rsidRPr="00F4691C">
          <w:rPr>
            <w:b w:val="0"/>
            <w:bCs w:val="0"/>
            <w:webHidden/>
          </w:rPr>
          <w:fldChar w:fldCharType="begin"/>
        </w:r>
        <w:r w:rsidR="00766672" w:rsidRPr="00F4691C">
          <w:rPr>
            <w:b w:val="0"/>
            <w:bCs w:val="0"/>
            <w:webHidden/>
          </w:rPr>
          <w:instrText xml:space="preserve"> PAGEREF _Toc127439211 \h </w:instrText>
        </w:r>
        <w:r w:rsidR="00766672" w:rsidRPr="00F4691C">
          <w:rPr>
            <w:b w:val="0"/>
            <w:bCs w:val="0"/>
            <w:webHidden/>
          </w:rPr>
        </w:r>
        <w:r w:rsidR="00766672" w:rsidRPr="00F4691C">
          <w:rPr>
            <w:b w:val="0"/>
            <w:bCs w:val="0"/>
            <w:webHidden/>
          </w:rPr>
          <w:fldChar w:fldCharType="separate"/>
        </w:r>
        <w:r w:rsidR="00E153CE">
          <w:rPr>
            <w:b w:val="0"/>
            <w:bCs w:val="0"/>
            <w:webHidden/>
          </w:rPr>
          <w:t>117</w:t>
        </w:r>
        <w:r w:rsidR="00766672" w:rsidRPr="00F4691C">
          <w:rPr>
            <w:b w:val="0"/>
            <w:bCs w:val="0"/>
            <w:webHidden/>
          </w:rPr>
          <w:fldChar w:fldCharType="end"/>
        </w:r>
      </w:hyperlink>
    </w:p>
    <w:p w14:paraId="3F6EDC69" w14:textId="7744D7FD" w:rsidR="00835859" w:rsidRPr="006048E8" w:rsidRDefault="00561F7B" w:rsidP="006048E8">
      <w:pPr>
        <w:ind w:left="0" w:firstLine="0"/>
        <w:rPr>
          <w:rStyle w:val="SubtleEmphasis"/>
          <w:rFonts w:eastAsiaTheme="majorEastAsia" w:cstheme="majorBidi"/>
          <w:b/>
          <w:bCs/>
          <w:i w:val="0"/>
          <w:iCs w:val="0"/>
          <w:noProof/>
          <w:color w:val="auto"/>
          <w:sz w:val="28"/>
          <w:szCs w:val="28"/>
        </w:rPr>
        <w:sectPr w:rsidR="00835859" w:rsidRPr="006048E8" w:rsidSect="008F2BDA">
          <w:pgSz w:w="12240" w:h="15840"/>
          <w:pgMar w:top="1440" w:right="1440" w:bottom="1440" w:left="2304" w:header="720" w:footer="720" w:gutter="0"/>
          <w:pgNumType w:fmt="lowerRoman"/>
          <w:cols w:space="720"/>
          <w:docGrid w:linePitch="360"/>
        </w:sectPr>
      </w:pPr>
      <w:r>
        <w:rPr>
          <w:rFonts w:eastAsiaTheme="majorEastAsia" w:cstheme="majorBidi"/>
          <w:b/>
          <w:bCs/>
          <w:noProof/>
          <w:sz w:val="28"/>
          <w:szCs w:val="28"/>
        </w:rPr>
        <w:fldChar w:fldCharType="end"/>
      </w:r>
    </w:p>
    <w:p w14:paraId="4C4ED206" w14:textId="5026686A" w:rsidR="00C43513" w:rsidRPr="00C24BAF" w:rsidRDefault="00C43513" w:rsidP="00F11372">
      <w:pPr>
        <w:pStyle w:val="Heading1"/>
      </w:pPr>
      <w:bookmarkStart w:id="9" w:name="_Toc126651363"/>
      <w:bookmarkStart w:id="10" w:name="_Toc134346726"/>
      <w:r w:rsidRPr="00C24BAF">
        <w:lastRenderedPageBreak/>
        <w:t>Chapter 1: Introduction</w:t>
      </w:r>
      <w:bookmarkEnd w:id="9"/>
      <w:bookmarkEnd w:id="10"/>
    </w:p>
    <w:p w14:paraId="06DC0920" w14:textId="709750A5" w:rsidR="00C43513" w:rsidRPr="001E487F" w:rsidRDefault="00C43513" w:rsidP="00EE6A7A">
      <w:pPr>
        <w:pStyle w:val="Heading2"/>
      </w:pPr>
      <w:bookmarkStart w:id="11" w:name="_Toc126651364"/>
      <w:bookmarkStart w:id="12" w:name="_Toc134346727"/>
      <w:r w:rsidRPr="00DD3777">
        <w:t>Background of the Problem</w:t>
      </w:r>
      <w:r w:rsidRPr="001E487F">
        <w:t>:</w:t>
      </w:r>
      <w:bookmarkEnd w:id="11"/>
      <w:bookmarkEnd w:id="12"/>
    </w:p>
    <w:p w14:paraId="4256B50A" w14:textId="43A5AED9" w:rsidR="00C43513" w:rsidRPr="00C43513" w:rsidRDefault="00C43513" w:rsidP="00C43513">
      <w:pPr>
        <w:spacing w:after="160"/>
        <w:ind w:left="0" w:firstLine="0"/>
        <w:jc w:val="left"/>
        <w:rPr>
          <w:rFonts w:cs="Times New Roman"/>
          <w:szCs w:val="24"/>
        </w:rPr>
      </w:pPr>
      <w:r w:rsidRPr="00C43513">
        <w:rPr>
          <w:rFonts w:cs="Times New Roman"/>
          <w:szCs w:val="24"/>
        </w:rPr>
        <w:t xml:space="preserve">Ever since Adam Smith, there has been a recognized need for the government to </w:t>
      </w:r>
      <w:r w:rsidR="002D0076">
        <w:rPr>
          <w:rFonts w:cs="Times New Roman"/>
          <w:szCs w:val="24"/>
        </w:rPr>
        <w:t xml:space="preserve">directly </w:t>
      </w:r>
      <w:r w:rsidRPr="00C43513">
        <w:rPr>
          <w:rFonts w:cs="Times New Roman"/>
          <w:szCs w:val="24"/>
        </w:rPr>
        <w:t>intervene</w:t>
      </w:r>
      <w:r w:rsidR="000910D9">
        <w:rPr>
          <w:rFonts w:cs="Times New Roman"/>
          <w:szCs w:val="24"/>
        </w:rPr>
        <w:t xml:space="preserve"> in </w:t>
      </w:r>
      <w:r w:rsidRPr="00C43513">
        <w:rPr>
          <w:rFonts w:cs="Times New Roman"/>
          <w:szCs w:val="24"/>
        </w:rPr>
        <w:t>providing</w:t>
      </w:r>
      <w:r w:rsidR="00AF596D">
        <w:rPr>
          <w:rFonts w:cs="Times New Roman"/>
          <w:szCs w:val="24"/>
        </w:rPr>
        <w:t xml:space="preserve"> public </w:t>
      </w:r>
      <w:r w:rsidR="00266894">
        <w:rPr>
          <w:rFonts w:cs="Times New Roman"/>
          <w:szCs w:val="24"/>
        </w:rPr>
        <w:t>goods</w:t>
      </w:r>
      <w:r w:rsidR="009D434E">
        <w:rPr>
          <w:rFonts w:cs="Times New Roman"/>
          <w:szCs w:val="24"/>
        </w:rPr>
        <w:t xml:space="preserve">. </w:t>
      </w:r>
      <w:r w:rsidR="00D240A1">
        <w:rPr>
          <w:rFonts w:cs="Times New Roman"/>
          <w:szCs w:val="24"/>
        </w:rPr>
        <w:t xml:space="preserve">Unlike </w:t>
      </w:r>
      <w:r w:rsidR="00C67324">
        <w:rPr>
          <w:rFonts w:cs="Times New Roman"/>
          <w:szCs w:val="24"/>
        </w:rPr>
        <w:t xml:space="preserve">with </w:t>
      </w:r>
      <w:r w:rsidR="00D240A1">
        <w:rPr>
          <w:rFonts w:cs="Times New Roman"/>
          <w:szCs w:val="24"/>
        </w:rPr>
        <w:t>strictly</w:t>
      </w:r>
      <w:r w:rsidRPr="00C43513">
        <w:rPr>
          <w:rFonts w:cs="Times New Roman"/>
          <w:szCs w:val="24"/>
        </w:rPr>
        <w:t xml:space="preserve"> private goods</w:t>
      </w:r>
      <w:r w:rsidR="00FC2E21">
        <w:rPr>
          <w:rFonts w:cs="Times New Roman"/>
          <w:szCs w:val="24"/>
        </w:rPr>
        <w:t>,</w:t>
      </w:r>
      <w:r w:rsidR="00CE24AD">
        <w:rPr>
          <w:rFonts w:cs="Times New Roman"/>
          <w:szCs w:val="24"/>
        </w:rPr>
        <w:t xml:space="preserve"> which</w:t>
      </w:r>
      <w:r w:rsidR="003260E2" w:rsidRPr="00C43513">
        <w:rPr>
          <w:rFonts w:cs="Times New Roman"/>
          <w:szCs w:val="24"/>
        </w:rPr>
        <w:t xml:space="preserve"> </w:t>
      </w:r>
      <w:r w:rsidR="0096633E" w:rsidRPr="00C43513">
        <w:rPr>
          <w:rFonts w:cs="Times New Roman"/>
          <w:szCs w:val="24"/>
        </w:rPr>
        <w:t xml:space="preserve">can </w:t>
      </w:r>
      <w:r w:rsidR="00E763D8">
        <w:rPr>
          <w:rFonts w:cs="Times New Roman"/>
          <w:szCs w:val="24"/>
        </w:rPr>
        <w:t xml:space="preserve">be </w:t>
      </w:r>
      <w:r w:rsidR="0096633E" w:rsidRPr="00C43513">
        <w:rPr>
          <w:rFonts w:cs="Times New Roman"/>
          <w:szCs w:val="24"/>
        </w:rPr>
        <w:t>divide</w:t>
      </w:r>
      <w:r w:rsidR="00E763D8">
        <w:rPr>
          <w:rFonts w:cs="Times New Roman"/>
          <w:szCs w:val="24"/>
        </w:rPr>
        <w:t>d</w:t>
      </w:r>
      <w:r w:rsidR="0096633E" w:rsidRPr="00C43513">
        <w:rPr>
          <w:rFonts w:cs="Times New Roman"/>
          <w:szCs w:val="24"/>
        </w:rPr>
        <w:t xml:space="preserve"> up</w:t>
      </w:r>
      <w:r w:rsidR="0096633E">
        <w:rPr>
          <w:rFonts w:cs="Times New Roman"/>
          <w:szCs w:val="24"/>
        </w:rPr>
        <w:t xml:space="preserve"> equally</w:t>
      </w:r>
      <w:r w:rsidRPr="00C43513">
        <w:rPr>
          <w:rFonts w:cs="Times New Roman"/>
          <w:szCs w:val="24"/>
        </w:rPr>
        <w:t xml:space="preserve">, public goods (such as roads, bridges, lighthouses, etc.) </w:t>
      </w:r>
      <w:r w:rsidR="0019548B">
        <w:rPr>
          <w:rFonts w:cs="Times New Roman"/>
          <w:szCs w:val="24"/>
        </w:rPr>
        <w:t>are</w:t>
      </w:r>
      <w:r w:rsidR="00CE24AD">
        <w:rPr>
          <w:rFonts w:cs="Times New Roman"/>
          <w:szCs w:val="24"/>
        </w:rPr>
        <w:t xml:space="preserve"> </w:t>
      </w:r>
      <w:r w:rsidR="003260E2">
        <w:rPr>
          <w:rFonts w:cs="Times New Roman"/>
          <w:szCs w:val="24"/>
        </w:rPr>
        <w:t xml:space="preserve">not </w:t>
      </w:r>
      <w:r w:rsidR="0019548B">
        <w:rPr>
          <w:rFonts w:cs="Times New Roman"/>
          <w:szCs w:val="24"/>
        </w:rPr>
        <w:t>divisible, i.e.,</w:t>
      </w:r>
      <w:r w:rsidR="00A63D31">
        <w:rPr>
          <w:rFonts w:cs="Times New Roman"/>
          <w:szCs w:val="24"/>
        </w:rPr>
        <w:t xml:space="preserve"> they </w:t>
      </w:r>
      <w:r w:rsidR="003518D8">
        <w:rPr>
          <w:rFonts w:cs="Times New Roman"/>
          <w:szCs w:val="24"/>
        </w:rPr>
        <w:t>are</w:t>
      </w:r>
      <w:r w:rsidRPr="00C43513">
        <w:rPr>
          <w:rFonts w:cs="Times New Roman"/>
          <w:szCs w:val="24"/>
        </w:rPr>
        <w:t xml:space="preserve"> </w:t>
      </w:r>
      <w:r w:rsidR="000F745A">
        <w:rPr>
          <w:rFonts w:cs="Times New Roman"/>
          <w:szCs w:val="24"/>
        </w:rPr>
        <w:t>strictly</w:t>
      </w:r>
      <w:r w:rsidR="00B97E36">
        <w:rPr>
          <w:rFonts w:cs="Times New Roman"/>
          <w:szCs w:val="24"/>
        </w:rPr>
        <w:t xml:space="preserve"> </w:t>
      </w:r>
      <w:r w:rsidRPr="00C43513">
        <w:rPr>
          <w:rFonts w:cs="Times New Roman"/>
          <w:szCs w:val="24"/>
        </w:rPr>
        <w:t>“non-rival” and “non-excludable”</w:t>
      </w:r>
      <w:r w:rsidR="00F3081C">
        <w:rPr>
          <w:rFonts w:cs="Times New Roman"/>
          <w:szCs w:val="24"/>
        </w:rPr>
        <w:t xml:space="preserve">, </w:t>
      </w:r>
      <w:r w:rsidR="00A63D31">
        <w:rPr>
          <w:rFonts w:cs="Times New Roman"/>
          <w:szCs w:val="24"/>
        </w:rPr>
        <w:t xml:space="preserve">and </w:t>
      </w:r>
      <w:r w:rsidR="00F3081C">
        <w:rPr>
          <w:rFonts w:cs="Times New Roman"/>
          <w:szCs w:val="24"/>
        </w:rPr>
        <w:t>therefore</w:t>
      </w:r>
      <w:r w:rsidR="00A63D31">
        <w:rPr>
          <w:rFonts w:cs="Times New Roman"/>
          <w:szCs w:val="24"/>
        </w:rPr>
        <w:t>,</w:t>
      </w:r>
      <w:r w:rsidR="00F3081C">
        <w:rPr>
          <w:rFonts w:cs="Times New Roman"/>
          <w:szCs w:val="24"/>
        </w:rPr>
        <w:t xml:space="preserve"> </w:t>
      </w:r>
      <w:r w:rsidR="008510A3">
        <w:rPr>
          <w:rFonts w:cs="Times New Roman"/>
          <w:szCs w:val="24"/>
        </w:rPr>
        <w:t xml:space="preserve">they </w:t>
      </w:r>
      <w:r w:rsidR="00F3081C">
        <w:rPr>
          <w:rFonts w:cs="Times New Roman"/>
          <w:szCs w:val="24"/>
        </w:rPr>
        <w:t xml:space="preserve">cannot </w:t>
      </w:r>
      <w:r w:rsidR="009721B7" w:rsidRPr="00C43513">
        <w:rPr>
          <w:rFonts w:cs="Times New Roman"/>
          <w:szCs w:val="24"/>
        </w:rPr>
        <w:t xml:space="preserve">be </w:t>
      </w:r>
      <w:r w:rsidR="000B4CF9">
        <w:rPr>
          <w:rFonts w:cs="Times New Roman"/>
          <w:szCs w:val="24"/>
        </w:rPr>
        <w:t>efficient</w:t>
      </w:r>
      <w:r w:rsidR="009721B7" w:rsidRPr="00C43513">
        <w:rPr>
          <w:rFonts w:cs="Times New Roman"/>
          <w:szCs w:val="24"/>
        </w:rPr>
        <w:t xml:space="preserve">ly </w:t>
      </w:r>
      <w:r w:rsidR="009939C9" w:rsidRPr="00C43513">
        <w:rPr>
          <w:rFonts w:cs="Times New Roman"/>
          <w:szCs w:val="24"/>
        </w:rPr>
        <w:t xml:space="preserve">allocated </w:t>
      </w:r>
      <w:r w:rsidR="009721B7" w:rsidRPr="00C43513">
        <w:rPr>
          <w:rFonts w:cs="Times New Roman"/>
          <w:szCs w:val="24"/>
        </w:rPr>
        <w:t>via the “Invisible Hand”</w:t>
      </w:r>
      <w:r w:rsidR="00616A6C">
        <w:rPr>
          <w:rFonts w:cs="Times New Roman"/>
          <w:szCs w:val="24"/>
        </w:rPr>
        <w:t xml:space="preserve">. </w:t>
      </w:r>
      <w:r w:rsidR="009721B7" w:rsidRPr="00C43513">
        <w:rPr>
          <w:rFonts w:cs="Times New Roman"/>
          <w:szCs w:val="24"/>
        </w:rPr>
        <w:t xml:space="preserve"> </w:t>
      </w:r>
      <w:r w:rsidRPr="00C43513">
        <w:rPr>
          <w:rFonts w:cs="Times New Roman"/>
          <w:szCs w:val="24"/>
        </w:rPr>
        <w:t xml:space="preserve">Indeed, </w:t>
      </w:r>
      <w:r w:rsidR="005866B0">
        <w:rPr>
          <w:rFonts w:cs="Times New Roman"/>
          <w:szCs w:val="24"/>
        </w:rPr>
        <w:t>t</w:t>
      </w:r>
      <w:r w:rsidRPr="00C43513">
        <w:rPr>
          <w:rFonts w:cs="Times New Roman"/>
          <w:szCs w:val="24"/>
        </w:rPr>
        <w:t>h</w:t>
      </w:r>
      <w:r w:rsidR="00332A48">
        <w:rPr>
          <w:rFonts w:cs="Times New Roman"/>
          <w:szCs w:val="24"/>
        </w:rPr>
        <w:t>e</w:t>
      </w:r>
      <w:r w:rsidR="00616A6C">
        <w:rPr>
          <w:rFonts w:cs="Times New Roman"/>
          <w:szCs w:val="24"/>
        </w:rPr>
        <w:t xml:space="preserve"> classic “Public Goods</w:t>
      </w:r>
      <w:r w:rsidR="0029241A">
        <w:rPr>
          <w:rFonts w:cs="Times New Roman"/>
          <w:szCs w:val="24"/>
        </w:rPr>
        <w:t xml:space="preserve"> E</w:t>
      </w:r>
      <w:r w:rsidR="00544B2C">
        <w:rPr>
          <w:rFonts w:cs="Times New Roman"/>
          <w:szCs w:val="24"/>
        </w:rPr>
        <w:t>xternality</w:t>
      </w:r>
      <w:r w:rsidR="0029241A">
        <w:rPr>
          <w:rFonts w:cs="Times New Roman"/>
          <w:szCs w:val="24"/>
        </w:rPr>
        <w:t>”</w:t>
      </w:r>
      <w:r w:rsidR="00544B2C">
        <w:rPr>
          <w:rFonts w:cs="Times New Roman"/>
          <w:szCs w:val="24"/>
        </w:rPr>
        <w:t xml:space="preserve"> </w:t>
      </w:r>
      <w:r w:rsidRPr="00C43513">
        <w:rPr>
          <w:rFonts w:cs="Times New Roman"/>
          <w:szCs w:val="24"/>
        </w:rPr>
        <w:t xml:space="preserve">problem was stated most clearly by the celebrated </w:t>
      </w:r>
      <w:r w:rsidR="00452849">
        <w:rPr>
          <w:rFonts w:cs="Times New Roman"/>
          <w:szCs w:val="24"/>
        </w:rPr>
        <w:t>philosopher</w:t>
      </w:r>
      <w:r w:rsidRPr="00C43513">
        <w:rPr>
          <w:rFonts w:cs="Times New Roman"/>
          <w:szCs w:val="24"/>
        </w:rPr>
        <w:t xml:space="preserve"> David Hume</w:t>
      </w:r>
      <w:r w:rsidR="003A4E18">
        <w:rPr>
          <w:rFonts w:cs="Times New Roman"/>
          <w:szCs w:val="24"/>
        </w:rPr>
        <w:t>,</w:t>
      </w:r>
      <w:r w:rsidR="00E27D5B" w:rsidRPr="00E27D5B">
        <w:rPr>
          <w:rFonts w:cs="Times New Roman"/>
          <w:szCs w:val="24"/>
        </w:rPr>
        <w:t xml:space="preserve"> </w:t>
      </w:r>
      <w:r w:rsidR="00905957">
        <w:rPr>
          <w:rFonts w:cs="Times New Roman"/>
          <w:szCs w:val="24"/>
        </w:rPr>
        <w:t xml:space="preserve">i.e., </w:t>
      </w:r>
      <w:r w:rsidR="00E27D5B" w:rsidRPr="00C43513">
        <w:rPr>
          <w:rFonts w:cs="Times New Roman"/>
          <w:szCs w:val="24"/>
        </w:rPr>
        <w:t xml:space="preserve">more than 30 years before </w:t>
      </w:r>
      <w:r w:rsidR="00332A48">
        <w:rPr>
          <w:rFonts w:cs="Times New Roman"/>
          <w:szCs w:val="24"/>
        </w:rPr>
        <w:t xml:space="preserve">Smith’s </w:t>
      </w:r>
      <w:r w:rsidR="00E27D5B" w:rsidRPr="00C43513">
        <w:rPr>
          <w:rFonts w:cs="Times New Roman"/>
          <w:szCs w:val="24"/>
        </w:rPr>
        <w:t>“</w:t>
      </w:r>
      <w:r w:rsidR="00E27D5B" w:rsidRPr="00C43513">
        <w:rPr>
          <w:rFonts w:cs="Times New Roman"/>
          <w:i/>
          <w:iCs/>
          <w:szCs w:val="24"/>
        </w:rPr>
        <w:t>The Wealth of Nations</w:t>
      </w:r>
      <w:r w:rsidR="00E27D5B">
        <w:rPr>
          <w:rFonts w:cs="Times New Roman"/>
          <w:i/>
          <w:iCs/>
          <w:szCs w:val="24"/>
        </w:rPr>
        <w:t>”</w:t>
      </w:r>
      <w:r w:rsidR="0004567B" w:rsidRPr="0004567B">
        <w:rPr>
          <w:rFonts w:cs="Times New Roman"/>
          <w:szCs w:val="24"/>
        </w:rPr>
        <w:t>:</w:t>
      </w:r>
      <w:r w:rsidR="003A4D70" w:rsidRPr="0004567B">
        <w:rPr>
          <w:rFonts w:cs="Times New Roman"/>
          <w:szCs w:val="24"/>
        </w:rPr>
        <w:t xml:space="preserve"> </w:t>
      </w:r>
      <w:r w:rsidRPr="0004567B">
        <w:rPr>
          <w:rFonts w:cs="Times New Roman"/>
          <w:szCs w:val="24"/>
        </w:rPr>
        <w:t xml:space="preserve"> </w:t>
      </w:r>
    </w:p>
    <w:p w14:paraId="136C251D" w14:textId="4EADC299" w:rsidR="00C43513" w:rsidRPr="00063996" w:rsidRDefault="00C43513" w:rsidP="00CB6355">
      <w:pPr>
        <w:spacing w:after="160" w:line="240" w:lineRule="auto"/>
        <w:ind w:left="720" w:firstLine="0"/>
        <w:jc w:val="left"/>
        <w:rPr>
          <w:rFonts w:cs="Times New Roman"/>
          <w:szCs w:val="24"/>
        </w:rPr>
      </w:pPr>
      <w:r w:rsidRPr="00063996">
        <w:rPr>
          <w:rFonts w:cs="Times New Roman"/>
          <w:szCs w:val="24"/>
        </w:rPr>
        <w:t xml:space="preserve">Two neighbors may agree to drain a meadow, which they possess in common; </w:t>
      </w:r>
      <w:bookmarkStart w:id="13" w:name="_Hlk120006631"/>
      <w:r w:rsidRPr="00063996">
        <w:rPr>
          <w:rFonts w:cs="Times New Roman"/>
          <w:szCs w:val="24"/>
        </w:rPr>
        <w:t xml:space="preserve">because they know each other’s mind; and each must perceive, that the immediate consequence of his failing his part, is, the abandoning of the whole project. </w:t>
      </w:r>
      <w:bookmarkEnd w:id="13"/>
      <w:r w:rsidRPr="00063996">
        <w:rPr>
          <w:rFonts w:cs="Times New Roman"/>
          <w:szCs w:val="24"/>
        </w:rPr>
        <w:t xml:space="preserve">But ’tis very difficult, and indeed impossible that a thousand persons shou’d agree in any such action; it being difficult to concert so complicated a design, and still more difficult to execute it; while each seeks a pretext to free himself of the trouble and expence, and wou’d lay the whole burden on others. Political society easily remedies both these inconveniences. </w:t>
      </w:r>
    </w:p>
    <w:p w14:paraId="36D89344" w14:textId="3B8354C7" w:rsidR="00C43513" w:rsidRPr="00C43513" w:rsidRDefault="00C43513" w:rsidP="00C43513">
      <w:pPr>
        <w:spacing w:after="160"/>
        <w:ind w:left="0" w:firstLine="0"/>
        <w:jc w:val="right"/>
        <w:rPr>
          <w:rFonts w:cs="Times New Roman"/>
          <w:szCs w:val="24"/>
        </w:rPr>
      </w:pPr>
      <w:r w:rsidRPr="00C43513">
        <w:rPr>
          <w:rFonts w:cs="Times New Roman"/>
          <w:i/>
          <w:iCs/>
          <w:szCs w:val="24"/>
        </w:rPr>
        <w:t>“Treatise of Human Nature”</w:t>
      </w:r>
      <w:r w:rsidRPr="00C43513">
        <w:rPr>
          <w:rFonts w:cs="Times New Roman"/>
          <w:szCs w:val="24"/>
        </w:rPr>
        <w:t xml:space="preserve"> Hume</w:t>
      </w:r>
      <w:r w:rsidR="00A2281F">
        <w:rPr>
          <w:rFonts w:cs="Times New Roman"/>
          <w:szCs w:val="24"/>
        </w:rPr>
        <w:t>,</w:t>
      </w:r>
      <w:r w:rsidRPr="00C43513">
        <w:rPr>
          <w:rFonts w:cs="Times New Roman"/>
          <w:szCs w:val="24"/>
        </w:rPr>
        <w:t xml:space="preserve"> </w:t>
      </w:r>
      <w:r w:rsidR="00A2281F" w:rsidRPr="00C43513">
        <w:rPr>
          <w:rFonts w:cs="Times New Roman"/>
          <w:szCs w:val="24"/>
        </w:rPr>
        <w:t xml:space="preserve">D. </w:t>
      </w:r>
      <w:r w:rsidR="00CE2CDD">
        <w:rPr>
          <w:rFonts w:cs="Times New Roman"/>
          <w:szCs w:val="24"/>
        </w:rPr>
        <w:t>(1739)</w:t>
      </w:r>
    </w:p>
    <w:p w14:paraId="2D96675A" w14:textId="56D06C26" w:rsidR="00C43513" w:rsidRPr="00C43513" w:rsidRDefault="00C43513" w:rsidP="00C43513">
      <w:pPr>
        <w:spacing w:after="160"/>
        <w:ind w:left="0" w:firstLine="0"/>
        <w:jc w:val="left"/>
        <w:rPr>
          <w:rFonts w:cs="Times New Roman"/>
          <w:szCs w:val="24"/>
        </w:rPr>
      </w:pPr>
      <w:r w:rsidRPr="00C43513">
        <w:rPr>
          <w:rFonts w:cs="Times New Roman"/>
          <w:szCs w:val="24"/>
        </w:rPr>
        <w:t xml:space="preserve">As the leading proponent of </w:t>
      </w:r>
      <w:r w:rsidR="004B48E1">
        <w:rPr>
          <w:rFonts w:cs="Times New Roman"/>
          <w:szCs w:val="24"/>
        </w:rPr>
        <w:t xml:space="preserve">pure </w:t>
      </w:r>
      <w:r w:rsidRPr="00C43513">
        <w:rPr>
          <w:rFonts w:cs="Times New Roman"/>
          <w:szCs w:val="24"/>
        </w:rPr>
        <w:t xml:space="preserve">laissez-faire capitalism, Adam Smith </w:t>
      </w:r>
      <w:r w:rsidR="00DF31C4">
        <w:rPr>
          <w:rFonts w:cs="Times New Roman"/>
          <w:szCs w:val="24"/>
        </w:rPr>
        <w:t>famously</w:t>
      </w:r>
      <w:r w:rsidRPr="00C43513">
        <w:rPr>
          <w:rFonts w:cs="Times New Roman"/>
          <w:szCs w:val="24"/>
        </w:rPr>
        <w:t xml:space="preserve"> posited: “in competition, individual ambition serves the common (public) good…the best result comes from everyone doing the best for himself… By pursuing his own interest, he frequently promotes that of the society more effectually than when he really intends to promote it.” </w:t>
      </w:r>
      <w:r w:rsidR="00DF31C4">
        <w:rPr>
          <w:rFonts w:cs="Times New Roman"/>
          <w:szCs w:val="24"/>
        </w:rPr>
        <w:t>[Smith 1776]</w:t>
      </w:r>
    </w:p>
    <w:p w14:paraId="56824C0F" w14:textId="7E7164A4" w:rsidR="00E63BB7" w:rsidRDefault="00C43513" w:rsidP="00C21163">
      <w:pPr>
        <w:spacing w:after="160"/>
        <w:ind w:left="0" w:firstLine="0"/>
        <w:contextualSpacing/>
        <w:jc w:val="left"/>
        <w:rPr>
          <w:rFonts w:cs="Times New Roman"/>
          <w:szCs w:val="24"/>
          <w:shd w:val="clear" w:color="auto" w:fill="FFFFFF"/>
        </w:rPr>
      </w:pPr>
      <w:r w:rsidRPr="00C43513">
        <w:rPr>
          <w:rFonts w:cs="Times New Roman"/>
          <w:szCs w:val="24"/>
        </w:rPr>
        <w:t xml:space="preserve">The </w:t>
      </w:r>
      <w:r w:rsidR="00466F55">
        <w:rPr>
          <w:rFonts w:cs="Times New Roman"/>
          <w:szCs w:val="24"/>
        </w:rPr>
        <w:t>guiding spirit</w:t>
      </w:r>
      <w:r w:rsidRPr="00C43513">
        <w:rPr>
          <w:rFonts w:cs="Times New Roman"/>
          <w:szCs w:val="24"/>
        </w:rPr>
        <w:t xml:space="preserve"> of the </w:t>
      </w:r>
      <w:r w:rsidR="000A3165">
        <w:rPr>
          <w:rFonts w:cs="Times New Roman"/>
          <w:szCs w:val="24"/>
        </w:rPr>
        <w:t>modern</w:t>
      </w:r>
      <w:r w:rsidR="00E74E3E">
        <w:rPr>
          <w:rFonts w:cs="Times New Roman"/>
          <w:szCs w:val="24"/>
        </w:rPr>
        <w:t xml:space="preserve"> </w:t>
      </w:r>
      <w:r w:rsidRPr="00C43513">
        <w:rPr>
          <w:rFonts w:cs="Times New Roman"/>
          <w:szCs w:val="24"/>
        </w:rPr>
        <w:t xml:space="preserve">Industrial Age (c. 1760-1954) </w:t>
      </w:r>
      <w:r w:rsidR="00250D95">
        <w:rPr>
          <w:rFonts w:cs="Times New Roman"/>
          <w:szCs w:val="24"/>
        </w:rPr>
        <w:t xml:space="preserve">is </w:t>
      </w:r>
      <w:r w:rsidRPr="00C43513">
        <w:rPr>
          <w:rFonts w:cs="Times New Roman"/>
          <w:szCs w:val="24"/>
        </w:rPr>
        <w:t>perhaps best</w:t>
      </w:r>
      <w:r w:rsidR="00905957">
        <w:rPr>
          <w:rFonts w:cs="Times New Roman"/>
          <w:szCs w:val="24"/>
        </w:rPr>
        <w:t xml:space="preserve"> </w:t>
      </w:r>
      <w:r w:rsidRPr="00C43513">
        <w:rPr>
          <w:rFonts w:cs="Times New Roman"/>
          <w:szCs w:val="24"/>
        </w:rPr>
        <w:t xml:space="preserve">captured by the railroad magnate William Henry Vanderbilt, who </w:t>
      </w:r>
      <w:r w:rsidR="000F0A28">
        <w:rPr>
          <w:rFonts w:cs="Times New Roman"/>
          <w:szCs w:val="24"/>
        </w:rPr>
        <w:t xml:space="preserve">was </w:t>
      </w:r>
      <w:r w:rsidRPr="00C43513">
        <w:rPr>
          <w:rFonts w:cs="Times New Roman"/>
          <w:szCs w:val="24"/>
        </w:rPr>
        <w:t xml:space="preserve">famously </w:t>
      </w:r>
      <w:r w:rsidR="000F0A28">
        <w:rPr>
          <w:rFonts w:cs="Times New Roman"/>
          <w:szCs w:val="24"/>
        </w:rPr>
        <w:t xml:space="preserve">quoted as </w:t>
      </w:r>
      <w:r w:rsidR="000F0A28">
        <w:rPr>
          <w:rFonts w:cs="Times New Roman"/>
          <w:szCs w:val="24"/>
        </w:rPr>
        <w:lastRenderedPageBreak/>
        <w:t>saying</w:t>
      </w:r>
      <w:r w:rsidRPr="00C43513">
        <w:rPr>
          <w:rFonts w:cs="Times New Roman"/>
          <w:szCs w:val="24"/>
        </w:rPr>
        <w:t>: “the Public be damned... they don’t pay!” when asked</w:t>
      </w:r>
      <w:r w:rsidR="000F0A28">
        <w:rPr>
          <w:rFonts w:cs="Times New Roman"/>
          <w:szCs w:val="24"/>
        </w:rPr>
        <w:t xml:space="preserve"> by a newspaper reporter </w:t>
      </w:r>
      <w:r w:rsidRPr="00C43513">
        <w:rPr>
          <w:rFonts w:cs="Times New Roman"/>
          <w:szCs w:val="24"/>
        </w:rPr>
        <w:t>if private railroads were somehow obligated to accommodate the public welfare. “Railroads are not run for the public benefit, but to pay. Incidentally, we may benefit humanity, but the aim is to earn a dividend."</w:t>
      </w:r>
      <w:r w:rsidR="00E63BB7" w:rsidRPr="00E63BB7">
        <w:rPr>
          <w:rFonts w:cs="Times New Roman"/>
          <w:szCs w:val="24"/>
          <w:shd w:val="clear" w:color="auto" w:fill="FFFFFF"/>
        </w:rPr>
        <w:t xml:space="preserve"> </w:t>
      </w:r>
      <w:r w:rsidR="00E63BB7">
        <w:rPr>
          <w:rFonts w:cs="Times New Roman"/>
          <w:szCs w:val="24"/>
          <w:shd w:val="clear" w:color="auto" w:fill="FFFFFF"/>
        </w:rPr>
        <w:t>[</w:t>
      </w:r>
      <w:r w:rsidR="00E63BB7" w:rsidRPr="004060F5">
        <w:rPr>
          <w:rFonts w:cs="Times New Roman"/>
          <w:szCs w:val="24"/>
          <w:shd w:val="clear" w:color="auto" w:fill="FFFFFF"/>
        </w:rPr>
        <w:t>Dresser 18</w:t>
      </w:r>
      <w:r w:rsidR="00E63BB7">
        <w:rPr>
          <w:rFonts w:cs="Times New Roman"/>
          <w:szCs w:val="24"/>
          <w:shd w:val="clear" w:color="auto" w:fill="FFFFFF"/>
        </w:rPr>
        <w:t>82]</w:t>
      </w:r>
    </w:p>
    <w:p w14:paraId="0A388374" w14:textId="77777777" w:rsidR="004768EA" w:rsidRDefault="004768EA" w:rsidP="00C43513">
      <w:pPr>
        <w:spacing w:after="160"/>
        <w:ind w:left="0" w:firstLine="0"/>
        <w:jc w:val="left"/>
        <w:rPr>
          <w:rFonts w:cs="Times New Roman"/>
          <w:szCs w:val="24"/>
        </w:rPr>
      </w:pPr>
    </w:p>
    <w:p w14:paraId="0B1410E2" w14:textId="00C00D03" w:rsidR="00C43513" w:rsidRPr="00C43513" w:rsidRDefault="0089383C" w:rsidP="00C43513">
      <w:pPr>
        <w:spacing w:after="160"/>
        <w:ind w:left="0" w:firstLine="0"/>
        <w:jc w:val="left"/>
        <w:rPr>
          <w:rFonts w:cs="Times New Roman"/>
          <w:szCs w:val="24"/>
        </w:rPr>
      </w:pPr>
      <w:r>
        <w:rPr>
          <w:rFonts w:cs="Times New Roman"/>
          <w:szCs w:val="24"/>
        </w:rPr>
        <w:t>Following i</w:t>
      </w:r>
      <w:r w:rsidR="00C43513" w:rsidRPr="00C43513">
        <w:rPr>
          <w:rFonts w:cs="Times New Roman"/>
          <w:szCs w:val="24"/>
        </w:rPr>
        <w:t xml:space="preserve">n the footsteps of luminaries </w:t>
      </w:r>
      <w:r w:rsidRPr="00C43513">
        <w:rPr>
          <w:rFonts w:cs="Times New Roman"/>
          <w:szCs w:val="24"/>
        </w:rPr>
        <w:t xml:space="preserve">such </w:t>
      </w:r>
      <w:r w:rsidR="00C43513" w:rsidRPr="00C43513">
        <w:rPr>
          <w:rFonts w:cs="Times New Roman"/>
          <w:szCs w:val="24"/>
        </w:rPr>
        <w:t>as Smith and Hume, classical economists</w:t>
      </w:r>
      <w:r w:rsidR="00332571">
        <w:rPr>
          <w:rFonts w:cs="Times New Roman"/>
          <w:szCs w:val="24"/>
        </w:rPr>
        <w:t xml:space="preserve"> </w:t>
      </w:r>
      <w:r w:rsidR="002762B0">
        <w:rPr>
          <w:rFonts w:cs="Times New Roman"/>
          <w:szCs w:val="24"/>
        </w:rPr>
        <w:t>(</w:t>
      </w:r>
      <w:r w:rsidR="008B1BBA">
        <w:rPr>
          <w:rFonts w:cs="Times New Roman"/>
          <w:szCs w:val="24"/>
        </w:rPr>
        <w:t xml:space="preserve">such as </w:t>
      </w:r>
      <w:r w:rsidR="00A92C12">
        <w:rPr>
          <w:rFonts w:cs="Times New Roman"/>
          <w:szCs w:val="24"/>
        </w:rPr>
        <w:t xml:space="preserve">Mill, Sidgwick, Pigou, Samuelson, et al) </w:t>
      </w:r>
      <w:r w:rsidR="00C43513" w:rsidRPr="00C43513">
        <w:rPr>
          <w:rFonts w:cs="Times New Roman"/>
          <w:szCs w:val="24"/>
        </w:rPr>
        <w:t>universally praise</w:t>
      </w:r>
      <w:r w:rsidR="00380679">
        <w:rPr>
          <w:rFonts w:cs="Times New Roman"/>
          <w:szCs w:val="24"/>
        </w:rPr>
        <w:t>d</w:t>
      </w:r>
      <w:r w:rsidR="00C43513" w:rsidRPr="00C43513">
        <w:rPr>
          <w:rFonts w:cs="Times New Roman"/>
          <w:szCs w:val="24"/>
        </w:rPr>
        <w:t xml:space="preserve"> the modern lighthouse, i.e., as </w:t>
      </w:r>
      <w:r w:rsidR="008B1BBA">
        <w:rPr>
          <w:rFonts w:cs="Times New Roman"/>
          <w:szCs w:val="24"/>
        </w:rPr>
        <w:t xml:space="preserve">being </w:t>
      </w:r>
      <w:r w:rsidR="00C43513" w:rsidRPr="00C43513">
        <w:rPr>
          <w:rFonts w:cs="Times New Roman"/>
          <w:szCs w:val="24"/>
        </w:rPr>
        <w:t>the textbook example of a (laissez-faire-capitalism-produced) pure public good</w:t>
      </w:r>
      <w:r w:rsidR="005B2879">
        <w:rPr>
          <w:rFonts w:cs="Times New Roman"/>
          <w:szCs w:val="24"/>
        </w:rPr>
        <w:t xml:space="preserve"> that requires government provision</w:t>
      </w:r>
      <w:r w:rsidR="00C43513" w:rsidRPr="00C43513">
        <w:rPr>
          <w:rFonts w:cs="Times New Roman"/>
          <w:szCs w:val="24"/>
        </w:rPr>
        <w:t xml:space="preserve">. Since </w:t>
      </w:r>
      <w:r w:rsidR="004F4AD9">
        <w:rPr>
          <w:rFonts w:cs="Times New Roman"/>
          <w:szCs w:val="24"/>
        </w:rPr>
        <w:t xml:space="preserve">a </w:t>
      </w:r>
      <w:r w:rsidR="00C43513" w:rsidRPr="00C43513">
        <w:rPr>
          <w:rFonts w:cs="Times New Roman"/>
          <w:szCs w:val="24"/>
        </w:rPr>
        <w:t xml:space="preserve">passing ship neither “uses up” nor “excludes” the light from any other ship, its beacon provides a perfectly non-rival and non-exclusionary pure public good. Paradoxically, in a strictly capitalist market economy, the closer the private entrepreneur actually gets to producing a pure public good, the less </w:t>
      </w:r>
      <w:r w:rsidR="00305152">
        <w:rPr>
          <w:rFonts w:cs="Times New Roman"/>
          <w:szCs w:val="24"/>
        </w:rPr>
        <w:t xml:space="preserve">is </w:t>
      </w:r>
      <w:r w:rsidR="00C43513" w:rsidRPr="00C43513">
        <w:rPr>
          <w:rFonts w:cs="Times New Roman"/>
          <w:szCs w:val="24"/>
        </w:rPr>
        <w:t xml:space="preserve">their profit-motive. Indeed, following Hume’s </w:t>
      </w:r>
      <w:r w:rsidR="00537704">
        <w:rPr>
          <w:rFonts w:cs="Times New Roman"/>
          <w:szCs w:val="24"/>
        </w:rPr>
        <w:t>original</w:t>
      </w:r>
      <w:r w:rsidR="00C43513" w:rsidRPr="00C43513">
        <w:rPr>
          <w:rFonts w:cs="Times New Roman"/>
          <w:szCs w:val="24"/>
        </w:rPr>
        <w:t xml:space="preserve"> assertion, </w:t>
      </w:r>
      <w:r w:rsidR="00556974">
        <w:rPr>
          <w:rFonts w:cs="Times New Roman"/>
          <w:szCs w:val="24"/>
        </w:rPr>
        <w:t xml:space="preserve">namely, </w:t>
      </w:r>
      <w:r w:rsidR="00150421">
        <w:rPr>
          <w:rFonts w:cs="Times New Roman"/>
          <w:szCs w:val="24"/>
        </w:rPr>
        <w:t xml:space="preserve">that </w:t>
      </w:r>
      <w:r w:rsidR="00C43513" w:rsidRPr="00C43513">
        <w:rPr>
          <w:rFonts w:cs="Times New Roman"/>
          <w:szCs w:val="24"/>
        </w:rPr>
        <w:t xml:space="preserve">there is no moral incentive for the public to pay for these benefits, the government </w:t>
      </w:r>
      <w:r w:rsidR="002734FA">
        <w:rPr>
          <w:rFonts w:cs="Times New Roman"/>
          <w:szCs w:val="24"/>
        </w:rPr>
        <w:t>can</w:t>
      </w:r>
      <w:r w:rsidR="00150421">
        <w:rPr>
          <w:rFonts w:cs="Times New Roman"/>
          <w:szCs w:val="24"/>
        </w:rPr>
        <w:t xml:space="preserve"> </w:t>
      </w:r>
      <w:r w:rsidR="006D5B9F">
        <w:rPr>
          <w:rFonts w:cs="Times New Roman"/>
          <w:szCs w:val="24"/>
        </w:rPr>
        <w:t>(</w:t>
      </w:r>
      <w:r w:rsidR="00195175">
        <w:rPr>
          <w:rFonts w:cs="Times New Roman"/>
          <w:szCs w:val="24"/>
        </w:rPr>
        <w:t>a</w:t>
      </w:r>
      <w:r w:rsidR="006D5B9F">
        <w:rPr>
          <w:rFonts w:cs="Times New Roman"/>
          <w:szCs w:val="24"/>
        </w:rPr>
        <w:t>nd must)</w:t>
      </w:r>
      <w:r w:rsidR="00C43513" w:rsidRPr="00C43513">
        <w:rPr>
          <w:rFonts w:cs="Times New Roman"/>
          <w:szCs w:val="24"/>
        </w:rPr>
        <w:t xml:space="preserve"> intervene. </w:t>
      </w:r>
      <w:r w:rsidR="00A2281F">
        <w:rPr>
          <w:rFonts w:cs="Times New Roman"/>
          <w:szCs w:val="24"/>
        </w:rPr>
        <w:t>[</w:t>
      </w:r>
      <w:r w:rsidR="002734FA">
        <w:rPr>
          <w:rFonts w:cs="Times New Roman"/>
          <w:szCs w:val="24"/>
        </w:rPr>
        <w:t xml:space="preserve">Hume 1739; Smith 1776; </w:t>
      </w:r>
      <w:r w:rsidR="00A2281F" w:rsidRPr="00C43513">
        <w:rPr>
          <w:rFonts w:cs="Times New Roman"/>
          <w:szCs w:val="24"/>
        </w:rPr>
        <w:t>Mill</w:t>
      </w:r>
      <w:r w:rsidR="00A2281F">
        <w:rPr>
          <w:rFonts w:cs="Times New Roman"/>
          <w:szCs w:val="24"/>
        </w:rPr>
        <w:t xml:space="preserve"> </w:t>
      </w:r>
      <w:r w:rsidR="000F0A28">
        <w:rPr>
          <w:rFonts w:cs="Times New Roman"/>
          <w:szCs w:val="24"/>
        </w:rPr>
        <w:t>1843;</w:t>
      </w:r>
      <w:r w:rsidR="00A2281F" w:rsidRPr="00C43513">
        <w:rPr>
          <w:rFonts w:cs="Times New Roman"/>
          <w:szCs w:val="24"/>
        </w:rPr>
        <w:t xml:space="preserve"> Sidgwick</w:t>
      </w:r>
      <w:r w:rsidR="000F0A28">
        <w:rPr>
          <w:rFonts w:cs="Times New Roman"/>
          <w:szCs w:val="24"/>
        </w:rPr>
        <w:t xml:space="preserve"> 1883;</w:t>
      </w:r>
      <w:r w:rsidR="00A2281F" w:rsidRPr="00C43513">
        <w:rPr>
          <w:rFonts w:cs="Times New Roman"/>
          <w:szCs w:val="24"/>
        </w:rPr>
        <w:t xml:space="preserve"> Pigou</w:t>
      </w:r>
      <w:r w:rsidR="000F0A28">
        <w:rPr>
          <w:rFonts w:cs="Times New Roman"/>
          <w:szCs w:val="24"/>
        </w:rPr>
        <w:t xml:space="preserve"> 1938</w:t>
      </w:r>
      <w:r w:rsidR="00A92C12">
        <w:rPr>
          <w:rFonts w:cs="Times New Roman"/>
          <w:szCs w:val="24"/>
        </w:rPr>
        <w:t>;</w:t>
      </w:r>
      <w:r w:rsidR="00A2281F" w:rsidRPr="00C43513">
        <w:rPr>
          <w:rFonts w:cs="Times New Roman"/>
          <w:szCs w:val="24"/>
        </w:rPr>
        <w:t xml:space="preserve"> Samuelson</w:t>
      </w:r>
      <w:r w:rsidR="000F0A28">
        <w:rPr>
          <w:rFonts w:cs="Times New Roman"/>
          <w:szCs w:val="24"/>
        </w:rPr>
        <w:t xml:space="preserve"> 1964</w:t>
      </w:r>
      <w:r w:rsidR="004768EA">
        <w:rPr>
          <w:rFonts w:cs="Times New Roman"/>
          <w:szCs w:val="24"/>
        </w:rPr>
        <w:t>;</w:t>
      </w:r>
      <w:r w:rsidR="00A2281F" w:rsidRPr="00C43513">
        <w:rPr>
          <w:rFonts w:cs="Times New Roman"/>
          <w:szCs w:val="24"/>
        </w:rPr>
        <w:t xml:space="preserve"> </w:t>
      </w:r>
      <w:r w:rsidR="00195175">
        <w:rPr>
          <w:rFonts w:cs="Times New Roman"/>
          <w:szCs w:val="24"/>
        </w:rPr>
        <w:t xml:space="preserve">Meade 1958; </w:t>
      </w:r>
      <w:r w:rsidR="00A2281F" w:rsidRPr="00C43513">
        <w:rPr>
          <w:rFonts w:cs="Times New Roman"/>
          <w:szCs w:val="24"/>
        </w:rPr>
        <w:t>et al</w:t>
      </w:r>
      <w:r w:rsidR="00A92C12">
        <w:rPr>
          <w:rFonts w:cs="Times New Roman"/>
          <w:szCs w:val="24"/>
        </w:rPr>
        <w:t>]</w:t>
      </w:r>
    </w:p>
    <w:p w14:paraId="1BD86FD1" w14:textId="53D0CEF2" w:rsidR="00C43513" w:rsidRPr="00C43513" w:rsidRDefault="00C43513" w:rsidP="00C43513">
      <w:pPr>
        <w:spacing w:after="160"/>
        <w:ind w:left="0" w:firstLine="0"/>
        <w:jc w:val="left"/>
        <w:rPr>
          <w:rFonts w:cs="Times New Roman"/>
          <w:szCs w:val="24"/>
        </w:rPr>
      </w:pPr>
      <w:r w:rsidRPr="00C43513">
        <w:rPr>
          <w:rFonts w:cs="Times New Roman"/>
          <w:szCs w:val="24"/>
        </w:rPr>
        <w:t xml:space="preserve">According to Samuelson, “(there are) certain indispensable </w:t>
      </w:r>
      <w:r w:rsidRPr="00C43513">
        <w:rPr>
          <w:rFonts w:cs="Times New Roman"/>
          <w:i/>
          <w:iCs/>
          <w:szCs w:val="24"/>
        </w:rPr>
        <w:t xml:space="preserve">public </w:t>
      </w:r>
      <w:r w:rsidRPr="00C43513">
        <w:rPr>
          <w:rFonts w:cs="Times New Roman"/>
          <w:szCs w:val="24"/>
        </w:rPr>
        <w:t>services without which community life would be unthinkable and which, by their nature cannot appropriately be left to private enterprise</w:t>
      </w:r>
      <w:r w:rsidR="00EC6C3A">
        <w:rPr>
          <w:rFonts w:cs="Times New Roman"/>
          <w:szCs w:val="24"/>
        </w:rPr>
        <w:t>.</w:t>
      </w:r>
      <w:r w:rsidR="00332571" w:rsidRPr="00332571">
        <w:t xml:space="preserve"> </w:t>
      </w:r>
      <w:r w:rsidRPr="00C43513">
        <w:rPr>
          <w:rFonts w:cs="Times New Roman"/>
          <w:szCs w:val="24"/>
        </w:rPr>
        <w:t>As an “obvious” example, he noted that: “a businessman could not build (a lighthouse) for a profit, since he cannot claim a price from each user”</w:t>
      </w:r>
      <w:r w:rsidR="00EC6C3A" w:rsidRPr="00EC6C3A">
        <w:t xml:space="preserve"> </w:t>
      </w:r>
      <w:r w:rsidR="00EC6C3A">
        <w:t>[</w:t>
      </w:r>
      <w:r w:rsidR="00EC6C3A" w:rsidRPr="00332571">
        <w:rPr>
          <w:rFonts w:cs="Times New Roman"/>
          <w:szCs w:val="24"/>
        </w:rPr>
        <w:t>Samuelson 1964</w:t>
      </w:r>
      <w:r w:rsidR="00EC6C3A">
        <w:rPr>
          <w:rFonts w:cs="Times New Roman"/>
          <w:szCs w:val="24"/>
        </w:rPr>
        <w:t>]</w:t>
      </w:r>
      <w:r w:rsidR="00EC6C3A" w:rsidRPr="00C43513">
        <w:rPr>
          <w:rFonts w:cs="Times New Roman"/>
          <w:szCs w:val="24"/>
        </w:rPr>
        <w:t>.</w:t>
      </w:r>
      <w:r w:rsidRPr="00C43513">
        <w:rPr>
          <w:rFonts w:cs="Times New Roman"/>
          <w:szCs w:val="24"/>
        </w:rPr>
        <w:t xml:space="preserve"> Likewise, Pigou observed that lighthouses cannot be compensated for their services, simply because they are being provided to third </w:t>
      </w:r>
      <w:r w:rsidRPr="00C43513">
        <w:rPr>
          <w:rFonts w:cs="Times New Roman"/>
          <w:szCs w:val="24"/>
        </w:rPr>
        <w:lastRenderedPageBreak/>
        <w:t>parties “from whom it is technically difficult to exact payment”</w:t>
      </w:r>
      <w:r w:rsidR="00EC6C3A" w:rsidRPr="00EC6C3A">
        <w:rPr>
          <w:rFonts w:cs="Times New Roman"/>
          <w:szCs w:val="24"/>
        </w:rPr>
        <w:t xml:space="preserve"> </w:t>
      </w:r>
      <w:r w:rsidR="00EC6C3A">
        <w:rPr>
          <w:rFonts w:cs="Times New Roman"/>
          <w:szCs w:val="24"/>
        </w:rPr>
        <w:t>[</w:t>
      </w:r>
      <w:r w:rsidR="00EC6C3A" w:rsidRPr="00332571">
        <w:rPr>
          <w:rFonts w:cs="Times New Roman"/>
          <w:szCs w:val="24"/>
        </w:rPr>
        <w:t>Pigou 1938</w:t>
      </w:r>
      <w:r w:rsidR="00EC6C3A">
        <w:rPr>
          <w:rFonts w:cs="Times New Roman"/>
          <w:szCs w:val="24"/>
        </w:rPr>
        <w:t>]</w:t>
      </w:r>
      <w:r w:rsidRPr="00C43513">
        <w:rPr>
          <w:rFonts w:cs="Times New Roman"/>
          <w:szCs w:val="24"/>
        </w:rPr>
        <w:t xml:space="preserve">. For </w:t>
      </w:r>
      <w:bookmarkStart w:id="14" w:name="_Hlk127009549"/>
      <w:r w:rsidRPr="00C43513">
        <w:rPr>
          <w:rFonts w:cs="Times New Roman"/>
          <w:szCs w:val="24"/>
        </w:rPr>
        <w:t xml:space="preserve">Sidgwick, </w:t>
      </w:r>
      <w:bookmarkEnd w:id="14"/>
      <w:r w:rsidRPr="00C43513">
        <w:rPr>
          <w:rFonts w:cs="Times New Roman"/>
          <w:szCs w:val="24"/>
        </w:rPr>
        <w:t>lighthouses are a class of utilities “(that are) practically incapable of being appropriated by those who produce them or would otherwise be willing to purchase them”</w:t>
      </w:r>
      <w:r w:rsidR="00EC6C3A">
        <w:rPr>
          <w:rFonts w:cs="Times New Roman"/>
          <w:szCs w:val="24"/>
        </w:rPr>
        <w:t xml:space="preserve"> [</w:t>
      </w:r>
      <w:r w:rsidR="00EC6C3A" w:rsidRPr="00EC6C3A">
        <w:t xml:space="preserve"> </w:t>
      </w:r>
      <w:r w:rsidR="00EC6C3A" w:rsidRPr="00EC6C3A">
        <w:rPr>
          <w:rFonts w:cs="Times New Roman"/>
          <w:szCs w:val="24"/>
        </w:rPr>
        <w:t>Sidgwick 1883</w:t>
      </w:r>
      <w:r w:rsidR="00EC6C3A">
        <w:rPr>
          <w:rFonts w:cs="Times New Roman"/>
          <w:szCs w:val="24"/>
        </w:rPr>
        <w:t>].</w:t>
      </w:r>
      <w:r w:rsidRPr="00C43513">
        <w:rPr>
          <w:rFonts w:cs="Times New Roman"/>
          <w:szCs w:val="24"/>
        </w:rPr>
        <w:t xml:space="preserve"> Finally, </w:t>
      </w:r>
      <w:bookmarkStart w:id="15" w:name="_Hlk127007938"/>
      <w:r w:rsidRPr="00C43513">
        <w:rPr>
          <w:rFonts w:cs="Times New Roman"/>
          <w:szCs w:val="24"/>
        </w:rPr>
        <w:t xml:space="preserve">Mill </w:t>
      </w:r>
      <w:bookmarkEnd w:id="15"/>
      <w:r w:rsidRPr="00C43513">
        <w:rPr>
          <w:rFonts w:cs="Times New Roman"/>
          <w:szCs w:val="24"/>
        </w:rPr>
        <w:t xml:space="preserve">mused that since </w:t>
      </w:r>
      <w:r w:rsidR="00EC6C3A">
        <w:rPr>
          <w:rFonts w:cs="Times New Roman"/>
          <w:szCs w:val="24"/>
        </w:rPr>
        <w:t>“</w:t>
      </w:r>
      <w:r w:rsidRPr="00C43513">
        <w:rPr>
          <w:rFonts w:cs="Times New Roman"/>
          <w:szCs w:val="24"/>
        </w:rPr>
        <w:t>no passing ship should be made to pay at toll on the occasion of its use, no one would build lighthouses from motives of personal interest.”</w:t>
      </w:r>
      <w:r w:rsidR="00332571" w:rsidRPr="00332571">
        <w:t xml:space="preserve"> </w:t>
      </w:r>
      <w:r w:rsidR="00332571">
        <w:t>[</w:t>
      </w:r>
      <w:r w:rsidR="00332571" w:rsidRPr="00332571">
        <w:rPr>
          <w:rFonts w:cs="Times New Roman"/>
          <w:szCs w:val="24"/>
        </w:rPr>
        <w:t>Mill 1848</w:t>
      </w:r>
      <w:r w:rsidR="001E6657">
        <w:rPr>
          <w:rFonts w:cs="Times New Roman"/>
          <w:szCs w:val="24"/>
        </w:rPr>
        <w:t>; Pigou 1938; Samuelson 1954</w:t>
      </w:r>
      <w:r w:rsidR="00BE491F">
        <w:rPr>
          <w:rFonts w:cs="Times New Roman"/>
          <w:szCs w:val="24"/>
        </w:rPr>
        <w:t>]</w:t>
      </w:r>
    </w:p>
    <w:p w14:paraId="594663DD" w14:textId="57446E25" w:rsidR="00C43513" w:rsidRPr="00C43513" w:rsidRDefault="00C43513" w:rsidP="00C43513">
      <w:pPr>
        <w:spacing w:after="160"/>
        <w:ind w:left="0" w:firstLine="0"/>
        <w:jc w:val="left"/>
        <w:rPr>
          <w:rFonts w:cs="Times New Roman"/>
          <w:szCs w:val="24"/>
        </w:rPr>
      </w:pPr>
      <w:r w:rsidRPr="00C43513">
        <w:rPr>
          <w:rFonts w:cs="Times New Roman"/>
          <w:szCs w:val="24"/>
        </w:rPr>
        <w:t xml:space="preserve">In </w:t>
      </w:r>
      <w:r w:rsidRPr="00C43513">
        <w:rPr>
          <w:rFonts w:cs="Times New Roman"/>
          <w:i/>
          <w:iCs/>
          <w:szCs w:val="24"/>
        </w:rPr>
        <w:t>The Economics of Welfare</w:t>
      </w:r>
      <w:r w:rsidR="00892582">
        <w:rPr>
          <w:rFonts w:cs="Times New Roman"/>
          <w:szCs w:val="24"/>
        </w:rPr>
        <w:t xml:space="preserve"> (1938)</w:t>
      </w:r>
      <w:r w:rsidRPr="00C43513">
        <w:rPr>
          <w:rFonts w:cs="Times New Roman"/>
          <w:szCs w:val="24"/>
        </w:rPr>
        <w:t>, Pigou observed that such instances of uncompensated services</w:t>
      </w:r>
      <w:r w:rsidR="00F03BB7">
        <w:rPr>
          <w:rFonts w:cs="Times New Roman"/>
          <w:szCs w:val="24"/>
        </w:rPr>
        <w:t>,</w:t>
      </w:r>
      <w:r w:rsidRPr="00C43513">
        <w:rPr>
          <w:rFonts w:cs="Times New Roman"/>
          <w:szCs w:val="24"/>
        </w:rPr>
        <w:t xml:space="preserve"> </w:t>
      </w:r>
      <w:r w:rsidR="00BF59A6">
        <w:rPr>
          <w:rFonts w:cs="Times New Roman"/>
          <w:szCs w:val="24"/>
        </w:rPr>
        <w:t xml:space="preserve">which </w:t>
      </w:r>
      <w:r w:rsidRPr="00C43513">
        <w:rPr>
          <w:rFonts w:cs="Times New Roman"/>
          <w:szCs w:val="24"/>
        </w:rPr>
        <w:t>aris</w:t>
      </w:r>
      <w:r w:rsidR="00BF59A6">
        <w:rPr>
          <w:rFonts w:cs="Times New Roman"/>
          <w:szCs w:val="24"/>
        </w:rPr>
        <w:t>e</w:t>
      </w:r>
      <w:r w:rsidRPr="00C43513">
        <w:rPr>
          <w:rFonts w:cs="Times New Roman"/>
          <w:szCs w:val="24"/>
        </w:rPr>
        <w:t xml:space="preserve"> uniquely during the provision of a pure public good, occur strictly outside </w:t>
      </w:r>
      <w:r w:rsidR="00FE6C59">
        <w:rPr>
          <w:rFonts w:cs="Times New Roman"/>
          <w:szCs w:val="24"/>
        </w:rPr>
        <w:t>the</w:t>
      </w:r>
      <w:r w:rsidRPr="00C43513">
        <w:rPr>
          <w:rFonts w:cs="Times New Roman"/>
          <w:szCs w:val="24"/>
        </w:rPr>
        <w:t xml:space="preserve"> economy,</w:t>
      </w:r>
      <w:r w:rsidR="00596C95">
        <w:rPr>
          <w:rFonts w:cs="Times New Roman"/>
          <w:szCs w:val="24"/>
        </w:rPr>
        <w:t xml:space="preserve"> </w:t>
      </w:r>
      <w:r w:rsidR="00CE71B6">
        <w:rPr>
          <w:rFonts w:cs="Times New Roman"/>
          <w:szCs w:val="24"/>
        </w:rPr>
        <w:t xml:space="preserve">thus, </w:t>
      </w:r>
      <w:r w:rsidR="00625ED1">
        <w:rPr>
          <w:rFonts w:cs="Times New Roman"/>
          <w:szCs w:val="24"/>
        </w:rPr>
        <w:t>act</w:t>
      </w:r>
      <w:r w:rsidR="00CE71B6">
        <w:rPr>
          <w:rFonts w:cs="Times New Roman"/>
          <w:szCs w:val="24"/>
        </w:rPr>
        <w:t xml:space="preserve">ing </w:t>
      </w:r>
      <w:r w:rsidRPr="00C43513">
        <w:rPr>
          <w:rFonts w:cs="Times New Roman"/>
          <w:szCs w:val="24"/>
        </w:rPr>
        <w:t>as market “externalities”. Pigou’s rationale for using government intervention</w:t>
      </w:r>
      <w:r w:rsidR="00625ED1">
        <w:rPr>
          <w:rFonts w:cs="Times New Roman"/>
          <w:szCs w:val="24"/>
        </w:rPr>
        <w:t xml:space="preserve"> </w:t>
      </w:r>
      <w:r w:rsidR="00054358">
        <w:rPr>
          <w:rFonts w:cs="Times New Roman"/>
          <w:szCs w:val="24"/>
        </w:rPr>
        <w:t>follows</w:t>
      </w:r>
      <w:r w:rsidRPr="00C43513">
        <w:rPr>
          <w:rFonts w:cs="Times New Roman"/>
          <w:szCs w:val="24"/>
        </w:rPr>
        <w:t xml:space="preserve"> </w:t>
      </w:r>
      <w:r w:rsidR="00BA5B51">
        <w:rPr>
          <w:rFonts w:cs="Times New Roman"/>
          <w:szCs w:val="24"/>
        </w:rPr>
        <w:t xml:space="preserve">that of </w:t>
      </w:r>
      <w:r w:rsidRPr="00C43513">
        <w:rPr>
          <w:rFonts w:cs="Times New Roman"/>
          <w:szCs w:val="24"/>
        </w:rPr>
        <w:t xml:space="preserve">Hume, </w:t>
      </w:r>
      <w:r w:rsidR="00AB225C">
        <w:rPr>
          <w:rFonts w:cs="Times New Roman"/>
          <w:szCs w:val="24"/>
        </w:rPr>
        <w:t xml:space="preserve">who </w:t>
      </w:r>
      <w:r w:rsidR="00332571">
        <w:rPr>
          <w:rFonts w:cs="Times New Roman"/>
          <w:szCs w:val="24"/>
        </w:rPr>
        <w:t>argu</w:t>
      </w:r>
      <w:r w:rsidR="00AB225C">
        <w:rPr>
          <w:rFonts w:cs="Times New Roman"/>
          <w:szCs w:val="24"/>
        </w:rPr>
        <w:t>es</w:t>
      </w:r>
      <w:r w:rsidRPr="00C43513">
        <w:rPr>
          <w:rFonts w:cs="Times New Roman"/>
          <w:szCs w:val="24"/>
        </w:rPr>
        <w:t xml:space="preserve"> that producers (and consumers) of pure public goods </w:t>
      </w:r>
      <w:r w:rsidR="00BA5B51">
        <w:rPr>
          <w:rFonts w:cs="Times New Roman"/>
          <w:szCs w:val="24"/>
        </w:rPr>
        <w:t xml:space="preserve">will </w:t>
      </w:r>
      <w:r w:rsidRPr="00C43513">
        <w:rPr>
          <w:rFonts w:cs="Times New Roman"/>
          <w:szCs w:val="24"/>
        </w:rPr>
        <w:t xml:space="preserve">incorporate only their own costs and benefits, i.e., while ignoring any incidental costs or benefits that may be incurred upon others. </w:t>
      </w:r>
      <w:r w:rsidR="00BA5B51">
        <w:rPr>
          <w:rFonts w:cs="Times New Roman"/>
          <w:szCs w:val="24"/>
        </w:rPr>
        <w:t>Thus, g</w:t>
      </w:r>
      <w:r w:rsidRPr="00C43513">
        <w:rPr>
          <w:rFonts w:cs="Times New Roman"/>
          <w:szCs w:val="24"/>
        </w:rPr>
        <w:t xml:space="preserve">overnments are viewed </w:t>
      </w:r>
      <w:r w:rsidR="00AB225C">
        <w:rPr>
          <w:rFonts w:cs="Times New Roman"/>
          <w:szCs w:val="24"/>
        </w:rPr>
        <w:t xml:space="preserve">necessarily </w:t>
      </w:r>
      <w:r w:rsidRPr="00C43513">
        <w:rPr>
          <w:rFonts w:cs="Times New Roman"/>
          <w:szCs w:val="24"/>
        </w:rPr>
        <w:t>as “outside” agents who, by imposing taxes and/or subsidies, can “induce” these generators of externalities to moderate their behaviors, thus efficiently reaching general market equilibrium, i.e., while avoiding general market failure</w:t>
      </w:r>
      <w:r w:rsidR="00095E2B">
        <w:rPr>
          <w:rFonts w:cs="Times New Roman"/>
          <w:szCs w:val="24"/>
        </w:rPr>
        <w:t xml:space="preserve">. This encapsulates the </w:t>
      </w:r>
      <w:r w:rsidR="00E021F7">
        <w:rPr>
          <w:rFonts w:cs="Times New Roman"/>
          <w:szCs w:val="24"/>
        </w:rPr>
        <w:t xml:space="preserve">major </w:t>
      </w:r>
      <w:r w:rsidR="009F0B19">
        <w:rPr>
          <w:rFonts w:cs="Times New Roman"/>
          <w:szCs w:val="24"/>
        </w:rPr>
        <w:t xml:space="preserve">assertions </w:t>
      </w:r>
      <w:r w:rsidR="00095E2B">
        <w:rPr>
          <w:rFonts w:cs="Times New Roman"/>
          <w:szCs w:val="24"/>
        </w:rPr>
        <w:t>of orthodox Market Failure Theory</w:t>
      </w:r>
      <w:r w:rsidRPr="00C43513">
        <w:rPr>
          <w:rFonts w:cs="Times New Roman"/>
          <w:szCs w:val="24"/>
        </w:rPr>
        <w:t xml:space="preserve"> </w:t>
      </w:r>
      <w:r w:rsidR="00332571">
        <w:rPr>
          <w:rFonts w:cs="Times New Roman"/>
          <w:szCs w:val="24"/>
        </w:rPr>
        <w:t>[</w:t>
      </w:r>
      <w:r w:rsidRPr="00C43513">
        <w:rPr>
          <w:rFonts w:cs="Times New Roman"/>
          <w:szCs w:val="24"/>
        </w:rPr>
        <w:t>Bator 1958</w:t>
      </w:r>
      <w:r w:rsidR="00332571">
        <w:rPr>
          <w:rFonts w:cs="Times New Roman"/>
          <w:szCs w:val="24"/>
        </w:rPr>
        <w:t>; Meade 195</w:t>
      </w:r>
      <w:r w:rsidR="002D1AFF">
        <w:rPr>
          <w:rFonts w:cs="Times New Roman"/>
          <w:szCs w:val="24"/>
        </w:rPr>
        <w:t>8</w:t>
      </w:r>
      <w:r w:rsidR="000F0A28">
        <w:rPr>
          <w:rFonts w:cs="Times New Roman"/>
          <w:szCs w:val="24"/>
        </w:rPr>
        <w:t xml:space="preserve">; </w:t>
      </w:r>
      <w:r w:rsidR="00D35DE1">
        <w:rPr>
          <w:rFonts w:cs="Times New Roman"/>
          <w:szCs w:val="24"/>
        </w:rPr>
        <w:t xml:space="preserve">Samuelson 1964; </w:t>
      </w:r>
      <w:r w:rsidR="000F0A28">
        <w:rPr>
          <w:rFonts w:cs="Times New Roman"/>
          <w:szCs w:val="24"/>
        </w:rPr>
        <w:t>Cowen 1988</w:t>
      </w:r>
      <w:r w:rsidR="00E021F7">
        <w:rPr>
          <w:rFonts w:cs="Times New Roman"/>
          <w:szCs w:val="24"/>
        </w:rPr>
        <w:t>; et al</w:t>
      </w:r>
      <w:r w:rsidR="00332571">
        <w:rPr>
          <w:rFonts w:cs="Times New Roman"/>
          <w:szCs w:val="24"/>
        </w:rPr>
        <w:t>]</w:t>
      </w:r>
      <w:r w:rsidRPr="00C43513">
        <w:rPr>
          <w:rFonts w:cs="Times New Roman"/>
          <w:szCs w:val="24"/>
        </w:rPr>
        <w:t>.</w:t>
      </w:r>
    </w:p>
    <w:p w14:paraId="7C72054D" w14:textId="7A1DA02E" w:rsidR="00C43513" w:rsidRPr="00C43513" w:rsidRDefault="00C43513" w:rsidP="00C43513">
      <w:pPr>
        <w:spacing w:after="160"/>
        <w:ind w:left="0" w:firstLine="0"/>
        <w:jc w:val="left"/>
        <w:rPr>
          <w:rFonts w:cs="Times New Roman"/>
          <w:szCs w:val="24"/>
        </w:rPr>
      </w:pPr>
      <w:r w:rsidRPr="00C43513">
        <w:rPr>
          <w:rFonts w:cs="Times New Roman"/>
          <w:szCs w:val="24"/>
        </w:rPr>
        <w:t>In “</w:t>
      </w:r>
      <w:r w:rsidRPr="00C43513">
        <w:rPr>
          <w:rFonts w:cs="Times New Roman"/>
          <w:i/>
          <w:iCs/>
          <w:szCs w:val="24"/>
        </w:rPr>
        <w:t>The Theory of Externalities, Public Goods and Club Goods</w:t>
      </w:r>
      <w:r w:rsidRPr="00C43513">
        <w:rPr>
          <w:rFonts w:cs="Times New Roman"/>
          <w:szCs w:val="24"/>
        </w:rPr>
        <w:t xml:space="preserve">” (1996) Cornes and Sandler complete this </w:t>
      </w:r>
      <w:r w:rsidR="00781DBE">
        <w:rPr>
          <w:rFonts w:cs="Times New Roman"/>
          <w:szCs w:val="24"/>
        </w:rPr>
        <w:t>longstand</w:t>
      </w:r>
      <w:r w:rsidR="00036F2C">
        <w:rPr>
          <w:rFonts w:cs="Times New Roman"/>
          <w:szCs w:val="24"/>
        </w:rPr>
        <w:t>ing</w:t>
      </w:r>
      <w:r w:rsidR="0065339D">
        <w:rPr>
          <w:rFonts w:cs="Times New Roman"/>
          <w:szCs w:val="24"/>
        </w:rPr>
        <w:t xml:space="preserve"> </w:t>
      </w:r>
      <w:r w:rsidRPr="00C43513">
        <w:rPr>
          <w:rFonts w:cs="Times New Roman"/>
          <w:szCs w:val="24"/>
        </w:rPr>
        <w:t>theoretical discourse,</w:t>
      </w:r>
      <w:r w:rsidR="00BF4730">
        <w:rPr>
          <w:rFonts w:cs="Times New Roman"/>
          <w:szCs w:val="24"/>
        </w:rPr>
        <w:t xml:space="preserve"> </w:t>
      </w:r>
      <w:r w:rsidR="000C24C2">
        <w:rPr>
          <w:rFonts w:cs="Times New Roman"/>
          <w:szCs w:val="24"/>
        </w:rPr>
        <w:t>i.e.</w:t>
      </w:r>
      <w:r w:rsidR="00261588">
        <w:rPr>
          <w:rFonts w:cs="Times New Roman"/>
          <w:szCs w:val="24"/>
        </w:rPr>
        <w:t>,</w:t>
      </w:r>
      <w:r w:rsidR="000C24C2">
        <w:rPr>
          <w:rFonts w:cs="Times New Roman"/>
          <w:szCs w:val="24"/>
        </w:rPr>
        <w:t xml:space="preserve"> </w:t>
      </w:r>
      <w:r w:rsidR="00AA55EF">
        <w:rPr>
          <w:rFonts w:cs="Times New Roman"/>
          <w:szCs w:val="24"/>
        </w:rPr>
        <w:t xml:space="preserve">by </w:t>
      </w:r>
      <w:r w:rsidRPr="00C43513">
        <w:rPr>
          <w:rFonts w:cs="Times New Roman"/>
          <w:szCs w:val="24"/>
        </w:rPr>
        <w:t xml:space="preserve">examining how </w:t>
      </w:r>
      <w:r w:rsidR="00261588">
        <w:rPr>
          <w:rFonts w:cs="Times New Roman"/>
          <w:szCs w:val="24"/>
        </w:rPr>
        <w:t xml:space="preserve">reciprocal </w:t>
      </w:r>
      <w:r w:rsidR="005A4570">
        <w:rPr>
          <w:rFonts w:cs="Times New Roman"/>
          <w:szCs w:val="24"/>
        </w:rPr>
        <w:t xml:space="preserve">holdout/free rider </w:t>
      </w:r>
      <w:r w:rsidRPr="00C43513">
        <w:rPr>
          <w:rFonts w:cs="Times New Roman"/>
          <w:szCs w:val="24"/>
        </w:rPr>
        <w:t>externalities</w:t>
      </w:r>
      <w:r w:rsidR="00BE50B9">
        <w:rPr>
          <w:rFonts w:cs="Times New Roman"/>
          <w:szCs w:val="24"/>
        </w:rPr>
        <w:t>,</w:t>
      </w:r>
      <w:r w:rsidR="00E95321">
        <w:rPr>
          <w:rFonts w:cs="Times New Roman"/>
          <w:szCs w:val="24"/>
        </w:rPr>
        <w:t xml:space="preserve"> </w:t>
      </w:r>
      <w:r w:rsidR="00BC0396">
        <w:rPr>
          <w:rFonts w:cs="Times New Roman"/>
          <w:szCs w:val="24"/>
        </w:rPr>
        <w:t>a</w:t>
      </w:r>
      <w:r w:rsidR="005A4570">
        <w:rPr>
          <w:rFonts w:cs="Times New Roman"/>
          <w:szCs w:val="24"/>
        </w:rPr>
        <w:t>ct</w:t>
      </w:r>
      <w:r w:rsidR="00BE50B9">
        <w:rPr>
          <w:rFonts w:cs="Times New Roman"/>
          <w:szCs w:val="24"/>
        </w:rPr>
        <w:t>ing</w:t>
      </w:r>
      <w:r w:rsidR="00965137">
        <w:rPr>
          <w:rFonts w:cs="Times New Roman"/>
          <w:szCs w:val="24"/>
        </w:rPr>
        <w:t xml:space="preserve"> </w:t>
      </w:r>
      <w:r w:rsidRPr="00C43513">
        <w:rPr>
          <w:rFonts w:cs="Times New Roman"/>
          <w:szCs w:val="24"/>
        </w:rPr>
        <w:t>as “uncompensated interdependencies”</w:t>
      </w:r>
      <w:r w:rsidR="00BE50B9">
        <w:rPr>
          <w:rFonts w:cs="Times New Roman"/>
          <w:szCs w:val="24"/>
        </w:rPr>
        <w:t>,</w:t>
      </w:r>
      <w:r w:rsidR="00F617D5">
        <w:rPr>
          <w:rFonts w:cs="Times New Roman"/>
          <w:szCs w:val="24"/>
        </w:rPr>
        <w:t xml:space="preserve"> </w:t>
      </w:r>
      <w:r w:rsidRPr="00C43513">
        <w:rPr>
          <w:rFonts w:cs="Times New Roman"/>
          <w:szCs w:val="24"/>
        </w:rPr>
        <w:t>in</w:t>
      </w:r>
      <w:r w:rsidR="00FB6E56">
        <w:rPr>
          <w:rFonts w:cs="Times New Roman"/>
          <w:szCs w:val="24"/>
        </w:rPr>
        <w:t xml:space="preserve">hibit the </w:t>
      </w:r>
      <w:r w:rsidR="00655457">
        <w:rPr>
          <w:rFonts w:cs="Times New Roman"/>
          <w:szCs w:val="24"/>
        </w:rPr>
        <w:t>private market</w:t>
      </w:r>
      <w:r w:rsidR="005A4570">
        <w:rPr>
          <w:rFonts w:cs="Times New Roman"/>
          <w:szCs w:val="24"/>
        </w:rPr>
        <w:t xml:space="preserve"> </w:t>
      </w:r>
      <w:r w:rsidRPr="00C43513">
        <w:rPr>
          <w:rFonts w:cs="Times New Roman"/>
          <w:szCs w:val="24"/>
        </w:rPr>
        <w:t>provision of a pure public good</w:t>
      </w:r>
      <w:r w:rsidR="00AE1BFD">
        <w:rPr>
          <w:rFonts w:cs="Times New Roman"/>
          <w:szCs w:val="24"/>
        </w:rPr>
        <w:t xml:space="preserve">. </w:t>
      </w:r>
      <w:r w:rsidRPr="00C43513">
        <w:rPr>
          <w:rFonts w:cs="Times New Roman"/>
          <w:szCs w:val="24"/>
        </w:rPr>
        <w:t xml:space="preserve">To wit, </w:t>
      </w:r>
      <w:r w:rsidRPr="00C43513">
        <w:rPr>
          <w:rFonts w:cs="Times New Roman"/>
          <w:szCs w:val="24"/>
        </w:rPr>
        <w:lastRenderedPageBreak/>
        <w:t xml:space="preserve">by freely using the services of lighthouses without paying for them, passing ships act as “free riders”. Likewise, </w:t>
      </w:r>
      <w:r w:rsidR="0026288D">
        <w:rPr>
          <w:rFonts w:cs="Times New Roman"/>
          <w:szCs w:val="24"/>
        </w:rPr>
        <w:t xml:space="preserve">by </w:t>
      </w:r>
      <w:r w:rsidR="0026288D" w:rsidRPr="00C43513">
        <w:rPr>
          <w:rFonts w:cs="Times New Roman"/>
          <w:szCs w:val="24"/>
        </w:rPr>
        <w:t>intentionally withhold</w:t>
      </w:r>
      <w:r w:rsidR="0026288D">
        <w:rPr>
          <w:rFonts w:cs="Times New Roman"/>
          <w:szCs w:val="24"/>
        </w:rPr>
        <w:t>ing</w:t>
      </w:r>
      <w:r w:rsidR="00AB79D6">
        <w:rPr>
          <w:rFonts w:cs="Times New Roman"/>
          <w:szCs w:val="24"/>
        </w:rPr>
        <w:t xml:space="preserve"> their </w:t>
      </w:r>
      <w:r w:rsidR="0026288D" w:rsidRPr="00C43513">
        <w:rPr>
          <w:rFonts w:cs="Times New Roman"/>
          <w:szCs w:val="24"/>
        </w:rPr>
        <w:t xml:space="preserve">services to collect these fees, </w:t>
      </w:r>
      <w:r w:rsidRPr="00C43513">
        <w:rPr>
          <w:rFonts w:cs="Times New Roman"/>
          <w:szCs w:val="24"/>
        </w:rPr>
        <w:t>lighthouse owners</w:t>
      </w:r>
      <w:r w:rsidR="0026288D">
        <w:rPr>
          <w:rFonts w:cs="Times New Roman"/>
          <w:szCs w:val="24"/>
        </w:rPr>
        <w:t xml:space="preserve"> </w:t>
      </w:r>
      <w:r w:rsidRPr="00C43513">
        <w:rPr>
          <w:rFonts w:cs="Times New Roman"/>
          <w:szCs w:val="24"/>
        </w:rPr>
        <w:t xml:space="preserve">act </w:t>
      </w:r>
      <w:r w:rsidR="00436D3E">
        <w:rPr>
          <w:rFonts w:cs="Times New Roman"/>
          <w:szCs w:val="24"/>
        </w:rPr>
        <w:t xml:space="preserve">reciprocally </w:t>
      </w:r>
      <w:r w:rsidRPr="00C43513">
        <w:rPr>
          <w:rFonts w:cs="Times New Roman"/>
          <w:szCs w:val="24"/>
        </w:rPr>
        <w:t>as “holdouts</w:t>
      </w:r>
      <w:r w:rsidR="00032AAB" w:rsidRPr="00C43513">
        <w:rPr>
          <w:rFonts w:cs="Times New Roman"/>
          <w:szCs w:val="24"/>
        </w:rPr>
        <w:t>.”</w:t>
      </w:r>
      <w:r w:rsidR="00752E98">
        <w:rPr>
          <w:rFonts w:cs="Times New Roman"/>
          <w:szCs w:val="24"/>
        </w:rPr>
        <w:t xml:space="preserve"> </w:t>
      </w:r>
      <w:r w:rsidR="009F2990">
        <w:rPr>
          <w:rFonts w:cs="Times New Roman"/>
          <w:szCs w:val="24"/>
        </w:rPr>
        <w:t>Pigou</w:t>
      </w:r>
      <w:r w:rsidR="009B73E9">
        <w:rPr>
          <w:rFonts w:cs="Times New Roman"/>
          <w:szCs w:val="24"/>
        </w:rPr>
        <w:t xml:space="preserve"> traditionally assert</w:t>
      </w:r>
      <w:r w:rsidR="004C066A">
        <w:rPr>
          <w:rFonts w:cs="Times New Roman"/>
          <w:szCs w:val="24"/>
        </w:rPr>
        <w:t>s</w:t>
      </w:r>
      <w:r w:rsidR="009B73E9">
        <w:rPr>
          <w:rFonts w:cs="Times New Roman"/>
          <w:szCs w:val="24"/>
        </w:rPr>
        <w:t xml:space="preserve"> that</w:t>
      </w:r>
      <w:r w:rsidR="00354E16">
        <w:rPr>
          <w:rFonts w:cs="Times New Roman"/>
          <w:szCs w:val="24"/>
        </w:rPr>
        <w:t xml:space="preserve"> </w:t>
      </w:r>
      <w:r w:rsidR="00F32A52">
        <w:rPr>
          <w:rFonts w:cs="Times New Roman"/>
          <w:szCs w:val="24"/>
        </w:rPr>
        <w:t xml:space="preserve">the </w:t>
      </w:r>
      <w:r w:rsidR="00F32A52" w:rsidRPr="00C43513">
        <w:rPr>
          <w:rFonts w:cs="Times New Roman"/>
          <w:szCs w:val="24"/>
        </w:rPr>
        <w:t>government</w:t>
      </w:r>
      <w:r w:rsidR="00F32A52">
        <w:rPr>
          <w:rFonts w:cs="Times New Roman"/>
          <w:szCs w:val="24"/>
        </w:rPr>
        <w:t xml:space="preserve"> </w:t>
      </w:r>
      <w:r w:rsidR="00A70D20">
        <w:rPr>
          <w:rFonts w:cs="Times New Roman"/>
          <w:szCs w:val="24"/>
        </w:rPr>
        <w:t xml:space="preserve">must </w:t>
      </w:r>
      <w:r w:rsidR="000B1786" w:rsidRPr="00C43513">
        <w:rPr>
          <w:rFonts w:cs="Times New Roman"/>
          <w:szCs w:val="24"/>
        </w:rPr>
        <w:t>interven</w:t>
      </w:r>
      <w:r w:rsidR="00A70D20">
        <w:rPr>
          <w:rFonts w:cs="Times New Roman"/>
          <w:szCs w:val="24"/>
        </w:rPr>
        <w:t>e</w:t>
      </w:r>
      <w:r w:rsidR="000B1786">
        <w:rPr>
          <w:rFonts w:cs="Times New Roman"/>
          <w:szCs w:val="24"/>
        </w:rPr>
        <w:t xml:space="preserve"> directly </w:t>
      </w:r>
      <w:r w:rsidR="000B1786" w:rsidRPr="00C43513">
        <w:rPr>
          <w:rFonts w:cs="Times New Roman"/>
          <w:szCs w:val="24"/>
        </w:rPr>
        <w:t>as an (external) third-party mediator</w:t>
      </w:r>
      <w:r w:rsidR="00813DF2">
        <w:rPr>
          <w:rFonts w:cs="Times New Roman"/>
          <w:szCs w:val="24"/>
        </w:rPr>
        <w:t xml:space="preserve"> </w:t>
      </w:r>
      <w:r w:rsidR="00A20735">
        <w:rPr>
          <w:rFonts w:cs="Times New Roman"/>
          <w:szCs w:val="24"/>
        </w:rPr>
        <w:t>a</w:t>
      </w:r>
      <w:r w:rsidR="00A20735" w:rsidRPr="00C43513">
        <w:rPr>
          <w:rFonts w:cs="Times New Roman"/>
          <w:szCs w:val="24"/>
        </w:rPr>
        <w:t>ssign</w:t>
      </w:r>
      <w:r w:rsidR="00813DF2">
        <w:rPr>
          <w:rFonts w:cs="Times New Roman"/>
          <w:szCs w:val="24"/>
        </w:rPr>
        <w:t>ing</w:t>
      </w:r>
      <w:r w:rsidR="00A20735" w:rsidRPr="00C43513">
        <w:rPr>
          <w:rFonts w:cs="Times New Roman"/>
          <w:szCs w:val="24"/>
        </w:rPr>
        <w:t xml:space="preserve"> liability to the generator</w:t>
      </w:r>
      <w:r w:rsidR="00A20735">
        <w:rPr>
          <w:rFonts w:cs="Times New Roman"/>
          <w:szCs w:val="24"/>
        </w:rPr>
        <w:t>s</w:t>
      </w:r>
      <w:r w:rsidR="00A20735" w:rsidRPr="00C43513">
        <w:rPr>
          <w:rFonts w:cs="Times New Roman"/>
          <w:szCs w:val="24"/>
        </w:rPr>
        <w:t xml:space="preserve"> of the</w:t>
      </w:r>
      <w:r w:rsidR="00A20735">
        <w:rPr>
          <w:rFonts w:cs="Times New Roman"/>
          <w:szCs w:val="24"/>
        </w:rPr>
        <w:t>se reciprocal</w:t>
      </w:r>
      <w:r w:rsidR="00A20735" w:rsidRPr="00C43513">
        <w:rPr>
          <w:rFonts w:cs="Times New Roman"/>
          <w:szCs w:val="24"/>
        </w:rPr>
        <w:t xml:space="preserve"> externalit</w:t>
      </w:r>
      <w:r w:rsidR="00A20735">
        <w:rPr>
          <w:rFonts w:cs="Times New Roman"/>
          <w:szCs w:val="24"/>
        </w:rPr>
        <w:t>ies</w:t>
      </w:r>
      <w:r w:rsidR="00330F43">
        <w:rPr>
          <w:rFonts w:cs="Times New Roman"/>
          <w:szCs w:val="24"/>
        </w:rPr>
        <w:t xml:space="preserve">, i.e., </w:t>
      </w:r>
      <w:r w:rsidR="006E0103" w:rsidRPr="00C43513">
        <w:rPr>
          <w:rFonts w:cs="Times New Roman"/>
          <w:szCs w:val="24"/>
        </w:rPr>
        <w:t>determin</w:t>
      </w:r>
      <w:r w:rsidR="006E0103">
        <w:rPr>
          <w:rFonts w:cs="Times New Roman"/>
          <w:szCs w:val="24"/>
        </w:rPr>
        <w:t>ing</w:t>
      </w:r>
      <w:r w:rsidR="006E0103" w:rsidRPr="00C43513">
        <w:rPr>
          <w:rFonts w:cs="Times New Roman"/>
          <w:szCs w:val="24"/>
        </w:rPr>
        <w:t xml:space="preserve"> whether “A harms B” or “B harms A</w:t>
      </w:r>
      <w:r w:rsidR="00032AAB" w:rsidRPr="00C43513">
        <w:rPr>
          <w:rFonts w:cs="Times New Roman"/>
          <w:szCs w:val="24"/>
        </w:rPr>
        <w:t>.”</w:t>
      </w:r>
      <w:r w:rsidR="00A833AE">
        <w:rPr>
          <w:rFonts w:cs="Times New Roman"/>
          <w:szCs w:val="24"/>
        </w:rPr>
        <w:t xml:space="preserve"> </w:t>
      </w:r>
      <w:r w:rsidR="008E4D4B">
        <w:rPr>
          <w:rFonts w:cs="Times New Roman"/>
          <w:szCs w:val="24"/>
        </w:rPr>
        <w:t>By</w:t>
      </w:r>
      <w:r w:rsidR="00A36D20">
        <w:rPr>
          <w:rFonts w:cs="Times New Roman"/>
          <w:szCs w:val="24"/>
        </w:rPr>
        <w:t xml:space="preserve"> </w:t>
      </w:r>
      <w:r w:rsidR="00FD0672">
        <w:rPr>
          <w:rFonts w:cs="Times New Roman"/>
          <w:szCs w:val="24"/>
        </w:rPr>
        <w:t>imposing</w:t>
      </w:r>
      <w:r w:rsidR="00E26F9B" w:rsidRPr="00C43513">
        <w:rPr>
          <w:rFonts w:cs="Times New Roman"/>
          <w:szCs w:val="24"/>
        </w:rPr>
        <w:t xml:space="preserve"> </w:t>
      </w:r>
      <w:r w:rsidR="00E26F9B">
        <w:rPr>
          <w:rFonts w:cs="Times New Roman"/>
          <w:szCs w:val="24"/>
        </w:rPr>
        <w:t xml:space="preserve">Pigouvian </w:t>
      </w:r>
      <w:r w:rsidR="00E26F9B" w:rsidRPr="00C43513">
        <w:rPr>
          <w:rFonts w:cs="Times New Roman"/>
          <w:szCs w:val="24"/>
        </w:rPr>
        <w:t>tax</w:t>
      </w:r>
      <w:r w:rsidR="00105AE4">
        <w:rPr>
          <w:rFonts w:cs="Times New Roman"/>
          <w:szCs w:val="24"/>
        </w:rPr>
        <w:t>ation</w:t>
      </w:r>
      <w:r w:rsidR="00E26F9B" w:rsidRPr="00C43513">
        <w:rPr>
          <w:rFonts w:cs="Times New Roman"/>
          <w:szCs w:val="24"/>
        </w:rPr>
        <w:t xml:space="preserve"> </w:t>
      </w:r>
      <w:r w:rsidR="009A78DA">
        <w:rPr>
          <w:rFonts w:cs="Times New Roman"/>
          <w:szCs w:val="24"/>
        </w:rPr>
        <w:t xml:space="preserve">upon </w:t>
      </w:r>
      <w:r w:rsidR="001614E9">
        <w:rPr>
          <w:rFonts w:cs="Times New Roman"/>
          <w:szCs w:val="24"/>
        </w:rPr>
        <w:t>both</w:t>
      </w:r>
      <w:r w:rsidR="001614E9" w:rsidRPr="00C43513">
        <w:rPr>
          <w:rFonts w:cs="Times New Roman"/>
          <w:szCs w:val="24"/>
        </w:rPr>
        <w:t xml:space="preserve"> </w:t>
      </w:r>
      <w:r w:rsidR="00E26F9B" w:rsidRPr="00C43513">
        <w:rPr>
          <w:rFonts w:cs="Times New Roman"/>
          <w:szCs w:val="24"/>
        </w:rPr>
        <w:t>holdouts and free riders</w:t>
      </w:r>
      <w:r w:rsidR="009A78DA">
        <w:rPr>
          <w:rFonts w:cs="Times New Roman"/>
          <w:szCs w:val="24"/>
        </w:rPr>
        <w:t xml:space="preserve">, </w:t>
      </w:r>
      <w:r w:rsidR="00C82A25">
        <w:rPr>
          <w:rFonts w:cs="Times New Roman"/>
          <w:szCs w:val="24"/>
        </w:rPr>
        <w:t xml:space="preserve">the government </w:t>
      </w:r>
      <w:r w:rsidR="001005D0">
        <w:rPr>
          <w:rFonts w:cs="Times New Roman"/>
          <w:szCs w:val="24"/>
        </w:rPr>
        <w:t>“</w:t>
      </w:r>
      <w:r w:rsidR="001005D0" w:rsidRPr="00C43513">
        <w:rPr>
          <w:rFonts w:cs="Times New Roman"/>
          <w:szCs w:val="24"/>
        </w:rPr>
        <w:t>induce</w:t>
      </w:r>
      <w:r w:rsidR="00C82A25">
        <w:rPr>
          <w:rFonts w:cs="Times New Roman"/>
          <w:szCs w:val="24"/>
        </w:rPr>
        <w:t>s</w:t>
      </w:r>
      <w:r w:rsidR="001005D0">
        <w:rPr>
          <w:rFonts w:cs="Times New Roman"/>
          <w:szCs w:val="24"/>
        </w:rPr>
        <w:t>”</w:t>
      </w:r>
      <w:r w:rsidR="001005D0" w:rsidRPr="00C43513">
        <w:rPr>
          <w:rFonts w:cs="Times New Roman"/>
          <w:szCs w:val="24"/>
        </w:rPr>
        <w:t xml:space="preserve"> </w:t>
      </w:r>
      <w:r w:rsidR="00C82A25">
        <w:rPr>
          <w:rFonts w:cs="Times New Roman"/>
          <w:szCs w:val="24"/>
        </w:rPr>
        <w:t xml:space="preserve">them </w:t>
      </w:r>
      <w:r w:rsidR="00E26F9B" w:rsidRPr="00C43513">
        <w:rPr>
          <w:rFonts w:cs="Times New Roman"/>
          <w:szCs w:val="24"/>
        </w:rPr>
        <w:t xml:space="preserve">to moderate their </w:t>
      </w:r>
      <w:r w:rsidR="005865FE">
        <w:rPr>
          <w:rFonts w:cs="Times New Roman"/>
          <w:szCs w:val="24"/>
        </w:rPr>
        <w:t xml:space="preserve">bargaining </w:t>
      </w:r>
      <w:r w:rsidR="00E26F9B" w:rsidRPr="00C43513">
        <w:rPr>
          <w:rFonts w:cs="Times New Roman"/>
          <w:szCs w:val="24"/>
        </w:rPr>
        <w:t xml:space="preserve">behaviors, so as to achieve </w:t>
      </w:r>
      <w:r w:rsidR="00A7108F">
        <w:rPr>
          <w:rFonts w:cs="Times New Roman"/>
          <w:szCs w:val="24"/>
        </w:rPr>
        <w:t xml:space="preserve">market </w:t>
      </w:r>
      <w:r w:rsidR="00E26F9B" w:rsidRPr="00C43513">
        <w:rPr>
          <w:rFonts w:cs="Times New Roman"/>
          <w:szCs w:val="24"/>
        </w:rPr>
        <w:t>efficiency</w:t>
      </w:r>
      <w:r w:rsidR="006A34AA">
        <w:rPr>
          <w:rFonts w:cs="Times New Roman"/>
          <w:szCs w:val="24"/>
        </w:rPr>
        <w:t xml:space="preserve">. </w:t>
      </w:r>
      <w:r w:rsidR="00043373">
        <w:rPr>
          <w:rFonts w:cs="Times New Roman"/>
          <w:szCs w:val="24"/>
        </w:rPr>
        <w:t>Therefore, insof</w:t>
      </w:r>
      <w:r w:rsidR="00C82A25">
        <w:rPr>
          <w:rFonts w:cs="Times New Roman"/>
          <w:szCs w:val="24"/>
        </w:rPr>
        <w:t>ar as</w:t>
      </w:r>
      <w:r w:rsidR="00611BB5">
        <w:rPr>
          <w:rFonts w:cs="Times New Roman"/>
          <w:szCs w:val="24"/>
        </w:rPr>
        <w:t xml:space="preserve"> </w:t>
      </w:r>
      <w:r w:rsidR="00105AE4">
        <w:rPr>
          <w:rFonts w:cs="Times New Roman"/>
          <w:szCs w:val="24"/>
        </w:rPr>
        <w:t>eminent domain</w:t>
      </w:r>
      <w:r w:rsidRPr="00C43513">
        <w:rPr>
          <w:rFonts w:cs="Times New Roman"/>
          <w:szCs w:val="24"/>
        </w:rPr>
        <w:t xml:space="preserve"> </w:t>
      </w:r>
      <w:r w:rsidR="00BD7C33">
        <w:rPr>
          <w:rFonts w:cs="Times New Roman"/>
          <w:szCs w:val="24"/>
        </w:rPr>
        <w:t xml:space="preserve">is used to </w:t>
      </w:r>
      <w:r w:rsidRPr="00C43513">
        <w:rPr>
          <w:rFonts w:cs="Times New Roman"/>
          <w:szCs w:val="24"/>
        </w:rPr>
        <w:t>“induce” recalcitrant landowners to moderate their monopoly holdout prices</w:t>
      </w:r>
      <w:r w:rsidR="00C80E0C">
        <w:rPr>
          <w:rFonts w:cs="Times New Roman"/>
          <w:szCs w:val="24"/>
        </w:rPr>
        <w:t xml:space="preserve">, </w:t>
      </w:r>
      <w:r w:rsidR="00BD7C33">
        <w:rPr>
          <w:rFonts w:cs="Times New Roman"/>
          <w:szCs w:val="24"/>
        </w:rPr>
        <w:t xml:space="preserve">i.e., </w:t>
      </w:r>
      <w:r w:rsidR="00DF62C8">
        <w:rPr>
          <w:rFonts w:cs="Times New Roman"/>
          <w:szCs w:val="24"/>
        </w:rPr>
        <w:t>to “</w:t>
      </w:r>
      <w:r w:rsidR="009A7A15">
        <w:rPr>
          <w:rFonts w:cs="Times New Roman"/>
          <w:szCs w:val="24"/>
        </w:rPr>
        <w:t xml:space="preserve">correct or </w:t>
      </w:r>
      <w:r w:rsidRPr="00C43513">
        <w:rPr>
          <w:rFonts w:cs="Times New Roman"/>
          <w:szCs w:val="24"/>
        </w:rPr>
        <w:t>prevent</w:t>
      </w:r>
      <w:r w:rsidR="00DF62C8">
        <w:rPr>
          <w:rFonts w:cs="Times New Roman"/>
          <w:szCs w:val="24"/>
        </w:rPr>
        <w:t>”</w:t>
      </w:r>
      <w:r w:rsidRPr="00C43513">
        <w:rPr>
          <w:rFonts w:cs="Times New Roman"/>
          <w:szCs w:val="24"/>
        </w:rPr>
        <w:t xml:space="preserve"> a general market failure, </w:t>
      </w:r>
      <w:r w:rsidR="00D55AB7">
        <w:rPr>
          <w:rFonts w:cs="Times New Roman"/>
          <w:szCs w:val="24"/>
        </w:rPr>
        <w:t xml:space="preserve">it </w:t>
      </w:r>
      <w:r w:rsidR="007876FA">
        <w:rPr>
          <w:rFonts w:cs="Times New Roman"/>
          <w:szCs w:val="24"/>
        </w:rPr>
        <w:t>i</w:t>
      </w:r>
      <w:r w:rsidR="00471074">
        <w:rPr>
          <w:rFonts w:cs="Times New Roman"/>
          <w:szCs w:val="24"/>
        </w:rPr>
        <w:t>s</w:t>
      </w:r>
      <w:r w:rsidR="007876FA">
        <w:rPr>
          <w:rFonts w:cs="Times New Roman"/>
          <w:szCs w:val="24"/>
        </w:rPr>
        <w:t xml:space="preserve"> </w:t>
      </w:r>
      <w:r w:rsidR="00DF62C8">
        <w:rPr>
          <w:rFonts w:cs="Times New Roman"/>
          <w:szCs w:val="24"/>
        </w:rPr>
        <w:t xml:space="preserve">simply </w:t>
      </w:r>
      <w:r w:rsidR="00FA35B8">
        <w:rPr>
          <w:rFonts w:cs="Times New Roman"/>
          <w:szCs w:val="24"/>
        </w:rPr>
        <w:t xml:space="preserve">a </w:t>
      </w:r>
      <w:r w:rsidRPr="00C43513">
        <w:rPr>
          <w:rFonts w:cs="Times New Roman"/>
          <w:szCs w:val="24"/>
        </w:rPr>
        <w:t xml:space="preserve">longstanding </w:t>
      </w:r>
      <w:r w:rsidR="00FA35B8">
        <w:rPr>
          <w:rFonts w:cs="Times New Roman"/>
          <w:szCs w:val="24"/>
        </w:rPr>
        <w:t>relic</w:t>
      </w:r>
      <w:r w:rsidR="00FA35B8" w:rsidRPr="00C43513">
        <w:rPr>
          <w:rFonts w:cs="Times New Roman"/>
          <w:szCs w:val="24"/>
        </w:rPr>
        <w:t xml:space="preserve"> of </w:t>
      </w:r>
      <w:r w:rsidR="00C327E1">
        <w:rPr>
          <w:rFonts w:cs="Times New Roman"/>
          <w:szCs w:val="24"/>
        </w:rPr>
        <w:t xml:space="preserve">Pigouvian </w:t>
      </w:r>
      <w:r w:rsidRPr="00C43513">
        <w:rPr>
          <w:rFonts w:cs="Times New Roman"/>
          <w:szCs w:val="24"/>
        </w:rPr>
        <w:t>policy</w:t>
      </w:r>
      <w:r w:rsidR="00E658B9">
        <w:rPr>
          <w:rFonts w:cs="Times New Roman"/>
          <w:szCs w:val="24"/>
        </w:rPr>
        <w:t xml:space="preserve"> </w:t>
      </w:r>
      <w:r w:rsidR="006D6B0B" w:rsidRPr="00C43513">
        <w:rPr>
          <w:rFonts w:cs="Times New Roman"/>
          <w:szCs w:val="24"/>
        </w:rPr>
        <w:t>orthodoxy</w:t>
      </w:r>
      <w:r w:rsidRPr="00C43513">
        <w:rPr>
          <w:rFonts w:cs="Times New Roman"/>
          <w:szCs w:val="24"/>
        </w:rPr>
        <w:t>.</w:t>
      </w:r>
      <w:r w:rsidR="00FE1931">
        <w:rPr>
          <w:rFonts w:cs="Times New Roman"/>
          <w:szCs w:val="24"/>
        </w:rPr>
        <w:t xml:space="preserve"> [</w:t>
      </w:r>
      <w:r w:rsidR="000F0A28">
        <w:rPr>
          <w:rFonts w:cs="Times New Roman"/>
          <w:szCs w:val="24"/>
        </w:rPr>
        <w:t>Pigou</w:t>
      </w:r>
      <w:r w:rsidR="009351CC">
        <w:rPr>
          <w:rFonts w:cs="Times New Roman"/>
          <w:szCs w:val="24"/>
        </w:rPr>
        <w:t xml:space="preserve"> </w:t>
      </w:r>
      <w:r w:rsidR="006F2DB3">
        <w:rPr>
          <w:rFonts w:cs="Times New Roman"/>
          <w:szCs w:val="24"/>
        </w:rPr>
        <w:t xml:space="preserve">1938, Samuelson 1954; </w:t>
      </w:r>
      <w:r w:rsidR="00FE1931">
        <w:rPr>
          <w:rFonts w:cs="Times New Roman"/>
          <w:szCs w:val="24"/>
        </w:rPr>
        <w:t>Cornes and Sandler 1996</w:t>
      </w:r>
      <w:r w:rsidR="00A833AE">
        <w:rPr>
          <w:rFonts w:cs="Times New Roman"/>
          <w:szCs w:val="24"/>
        </w:rPr>
        <w:t>;</w:t>
      </w:r>
      <w:r w:rsidR="00FE1931">
        <w:rPr>
          <w:rFonts w:cs="Times New Roman"/>
          <w:szCs w:val="24"/>
        </w:rPr>
        <w:t>]</w:t>
      </w:r>
    </w:p>
    <w:p w14:paraId="3D424A04" w14:textId="5E970AB5" w:rsidR="00C43513" w:rsidRPr="00C43513" w:rsidRDefault="00C43513" w:rsidP="00C43513">
      <w:pPr>
        <w:spacing w:after="160"/>
        <w:ind w:left="0" w:firstLine="0"/>
        <w:jc w:val="left"/>
        <w:rPr>
          <w:rFonts w:cs="Times New Roman"/>
          <w:szCs w:val="24"/>
        </w:rPr>
      </w:pPr>
      <w:r w:rsidRPr="00C43513">
        <w:rPr>
          <w:rFonts w:cs="Times New Roman"/>
          <w:szCs w:val="24"/>
        </w:rPr>
        <w:t xml:space="preserve">In “The Problem of Social Cost” (1960) Ronald Coase </w:t>
      </w:r>
      <w:r w:rsidR="000C5AD9">
        <w:rPr>
          <w:rFonts w:cs="Times New Roman"/>
          <w:szCs w:val="24"/>
        </w:rPr>
        <w:t xml:space="preserve">successfully </w:t>
      </w:r>
      <w:r w:rsidRPr="00C43513">
        <w:rPr>
          <w:rFonts w:cs="Times New Roman"/>
          <w:szCs w:val="24"/>
        </w:rPr>
        <w:t>challenges</w:t>
      </w:r>
      <w:r w:rsidR="002762B0">
        <w:rPr>
          <w:rFonts w:cs="Times New Roman"/>
          <w:szCs w:val="24"/>
        </w:rPr>
        <w:t xml:space="preserve"> </w:t>
      </w:r>
      <w:r w:rsidR="00184591">
        <w:rPr>
          <w:rFonts w:cs="Times New Roman"/>
          <w:szCs w:val="24"/>
        </w:rPr>
        <w:t>traditional</w:t>
      </w:r>
      <w:r w:rsidRPr="00C43513">
        <w:rPr>
          <w:rFonts w:cs="Times New Roman"/>
          <w:szCs w:val="24"/>
        </w:rPr>
        <w:t xml:space="preserve"> </w:t>
      </w:r>
      <w:r w:rsidR="000C5AD9">
        <w:rPr>
          <w:rFonts w:cs="Times New Roman"/>
          <w:szCs w:val="24"/>
        </w:rPr>
        <w:t xml:space="preserve">Pigouvian </w:t>
      </w:r>
      <w:r w:rsidRPr="00C43513">
        <w:rPr>
          <w:rFonts w:cs="Times New Roman"/>
          <w:szCs w:val="24"/>
        </w:rPr>
        <w:t xml:space="preserve">policy </w:t>
      </w:r>
      <w:r w:rsidR="00BE5A9A">
        <w:rPr>
          <w:rFonts w:cs="Times New Roman"/>
          <w:szCs w:val="24"/>
        </w:rPr>
        <w:t>orthodoxy</w:t>
      </w:r>
      <w:r w:rsidRPr="00C43513">
        <w:rPr>
          <w:rFonts w:cs="Times New Roman"/>
          <w:szCs w:val="24"/>
        </w:rPr>
        <w:t xml:space="preserve">, arguing that </w:t>
      </w:r>
      <w:r w:rsidR="00760D5A">
        <w:rPr>
          <w:rFonts w:cs="Times New Roman"/>
          <w:szCs w:val="24"/>
        </w:rPr>
        <w:t>simply</w:t>
      </w:r>
      <w:r w:rsidRPr="00C43513">
        <w:rPr>
          <w:rFonts w:cs="Times New Roman"/>
          <w:szCs w:val="24"/>
        </w:rPr>
        <w:t xml:space="preserve"> because </w:t>
      </w:r>
      <w:r w:rsidR="0034402F">
        <w:rPr>
          <w:rFonts w:cs="Times New Roman"/>
          <w:szCs w:val="24"/>
        </w:rPr>
        <w:t>an</w:t>
      </w:r>
      <w:r w:rsidRPr="00C43513">
        <w:rPr>
          <w:rFonts w:cs="Times New Roman"/>
          <w:szCs w:val="24"/>
        </w:rPr>
        <w:t xml:space="preserve"> externality exists, it does not mean it is causing a market failure, nor does it warrant direct government intervention. </w:t>
      </w:r>
      <w:r w:rsidR="00E1662B">
        <w:rPr>
          <w:rFonts w:cs="Times New Roman"/>
          <w:szCs w:val="24"/>
        </w:rPr>
        <w:t>By</w:t>
      </w:r>
      <w:r w:rsidRPr="00C43513">
        <w:rPr>
          <w:rFonts w:cs="Times New Roman"/>
          <w:szCs w:val="24"/>
        </w:rPr>
        <w:t xml:space="preserve"> th</w:t>
      </w:r>
      <w:r w:rsidR="001506EB">
        <w:rPr>
          <w:rFonts w:cs="Times New Roman"/>
          <w:szCs w:val="24"/>
        </w:rPr>
        <w:t>is</w:t>
      </w:r>
      <w:r w:rsidRPr="00C43513">
        <w:rPr>
          <w:rFonts w:cs="Times New Roman"/>
          <w:szCs w:val="24"/>
        </w:rPr>
        <w:t xml:space="preserve"> logic, </w:t>
      </w:r>
      <w:r w:rsidR="00311946">
        <w:rPr>
          <w:rFonts w:cs="Times New Roman"/>
          <w:szCs w:val="24"/>
        </w:rPr>
        <w:t>Coase would</w:t>
      </w:r>
      <w:r w:rsidR="00D56DC8">
        <w:rPr>
          <w:rFonts w:cs="Times New Roman"/>
          <w:szCs w:val="24"/>
        </w:rPr>
        <w:t xml:space="preserve"> </w:t>
      </w:r>
      <w:r w:rsidR="00DE2B00">
        <w:rPr>
          <w:rFonts w:cs="Times New Roman"/>
          <w:szCs w:val="24"/>
        </w:rPr>
        <w:t xml:space="preserve">also </w:t>
      </w:r>
      <w:r w:rsidR="006E0503">
        <w:rPr>
          <w:rFonts w:cs="Times New Roman"/>
          <w:szCs w:val="24"/>
        </w:rPr>
        <w:t>argue that</w:t>
      </w:r>
      <w:r w:rsidR="00311946">
        <w:rPr>
          <w:rFonts w:cs="Times New Roman"/>
          <w:szCs w:val="24"/>
        </w:rPr>
        <w:t xml:space="preserve"> </w:t>
      </w:r>
      <w:r w:rsidRPr="00C43513">
        <w:rPr>
          <w:rFonts w:cs="Times New Roman"/>
          <w:szCs w:val="24"/>
        </w:rPr>
        <w:t xml:space="preserve">just because a </w:t>
      </w:r>
      <w:r w:rsidR="001B23F4">
        <w:rPr>
          <w:rFonts w:cs="Times New Roman"/>
          <w:szCs w:val="24"/>
        </w:rPr>
        <w:t xml:space="preserve">monopoly </w:t>
      </w:r>
      <w:r w:rsidRPr="00C43513">
        <w:rPr>
          <w:rFonts w:cs="Times New Roman"/>
          <w:szCs w:val="24"/>
        </w:rPr>
        <w:t xml:space="preserve">holdout arises during </w:t>
      </w:r>
      <w:r w:rsidR="008211BB">
        <w:rPr>
          <w:rFonts w:cs="Times New Roman"/>
          <w:szCs w:val="24"/>
        </w:rPr>
        <w:t xml:space="preserve">public </w:t>
      </w:r>
      <w:r w:rsidRPr="00C43513">
        <w:rPr>
          <w:rFonts w:cs="Times New Roman"/>
          <w:szCs w:val="24"/>
        </w:rPr>
        <w:t xml:space="preserve">land assembly negotiations, it does not mean the land assembly project </w:t>
      </w:r>
      <w:r w:rsidR="00C97541">
        <w:rPr>
          <w:rFonts w:cs="Times New Roman"/>
          <w:szCs w:val="24"/>
        </w:rPr>
        <w:t xml:space="preserve">must be </w:t>
      </w:r>
      <w:r w:rsidRPr="00C43513">
        <w:rPr>
          <w:rFonts w:cs="Times New Roman"/>
          <w:szCs w:val="24"/>
        </w:rPr>
        <w:t>forfeited, nor does it warrant the use of eminent domain.</w:t>
      </w:r>
      <w:r w:rsidR="00FE1931">
        <w:rPr>
          <w:rFonts w:cs="Times New Roman"/>
          <w:szCs w:val="24"/>
        </w:rPr>
        <w:t xml:space="preserve"> </w:t>
      </w:r>
      <w:r w:rsidR="00F3175F">
        <w:rPr>
          <w:rFonts w:cs="Times New Roman"/>
          <w:szCs w:val="24"/>
        </w:rPr>
        <w:t>T</w:t>
      </w:r>
      <w:r w:rsidR="000C7AB7">
        <w:rPr>
          <w:rFonts w:cs="Times New Roman"/>
          <w:szCs w:val="24"/>
        </w:rPr>
        <w:t xml:space="preserve">herefore, </w:t>
      </w:r>
      <w:r w:rsidRPr="00C43513">
        <w:rPr>
          <w:rFonts w:cs="Times New Roman"/>
          <w:szCs w:val="24"/>
        </w:rPr>
        <w:t>the purpose of this</w:t>
      </w:r>
      <w:r w:rsidR="00AD3324">
        <w:rPr>
          <w:rFonts w:cs="Times New Roman"/>
          <w:szCs w:val="24"/>
        </w:rPr>
        <w:t xml:space="preserve"> </w:t>
      </w:r>
      <w:r w:rsidR="00F9102C">
        <w:rPr>
          <w:rFonts w:cs="Times New Roman"/>
          <w:szCs w:val="24"/>
        </w:rPr>
        <w:t xml:space="preserve">research </w:t>
      </w:r>
      <w:r w:rsidR="006E0503">
        <w:rPr>
          <w:rFonts w:cs="Times New Roman"/>
          <w:szCs w:val="24"/>
        </w:rPr>
        <w:t>study</w:t>
      </w:r>
      <w:r w:rsidRPr="00C43513">
        <w:rPr>
          <w:rFonts w:cs="Times New Roman"/>
          <w:szCs w:val="24"/>
        </w:rPr>
        <w:t xml:space="preserve"> is</w:t>
      </w:r>
      <w:r w:rsidR="00625A6D">
        <w:rPr>
          <w:rFonts w:cs="Times New Roman"/>
          <w:szCs w:val="24"/>
        </w:rPr>
        <w:t xml:space="preserve"> </w:t>
      </w:r>
      <w:r w:rsidRPr="00C43513">
        <w:rPr>
          <w:rFonts w:cs="Times New Roman"/>
          <w:szCs w:val="24"/>
        </w:rPr>
        <w:t>explor</w:t>
      </w:r>
      <w:r w:rsidR="003F179E">
        <w:rPr>
          <w:rFonts w:cs="Times New Roman"/>
          <w:szCs w:val="24"/>
        </w:rPr>
        <w:t>ing</w:t>
      </w:r>
      <w:r w:rsidRPr="00C43513">
        <w:rPr>
          <w:rFonts w:cs="Times New Roman"/>
          <w:szCs w:val="24"/>
        </w:rPr>
        <w:t xml:space="preserve"> </w:t>
      </w:r>
      <w:r w:rsidR="005076FC">
        <w:rPr>
          <w:rFonts w:cs="Times New Roman"/>
          <w:szCs w:val="24"/>
        </w:rPr>
        <w:t xml:space="preserve">practical </w:t>
      </w:r>
      <w:r w:rsidRPr="00C43513">
        <w:rPr>
          <w:rFonts w:cs="Times New Roman"/>
          <w:szCs w:val="24"/>
        </w:rPr>
        <w:t>[Coasean</w:t>
      </w:r>
      <w:r w:rsidR="00FE1931">
        <w:rPr>
          <w:rFonts w:cs="Times New Roman"/>
          <w:szCs w:val="24"/>
        </w:rPr>
        <w:t>-</w:t>
      </w:r>
      <w:r w:rsidR="00E57E46">
        <w:rPr>
          <w:rFonts w:cs="Times New Roman"/>
          <w:szCs w:val="24"/>
        </w:rPr>
        <w:t>inspir</w:t>
      </w:r>
      <w:r w:rsidR="00FE1931">
        <w:rPr>
          <w:rFonts w:cs="Times New Roman"/>
          <w:szCs w:val="24"/>
        </w:rPr>
        <w:t>ed</w:t>
      </w:r>
      <w:r w:rsidRPr="00C43513">
        <w:rPr>
          <w:rFonts w:cs="Times New Roman"/>
          <w:szCs w:val="24"/>
        </w:rPr>
        <w:t>] alternative</w:t>
      </w:r>
      <w:r w:rsidR="005076FC">
        <w:rPr>
          <w:rFonts w:cs="Times New Roman"/>
          <w:szCs w:val="24"/>
        </w:rPr>
        <w:t>s</w:t>
      </w:r>
      <w:r w:rsidRPr="00C43513">
        <w:rPr>
          <w:rFonts w:cs="Times New Roman"/>
          <w:szCs w:val="24"/>
        </w:rPr>
        <w:t xml:space="preserve"> for resolving </w:t>
      </w:r>
      <w:r w:rsidR="00FE1931">
        <w:rPr>
          <w:rFonts w:cs="Times New Roman"/>
          <w:szCs w:val="24"/>
        </w:rPr>
        <w:t xml:space="preserve">monopoly </w:t>
      </w:r>
      <w:r w:rsidRPr="00C43513">
        <w:rPr>
          <w:rFonts w:cs="Times New Roman"/>
          <w:szCs w:val="24"/>
        </w:rPr>
        <w:t>holdouts</w:t>
      </w:r>
      <w:r w:rsidR="006E0503">
        <w:rPr>
          <w:rFonts w:cs="Times New Roman"/>
          <w:szCs w:val="24"/>
        </w:rPr>
        <w:t>,</w:t>
      </w:r>
      <w:r w:rsidR="004350E7">
        <w:rPr>
          <w:rFonts w:cs="Times New Roman"/>
          <w:szCs w:val="24"/>
        </w:rPr>
        <w:t xml:space="preserve"> i.e.,</w:t>
      </w:r>
      <w:r w:rsidR="006E0503">
        <w:rPr>
          <w:rFonts w:cs="Times New Roman"/>
          <w:szCs w:val="24"/>
        </w:rPr>
        <w:t xml:space="preserve"> </w:t>
      </w:r>
      <w:r w:rsidRPr="00C43513">
        <w:rPr>
          <w:rFonts w:cs="Times New Roman"/>
          <w:i/>
          <w:iCs/>
          <w:szCs w:val="24"/>
        </w:rPr>
        <w:t>without</w:t>
      </w:r>
      <w:r w:rsidRPr="00C43513">
        <w:rPr>
          <w:rFonts w:cs="Times New Roman"/>
          <w:szCs w:val="24"/>
        </w:rPr>
        <w:t xml:space="preserve"> requiring eminent domain.</w:t>
      </w:r>
      <w:r w:rsidR="00FE1931">
        <w:rPr>
          <w:rFonts w:cs="Times New Roman"/>
          <w:szCs w:val="24"/>
        </w:rPr>
        <w:t xml:space="preserve"> [Coase 1960</w:t>
      </w:r>
      <w:r w:rsidR="006F2DB3">
        <w:rPr>
          <w:rFonts w:cs="Times New Roman"/>
          <w:szCs w:val="24"/>
        </w:rPr>
        <w:t xml:space="preserve">; </w:t>
      </w:r>
      <w:r w:rsidR="009313A9">
        <w:rPr>
          <w:rFonts w:cs="Times New Roman"/>
          <w:szCs w:val="24"/>
        </w:rPr>
        <w:t>Coas</w:t>
      </w:r>
      <w:r w:rsidR="004350E7">
        <w:rPr>
          <w:rFonts w:cs="Times New Roman"/>
          <w:szCs w:val="24"/>
        </w:rPr>
        <w:t>e 197</w:t>
      </w:r>
      <w:r w:rsidR="007A21E3">
        <w:rPr>
          <w:rFonts w:cs="Times New Roman"/>
          <w:szCs w:val="24"/>
        </w:rPr>
        <w:t>4</w:t>
      </w:r>
      <w:r w:rsidR="00E545CD">
        <w:rPr>
          <w:rFonts w:cs="Times New Roman"/>
          <w:szCs w:val="24"/>
        </w:rPr>
        <w:t>; Cheung 19</w:t>
      </w:r>
      <w:r w:rsidR="007A21E3">
        <w:rPr>
          <w:rFonts w:cs="Times New Roman"/>
          <w:szCs w:val="24"/>
        </w:rPr>
        <w:t>73</w:t>
      </w:r>
      <w:r w:rsidR="004317E9">
        <w:rPr>
          <w:rFonts w:cs="Times New Roman"/>
          <w:szCs w:val="24"/>
        </w:rPr>
        <w:t>;</w:t>
      </w:r>
      <w:r w:rsidR="000C27E0" w:rsidRPr="000C27E0">
        <w:t xml:space="preserve"> </w:t>
      </w:r>
      <w:r w:rsidR="008B0233" w:rsidRPr="008B0233">
        <w:t>Bie</w:t>
      </w:r>
      <w:r w:rsidR="008B0233">
        <w:t>to,</w:t>
      </w:r>
      <w:r w:rsidR="008B0233" w:rsidRPr="008B0233">
        <w:t xml:space="preserve"> Gordon, </w:t>
      </w:r>
      <w:r w:rsidR="009D2DCB">
        <w:t xml:space="preserve">and </w:t>
      </w:r>
      <w:r w:rsidR="008B0233" w:rsidRPr="008B0233">
        <w:t>Tabarrok</w:t>
      </w:r>
      <w:r w:rsidR="001311D1">
        <w:t xml:space="preserve"> 2002;</w:t>
      </w:r>
      <w:r w:rsidR="008B0233" w:rsidRPr="008B0233">
        <w:t xml:space="preserve"> </w:t>
      </w:r>
      <w:r w:rsidR="000C27E0" w:rsidRPr="000C27E0">
        <w:rPr>
          <w:rFonts w:cs="Times New Roman"/>
          <w:szCs w:val="24"/>
        </w:rPr>
        <w:t>Klein</w:t>
      </w:r>
      <w:r w:rsidR="000C27E0">
        <w:rPr>
          <w:rFonts w:cs="Times New Roman"/>
          <w:szCs w:val="24"/>
        </w:rPr>
        <w:t xml:space="preserve"> and </w:t>
      </w:r>
      <w:r w:rsidR="000C27E0" w:rsidRPr="000C27E0">
        <w:rPr>
          <w:rFonts w:cs="Times New Roman"/>
          <w:szCs w:val="24"/>
        </w:rPr>
        <w:t>Majewski</w:t>
      </w:r>
      <w:r w:rsidR="000C27E0">
        <w:rPr>
          <w:rFonts w:cs="Times New Roman"/>
          <w:szCs w:val="24"/>
        </w:rPr>
        <w:t xml:space="preserve"> 1988; </w:t>
      </w:r>
      <w:r w:rsidR="000A1913" w:rsidRPr="000A1913">
        <w:rPr>
          <w:rFonts w:cs="Times New Roman"/>
          <w:szCs w:val="24"/>
        </w:rPr>
        <w:t>Liebowitz</w:t>
      </w:r>
      <w:r w:rsidR="000A1913">
        <w:rPr>
          <w:rFonts w:cs="Times New Roman"/>
          <w:szCs w:val="24"/>
        </w:rPr>
        <w:t xml:space="preserve"> </w:t>
      </w:r>
      <w:r w:rsidR="000A1913" w:rsidRPr="000A1913">
        <w:rPr>
          <w:rFonts w:cs="Times New Roman"/>
          <w:szCs w:val="24"/>
        </w:rPr>
        <w:t xml:space="preserve">and Margolis </w:t>
      </w:r>
      <w:r w:rsidR="000A1913">
        <w:rPr>
          <w:rFonts w:cs="Times New Roman"/>
          <w:szCs w:val="24"/>
        </w:rPr>
        <w:t>1994;</w:t>
      </w:r>
      <w:r w:rsidR="004317E9">
        <w:rPr>
          <w:rFonts w:cs="Times New Roman"/>
          <w:szCs w:val="24"/>
        </w:rPr>
        <w:t xml:space="preserve"> </w:t>
      </w:r>
      <w:r w:rsidR="00A874BA" w:rsidRPr="00A874BA">
        <w:rPr>
          <w:rFonts w:cs="Times New Roman"/>
          <w:szCs w:val="24"/>
        </w:rPr>
        <w:t>Foldvary</w:t>
      </w:r>
      <w:r w:rsidR="00A874BA">
        <w:rPr>
          <w:rFonts w:cs="Times New Roman"/>
          <w:szCs w:val="24"/>
        </w:rPr>
        <w:t xml:space="preserve"> 1994</w:t>
      </w:r>
      <w:r w:rsidR="00F9102C">
        <w:rPr>
          <w:rFonts w:cs="Times New Roman"/>
          <w:szCs w:val="24"/>
        </w:rPr>
        <w:t>; Tabarrok 2002</w:t>
      </w:r>
      <w:r w:rsidR="004350E7">
        <w:rPr>
          <w:rFonts w:cs="Times New Roman"/>
          <w:szCs w:val="24"/>
        </w:rPr>
        <w:t>]</w:t>
      </w:r>
    </w:p>
    <w:p w14:paraId="331E5CC9" w14:textId="77777777" w:rsidR="00C43513" w:rsidRPr="007537E1" w:rsidRDefault="00C43513" w:rsidP="00EE6A7A">
      <w:pPr>
        <w:pStyle w:val="Heading2"/>
      </w:pPr>
      <w:bookmarkStart w:id="16" w:name="_Toc126651365"/>
      <w:bookmarkStart w:id="17" w:name="_Toc134346728"/>
      <w:r w:rsidRPr="00DD3777">
        <w:lastRenderedPageBreak/>
        <w:t>Statement of the Problem</w:t>
      </w:r>
      <w:r w:rsidRPr="007537E1">
        <w:t>:</w:t>
      </w:r>
      <w:bookmarkEnd w:id="16"/>
      <w:bookmarkEnd w:id="17"/>
    </w:p>
    <w:p w14:paraId="280DB5B2" w14:textId="35F611EB" w:rsidR="00F9102C" w:rsidRDefault="00625A6D" w:rsidP="007B715A">
      <w:pPr>
        <w:ind w:left="14"/>
        <w:jc w:val="left"/>
      </w:pPr>
      <w:r>
        <w:t xml:space="preserve">Starting with </w:t>
      </w:r>
      <w:r w:rsidR="00C35714">
        <w:t>H</w:t>
      </w:r>
      <w:r w:rsidR="00C43513" w:rsidRPr="00C43513">
        <w:t>ume</w:t>
      </w:r>
      <w:r w:rsidR="007F58D9">
        <w:t xml:space="preserve">’s </w:t>
      </w:r>
      <w:r w:rsidR="00940E12">
        <w:t>assertion</w:t>
      </w:r>
      <w:r w:rsidR="001E7B5A">
        <w:t>, namely</w:t>
      </w:r>
      <w:r w:rsidR="00E52C77">
        <w:t xml:space="preserve"> </w:t>
      </w:r>
      <w:r w:rsidR="00C43513" w:rsidRPr="00C43513">
        <w:t>that</w:t>
      </w:r>
      <w:r w:rsidR="00B04308">
        <w:t xml:space="preserve"> </w:t>
      </w:r>
      <w:r w:rsidR="00B4212D">
        <w:t>eminent domain is</w:t>
      </w:r>
      <w:r w:rsidR="00E52C77">
        <w:t xml:space="preserve"> </w:t>
      </w:r>
      <w:r w:rsidR="00B4212D">
        <w:t>require</w:t>
      </w:r>
      <w:r w:rsidR="00C43F10">
        <w:t>d</w:t>
      </w:r>
      <w:r w:rsidR="00B4212D">
        <w:t xml:space="preserve"> to overcome </w:t>
      </w:r>
      <w:r w:rsidR="001A4F56">
        <w:t>monopoly holdout</w:t>
      </w:r>
      <w:r w:rsidR="006D1233">
        <w:t>s</w:t>
      </w:r>
      <w:r w:rsidR="00C43513" w:rsidRPr="00C43513">
        <w:t xml:space="preserve">, </w:t>
      </w:r>
      <w:r w:rsidR="001976BF">
        <w:t>was first</w:t>
      </w:r>
      <w:r w:rsidR="00E52C77">
        <w:t xml:space="preserve"> </w:t>
      </w:r>
      <w:r w:rsidR="00B27172">
        <w:t>f</w:t>
      </w:r>
      <w:r w:rsidR="00C43513" w:rsidRPr="00C43513">
        <w:t xml:space="preserve">ormalized </w:t>
      </w:r>
      <w:r w:rsidR="00B425DD">
        <w:t xml:space="preserve">as policy orthodoxy </w:t>
      </w:r>
      <w:r w:rsidR="00C43513" w:rsidRPr="00C43513">
        <w:t xml:space="preserve">in </w:t>
      </w:r>
      <w:r w:rsidR="00C43513" w:rsidRPr="00C43513">
        <w:rPr>
          <w:i/>
          <w:iCs/>
        </w:rPr>
        <w:t>Kohl v United States</w:t>
      </w:r>
      <w:r w:rsidR="00C43513" w:rsidRPr="00C43513">
        <w:t xml:space="preserve"> (1875), </w:t>
      </w:r>
      <w:r w:rsidR="001976BF">
        <w:t xml:space="preserve">which </w:t>
      </w:r>
      <w:r w:rsidR="00C43513" w:rsidRPr="00C43513">
        <w:t>argu</w:t>
      </w:r>
      <w:r w:rsidR="001976BF">
        <w:t>ed</w:t>
      </w:r>
      <w:r w:rsidR="00C43513" w:rsidRPr="00C43513">
        <w:t xml:space="preserve"> that “the ability of the government to seize property for its uses, such as creating infrastructure… cannot be preserved if the obstinacy of a private person…prevents the acquisition.”</w:t>
      </w:r>
      <w:r w:rsidR="00FE1931">
        <w:t xml:space="preserve"> </w:t>
      </w:r>
      <w:r w:rsidR="0021301D">
        <w:t>[</w:t>
      </w:r>
      <w:r w:rsidR="0021301D" w:rsidRPr="0021301D">
        <w:rPr>
          <w:i/>
          <w:iCs/>
        </w:rPr>
        <w:t>Kohl v United States</w:t>
      </w:r>
      <w:r w:rsidR="0021301D">
        <w:t xml:space="preserve"> 1875]</w:t>
      </w:r>
    </w:p>
    <w:p w14:paraId="0B1440D5" w14:textId="41719C50" w:rsidR="00C43513" w:rsidRPr="00C43513" w:rsidRDefault="00C43513" w:rsidP="00C43513">
      <w:pPr>
        <w:spacing w:after="160"/>
        <w:ind w:left="0" w:firstLine="0"/>
        <w:jc w:val="left"/>
        <w:rPr>
          <w:rFonts w:cs="Times New Roman"/>
          <w:szCs w:val="24"/>
        </w:rPr>
      </w:pPr>
      <w:r w:rsidRPr="00C43513">
        <w:rPr>
          <w:rFonts w:cs="Times New Roman"/>
          <w:szCs w:val="24"/>
        </w:rPr>
        <w:t xml:space="preserve">The landmark decision of </w:t>
      </w:r>
      <w:bookmarkStart w:id="18" w:name="_Hlk127010391"/>
      <w:r w:rsidRPr="00C43513">
        <w:rPr>
          <w:rFonts w:cs="Times New Roman"/>
          <w:i/>
          <w:iCs/>
          <w:szCs w:val="24"/>
        </w:rPr>
        <w:t>Berman v Parker</w:t>
      </w:r>
      <w:r w:rsidRPr="00C43513">
        <w:rPr>
          <w:rFonts w:cs="Times New Roman"/>
          <w:szCs w:val="24"/>
        </w:rPr>
        <w:t xml:space="preserve"> (1954) </w:t>
      </w:r>
      <w:bookmarkEnd w:id="18"/>
      <w:r w:rsidR="00790642" w:rsidRPr="005E1A20">
        <w:rPr>
          <w:rFonts w:cs="Times New Roman"/>
          <w:szCs w:val="24"/>
        </w:rPr>
        <w:t xml:space="preserve">set formal precedent by allowing </w:t>
      </w:r>
      <w:r w:rsidR="00113DCF">
        <w:rPr>
          <w:rFonts w:cs="Times New Roman"/>
          <w:szCs w:val="24"/>
        </w:rPr>
        <w:t xml:space="preserve">the use of </w:t>
      </w:r>
      <w:r w:rsidR="00790642" w:rsidRPr="005E1A20">
        <w:rPr>
          <w:rFonts w:cs="Times New Roman"/>
          <w:szCs w:val="24"/>
        </w:rPr>
        <w:t xml:space="preserve">eminent domain for taking strictly </w:t>
      </w:r>
      <w:r w:rsidR="0032508B">
        <w:rPr>
          <w:rFonts w:cs="Times New Roman"/>
          <w:szCs w:val="24"/>
        </w:rPr>
        <w:t xml:space="preserve">private, </w:t>
      </w:r>
      <w:r w:rsidR="00790642" w:rsidRPr="005E1A20">
        <w:rPr>
          <w:rFonts w:cs="Times New Roman"/>
          <w:szCs w:val="24"/>
        </w:rPr>
        <w:t>non-blighted property</w:t>
      </w:r>
      <w:r w:rsidRPr="00C43513">
        <w:rPr>
          <w:rFonts w:cs="Times New Roman"/>
          <w:szCs w:val="24"/>
        </w:rPr>
        <w:t xml:space="preserve">, </w:t>
      </w:r>
      <w:r w:rsidR="001F01F7">
        <w:rPr>
          <w:rFonts w:cs="Times New Roman"/>
          <w:szCs w:val="24"/>
        </w:rPr>
        <w:t xml:space="preserve">i.e., </w:t>
      </w:r>
      <w:r w:rsidRPr="00C43513">
        <w:rPr>
          <w:rFonts w:cs="Times New Roman"/>
          <w:szCs w:val="24"/>
        </w:rPr>
        <w:t xml:space="preserve">arguing that “if owner after owner were permitted to (hold out) …these integrated plans for urban redevelopment would suffer greatly." </w:t>
      </w:r>
      <w:r w:rsidR="0021301D">
        <w:rPr>
          <w:rFonts w:cs="Times New Roman"/>
          <w:szCs w:val="24"/>
        </w:rPr>
        <w:t>[</w:t>
      </w:r>
      <w:r w:rsidR="0021301D" w:rsidRPr="00C43513">
        <w:rPr>
          <w:rFonts w:cs="Times New Roman"/>
          <w:i/>
          <w:iCs/>
          <w:szCs w:val="24"/>
        </w:rPr>
        <w:t>Berman v Parker</w:t>
      </w:r>
      <w:r w:rsidR="0021301D" w:rsidRPr="00C43513">
        <w:rPr>
          <w:rFonts w:cs="Times New Roman"/>
          <w:szCs w:val="24"/>
        </w:rPr>
        <w:t xml:space="preserve"> 1954</w:t>
      </w:r>
      <w:r w:rsidR="0021301D">
        <w:rPr>
          <w:rFonts w:cs="Times New Roman"/>
          <w:szCs w:val="24"/>
        </w:rPr>
        <w:t xml:space="preserve">] </w:t>
      </w:r>
    </w:p>
    <w:p w14:paraId="2307D258" w14:textId="7351C807" w:rsidR="00C43513" w:rsidRPr="00C43513" w:rsidRDefault="006F3A11" w:rsidP="00C43513">
      <w:pPr>
        <w:spacing w:after="160"/>
        <w:ind w:left="0" w:firstLine="0"/>
        <w:jc w:val="left"/>
        <w:rPr>
          <w:rFonts w:cs="Times New Roman"/>
          <w:szCs w:val="24"/>
        </w:rPr>
      </w:pPr>
      <w:r>
        <w:rPr>
          <w:rFonts w:cs="Times New Roman"/>
          <w:szCs w:val="24"/>
        </w:rPr>
        <w:t xml:space="preserve">In </w:t>
      </w:r>
      <w:r w:rsidR="00C43513" w:rsidRPr="00C43513">
        <w:rPr>
          <w:rFonts w:cs="Times New Roman"/>
          <w:i/>
          <w:iCs/>
          <w:szCs w:val="24"/>
        </w:rPr>
        <w:t>Poletown Neighborhood Council v. City of Detroit</w:t>
      </w:r>
      <w:r w:rsidR="00C43513" w:rsidRPr="00C43513">
        <w:rPr>
          <w:rFonts w:cs="Times New Roman"/>
          <w:szCs w:val="24"/>
        </w:rPr>
        <w:t xml:space="preserve"> (1981)</w:t>
      </w:r>
      <w:r>
        <w:rPr>
          <w:rFonts w:cs="Times New Roman"/>
          <w:szCs w:val="24"/>
        </w:rPr>
        <w:t>,</w:t>
      </w:r>
      <w:r w:rsidR="00C43513" w:rsidRPr="00C43513">
        <w:rPr>
          <w:rFonts w:cs="Times New Roman"/>
          <w:szCs w:val="24"/>
        </w:rPr>
        <w:t xml:space="preserve"> the Court argued that the construction of railroads, highways, and other such ‘instrumentalities of commerce’ … would be a “logistical and practical nightmare”, i.e., given the incentive of property owners to hold out.</w:t>
      </w:r>
      <w:r w:rsidR="00032CDC" w:rsidRPr="00032CDC">
        <w:rPr>
          <w:rFonts w:cs="Times New Roman"/>
          <w:i/>
          <w:iCs/>
          <w:szCs w:val="24"/>
        </w:rPr>
        <w:t xml:space="preserve"> </w:t>
      </w:r>
      <w:r w:rsidR="00032CDC">
        <w:rPr>
          <w:rFonts w:cs="Times New Roman"/>
          <w:szCs w:val="24"/>
        </w:rPr>
        <w:t>[</w:t>
      </w:r>
      <w:r w:rsidR="00032CDC" w:rsidRPr="00C43513">
        <w:rPr>
          <w:rFonts w:cs="Times New Roman"/>
          <w:i/>
          <w:iCs/>
          <w:szCs w:val="24"/>
        </w:rPr>
        <w:t>Poletown Neighborhood Council v. City of Detroit</w:t>
      </w:r>
      <w:r w:rsidR="00032CDC" w:rsidRPr="00C43513">
        <w:rPr>
          <w:rFonts w:cs="Times New Roman"/>
          <w:szCs w:val="24"/>
        </w:rPr>
        <w:t xml:space="preserve"> 1981</w:t>
      </w:r>
      <w:r w:rsidR="006F2DB3">
        <w:rPr>
          <w:rFonts w:cs="Times New Roman"/>
          <w:szCs w:val="24"/>
        </w:rPr>
        <w:t xml:space="preserve">; </w:t>
      </w:r>
      <w:r w:rsidR="005D0416">
        <w:rPr>
          <w:rFonts w:cs="Times New Roman"/>
          <w:szCs w:val="24"/>
        </w:rPr>
        <w:t>[</w:t>
      </w:r>
      <w:r w:rsidR="008E7318">
        <w:rPr>
          <w:rFonts w:cs="Times New Roman"/>
          <w:szCs w:val="24"/>
        </w:rPr>
        <w:t>Wylie</w:t>
      </w:r>
      <w:r w:rsidR="00A10A21">
        <w:rPr>
          <w:rFonts w:cs="Times New Roman"/>
          <w:szCs w:val="24"/>
        </w:rPr>
        <w:t xml:space="preserve"> 1990; </w:t>
      </w:r>
      <w:r w:rsidR="00F671C4">
        <w:rPr>
          <w:rFonts w:cs="Times New Roman"/>
          <w:szCs w:val="24"/>
        </w:rPr>
        <w:t>Greenhut 2004</w:t>
      </w:r>
      <w:r w:rsidR="00032CDC">
        <w:rPr>
          <w:rFonts w:cs="Times New Roman"/>
          <w:szCs w:val="24"/>
        </w:rPr>
        <w:t>]</w:t>
      </w:r>
    </w:p>
    <w:p w14:paraId="29D68B17" w14:textId="38725B9E" w:rsidR="009F2C1E" w:rsidRDefault="00C43513" w:rsidP="009F2C1E">
      <w:pPr>
        <w:spacing w:after="160"/>
        <w:ind w:left="0" w:firstLine="0"/>
        <w:jc w:val="left"/>
        <w:rPr>
          <w:rFonts w:cs="Times New Roman"/>
          <w:szCs w:val="24"/>
        </w:rPr>
      </w:pPr>
      <w:bookmarkStart w:id="19" w:name="_Hlk127010586"/>
      <w:r w:rsidRPr="00C43513">
        <w:rPr>
          <w:rFonts w:cs="Times New Roman"/>
          <w:i/>
          <w:iCs/>
          <w:szCs w:val="24"/>
        </w:rPr>
        <w:t>Kelo v City of New London</w:t>
      </w:r>
      <w:r w:rsidRPr="00C43513">
        <w:rPr>
          <w:rFonts w:cs="Times New Roman"/>
          <w:szCs w:val="24"/>
        </w:rPr>
        <w:t xml:space="preserve"> (2005) </w:t>
      </w:r>
      <w:bookmarkEnd w:id="19"/>
      <w:r w:rsidRPr="00C43513">
        <w:rPr>
          <w:rFonts w:cs="Times New Roman"/>
          <w:szCs w:val="24"/>
        </w:rPr>
        <w:t xml:space="preserve">justified the use of eminent domain for overcoming 7 holdouts, including the that of Ms. Susette Kelo, i.e., “as a comprehensive and rational approach to identify and correct a market failure”. </w:t>
      </w:r>
      <w:r w:rsidR="00263B22">
        <w:rPr>
          <w:rFonts w:cs="Times New Roman"/>
          <w:szCs w:val="24"/>
        </w:rPr>
        <w:t>[</w:t>
      </w:r>
      <w:r w:rsidR="00263B22" w:rsidRPr="00CF35A2">
        <w:rPr>
          <w:rFonts w:cs="Times New Roman"/>
          <w:i/>
          <w:iCs/>
          <w:szCs w:val="24"/>
        </w:rPr>
        <w:t>Kelo v City of New London</w:t>
      </w:r>
      <w:r w:rsidR="00263B22">
        <w:rPr>
          <w:rFonts w:cs="Times New Roman"/>
          <w:szCs w:val="24"/>
        </w:rPr>
        <w:t xml:space="preserve"> 2005</w:t>
      </w:r>
      <w:r w:rsidR="00497E2F">
        <w:rPr>
          <w:rFonts w:cs="Times New Roman"/>
          <w:szCs w:val="24"/>
        </w:rPr>
        <w:t xml:space="preserve">; </w:t>
      </w:r>
      <w:r w:rsidR="00B03648">
        <w:rPr>
          <w:rFonts w:cs="Times New Roman"/>
          <w:szCs w:val="24"/>
        </w:rPr>
        <w:t>Posner 2005; Kelly 2006;</w:t>
      </w:r>
      <w:r w:rsidR="002C2B96">
        <w:rPr>
          <w:rFonts w:cs="Times New Roman"/>
          <w:szCs w:val="24"/>
        </w:rPr>
        <w:t xml:space="preserve"> Berliner </w:t>
      </w:r>
      <w:r w:rsidR="007A0FBB">
        <w:rPr>
          <w:rFonts w:cs="Times New Roman"/>
          <w:szCs w:val="24"/>
        </w:rPr>
        <w:t xml:space="preserve">2005; </w:t>
      </w:r>
      <w:r w:rsidR="00E84D96">
        <w:rPr>
          <w:rFonts w:cs="Times New Roman"/>
          <w:szCs w:val="24"/>
        </w:rPr>
        <w:t xml:space="preserve">Malamut </w:t>
      </w:r>
      <w:r w:rsidR="007A0FBB">
        <w:rPr>
          <w:rFonts w:cs="Times New Roman"/>
          <w:szCs w:val="24"/>
        </w:rPr>
        <w:t>2000</w:t>
      </w:r>
      <w:r w:rsidR="00CF35A2">
        <w:rPr>
          <w:rFonts w:cs="Times New Roman"/>
          <w:szCs w:val="24"/>
        </w:rPr>
        <w:t>]</w:t>
      </w:r>
    </w:p>
    <w:p w14:paraId="7693F6B0" w14:textId="29F05D39" w:rsidR="009F2C1E" w:rsidRPr="00C43513" w:rsidRDefault="009F2C1E" w:rsidP="009F2C1E">
      <w:pPr>
        <w:spacing w:after="160"/>
        <w:ind w:left="0" w:firstLine="0"/>
        <w:jc w:val="left"/>
        <w:rPr>
          <w:rFonts w:cs="Times New Roman"/>
          <w:szCs w:val="24"/>
        </w:rPr>
      </w:pPr>
      <w:r w:rsidRPr="00C43513">
        <w:rPr>
          <w:rFonts w:cs="Times New Roman"/>
          <w:szCs w:val="24"/>
        </w:rPr>
        <w:t>Recent studies</w:t>
      </w:r>
      <w:r>
        <w:rPr>
          <w:rFonts w:cs="Times New Roman"/>
          <w:szCs w:val="24"/>
        </w:rPr>
        <w:t xml:space="preserve"> (Hornaday, Hubbard, Trimble,</w:t>
      </w:r>
      <w:r w:rsidRPr="00C43513">
        <w:rPr>
          <w:rFonts w:cs="Times New Roman"/>
          <w:szCs w:val="24"/>
        </w:rPr>
        <w:t xml:space="preserve"> et al</w:t>
      </w:r>
      <w:r>
        <w:rPr>
          <w:rFonts w:cs="Times New Roman"/>
          <w:szCs w:val="24"/>
        </w:rPr>
        <w:t>)</w:t>
      </w:r>
      <w:r w:rsidRPr="00C43513">
        <w:rPr>
          <w:rFonts w:cs="Times New Roman"/>
          <w:szCs w:val="24"/>
        </w:rPr>
        <w:t xml:space="preserve"> have sought to ascertain whether any substantive legislative changes occurred in conventional eminent domain policy the State of Texas, i.e., in following the controversial </w:t>
      </w:r>
      <w:r w:rsidRPr="00C43513">
        <w:rPr>
          <w:rFonts w:cs="Times New Roman"/>
          <w:i/>
          <w:iCs/>
          <w:szCs w:val="24"/>
        </w:rPr>
        <w:t>Kelo</w:t>
      </w:r>
      <w:r w:rsidRPr="00C43513">
        <w:rPr>
          <w:rFonts w:cs="Times New Roman"/>
          <w:szCs w:val="24"/>
        </w:rPr>
        <w:t xml:space="preserve"> decision</w:t>
      </w:r>
      <w:r>
        <w:rPr>
          <w:rFonts w:cs="Times New Roman"/>
          <w:szCs w:val="24"/>
        </w:rPr>
        <w:t>.</w:t>
      </w:r>
      <w:r w:rsidRPr="00C43513">
        <w:rPr>
          <w:rFonts w:cs="Times New Roman"/>
          <w:szCs w:val="24"/>
        </w:rPr>
        <w:t xml:space="preserve">  </w:t>
      </w:r>
      <w:r>
        <w:rPr>
          <w:rFonts w:cs="Times New Roman"/>
          <w:szCs w:val="24"/>
        </w:rPr>
        <w:t xml:space="preserve">In </w:t>
      </w:r>
      <w:r w:rsidRPr="00C43513">
        <w:rPr>
          <w:rFonts w:cs="Times New Roman"/>
          <w:i/>
          <w:iCs/>
          <w:szCs w:val="24"/>
        </w:rPr>
        <w:t xml:space="preserve">Texas Government </w:t>
      </w:r>
      <w:r w:rsidRPr="00C43513">
        <w:rPr>
          <w:rFonts w:cs="Times New Roman"/>
          <w:i/>
          <w:iCs/>
          <w:szCs w:val="24"/>
        </w:rPr>
        <w:lastRenderedPageBreak/>
        <w:t>Code Chapter 2206.001</w:t>
      </w:r>
      <w:r w:rsidRPr="00C43513">
        <w:rPr>
          <w:rFonts w:cs="Times New Roman"/>
          <w:szCs w:val="24"/>
        </w:rPr>
        <w:t xml:space="preserve"> (2015) effectively re-affirmed</w:t>
      </w:r>
      <w:r>
        <w:rPr>
          <w:rFonts w:cs="Times New Roman"/>
          <w:szCs w:val="24"/>
        </w:rPr>
        <w:t xml:space="preserve"> </w:t>
      </w:r>
      <w:r>
        <w:rPr>
          <w:rFonts w:cs="Times New Roman"/>
          <w:i/>
          <w:iCs/>
          <w:szCs w:val="24"/>
        </w:rPr>
        <w:t xml:space="preserve">Kelo </w:t>
      </w:r>
      <w:r>
        <w:rPr>
          <w:rFonts w:cs="Times New Roman"/>
          <w:szCs w:val="24"/>
        </w:rPr>
        <w:t>as</w:t>
      </w:r>
      <w:r w:rsidRPr="00C43513">
        <w:rPr>
          <w:rFonts w:cs="Times New Roman"/>
          <w:szCs w:val="24"/>
        </w:rPr>
        <w:t xml:space="preserve"> policy orthodoxy, i.e., by declaring that high school/college/professional sports stadiums constituted a Public Use, and that Just Compensation</w:t>
      </w:r>
      <w:r w:rsidR="00C1518E">
        <w:rPr>
          <w:rFonts w:cs="Times New Roman"/>
          <w:szCs w:val="24"/>
        </w:rPr>
        <w:t>, allowing the Courts to</w:t>
      </w:r>
      <w:r w:rsidRPr="00C43513">
        <w:rPr>
          <w:rFonts w:cs="Times New Roman"/>
          <w:szCs w:val="24"/>
        </w:rPr>
        <w:t xml:space="preserve"> increase</w:t>
      </w:r>
      <w:r w:rsidR="00B754FC">
        <w:rPr>
          <w:rFonts w:cs="Times New Roman"/>
          <w:szCs w:val="24"/>
        </w:rPr>
        <w:t xml:space="preserve"> Just Compensation </w:t>
      </w:r>
      <w:r w:rsidRPr="00C43513">
        <w:rPr>
          <w:rFonts w:cs="Times New Roman"/>
          <w:szCs w:val="24"/>
        </w:rPr>
        <w:t xml:space="preserve">(up to 250%) </w:t>
      </w:r>
      <w:r w:rsidR="00B754FC">
        <w:rPr>
          <w:rFonts w:cs="Times New Roman"/>
          <w:szCs w:val="24"/>
        </w:rPr>
        <w:t xml:space="preserve">i.e., </w:t>
      </w:r>
      <w:r w:rsidRPr="00C43513">
        <w:rPr>
          <w:rFonts w:cs="Times New Roman"/>
          <w:szCs w:val="24"/>
        </w:rPr>
        <w:t>to prevent holdouts under the Takings Clause.</w:t>
      </w:r>
      <w:r w:rsidRPr="00D25727">
        <w:rPr>
          <w:rFonts w:cs="Times New Roman"/>
          <w:i/>
          <w:iCs/>
          <w:szCs w:val="24"/>
        </w:rPr>
        <w:t xml:space="preserve"> </w:t>
      </w:r>
      <w:r>
        <w:rPr>
          <w:rFonts w:cs="Times New Roman"/>
          <w:szCs w:val="24"/>
        </w:rPr>
        <w:t>[</w:t>
      </w:r>
      <w:r w:rsidRPr="00C43513">
        <w:rPr>
          <w:rFonts w:cs="Times New Roman"/>
          <w:i/>
          <w:iCs/>
          <w:szCs w:val="24"/>
        </w:rPr>
        <w:t>Texas Government Code Chapter 2206.001</w:t>
      </w:r>
      <w:r w:rsidRPr="00C43513">
        <w:rPr>
          <w:rFonts w:cs="Times New Roman"/>
          <w:szCs w:val="24"/>
        </w:rPr>
        <w:t xml:space="preserve"> (2015</w:t>
      </w:r>
      <w:r>
        <w:rPr>
          <w:rFonts w:cs="Times New Roman"/>
          <w:szCs w:val="24"/>
        </w:rPr>
        <w:t>)</w:t>
      </w:r>
      <w:r w:rsidR="00B754FC">
        <w:rPr>
          <w:rFonts w:cs="Times New Roman"/>
          <w:szCs w:val="24"/>
        </w:rPr>
        <w:t xml:space="preserve"> [</w:t>
      </w:r>
      <w:r w:rsidRPr="00E52C77">
        <w:rPr>
          <w:rFonts w:cs="Times New Roman"/>
          <w:szCs w:val="24"/>
        </w:rPr>
        <w:t>Hornaday 2007; Hubbard 2008; Trimble 2019</w:t>
      </w:r>
      <w:r>
        <w:rPr>
          <w:rFonts w:cs="Times New Roman"/>
          <w:szCs w:val="24"/>
        </w:rPr>
        <w:t>]</w:t>
      </w:r>
    </w:p>
    <w:p w14:paraId="43002215" w14:textId="73CB0D67" w:rsidR="00C43513" w:rsidRDefault="00B34C9A" w:rsidP="00C43513">
      <w:pPr>
        <w:spacing w:after="160"/>
        <w:ind w:left="0" w:firstLine="0"/>
        <w:jc w:val="left"/>
        <w:rPr>
          <w:rFonts w:cs="Times New Roman"/>
          <w:szCs w:val="24"/>
        </w:rPr>
      </w:pPr>
      <w:r>
        <w:rPr>
          <w:rFonts w:cs="Times New Roman"/>
          <w:szCs w:val="24"/>
        </w:rPr>
        <w:t>F</w:t>
      </w:r>
      <w:r w:rsidR="00F93421">
        <w:rPr>
          <w:rFonts w:cs="Times New Roman"/>
          <w:szCs w:val="24"/>
        </w:rPr>
        <w:t>ollowing</w:t>
      </w:r>
      <w:r w:rsidR="00C43513" w:rsidRPr="00C43513">
        <w:rPr>
          <w:rFonts w:cs="Times New Roman"/>
          <w:szCs w:val="24"/>
        </w:rPr>
        <w:t xml:space="preserve"> </w:t>
      </w:r>
      <w:r w:rsidR="008341CA">
        <w:rPr>
          <w:rFonts w:cs="Times New Roman"/>
          <w:szCs w:val="24"/>
        </w:rPr>
        <w:t xml:space="preserve">the controversial </w:t>
      </w:r>
      <w:r w:rsidR="00C43513" w:rsidRPr="00C43513">
        <w:rPr>
          <w:rFonts w:cs="Times New Roman"/>
          <w:i/>
          <w:iCs/>
          <w:szCs w:val="24"/>
        </w:rPr>
        <w:t>Kelo</w:t>
      </w:r>
      <w:r w:rsidR="008341CA">
        <w:rPr>
          <w:rFonts w:cs="Times New Roman"/>
          <w:i/>
          <w:iCs/>
          <w:szCs w:val="24"/>
        </w:rPr>
        <w:t xml:space="preserve"> </w:t>
      </w:r>
      <w:r w:rsidR="008341CA">
        <w:rPr>
          <w:rFonts w:cs="Times New Roman"/>
          <w:szCs w:val="24"/>
        </w:rPr>
        <w:t>decision</w:t>
      </w:r>
      <w:r w:rsidR="003B6F85">
        <w:rPr>
          <w:rFonts w:cs="Times New Roman"/>
          <w:szCs w:val="24"/>
        </w:rPr>
        <w:t xml:space="preserve"> in 2005</w:t>
      </w:r>
      <w:r w:rsidR="00C43513" w:rsidRPr="00C43513">
        <w:rPr>
          <w:rFonts w:cs="Times New Roman"/>
          <w:szCs w:val="24"/>
        </w:rPr>
        <w:t xml:space="preserve">, </w:t>
      </w:r>
      <w:r w:rsidR="00486098">
        <w:rPr>
          <w:rFonts w:cs="Times New Roman"/>
          <w:szCs w:val="24"/>
        </w:rPr>
        <w:t xml:space="preserve">Bassett and Jacobs </w:t>
      </w:r>
      <w:r w:rsidR="0030149C">
        <w:rPr>
          <w:rFonts w:cs="Times New Roman"/>
          <w:szCs w:val="24"/>
        </w:rPr>
        <w:t>found</w:t>
      </w:r>
      <w:r w:rsidR="00486098">
        <w:rPr>
          <w:rFonts w:cs="Times New Roman"/>
          <w:szCs w:val="24"/>
        </w:rPr>
        <w:t xml:space="preserve"> that </w:t>
      </w:r>
      <w:r w:rsidR="00A60550">
        <w:rPr>
          <w:rFonts w:cs="Times New Roman"/>
          <w:szCs w:val="24"/>
        </w:rPr>
        <w:t>while</w:t>
      </w:r>
      <w:r w:rsidR="00A60550" w:rsidRPr="00C43513">
        <w:rPr>
          <w:rFonts w:cs="Times New Roman"/>
          <w:szCs w:val="24"/>
        </w:rPr>
        <w:t xml:space="preserve"> </w:t>
      </w:r>
      <w:r w:rsidR="00C43513" w:rsidRPr="00C43513">
        <w:rPr>
          <w:rFonts w:cs="Times New Roman"/>
          <w:szCs w:val="24"/>
        </w:rPr>
        <w:t>43 state legislatures</w:t>
      </w:r>
      <w:r w:rsidR="002E33C0">
        <w:rPr>
          <w:rFonts w:cs="Times New Roman"/>
          <w:szCs w:val="24"/>
        </w:rPr>
        <w:t xml:space="preserve"> </w:t>
      </w:r>
      <w:r w:rsidR="00A60550">
        <w:rPr>
          <w:rFonts w:cs="Times New Roman"/>
          <w:szCs w:val="24"/>
        </w:rPr>
        <w:t xml:space="preserve">eventually </w:t>
      </w:r>
      <w:r w:rsidR="00C43513" w:rsidRPr="00C43513">
        <w:rPr>
          <w:rFonts w:cs="Times New Roman"/>
          <w:szCs w:val="24"/>
        </w:rPr>
        <w:t>enacted laws restricting eminent domain for strictly private use,</w:t>
      </w:r>
      <w:r w:rsidR="00075232">
        <w:rPr>
          <w:rFonts w:cs="Times New Roman"/>
          <w:szCs w:val="24"/>
        </w:rPr>
        <w:t xml:space="preserve"> </w:t>
      </w:r>
      <w:r w:rsidR="0030149C">
        <w:rPr>
          <w:rFonts w:cs="Times New Roman"/>
          <w:szCs w:val="24"/>
        </w:rPr>
        <w:t xml:space="preserve">nevertheless, </w:t>
      </w:r>
      <w:r w:rsidR="00C43513" w:rsidRPr="00C43513">
        <w:rPr>
          <w:rFonts w:cs="Times New Roman"/>
          <w:szCs w:val="24"/>
        </w:rPr>
        <w:t xml:space="preserve">most municipal governments </w:t>
      </w:r>
      <w:r w:rsidR="005059A1">
        <w:rPr>
          <w:rFonts w:cs="Times New Roman"/>
          <w:szCs w:val="24"/>
        </w:rPr>
        <w:t xml:space="preserve">chose to </w:t>
      </w:r>
      <w:r w:rsidR="00C43513" w:rsidRPr="00C43513">
        <w:rPr>
          <w:rFonts w:cs="Times New Roman"/>
          <w:szCs w:val="24"/>
        </w:rPr>
        <w:t>retain these powers</w:t>
      </w:r>
      <w:r w:rsidR="00855ADA" w:rsidRPr="00C43513">
        <w:rPr>
          <w:rFonts w:cs="Times New Roman"/>
          <w:szCs w:val="24"/>
        </w:rPr>
        <w:t xml:space="preserve">, </w:t>
      </w:r>
      <w:r w:rsidR="00855ADA">
        <w:rPr>
          <w:rFonts w:cs="Times New Roman"/>
          <w:szCs w:val="24"/>
        </w:rPr>
        <w:t xml:space="preserve">i.e., </w:t>
      </w:r>
      <w:r w:rsidR="00C43513" w:rsidRPr="00C43513">
        <w:rPr>
          <w:rFonts w:cs="Times New Roman"/>
          <w:szCs w:val="24"/>
        </w:rPr>
        <w:t>simply as an entrepreneurial device</w:t>
      </w:r>
      <w:r w:rsidR="005059A1">
        <w:rPr>
          <w:rFonts w:cs="Times New Roman"/>
          <w:szCs w:val="24"/>
        </w:rPr>
        <w:t xml:space="preserve"> for</w:t>
      </w:r>
      <w:r w:rsidR="00C43513" w:rsidRPr="00C43513">
        <w:rPr>
          <w:rFonts w:cs="Times New Roman"/>
          <w:szCs w:val="24"/>
        </w:rPr>
        <w:t xml:space="preserve"> attracting lucrative corporate redevelopment projects in the aging urban centers</w:t>
      </w:r>
      <w:r w:rsidR="00855ADA">
        <w:rPr>
          <w:rFonts w:cs="Times New Roman"/>
          <w:szCs w:val="24"/>
        </w:rPr>
        <w:t xml:space="preserve">, </w:t>
      </w:r>
      <w:r w:rsidR="00C43513" w:rsidRPr="00C43513">
        <w:rPr>
          <w:rFonts w:cs="Times New Roman"/>
          <w:szCs w:val="24"/>
        </w:rPr>
        <w:t>starting in the Reagan-era. [</w:t>
      </w:r>
      <w:r w:rsidR="001D6999" w:rsidRPr="00C43513">
        <w:rPr>
          <w:rFonts w:cs="Times New Roman"/>
          <w:szCs w:val="24"/>
        </w:rPr>
        <w:t xml:space="preserve">Bassett and </w:t>
      </w:r>
      <w:r w:rsidR="00C43513" w:rsidRPr="00C43513">
        <w:rPr>
          <w:rFonts w:cs="Times New Roman"/>
          <w:szCs w:val="24"/>
        </w:rPr>
        <w:t>Jacobs 2010</w:t>
      </w:r>
      <w:r w:rsidR="00CE3210">
        <w:rPr>
          <w:rFonts w:cs="Times New Roman"/>
          <w:szCs w:val="24"/>
        </w:rPr>
        <w:t>;</w:t>
      </w:r>
      <w:r w:rsidR="00C43513" w:rsidRPr="00C43513">
        <w:rPr>
          <w:rFonts w:cs="Times New Roman"/>
          <w:szCs w:val="24"/>
        </w:rPr>
        <w:t xml:space="preserve"> Banerjee</w:t>
      </w:r>
      <w:r w:rsidR="000F4ECF">
        <w:rPr>
          <w:rFonts w:cs="Times New Roman"/>
          <w:szCs w:val="24"/>
        </w:rPr>
        <w:t xml:space="preserve"> and</w:t>
      </w:r>
      <w:r w:rsidR="00C43513" w:rsidRPr="00C43513">
        <w:rPr>
          <w:rFonts w:cs="Times New Roman"/>
          <w:szCs w:val="24"/>
        </w:rPr>
        <w:t xml:space="preserve"> Loukaitou-Sideris 2014].</w:t>
      </w:r>
      <w:r>
        <w:rPr>
          <w:rFonts w:cs="Times New Roman"/>
          <w:szCs w:val="24"/>
        </w:rPr>
        <w:t xml:space="preserve"> </w:t>
      </w:r>
    </w:p>
    <w:p w14:paraId="09CB9BA8" w14:textId="0E2464DB" w:rsidR="00855ADA" w:rsidRDefault="00920A90" w:rsidP="00C43513">
      <w:pPr>
        <w:spacing w:after="160"/>
        <w:ind w:left="0" w:firstLine="0"/>
        <w:jc w:val="left"/>
        <w:rPr>
          <w:rFonts w:cs="Times New Roman"/>
          <w:szCs w:val="24"/>
        </w:rPr>
      </w:pPr>
      <w:r>
        <w:rPr>
          <w:rFonts w:cs="Times New Roman"/>
          <w:szCs w:val="24"/>
        </w:rPr>
        <w:t>As established by Mill, Sidgwick, Pigou, Samuelson, et al., t</w:t>
      </w:r>
      <w:r w:rsidR="00300152">
        <w:rPr>
          <w:rFonts w:cs="Times New Roman"/>
          <w:szCs w:val="24"/>
        </w:rPr>
        <w:t>he</w:t>
      </w:r>
      <w:r w:rsidR="00541651">
        <w:rPr>
          <w:rFonts w:cs="Times New Roman"/>
          <w:szCs w:val="24"/>
        </w:rPr>
        <w:t>se</w:t>
      </w:r>
      <w:r w:rsidR="00300152">
        <w:rPr>
          <w:rFonts w:cs="Times New Roman"/>
          <w:szCs w:val="24"/>
        </w:rPr>
        <w:t xml:space="preserve"> longstanding policy assertion</w:t>
      </w:r>
      <w:r w:rsidR="001158EF">
        <w:rPr>
          <w:rFonts w:cs="Times New Roman"/>
          <w:szCs w:val="24"/>
        </w:rPr>
        <w:t>s</w:t>
      </w:r>
      <w:r w:rsidR="00CA212A">
        <w:rPr>
          <w:rFonts w:cs="Times New Roman"/>
          <w:szCs w:val="24"/>
        </w:rPr>
        <w:t xml:space="preserve"> </w:t>
      </w:r>
      <w:r w:rsidR="00D12170">
        <w:rPr>
          <w:rFonts w:cs="Times New Roman"/>
          <w:szCs w:val="24"/>
        </w:rPr>
        <w:t>requiring the use of eminent domain to overcome monopoly holdouts</w:t>
      </w:r>
      <w:r w:rsidR="00CA212A">
        <w:rPr>
          <w:rFonts w:cs="Times New Roman"/>
          <w:szCs w:val="24"/>
        </w:rPr>
        <w:t>,</w:t>
      </w:r>
      <w:r w:rsidR="00D12170">
        <w:rPr>
          <w:rFonts w:cs="Times New Roman"/>
          <w:szCs w:val="24"/>
        </w:rPr>
        <w:t xml:space="preserve"> </w:t>
      </w:r>
      <w:r w:rsidR="00CA212A">
        <w:rPr>
          <w:rFonts w:cs="Times New Roman"/>
          <w:szCs w:val="24"/>
        </w:rPr>
        <w:t xml:space="preserve">i.e., </w:t>
      </w:r>
      <w:r w:rsidR="00DE6E7A">
        <w:rPr>
          <w:rFonts w:cs="Times New Roman"/>
          <w:szCs w:val="24"/>
        </w:rPr>
        <w:t xml:space="preserve">has been fully codified </w:t>
      </w:r>
      <w:r w:rsidR="00D327A6">
        <w:rPr>
          <w:rFonts w:cs="Times New Roman"/>
          <w:szCs w:val="24"/>
        </w:rPr>
        <w:t xml:space="preserve">into policy orthodoxy </w:t>
      </w:r>
      <w:r w:rsidR="00DE6E7A">
        <w:rPr>
          <w:rFonts w:cs="Times New Roman"/>
          <w:szCs w:val="24"/>
        </w:rPr>
        <w:t xml:space="preserve">by the </w:t>
      </w:r>
      <w:r w:rsidR="00D35CA4">
        <w:rPr>
          <w:rFonts w:cs="Times New Roman"/>
          <w:szCs w:val="24"/>
        </w:rPr>
        <w:t xml:space="preserve">Supreme </w:t>
      </w:r>
      <w:r w:rsidR="00DE6E7A">
        <w:rPr>
          <w:rFonts w:cs="Times New Roman"/>
          <w:szCs w:val="24"/>
        </w:rPr>
        <w:t>Court</w:t>
      </w:r>
      <w:r w:rsidR="007B715A">
        <w:rPr>
          <w:rFonts w:cs="Times New Roman"/>
          <w:szCs w:val="24"/>
        </w:rPr>
        <w:t>.</w:t>
      </w:r>
      <w:r w:rsidR="00DE6E7A">
        <w:rPr>
          <w:rFonts w:cs="Times New Roman"/>
          <w:szCs w:val="24"/>
        </w:rPr>
        <w:t xml:space="preserve"> </w:t>
      </w:r>
      <w:r w:rsidR="007F2ECD">
        <w:rPr>
          <w:rFonts w:cs="Times New Roman"/>
          <w:szCs w:val="24"/>
        </w:rPr>
        <w:t xml:space="preserve">Indeed, </w:t>
      </w:r>
      <w:r w:rsidR="00111089">
        <w:rPr>
          <w:rFonts w:cs="Times New Roman"/>
          <w:szCs w:val="24"/>
        </w:rPr>
        <w:t xml:space="preserve">since </w:t>
      </w:r>
      <w:r w:rsidR="00111089" w:rsidRPr="009641A8">
        <w:rPr>
          <w:rFonts w:cs="Times New Roman"/>
          <w:i/>
          <w:iCs/>
          <w:szCs w:val="24"/>
        </w:rPr>
        <w:t>Kohl v United States</w:t>
      </w:r>
      <w:r w:rsidR="00111089">
        <w:rPr>
          <w:rFonts w:cs="Times New Roman"/>
          <w:i/>
          <w:iCs/>
          <w:szCs w:val="24"/>
        </w:rPr>
        <w:t>,</w:t>
      </w:r>
      <w:r w:rsidR="00111089">
        <w:rPr>
          <w:rFonts w:cs="Times New Roman"/>
          <w:szCs w:val="24"/>
        </w:rPr>
        <w:t xml:space="preserve"> </w:t>
      </w:r>
      <w:r w:rsidR="00FD1A83">
        <w:rPr>
          <w:rFonts w:cs="Times New Roman"/>
          <w:szCs w:val="24"/>
        </w:rPr>
        <w:t>th</w:t>
      </w:r>
      <w:r w:rsidR="00DE2EE2">
        <w:rPr>
          <w:rFonts w:cs="Times New Roman"/>
          <w:szCs w:val="24"/>
        </w:rPr>
        <w:t>is</w:t>
      </w:r>
      <w:r w:rsidR="00FD1A83">
        <w:rPr>
          <w:rFonts w:cs="Times New Roman"/>
          <w:szCs w:val="24"/>
        </w:rPr>
        <w:t xml:space="preserve"> sequence of </w:t>
      </w:r>
      <w:r w:rsidR="00D327A6">
        <w:rPr>
          <w:rFonts w:cs="Times New Roman"/>
          <w:szCs w:val="24"/>
        </w:rPr>
        <w:t xml:space="preserve">landmark </w:t>
      </w:r>
      <w:r w:rsidR="00966A43">
        <w:rPr>
          <w:rFonts w:cs="Times New Roman"/>
          <w:szCs w:val="24"/>
        </w:rPr>
        <w:t xml:space="preserve">eminent domain cases in the Supreme Court </w:t>
      </w:r>
      <w:r w:rsidR="00FD1A83">
        <w:rPr>
          <w:rFonts w:cs="Times New Roman"/>
          <w:szCs w:val="24"/>
        </w:rPr>
        <w:t xml:space="preserve">fully chronicles </w:t>
      </w:r>
      <w:r w:rsidR="006026FF">
        <w:rPr>
          <w:rFonts w:cs="Times New Roman"/>
          <w:szCs w:val="24"/>
        </w:rPr>
        <w:t>the formally codification of</w:t>
      </w:r>
      <w:r w:rsidR="00111089">
        <w:rPr>
          <w:rFonts w:cs="Times New Roman"/>
          <w:szCs w:val="24"/>
        </w:rPr>
        <w:t xml:space="preserve"> these assertions</w:t>
      </w:r>
      <w:r w:rsidR="00854F5A">
        <w:rPr>
          <w:rFonts w:cs="Times New Roman"/>
          <w:szCs w:val="24"/>
        </w:rPr>
        <w:t>, i.e., as</w:t>
      </w:r>
      <w:r w:rsidR="00B86FE7">
        <w:rPr>
          <w:rFonts w:cs="Times New Roman"/>
          <w:szCs w:val="24"/>
        </w:rPr>
        <w:t xml:space="preserve"> </w:t>
      </w:r>
      <w:r w:rsidR="00F30E1C">
        <w:rPr>
          <w:rFonts w:cs="Times New Roman"/>
          <w:szCs w:val="24"/>
        </w:rPr>
        <w:t>standard US Eminent Domain policy</w:t>
      </w:r>
      <w:r w:rsidR="00DD7A49">
        <w:rPr>
          <w:rFonts w:cs="Times New Roman"/>
          <w:szCs w:val="24"/>
        </w:rPr>
        <w:t>.</w:t>
      </w:r>
      <w:r w:rsidR="00E944F5">
        <w:rPr>
          <w:rFonts w:cs="Times New Roman"/>
          <w:szCs w:val="24"/>
        </w:rPr>
        <w:t xml:space="preserve"> </w:t>
      </w:r>
      <w:r w:rsidR="00865700">
        <w:rPr>
          <w:rFonts w:cs="Times New Roman"/>
          <w:szCs w:val="24"/>
        </w:rPr>
        <w:t>[</w:t>
      </w:r>
      <w:r w:rsidR="007034BE" w:rsidRPr="007034BE">
        <w:rPr>
          <w:rFonts w:cs="Times New Roman"/>
          <w:szCs w:val="24"/>
        </w:rPr>
        <w:t>Callies, Freilich, and Roberts</w:t>
      </w:r>
      <w:r w:rsidR="00DC3C5C">
        <w:rPr>
          <w:rFonts w:cs="Times New Roman"/>
          <w:szCs w:val="24"/>
        </w:rPr>
        <w:t xml:space="preserve"> 1994; </w:t>
      </w:r>
      <w:r w:rsidR="00D70A12" w:rsidRPr="00D70A12">
        <w:rPr>
          <w:rFonts w:cs="Times New Roman"/>
          <w:szCs w:val="24"/>
        </w:rPr>
        <w:t>Cooter and Ulen</w:t>
      </w:r>
      <w:r w:rsidR="00D70A12">
        <w:rPr>
          <w:rFonts w:cs="Times New Roman"/>
          <w:szCs w:val="24"/>
        </w:rPr>
        <w:t xml:space="preserve"> 2004;</w:t>
      </w:r>
      <w:r w:rsidR="00934AD9">
        <w:rPr>
          <w:rFonts w:cs="Times New Roman"/>
          <w:szCs w:val="24"/>
        </w:rPr>
        <w:t xml:space="preserve"> </w:t>
      </w:r>
      <w:r w:rsidR="00934AD9" w:rsidRPr="00934AD9">
        <w:rPr>
          <w:rFonts w:cs="Times New Roman"/>
          <w:szCs w:val="24"/>
        </w:rPr>
        <w:t>Inman</w:t>
      </w:r>
      <w:r w:rsidR="00934AD9">
        <w:rPr>
          <w:rFonts w:cs="Times New Roman"/>
          <w:szCs w:val="24"/>
        </w:rPr>
        <w:t xml:space="preserve"> </w:t>
      </w:r>
      <w:r w:rsidR="00934AD9" w:rsidRPr="00934AD9">
        <w:rPr>
          <w:rFonts w:cs="Times New Roman"/>
          <w:szCs w:val="24"/>
        </w:rPr>
        <w:t>and Rubinfeld</w:t>
      </w:r>
      <w:r w:rsidR="00934AD9">
        <w:rPr>
          <w:rFonts w:cs="Times New Roman"/>
          <w:szCs w:val="24"/>
        </w:rPr>
        <w:t xml:space="preserve"> 1997</w:t>
      </w:r>
      <w:r w:rsidR="00C93E7E">
        <w:rPr>
          <w:rFonts w:cs="Times New Roman"/>
          <w:szCs w:val="24"/>
        </w:rPr>
        <w:t>; Williamson 19</w:t>
      </w:r>
      <w:r w:rsidR="00A9747B">
        <w:rPr>
          <w:rFonts w:cs="Times New Roman"/>
          <w:szCs w:val="24"/>
        </w:rPr>
        <w:t>75</w:t>
      </w:r>
      <w:r w:rsidR="00934AD9">
        <w:rPr>
          <w:rFonts w:cs="Times New Roman"/>
          <w:szCs w:val="24"/>
        </w:rPr>
        <w:t>]</w:t>
      </w:r>
    </w:p>
    <w:p w14:paraId="4ECB5D9B" w14:textId="6D48D05E" w:rsidR="00737859" w:rsidRDefault="00737859" w:rsidP="00C43513">
      <w:pPr>
        <w:spacing w:after="160"/>
        <w:ind w:left="0" w:firstLine="0"/>
        <w:jc w:val="left"/>
        <w:rPr>
          <w:rFonts w:cs="Times New Roman"/>
          <w:szCs w:val="24"/>
        </w:rPr>
      </w:pPr>
    </w:p>
    <w:p w14:paraId="0485C1FD" w14:textId="5E3D78AB" w:rsidR="00C43513" w:rsidRDefault="00C43513" w:rsidP="00EE6A7A">
      <w:pPr>
        <w:pStyle w:val="Heading2"/>
      </w:pPr>
      <w:bookmarkStart w:id="20" w:name="_Toc126651366"/>
      <w:bookmarkStart w:id="21" w:name="_Toc134346729"/>
      <w:r w:rsidRPr="00B27172">
        <w:t>Purpose of the Study</w:t>
      </w:r>
      <w:r w:rsidRPr="00C43513">
        <w:t>:</w:t>
      </w:r>
      <w:bookmarkEnd w:id="20"/>
      <w:bookmarkEnd w:id="21"/>
    </w:p>
    <w:p w14:paraId="5FA01719" w14:textId="50000AA5" w:rsidR="00794D6A" w:rsidRPr="00C43513" w:rsidRDefault="00FB0353" w:rsidP="008C78DB">
      <w:pPr>
        <w:ind w:left="0" w:firstLine="0"/>
        <w:jc w:val="left"/>
        <w:rPr>
          <w:rFonts w:cs="Times New Roman"/>
          <w:szCs w:val="24"/>
        </w:rPr>
      </w:pPr>
      <w:r w:rsidRPr="005E1A20">
        <w:rPr>
          <w:rFonts w:cs="Times New Roman"/>
          <w:szCs w:val="24"/>
        </w:rPr>
        <w:t>The purpose of this study is</w:t>
      </w:r>
      <w:r w:rsidR="002C417A">
        <w:rPr>
          <w:rFonts w:cs="Times New Roman"/>
          <w:szCs w:val="24"/>
        </w:rPr>
        <w:t xml:space="preserve"> </w:t>
      </w:r>
      <w:r w:rsidR="00D92C85">
        <w:rPr>
          <w:rFonts w:cs="Times New Roman"/>
          <w:szCs w:val="24"/>
        </w:rPr>
        <w:t xml:space="preserve">to </w:t>
      </w:r>
      <w:r w:rsidR="00656B3A">
        <w:t>explor</w:t>
      </w:r>
      <w:r w:rsidR="00D92C85">
        <w:t>e</w:t>
      </w:r>
      <w:r w:rsidR="0070635A">
        <w:t xml:space="preserve"> practical alternative</w:t>
      </w:r>
      <w:r w:rsidR="00D92C85">
        <w:t>s</w:t>
      </w:r>
      <w:r w:rsidR="00BC1FA0">
        <w:t xml:space="preserve"> </w:t>
      </w:r>
      <w:r w:rsidR="00C97AB7">
        <w:t>challenging</w:t>
      </w:r>
      <w:r w:rsidR="00F417B0">
        <w:t xml:space="preserve"> such</w:t>
      </w:r>
      <w:r w:rsidR="00DE40E4">
        <w:t xml:space="preserve"> </w:t>
      </w:r>
      <w:r w:rsidR="00B44332">
        <w:t>longstanding policy orthodoxy, namely</w:t>
      </w:r>
      <w:r w:rsidR="00656B3A">
        <w:t>,</w:t>
      </w:r>
      <w:r w:rsidR="00B44332">
        <w:t xml:space="preserve"> finding</w:t>
      </w:r>
      <w:r w:rsidR="00BA0578">
        <w:t xml:space="preserve"> that</w:t>
      </w:r>
      <w:r w:rsidR="00B44332">
        <w:t xml:space="preserve"> real-world </w:t>
      </w:r>
      <w:r w:rsidR="00BA0578">
        <w:t xml:space="preserve">practitioners </w:t>
      </w:r>
      <w:r w:rsidR="0052239F">
        <w:t xml:space="preserve">who have </w:t>
      </w:r>
      <w:r w:rsidR="00BA0578">
        <w:rPr>
          <w:rFonts w:cs="Times New Roman"/>
          <w:szCs w:val="24"/>
        </w:rPr>
        <w:lastRenderedPageBreak/>
        <w:t xml:space="preserve">successfully resolved </w:t>
      </w:r>
      <w:r w:rsidR="00B44332">
        <w:t xml:space="preserve">examples </w:t>
      </w:r>
      <w:r w:rsidR="0039328D" w:rsidRPr="005E1A20">
        <w:rPr>
          <w:rFonts w:cs="Times New Roman"/>
          <w:szCs w:val="24"/>
        </w:rPr>
        <w:t xml:space="preserve">monopoly holdouts </w:t>
      </w:r>
      <w:r w:rsidR="00BE6172" w:rsidRPr="00BF2A17">
        <w:rPr>
          <w:rFonts w:cs="Times New Roman"/>
          <w:i/>
          <w:iCs/>
          <w:szCs w:val="24"/>
        </w:rPr>
        <w:t xml:space="preserve">without </w:t>
      </w:r>
      <w:r w:rsidR="00BE6172">
        <w:rPr>
          <w:rFonts w:cs="Times New Roman"/>
          <w:szCs w:val="24"/>
        </w:rPr>
        <w:t xml:space="preserve">requiring </w:t>
      </w:r>
      <w:r w:rsidR="00553CA5" w:rsidRPr="005E1A20">
        <w:rPr>
          <w:rFonts w:cs="Times New Roman"/>
          <w:szCs w:val="24"/>
        </w:rPr>
        <w:t>eminent domain</w:t>
      </w:r>
      <w:r w:rsidR="008C78DB">
        <w:rPr>
          <w:rFonts w:cs="Times New Roman"/>
          <w:szCs w:val="24"/>
        </w:rPr>
        <w:t xml:space="preserve">. </w:t>
      </w:r>
      <w:r w:rsidR="0023268B">
        <w:rPr>
          <w:rFonts w:cs="Times New Roman"/>
          <w:szCs w:val="24"/>
        </w:rPr>
        <w:t>Following</w:t>
      </w:r>
      <w:r w:rsidR="00794D6A" w:rsidRPr="00C43513">
        <w:rPr>
          <w:rFonts w:cs="Times New Roman"/>
          <w:szCs w:val="24"/>
        </w:rPr>
        <w:t xml:space="preserve"> the so-called “heterodox” </w:t>
      </w:r>
      <w:r w:rsidR="00507C56">
        <w:rPr>
          <w:rFonts w:cs="Times New Roman"/>
          <w:szCs w:val="24"/>
        </w:rPr>
        <w:t xml:space="preserve">grounded theory </w:t>
      </w:r>
      <w:r w:rsidR="009F139F">
        <w:rPr>
          <w:rFonts w:cs="Times New Roman"/>
          <w:szCs w:val="24"/>
        </w:rPr>
        <w:t>research design methodologies</w:t>
      </w:r>
      <w:r w:rsidR="00AB2FDA">
        <w:rPr>
          <w:rFonts w:cs="Times New Roman"/>
          <w:szCs w:val="24"/>
        </w:rPr>
        <w:t xml:space="preserve"> </w:t>
      </w:r>
      <w:r w:rsidR="00BD3788" w:rsidRPr="00C43513">
        <w:rPr>
          <w:rFonts w:cs="Times New Roman"/>
          <w:szCs w:val="24"/>
        </w:rPr>
        <w:t>pioneered</w:t>
      </w:r>
      <w:r w:rsidR="00794D6A" w:rsidRPr="00C43513">
        <w:rPr>
          <w:rFonts w:cs="Times New Roman"/>
          <w:szCs w:val="24"/>
        </w:rPr>
        <w:t xml:space="preserve"> by Coase, Cheung, and Nash</w:t>
      </w:r>
      <w:r w:rsidR="00705AAF">
        <w:rPr>
          <w:rFonts w:cs="Times New Roman"/>
          <w:szCs w:val="24"/>
        </w:rPr>
        <w:t>,</w:t>
      </w:r>
      <w:r w:rsidR="00DF7EDA">
        <w:rPr>
          <w:rFonts w:cs="Times New Roman"/>
          <w:szCs w:val="24"/>
        </w:rPr>
        <w:t xml:space="preserve"> et al,</w:t>
      </w:r>
      <w:r w:rsidR="00AB2FDA">
        <w:rPr>
          <w:rFonts w:cs="Times New Roman"/>
          <w:szCs w:val="24"/>
        </w:rPr>
        <w:t xml:space="preserve"> </w:t>
      </w:r>
      <w:r w:rsidR="001872F2">
        <w:rPr>
          <w:rFonts w:cs="Times New Roman"/>
          <w:szCs w:val="24"/>
        </w:rPr>
        <w:t>this</w:t>
      </w:r>
      <w:r w:rsidR="001872F2" w:rsidRPr="00C43513">
        <w:rPr>
          <w:rFonts w:cs="Times New Roman"/>
          <w:szCs w:val="24"/>
        </w:rPr>
        <w:t xml:space="preserve"> </w:t>
      </w:r>
      <w:r w:rsidR="00034051" w:rsidRPr="00C43513">
        <w:rPr>
          <w:rFonts w:cs="Times New Roman"/>
          <w:szCs w:val="24"/>
        </w:rPr>
        <w:t xml:space="preserve">study </w:t>
      </w:r>
      <w:r w:rsidR="00DF7EDA">
        <w:rPr>
          <w:rFonts w:cs="Times New Roman"/>
          <w:szCs w:val="24"/>
        </w:rPr>
        <w:t xml:space="preserve">begins by </w:t>
      </w:r>
      <w:r w:rsidR="00794D6A" w:rsidRPr="00C43513">
        <w:rPr>
          <w:rFonts w:cs="Times New Roman"/>
          <w:szCs w:val="24"/>
        </w:rPr>
        <w:t>conduct</w:t>
      </w:r>
      <w:r w:rsidR="00DF7EDA">
        <w:rPr>
          <w:rFonts w:cs="Times New Roman"/>
          <w:szCs w:val="24"/>
        </w:rPr>
        <w:t>ing</w:t>
      </w:r>
      <w:r w:rsidR="00794D6A" w:rsidRPr="00C43513">
        <w:rPr>
          <w:rFonts w:cs="Times New Roman"/>
          <w:szCs w:val="24"/>
        </w:rPr>
        <w:t xml:space="preserve"> </w:t>
      </w:r>
      <w:r w:rsidR="004D1355">
        <w:rPr>
          <w:rFonts w:cs="Times New Roman"/>
          <w:szCs w:val="24"/>
        </w:rPr>
        <w:t xml:space="preserve">a </w:t>
      </w:r>
      <w:r w:rsidR="00794D6A" w:rsidRPr="00C43513">
        <w:rPr>
          <w:rFonts w:cs="Times New Roman"/>
          <w:szCs w:val="24"/>
        </w:rPr>
        <w:t>comprehensive case study analys</w:t>
      </w:r>
      <w:r w:rsidR="004D1355">
        <w:rPr>
          <w:rFonts w:cs="Times New Roman"/>
          <w:szCs w:val="24"/>
        </w:rPr>
        <w:t>i</w:t>
      </w:r>
      <w:r w:rsidR="00794D6A" w:rsidRPr="00C43513">
        <w:rPr>
          <w:rFonts w:cs="Times New Roman"/>
          <w:szCs w:val="24"/>
        </w:rPr>
        <w:t xml:space="preserve">s </w:t>
      </w:r>
      <w:r w:rsidR="004D1355">
        <w:rPr>
          <w:rFonts w:cs="Times New Roman"/>
          <w:szCs w:val="24"/>
        </w:rPr>
        <w:t xml:space="preserve">of historical land assembly projects, </w:t>
      </w:r>
      <w:r w:rsidR="00A25E02">
        <w:rPr>
          <w:rFonts w:cs="Times New Roman"/>
          <w:szCs w:val="24"/>
        </w:rPr>
        <w:t>i.e.,</w:t>
      </w:r>
      <w:r w:rsidR="00DE050A">
        <w:rPr>
          <w:rFonts w:cs="Times New Roman"/>
          <w:szCs w:val="24"/>
        </w:rPr>
        <w:t xml:space="preserve"> </w:t>
      </w:r>
      <w:r w:rsidR="00794D6A" w:rsidRPr="00C43513">
        <w:rPr>
          <w:rFonts w:cs="Times New Roman"/>
          <w:szCs w:val="24"/>
        </w:rPr>
        <w:t>examin</w:t>
      </w:r>
      <w:r w:rsidR="00447F80">
        <w:rPr>
          <w:rFonts w:cs="Times New Roman"/>
          <w:szCs w:val="24"/>
        </w:rPr>
        <w:t>ing</w:t>
      </w:r>
      <w:r w:rsidR="00794D6A" w:rsidRPr="00C43513">
        <w:rPr>
          <w:rFonts w:cs="Times New Roman"/>
          <w:szCs w:val="24"/>
        </w:rPr>
        <w:t xml:space="preserve"> the </w:t>
      </w:r>
      <w:r w:rsidR="00447F80" w:rsidRPr="00C43513">
        <w:rPr>
          <w:rFonts w:cs="Times New Roman"/>
          <w:szCs w:val="24"/>
        </w:rPr>
        <w:t xml:space="preserve">complete </w:t>
      </w:r>
      <w:r w:rsidR="00794D6A" w:rsidRPr="00C43513">
        <w:rPr>
          <w:rFonts w:cs="Times New Roman"/>
          <w:szCs w:val="24"/>
        </w:rPr>
        <w:t xml:space="preserve">organization, planning, and operation of the land assembly </w:t>
      </w:r>
      <w:r w:rsidR="00E56961">
        <w:rPr>
          <w:rFonts w:cs="Times New Roman"/>
          <w:szCs w:val="24"/>
        </w:rPr>
        <w:t xml:space="preserve">negotiation </w:t>
      </w:r>
      <w:r w:rsidR="00794D6A" w:rsidRPr="00C43513">
        <w:rPr>
          <w:rFonts w:cs="Times New Roman"/>
          <w:szCs w:val="24"/>
        </w:rPr>
        <w:t xml:space="preserve">process </w:t>
      </w:r>
      <w:r w:rsidR="00794D6A" w:rsidRPr="00C43513">
        <w:rPr>
          <w:rFonts w:cs="Times New Roman"/>
          <w:i/>
          <w:iCs/>
          <w:szCs w:val="24"/>
        </w:rPr>
        <w:t>in situ</w:t>
      </w:r>
      <w:r w:rsidR="00DE050A">
        <w:rPr>
          <w:rFonts w:cs="Times New Roman"/>
          <w:szCs w:val="24"/>
        </w:rPr>
        <w:t xml:space="preserve">. Second, it </w:t>
      </w:r>
      <w:r w:rsidR="001B53F3">
        <w:rPr>
          <w:rFonts w:cs="Times New Roman"/>
          <w:szCs w:val="24"/>
        </w:rPr>
        <w:t xml:space="preserve">conducts </w:t>
      </w:r>
      <w:r w:rsidR="00794D6A" w:rsidRPr="00C43513">
        <w:rPr>
          <w:rFonts w:cs="Times New Roman"/>
          <w:szCs w:val="24"/>
        </w:rPr>
        <w:t>formal IRB research interviews with real-world land assembly practitioners</w:t>
      </w:r>
      <w:r w:rsidR="00DE050A">
        <w:rPr>
          <w:rFonts w:cs="Times New Roman"/>
          <w:szCs w:val="24"/>
        </w:rPr>
        <w:t xml:space="preserve"> at public u</w:t>
      </w:r>
      <w:r w:rsidR="003A4DA4">
        <w:rPr>
          <w:rFonts w:cs="Times New Roman"/>
          <w:szCs w:val="24"/>
        </w:rPr>
        <w:t>n</w:t>
      </w:r>
      <w:r w:rsidR="00DE050A">
        <w:rPr>
          <w:rFonts w:cs="Times New Roman"/>
          <w:szCs w:val="24"/>
        </w:rPr>
        <w:t>iversities</w:t>
      </w:r>
      <w:r w:rsidR="00B12FC7">
        <w:rPr>
          <w:rFonts w:cs="Times New Roman"/>
          <w:szCs w:val="24"/>
        </w:rPr>
        <w:t xml:space="preserve"> </w:t>
      </w:r>
      <w:r w:rsidR="00B94764">
        <w:rPr>
          <w:rFonts w:cs="Times New Roman"/>
          <w:szCs w:val="24"/>
        </w:rPr>
        <w:t xml:space="preserve">from </w:t>
      </w:r>
      <w:r w:rsidR="00B12FC7">
        <w:rPr>
          <w:rFonts w:cs="Times New Roman"/>
          <w:szCs w:val="24"/>
        </w:rPr>
        <w:t>across the US</w:t>
      </w:r>
      <w:r w:rsidR="00794D6A" w:rsidRPr="00C43513">
        <w:rPr>
          <w:rFonts w:cs="Times New Roman"/>
          <w:szCs w:val="24"/>
        </w:rPr>
        <w:t>,</w:t>
      </w:r>
      <w:r w:rsidR="00C938D0">
        <w:rPr>
          <w:rFonts w:cs="Times New Roman"/>
          <w:szCs w:val="24"/>
        </w:rPr>
        <w:t xml:space="preserve"> </w:t>
      </w:r>
      <w:r w:rsidR="00794D6A" w:rsidRPr="00C43513">
        <w:rPr>
          <w:rFonts w:cs="Times New Roman"/>
          <w:szCs w:val="24"/>
        </w:rPr>
        <w:t xml:space="preserve">asking them to describe the innovative bargaining mechanisms they </w:t>
      </w:r>
      <w:r w:rsidR="00196E67">
        <w:rPr>
          <w:rFonts w:cs="Times New Roman"/>
          <w:szCs w:val="24"/>
        </w:rPr>
        <w:t xml:space="preserve">routinely </w:t>
      </w:r>
      <w:r w:rsidR="00794D6A" w:rsidRPr="00C43513">
        <w:rPr>
          <w:rFonts w:cs="Times New Roman"/>
          <w:szCs w:val="24"/>
        </w:rPr>
        <w:t>employed</w:t>
      </w:r>
      <w:r w:rsidR="00523AB0">
        <w:rPr>
          <w:rFonts w:cs="Times New Roman"/>
          <w:szCs w:val="24"/>
        </w:rPr>
        <w:t xml:space="preserve"> </w:t>
      </w:r>
      <w:r w:rsidR="00794D6A" w:rsidRPr="00C43513">
        <w:rPr>
          <w:rFonts w:cs="Times New Roman"/>
          <w:szCs w:val="24"/>
        </w:rPr>
        <w:t>during</w:t>
      </w:r>
      <w:r w:rsidR="00196E67">
        <w:rPr>
          <w:rFonts w:cs="Times New Roman"/>
          <w:szCs w:val="24"/>
        </w:rPr>
        <w:t xml:space="preserve"> </w:t>
      </w:r>
      <w:r w:rsidR="00A25E02">
        <w:rPr>
          <w:rFonts w:cs="Times New Roman"/>
          <w:szCs w:val="24"/>
        </w:rPr>
        <w:t>land assembly negotiations</w:t>
      </w:r>
      <w:r w:rsidR="009A6031" w:rsidRPr="009A6031">
        <w:rPr>
          <w:rFonts w:cs="Times New Roman"/>
          <w:szCs w:val="24"/>
        </w:rPr>
        <w:t xml:space="preserve"> </w:t>
      </w:r>
      <w:r w:rsidR="009A6031">
        <w:rPr>
          <w:rFonts w:cs="Times New Roman"/>
          <w:szCs w:val="24"/>
        </w:rPr>
        <w:t xml:space="preserve">in </w:t>
      </w:r>
      <w:r w:rsidR="00EE36C2">
        <w:rPr>
          <w:rFonts w:cs="Times New Roman"/>
          <w:szCs w:val="24"/>
        </w:rPr>
        <w:t xml:space="preserve">their </w:t>
      </w:r>
      <w:r w:rsidR="009A6031" w:rsidRPr="00C43513">
        <w:rPr>
          <w:rFonts w:cs="Times New Roman"/>
          <w:szCs w:val="24"/>
        </w:rPr>
        <w:t xml:space="preserve">ongoing </w:t>
      </w:r>
      <w:r w:rsidR="009A6031">
        <w:rPr>
          <w:rFonts w:cs="Times New Roman"/>
          <w:szCs w:val="24"/>
        </w:rPr>
        <w:t>campus expansion projects</w:t>
      </w:r>
      <w:r w:rsidR="00AB7379">
        <w:rPr>
          <w:rFonts w:cs="Times New Roman"/>
          <w:szCs w:val="24"/>
        </w:rPr>
        <w:t xml:space="preserve">, i.e., </w:t>
      </w:r>
      <w:r w:rsidR="00982CDB">
        <w:rPr>
          <w:rFonts w:cs="Times New Roman"/>
          <w:szCs w:val="24"/>
        </w:rPr>
        <w:t xml:space="preserve">enabling them </w:t>
      </w:r>
      <w:r w:rsidR="009A6031">
        <w:rPr>
          <w:rFonts w:cs="Times New Roman"/>
          <w:szCs w:val="24"/>
        </w:rPr>
        <w:t>to successfully</w:t>
      </w:r>
      <w:r w:rsidR="009A6031" w:rsidRPr="00C43513">
        <w:rPr>
          <w:rFonts w:cs="Times New Roman"/>
          <w:szCs w:val="24"/>
        </w:rPr>
        <w:t xml:space="preserve"> </w:t>
      </w:r>
      <w:r w:rsidR="00794D6A" w:rsidRPr="00C43513">
        <w:rPr>
          <w:rFonts w:cs="Times New Roman"/>
          <w:szCs w:val="24"/>
        </w:rPr>
        <w:t xml:space="preserve">resolve </w:t>
      </w:r>
      <w:r w:rsidR="00B12FC7">
        <w:rPr>
          <w:rFonts w:cs="Times New Roman"/>
          <w:szCs w:val="24"/>
        </w:rPr>
        <w:t xml:space="preserve">monopoly </w:t>
      </w:r>
      <w:r w:rsidR="00794D6A" w:rsidRPr="00C43513">
        <w:rPr>
          <w:rFonts w:cs="Times New Roman"/>
          <w:szCs w:val="24"/>
        </w:rPr>
        <w:t xml:space="preserve">holdouts </w:t>
      </w:r>
      <w:r w:rsidR="00794D6A" w:rsidRPr="00C43513">
        <w:rPr>
          <w:rFonts w:cs="Times New Roman"/>
          <w:i/>
          <w:iCs/>
          <w:szCs w:val="24"/>
        </w:rPr>
        <w:t>without</w:t>
      </w:r>
      <w:r w:rsidR="00794D6A" w:rsidRPr="00C43513">
        <w:rPr>
          <w:rFonts w:cs="Times New Roman"/>
          <w:szCs w:val="24"/>
        </w:rPr>
        <w:t xml:space="preserve"> requiring eminent domain.</w:t>
      </w:r>
    </w:p>
    <w:p w14:paraId="4570939F" w14:textId="1BA306F5" w:rsidR="000F6728" w:rsidRDefault="000F6728" w:rsidP="00C43513">
      <w:pPr>
        <w:spacing w:after="160"/>
        <w:ind w:left="0" w:firstLine="0"/>
        <w:jc w:val="left"/>
        <w:rPr>
          <w:rFonts w:cs="Times New Roman"/>
          <w:szCs w:val="24"/>
        </w:rPr>
      </w:pPr>
    </w:p>
    <w:p w14:paraId="4BF4F223" w14:textId="37447D53" w:rsidR="00C43513" w:rsidRPr="00C43513" w:rsidRDefault="00B62F67" w:rsidP="00C43513">
      <w:pPr>
        <w:spacing w:after="160"/>
        <w:ind w:left="0" w:firstLine="0"/>
        <w:jc w:val="left"/>
        <w:rPr>
          <w:rFonts w:cs="Times New Roman"/>
          <w:szCs w:val="24"/>
        </w:rPr>
      </w:pPr>
      <w:r>
        <w:rPr>
          <w:rFonts w:cs="Times New Roman"/>
          <w:szCs w:val="24"/>
        </w:rPr>
        <w:t>This study replicate</w:t>
      </w:r>
      <w:r w:rsidR="00982CDB">
        <w:rPr>
          <w:rFonts w:cs="Times New Roman"/>
          <w:szCs w:val="24"/>
        </w:rPr>
        <w:t>s</w:t>
      </w:r>
      <w:r>
        <w:rPr>
          <w:rFonts w:cs="Times New Roman"/>
          <w:szCs w:val="24"/>
        </w:rPr>
        <w:t xml:space="preserve"> </w:t>
      </w:r>
      <w:r w:rsidR="009301D2">
        <w:rPr>
          <w:rFonts w:cs="Times New Roman"/>
          <w:szCs w:val="24"/>
        </w:rPr>
        <w:t xml:space="preserve"> </w:t>
      </w:r>
      <w:r w:rsidR="00C97AB7">
        <w:rPr>
          <w:rFonts w:cs="Times New Roman"/>
          <w:szCs w:val="24"/>
        </w:rPr>
        <w:t xml:space="preserve">the </w:t>
      </w:r>
      <w:r w:rsidR="00FF2C8D">
        <w:rPr>
          <w:rFonts w:cs="Times New Roman"/>
          <w:szCs w:val="24"/>
        </w:rPr>
        <w:t xml:space="preserve">grounded theory </w:t>
      </w:r>
      <w:r w:rsidR="006404C7">
        <w:rPr>
          <w:rFonts w:cs="Times New Roman"/>
          <w:szCs w:val="24"/>
        </w:rPr>
        <w:t xml:space="preserve">research methodology pioneered </w:t>
      </w:r>
      <w:r w:rsidR="00F417B0">
        <w:rPr>
          <w:rFonts w:cs="Times New Roman"/>
          <w:szCs w:val="24"/>
        </w:rPr>
        <w:t xml:space="preserve">by Coase </w:t>
      </w:r>
      <w:r w:rsidR="006404C7">
        <w:rPr>
          <w:rFonts w:cs="Times New Roman"/>
          <w:szCs w:val="24"/>
        </w:rPr>
        <w:t xml:space="preserve">in </w:t>
      </w:r>
      <w:r w:rsidR="00A046A0">
        <w:rPr>
          <w:rFonts w:cs="Times New Roman"/>
          <w:szCs w:val="24"/>
        </w:rPr>
        <w:t>his</w:t>
      </w:r>
      <w:r w:rsidR="006404C7">
        <w:rPr>
          <w:rFonts w:cs="Times New Roman"/>
          <w:szCs w:val="24"/>
        </w:rPr>
        <w:t xml:space="preserve"> </w:t>
      </w:r>
      <w:r w:rsidR="001B53F3">
        <w:rPr>
          <w:rFonts w:cs="Times New Roman"/>
          <w:szCs w:val="24"/>
        </w:rPr>
        <w:t>landmark</w:t>
      </w:r>
      <w:r w:rsidR="001B53F3" w:rsidRPr="00C43513">
        <w:rPr>
          <w:rFonts w:cs="Times New Roman"/>
          <w:szCs w:val="24"/>
        </w:rPr>
        <w:t xml:space="preserve"> study</w:t>
      </w:r>
      <w:r w:rsidR="001B53F3">
        <w:rPr>
          <w:rFonts w:cs="Times New Roman"/>
          <w:szCs w:val="24"/>
        </w:rPr>
        <w:t xml:space="preserve"> </w:t>
      </w:r>
      <w:r w:rsidR="000F7CEA" w:rsidRPr="00C43513">
        <w:rPr>
          <w:rFonts w:cs="Times New Roman"/>
          <w:szCs w:val="24"/>
        </w:rPr>
        <w:t>“</w:t>
      </w:r>
      <w:r w:rsidR="000F7CEA" w:rsidRPr="00BD1AB8">
        <w:rPr>
          <w:rFonts w:cs="Times New Roman"/>
          <w:i/>
          <w:iCs/>
          <w:szCs w:val="24"/>
        </w:rPr>
        <w:t>The Lighthouse in Economics</w:t>
      </w:r>
      <w:r w:rsidR="000F7CEA" w:rsidRPr="00C43513">
        <w:rPr>
          <w:rFonts w:cs="Times New Roman"/>
          <w:szCs w:val="24"/>
        </w:rPr>
        <w:t xml:space="preserve">” (1974) </w:t>
      </w:r>
      <w:r w:rsidR="005B445D">
        <w:rPr>
          <w:rFonts w:cs="Times New Roman"/>
          <w:szCs w:val="24"/>
        </w:rPr>
        <w:t xml:space="preserve">in which </w:t>
      </w:r>
      <w:r w:rsidR="00F417B0">
        <w:rPr>
          <w:rFonts w:cs="Times New Roman"/>
          <w:szCs w:val="24"/>
        </w:rPr>
        <w:t xml:space="preserve">he </w:t>
      </w:r>
      <w:r w:rsidR="001B53F3">
        <w:rPr>
          <w:rFonts w:cs="Times New Roman"/>
          <w:szCs w:val="24"/>
        </w:rPr>
        <w:t xml:space="preserve">examined the complete operation of the British </w:t>
      </w:r>
      <w:r w:rsidR="00013064">
        <w:rPr>
          <w:rFonts w:cs="Times New Roman"/>
          <w:szCs w:val="24"/>
        </w:rPr>
        <w:t>lighthouse system,</w:t>
      </w:r>
      <w:r w:rsidR="001B53F3">
        <w:rPr>
          <w:rFonts w:cs="Times New Roman"/>
          <w:szCs w:val="24"/>
        </w:rPr>
        <w:t xml:space="preserve"> </w:t>
      </w:r>
      <w:r w:rsidR="00757D5F">
        <w:rPr>
          <w:rFonts w:cs="Times New Roman"/>
          <w:szCs w:val="24"/>
        </w:rPr>
        <w:t>finding</w:t>
      </w:r>
      <w:r w:rsidR="004C127E">
        <w:rPr>
          <w:rFonts w:cs="Times New Roman"/>
          <w:szCs w:val="24"/>
        </w:rPr>
        <w:t xml:space="preserve"> </w:t>
      </w:r>
      <w:r w:rsidR="00C43513" w:rsidRPr="00C43513">
        <w:rPr>
          <w:rFonts w:cs="Times New Roman"/>
          <w:szCs w:val="24"/>
        </w:rPr>
        <w:t>that</w:t>
      </w:r>
      <w:r w:rsidR="00A046A0">
        <w:rPr>
          <w:rFonts w:cs="Times New Roman"/>
          <w:szCs w:val="24"/>
        </w:rPr>
        <w:t>,</w:t>
      </w:r>
      <w:r w:rsidR="00A046A0" w:rsidRPr="00C43513">
        <w:rPr>
          <w:rFonts w:cs="Times New Roman"/>
          <w:szCs w:val="24"/>
        </w:rPr>
        <w:t xml:space="preserve"> </w:t>
      </w:r>
      <w:r w:rsidR="00C43513" w:rsidRPr="00C43513">
        <w:rPr>
          <w:rFonts w:cs="Times New Roman"/>
          <w:szCs w:val="24"/>
        </w:rPr>
        <w:t>passing ships</w:t>
      </w:r>
      <w:r w:rsidR="00757D5F">
        <w:rPr>
          <w:rFonts w:cs="Times New Roman"/>
          <w:szCs w:val="24"/>
        </w:rPr>
        <w:t xml:space="preserve"> </w:t>
      </w:r>
      <w:r w:rsidR="00757D5F" w:rsidRPr="00C43513">
        <w:rPr>
          <w:rFonts w:cs="Times New Roman"/>
          <w:szCs w:val="24"/>
        </w:rPr>
        <w:t>and shippers “willingly” paid the tolls</w:t>
      </w:r>
      <w:r w:rsidR="00C236A4">
        <w:rPr>
          <w:rFonts w:cs="Times New Roman"/>
          <w:szCs w:val="24"/>
        </w:rPr>
        <w:t xml:space="preserve"> rather than be</w:t>
      </w:r>
      <w:r w:rsidR="00480C4F">
        <w:rPr>
          <w:rFonts w:cs="Times New Roman"/>
          <w:szCs w:val="24"/>
        </w:rPr>
        <w:t>com</w:t>
      </w:r>
      <w:r w:rsidR="00C236A4">
        <w:rPr>
          <w:rFonts w:cs="Times New Roman"/>
          <w:szCs w:val="24"/>
        </w:rPr>
        <w:t xml:space="preserve">ing free-riders, i.e.,  </w:t>
      </w:r>
      <w:r w:rsidR="00873010">
        <w:rPr>
          <w:rFonts w:cs="Times New Roman"/>
          <w:szCs w:val="24"/>
        </w:rPr>
        <w:t>openly</w:t>
      </w:r>
      <w:r w:rsidR="004A46F9">
        <w:rPr>
          <w:rFonts w:cs="Times New Roman"/>
          <w:szCs w:val="24"/>
        </w:rPr>
        <w:t xml:space="preserve"> </w:t>
      </w:r>
      <w:r w:rsidR="00757D5F">
        <w:rPr>
          <w:rFonts w:cs="Times New Roman"/>
          <w:szCs w:val="24"/>
        </w:rPr>
        <w:t xml:space="preserve"> </w:t>
      </w:r>
      <w:r w:rsidR="00AC797C">
        <w:rPr>
          <w:rFonts w:cs="Times New Roman"/>
          <w:szCs w:val="24"/>
        </w:rPr>
        <w:t xml:space="preserve">acknowledging that they </w:t>
      </w:r>
      <w:r w:rsidR="00D66850" w:rsidRPr="00C43513">
        <w:rPr>
          <w:rFonts w:cs="Times New Roman"/>
          <w:szCs w:val="24"/>
        </w:rPr>
        <w:t>“greatly benefited” from</w:t>
      </w:r>
      <w:r w:rsidR="00AE338D">
        <w:rPr>
          <w:rFonts w:cs="Times New Roman"/>
          <w:szCs w:val="24"/>
        </w:rPr>
        <w:t xml:space="preserve"> </w:t>
      </w:r>
      <w:r w:rsidR="00AC797C">
        <w:rPr>
          <w:rFonts w:cs="Times New Roman"/>
          <w:szCs w:val="24"/>
        </w:rPr>
        <w:t xml:space="preserve">the </w:t>
      </w:r>
      <w:r w:rsidR="00D66850" w:rsidRPr="00C43513">
        <w:rPr>
          <w:rFonts w:cs="Times New Roman"/>
          <w:szCs w:val="24"/>
        </w:rPr>
        <w:t>lighthouse</w:t>
      </w:r>
      <w:r w:rsidR="00757D5F">
        <w:rPr>
          <w:rFonts w:cs="Times New Roman"/>
          <w:szCs w:val="24"/>
        </w:rPr>
        <w:t xml:space="preserve"> services</w:t>
      </w:r>
      <w:r w:rsidR="00DD4088">
        <w:rPr>
          <w:rFonts w:cs="Times New Roman"/>
          <w:szCs w:val="24"/>
        </w:rPr>
        <w:t xml:space="preserve"> and petitioning the Crown to secure these payments</w:t>
      </w:r>
      <w:r w:rsidR="00757D5F">
        <w:rPr>
          <w:rFonts w:cs="Times New Roman"/>
          <w:szCs w:val="24"/>
        </w:rPr>
        <w:t xml:space="preserve">, </w:t>
      </w:r>
      <w:r w:rsidR="00B55DB4">
        <w:rPr>
          <w:rFonts w:cs="Times New Roman"/>
          <w:szCs w:val="24"/>
        </w:rPr>
        <w:t xml:space="preserve">thus, </w:t>
      </w:r>
      <w:r w:rsidR="00A22D98">
        <w:rPr>
          <w:rFonts w:cs="Times New Roman"/>
          <w:szCs w:val="24"/>
        </w:rPr>
        <w:t>refuting by existence the</w:t>
      </w:r>
      <w:r w:rsidR="007B3D97">
        <w:rPr>
          <w:rFonts w:cs="Times New Roman"/>
          <w:szCs w:val="24"/>
        </w:rPr>
        <w:t xml:space="preserve"> longstanding </w:t>
      </w:r>
      <w:r w:rsidR="00B55DB4">
        <w:rPr>
          <w:rFonts w:cs="Times New Roman"/>
          <w:szCs w:val="24"/>
        </w:rPr>
        <w:t>polic</w:t>
      </w:r>
      <w:r w:rsidR="00654378">
        <w:rPr>
          <w:rFonts w:cs="Times New Roman"/>
          <w:szCs w:val="24"/>
        </w:rPr>
        <w:t>y</w:t>
      </w:r>
      <w:r w:rsidR="00B55DB4">
        <w:rPr>
          <w:rFonts w:cs="Times New Roman"/>
          <w:szCs w:val="24"/>
        </w:rPr>
        <w:t xml:space="preserve"> </w:t>
      </w:r>
      <w:r w:rsidR="00FE6729">
        <w:rPr>
          <w:rFonts w:cs="Times New Roman"/>
          <w:szCs w:val="24"/>
        </w:rPr>
        <w:t>orthodoxy</w:t>
      </w:r>
      <w:r w:rsidR="00480C4F">
        <w:rPr>
          <w:rFonts w:cs="Times New Roman"/>
          <w:szCs w:val="24"/>
        </w:rPr>
        <w:t xml:space="preserve"> </w:t>
      </w:r>
      <w:r w:rsidR="009301D2">
        <w:rPr>
          <w:rFonts w:cs="Times New Roman"/>
          <w:szCs w:val="24"/>
        </w:rPr>
        <w:t>that “Pigouvian Taxation” is required to overcome</w:t>
      </w:r>
      <w:r w:rsidR="00427365">
        <w:rPr>
          <w:rFonts w:cs="Times New Roman"/>
          <w:szCs w:val="24"/>
        </w:rPr>
        <w:t xml:space="preserve"> </w:t>
      </w:r>
      <w:r w:rsidR="00E060FB">
        <w:rPr>
          <w:rFonts w:cs="Times New Roman"/>
          <w:szCs w:val="24"/>
        </w:rPr>
        <w:t xml:space="preserve">the </w:t>
      </w:r>
      <w:r w:rsidR="008936E5">
        <w:rPr>
          <w:rFonts w:cs="Times New Roman"/>
          <w:szCs w:val="24"/>
        </w:rPr>
        <w:t xml:space="preserve">intractable </w:t>
      </w:r>
      <w:r w:rsidR="00C43513" w:rsidRPr="00C43513">
        <w:rPr>
          <w:rFonts w:cs="Times New Roman"/>
          <w:szCs w:val="24"/>
        </w:rPr>
        <w:t>“free rider”</w:t>
      </w:r>
      <w:r w:rsidR="008936E5">
        <w:rPr>
          <w:rFonts w:cs="Times New Roman"/>
          <w:szCs w:val="24"/>
        </w:rPr>
        <w:t xml:space="preserve"> </w:t>
      </w:r>
      <w:r w:rsidR="00E060FB">
        <w:rPr>
          <w:rFonts w:cs="Times New Roman"/>
          <w:szCs w:val="24"/>
        </w:rPr>
        <w:t>problem</w:t>
      </w:r>
      <w:r w:rsidR="00C43513" w:rsidRPr="00C43513">
        <w:rPr>
          <w:rFonts w:cs="Times New Roman"/>
          <w:szCs w:val="24"/>
        </w:rPr>
        <w:t>.</w:t>
      </w:r>
      <w:r w:rsidR="00BD1AB8" w:rsidRPr="00BD1AB8">
        <w:rPr>
          <w:rFonts w:cs="Times New Roman"/>
          <w:szCs w:val="24"/>
        </w:rPr>
        <w:t xml:space="preserve"> </w:t>
      </w:r>
      <w:r w:rsidR="00BD1AB8">
        <w:rPr>
          <w:rFonts w:cs="Times New Roman"/>
          <w:szCs w:val="24"/>
        </w:rPr>
        <w:t>[</w:t>
      </w:r>
      <w:r w:rsidR="00467996">
        <w:rPr>
          <w:rFonts w:cs="Times New Roman"/>
          <w:szCs w:val="24"/>
        </w:rPr>
        <w:t xml:space="preserve">Mill, Sidgwick, Pigou, Samuelson, </w:t>
      </w:r>
      <w:r w:rsidR="00BD1AB8">
        <w:rPr>
          <w:rFonts w:cs="Times New Roman"/>
          <w:szCs w:val="24"/>
        </w:rPr>
        <w:t>Coase 1974</w:t>
      </w:r>
      <w:r w:rsidR="00E53106">
        <w:rPr>
          <w:rFonts w:cs="Times New Roman"/>
          <w:szCs w:val="24"/>
        </w:rPr>
        <w:t>; Coase 1960</w:t>
      </w:r>
      <w:r w:rsidR="00873010">
        <w:rPr>
          <w:rFonts w:cs="Times New Roman"/>
          <w:szCs w:val="24"/>
        </w:rPr>
        <w:t>; Tabarrok 2004],</w:t>
      </w:r>
      <w:r w:rsidR="00BD1AB8">
        <w:rPr>
          <w:rFonts w:cs="Times New Roman"/>
          <w:szCs w:val="24"/>
        </w:rPr>
        <w:t>]</w:t>
      </w:r>
    </w:p>
    <w:p w14:paraId="26DC634C" w14:textId="4E6B85F8" w:rsidR="00C43513" w:rsidRPr="00C43513" w:rsidRDefault="00FC5FC7" w:rsidP="00C43513">
      <w:pPr>
        <w:spacing w:after="160"/>
        <w:ind w:left="0" w:firstLine="0"/>
        <w:jc w:val="left"/>
        <w:rPr>
          <w:rFonts w:cs="Times New Roman"/>
          <w:szCs w:val="24"/>
        </w:rPr>
      </w:pPr>
      <w:r>
        <w:rPr>
          <w:rFonts w:cs="Times New Roman"/>
          <w:szCs w:val="24"/>
        </w:rPr>
        <w:t>This study also replicates</w:t>
      </w:r>
      <w:r w:rsidR="00C43513" w:rsidRPr="00C43513">
        <w:rPr>
          <w:rFonts w:cs="Times New Roman"/>
          <w:szCs w:val="24"/>
        </w:rPr>
        <w:t xml:space="preserve"> “The Fable of the Bees: An Economic Investigation” (1973) </w:t>
      </w:r>
      <w:r w:rsidR="005E14BB">
        <w:rPr>
          <w:rFonts w:cs="Times New Roman"/>
          <w:szCs w:val="24"/>
        </w:rPr>
        <w:t xml:space="preserve">in which </w:t>
      </w:r>
      <w:r w:rsidR="00C43513" w:rsidRPr="00C43513">
        <w:rPr>
          <w:rFonts w:cs="Times New Roman"/>
          <w:szCs w:val="24"/>
        </w:rPr>
        <w:t xml:space="preserve">Cheung </w:t>
      </w:r>
      <w:r w:rsidR="00F162CC">
        <w:rPr>
          <w:rFonts w:cs="Times New Roman"/>
          <w:szCs w:val="24"/>
        </w:rPr>
        <w:t>formal</w:t>
      </w:r>
      <w:r w:rsidR="00391F21">
        <w:rPr>
          <w:rFonts w:cs="Times New Roman"/>
          <w:szCs w:val="24"/>
        </w:rPr>
        <w:t xml:space="preserve">ly </w:t>
      </w:r>
      <w:r w:rsidR="00C43513" w:rsidRPr="00C43513">
        <w:rPr>
          <w:rFonts w:cs="Times New Roman"/>
          <w:szCs w:val="24"/>
        </w:rPr>
        <w:t>interview</w:t>
      </w:r>
      <w:r w:rsidR="00391F21">
        <w:rPr>
          <w:rFonts w:cs="Times New Roman"/>
          <w:szCs w:val="24"/>
        </w:rPr>
        <w:t>e</w:t>
      </w:r>
      <w:r w:rsidR="00757D5F">
        <w:rPr>
          <w:rFonts w:cs="Times New Roman"/>
          <w:szCs w:val="24"/>
        </w:rPr>
        <w:t>d</w:t>
      </w:r>
      <w:r w:rsidR="00C43513" w:rsidRPr="00C43513">
        <w:rPr>
          <w:rFonts w:cs="Times New Roman"/>
          <w:szCs w:val="24"/>
        </w:rPr>
        <w:t xml:space="preserve"> </w:t>
      </w:r>
      <w:r w:rsidR="00F162CC">
        <w:rPr>
          <w:rFonts w:cs="Times New Roman"/>
          <w:szCs w:val="24"/>
        </w:rPr>
        <w:t xml:space="preserve">real-world </w:t>
      </w:r>
      <w:r w:rsidR="00C43513" w:rsidRPr="00C43513">
        <w:rPr>
          <w:rFonts w:cs="Times New Roman"/>
          <w:szCs w:val="24"/>
        </w:rPr>
        <w:t xml:space="preserve">beekeepers and apple-growers, </w:t>
      </w:r>
      <w:r w:rsidR="00C80649">
        <w:rPr>
          <w:rFonts w:cs="Times New Roman"/>
          <w:szCs w:val="24"/>
        </w:rPr>
        <w:t xml:space="preserve"> </w:t>
      </w:r>
      <w:r w:rsidR="00C80649">
        <w:rPr>
          <w:rFonts w:cs="Times New Roman"/>
          <w:szCs w:val="24"/>
        </w:rPr>
        <w:lastRenderedPageBreak/>
        <w:t xml:space="preserve">demonstrating </w:t>
      </w:r>
      <w:r w:rsidR="00FE2042">
        <w:rPr>
          <w:rFonts w:cs="Times New Roman"/>
          <w:szCs w:val="24"/>
        </w:rPr>
        <w:t>how</w:t>
      </w:r>
      <w:r w:rsidR="00C43513" w:rsidRPr="00C43513">
        <w:rPr>
          <w:rFonts w:cs="Times New Roman"/>
          <w:szCs w:val="24"/>
        </w:rPr>
        <w:t xml:space="preserve"> they </w:t>
      </w:r>
      <w:r w:rsidR="002A68D1">
        <w:rPr>
          <w:rFonts w:cs="Times New Roman"/>
          <w:szCs w:val="24"/>
        </w:rPr>
        <w:t xml:space="preserve">voluntarily </w:t>
      </w:r>
      <w:r w:rsidR="00C43513" w:rsidRPr="00C43513">
        <w:rPr>
          <w:rFonts w:cs="Times New Roman"/>
          <w:szCs w:val="24"/>
        </w:rPr>
        <w:t>reached</w:t>
      </w:r>
      <w:r w:rsidR="00C80649">
        <w:rPr>
          <w:rFonts w:cs="Times New Roman"/>
          <w:szCs w:val="24"/>
        </w:rPr>
        <w:t xml:space="preserve"> </w:t>
      </w:r>
      <w:r w:rsidR="00DD5895">
        <w:rPr>
          <w:rFonts w:cs="Times New Roman"/>
          <w:szCs w:val="24"/>
        </w:rPr>
        <w:t>reciprocal</w:t>
      </w:r>
      <w:r w:rsidR="00FB6E7B">
        <w:rPr>
          <w:rFonts w:cs="Times New Roman"/>
          <w:szCs w:val="24"/>
        </w:rPr>
        <w:t>,</w:t>
      </w:r>
      <w:r w:rsidR="00DD5895">
        <w:rPr>
          <w:rFonts w:cs="Times New Roman"/>
          <w:szCs w:val="24"/>
        </w:rPr>
        <w:t xml:space="preserve"> mutually beneficial bargaining agreements</w:t>
      </w:r>
      <w:r w:rsidR="002A68D1">
        <w:rPr>
          <w:rFonts w:cs="Times New Roman"/>
          <w:szCs w:val="24"/>
        </w:rPr>
        <w:t>,</w:t>
      </w:r>
      <w:r w:rsidR="00DD5895">
        <w:rPr>
          <w:rFonts w:cs="Times New Roman"/>
          <w:szCs w:val="24"/>
        </w:rPr>
        <w:t xml:space="preserve"> </w:t>
      </w:r>
      <w:r w:rsidR="00C43513" w:rsidRPr="00C43513">
        <w:rPr>
          <w:rFonts w:cs="Times New Roman"/>
          <w:szCs w:val="24"/>
        </w:rPr>
        <w:t xml:space="preserve">fully compensating each other for their respective </w:t>
      </w:r>
      <w:r w:rsidR="00D85D32">
        <w:rPr>
          <w:rFonts w:cs="Times New Roman"/>
          <w:szCs w:val="24"/>
        </w:rPr>
        <w:t xml:space="preserve">bee-pollinating and nectar production </w:t>
      </w:r>
      <w:r w:rsidR="00C43513" w:rsidRPr="00C43513">
        <w:rPr>
          <w:rFonts w:cs="Times New Roman"/>
          <w:szCs w:val="24"/>
        </w:rPr>
        <w:t>services</w:t>
      </w:r>
      <w:r w:rsidR="00FB6E7B">
        <w:rPr>
          <w:rFonts w:cs="Times New Roman"/>
          <w:szCs w:val="24"/>
        </w:rPr>
        <w:t>, i.e.,</w:t>
      </w:r>
      <w:r w:rsidR="00862750">
        <w:rPr>
          <w:rFonts w:cs="Times New Roman"/>
          <w:szCs w:val="24"/>
        </w:rPr>
        <w:t xml:space="preserve"> </w:t>
      </w:r>
      <w:r w:rsidR="00DD5895" w:rsidRPr="00862750">
        <w:rPr>
          <w:rFonts w:cs="Times New Roman"/>
          <w:i/>
          <w:iCs/>
          <w:szCs w:val="24"/>
        </w:rPr>
        <w:t>without</w:t>
      </w:r>
      <w:r w:rsidR="00DD5895">
        <w:rPr>
          <w:rFonts w:cs="Times New Roman"/>
          <w:szCs w:val="24"/>
        </w:rPr>
        <w:t xml:space="preserve"> requiring </w:t>
      </w:r>
      <w:r w:rsidR="00FA406D">
        <w:rPr>
          <w:rFonts w:cs="Times New Roman"/>
          <w:szCs w:val="24"/>
        </w:rPr>
        <w:t xml:space="preserve">any </w:t>
      </w:r>
      <w:r w:rsidR="00DD5895">
        <w:rPr>
          <w:rFonts w:cs="Times New Roman"/>
          <w:szCs w:val="24"/>
        </w:rPr>
        <w:t xml:space="preserve">“outside” </w:t>
      </w:r>
      <w:r w:rsidR="00FA406D">
        <w:rPr>
          <w:rFonts w:cs="Times New Roman"/>
          <w:szCs w:val="24"/>
        </w:rPr>
        <w:t>government intervention</w:t>
      </w:r>
      <w:r w:rsidR="00060FA3">
        <w:rPr>
          <w:rFonts w:cs="Times New Roman"/>
          <w:szCs w:val="24"/>
        </w:rPr>
        <w:t>, t</w:t>
      </w:r>
      <w:r w:rsidR="00EB5BCA">
        <w:rPr>
          <w:rFonts w:cs="Times New Roman"/>
          <w:szCs w:val="24"/>
        </w:rPr>
        <w:t>hus</w:t>
      </w:r>
      <w:r w:rsidR="00FA406D">
        <w:rPr>
          <w:rFonts w:cs="Times New Roman"/>
          <w:szCs w:val="24"/>
        </w:rPr>
        <w:t>,</w:t>
      </w:r>
      <w:r w:rsidR="00EB5BCA">
        <w:rPr>
          <w:rFonts w:cs="Times New Roman"/>
          <w:szCs w:val="24"/>
        </w:rPr>
        <w:t xml:space="preserve"> refuting by existence</w:t>
      </w:r>
      <w:r w:rsidR="00C43513" w:rsidRPr="00C43513">
        <w:rPr>
          <w:rFonts w:cs="Times New Roman"/>
          <w:szCs w:val="24"/>
        </w:rPr>
        <w:t xml:space="preserve"> Meade’s </w:t>
      </w:r>
      <w:r w:rsidR="00EB5BCA">
        <w:rPr>
          <w:rFonts w:cs="Times New Roman"/>
          <w:szCs w:val="24"/>
        </w:rPr>
        <w:t>orthodox policy assertion,</w:t>
      </w:r>
      <w:r w:rsidR="00202982">
        <w:rPr>
          <w:rFonts w:cs="Times New Roman"/>
          <w:szCs w:val="24"/>
        </w:rPr>
        <w:t xml:space="preserve"> namely,</w:t>
      </w:r>
      <w:r w:rsidR="008E627F">
        <w:rPr>
          <w:rFonts w:cs="Times New Roman"/>
          <w:szCs w:val="24"/>
        </w:rPr>
        <w:t xml:space="preserve"> that</w:t>
      </w:r>
      <w:r w:rsidR="00162DDB">
        <w:rPr>
          <w:rFonts w:cs="Times New Roman"/>
          <w:szCs w:val="24"/>
        </w:rPr>
        <w:t xml:space="preserve"> taxes and subsidi</w:t>
      </w:r>
      <w:r w:rsidR="009B4FCE">
        <w:rPr>
          <w:rFonts w:cs="Times New Roman"/>
          <w:szCs w:val="24"/>
        </w:rPr>
        <w:t>es are</w:t>
      </w:r>
      <w:r w:rsidR="008E627F" w:rsidRPr="00C43513">
        <w:rPr>
          <w:rFonts w:cs="Times New Roman"/>
          <w:szCs w:val="24"/>
        </w:rPr>
        <w:t xml:space="preserve"> requir</w:t>
      </w:r>
      <w:r w:rsidR="008E627F">
        <w:rPr>
          <w:rFonts w:cs="Times New Roman"/>
          <w:szCs w:val="24"/>
        </w:rPr>
        <w:t>ed to overcome</w:t>
      </w:r>
      <w:r w:rsidR="008E627F" w:rsidRPr="00C43513">
        <w:rPr>
          <w:rFonts w:cs="Times New Roman"/>
          <w:szCs w:val="24"/>
        </w:rPr>
        <w:t xml:space="preserve"> </w:t>
      </w:r>
      <w:r w:rsidR="00162DDB">
        <w:rPr>
          <w:rFonts w:cs="Times New Roman"/>
          <w:szCs w:val="24"/>
        </w:rPr>
        <w:t>s</w:t>
      </w:r>
      <w:r w:rsidR="00862750">
        <w:rPr>
          <w:rFonts w:cs="Times New Roman"/>
          <w:szCs w:val="24"/>
        </w:rPr>
        <w:t>o-called</w:t>
      </w:r>
      <w:r w:rsidR="009B4FCE">
        <w:rPr>
          <w:rFonts w:cs="Times New Roman"/>
          <w:szCs w:val="24"/>
        </w:rPr>
        <w:t xml:space="preserve"> </w:t>
      </w:r>
      <w:r w:rsidR="00C43513" w:rsidRPr="00C43513">
        <w:rPr>
          <w:rFonts w:cs="Times New Roman"/>
          <w:szCs w:val="24"/>
        </w:rPr>
        <w:t>“ownership externalities”.</w:t>
      </w:r>
      <w:r w:rsidR="009A346C" w:rsidRPr="009A346C">
        <w:rPr>
          <w:rFonts w:cs="Times New Roman"/>
          <w:szCs w:val="24"/>
        </w:rPr>
        <w:t xml:space="preserve"> </w:t>
      </w:r>
      <w:r w:rsidR="009A346C">
        <w:rPr>
          <w:rFonts w:cs="Times New Roman"/>
          <w:szCs w:val="24"/>
        </w:rPr>
        <w:t>[Cheung 1974; Meade 1952]</w:t>
      </w:r>
    </w:p>
    <w:p w14:paraId="05CE7C53" w14:textId="38F4A689" w:rsidR="00FC3592" w:rsidRDefault="00DF4F86" w:rsidP="00C43513">
      <w:pPr>
        <w:spacing w:after="160"/>
        <w:ind w:left="0" w:firstLine="0"/>
        <w:jc w:val="left"/>
        <w:rPr>
          <w:rFonts w:cs="Times New Roman"/>
          <w:szCs w:val="24"/>
        </w:rPr>
      </w:pPr>
      <w:r>
        <w:rPr>
          <w:rFonts w:cs="Times New Roman"/>
          <w:szCs w:val="24"/>
        </w:rPr>
        <w:t xml:space="preserve">Finally, </w:t>
      </w:r>
      <w:r w:rsidR="00202982">
        <w:rPr>
          <w:rFonts w:cs="Times New Roman"/>
          <w:szCs w:val="24"/>
        </w:rPr>
        <w:t>this study seeks to emulate</w:t>
      </w:r>
      <w:r w:rsidR="00425CA9" w:rsidRPr="00C43513">
        <w:rPr>
          <w:rFonts w:cs="Times New Roman"/>
          <w:szCs w:val="24"/>
        </w:rPr>
        <w:t xml:space="preserve"> </w:t>
      </w:r>
      <w:r w:rsidR="004D4E34">
        <w:rPr>
          <w:rFonts w:cs="Times New Roman"/>
          <w:szCs w:val="24"/>
        </w:rPr>
        <w:t xml:space="preserve">the </w:t>
      </w:r>
      <w:r w:rsidR="007C0FD8">
        <w:rPr>
          <w:rFonts w:cs="Times New Roman"/>
          <w:szCs w:val="24"/>
        </w:rPr>
        <w:t xml:space="preserve">game-theoretical </w:t>
      </w:r>
      <w:r w:rsidR="00B114A0">
        <w:rPr>
          <w:rFonts w:cs="Times New Roman"/>
          <w:szCs w:val="24"/>
        </w:rPr>
        <w:t xml:space="preserve">model proposed </w:t>
      </w:r>
      <w:r w:rsidR="006360F2">
        <w:rPr>
          <w:rFonts w:cs="Times New Roman"/>
          <w:szCs w:val="24"/>
        </w:rPr>
        <w:t xml:space="preserve">by Nash in </w:t>
      </w:r>
      <w:r w:rsidR="00425CA9" w:rsidRPr="00C43513">
        <w:rPr>
          <w:rFonts w:cs="Times New Roman"/>
          <w:szCs w:val="24"/>
        </w:rPr>
        <w:t>“Non-Cooperative Games” (1951)</w:t>
      </w:r>
      <w:r w:rsidR="00425CA9">
        <w:rPr>
          <w:rFonts w:cs="Times New Roman"/>
          <w:szCs w:val="24"/>
        </w:rPr>
        <w:t xml:space="preserve"> </w:t>
      </w:r>
      <w:r w:rsidR="00202982">
        <w:rPr>
          <w:rFonts w:cs="Times New Roman"/>
          <w:szCs w:val="24"/>
        </w:rPr>
        <w:t xml:space="preserve">in which </w:t>
      </w:r>
      <w:r w:rsidR="006360F2">
        <w:rPr>
          <w:rFonts w:cs="Times New Roman"/>
          <w:szCs w:val="24"/>
        </w:rPr>
        <w:t>he</w:t>
      </w:r>
      <w:r w:rsidR="00425CA9">
        <w:rPr>
          <w:rFonts w:cs="Times New Roman"/>
          <w:szCs w:val="24"/>
        </w:rPr>
        <w:t xml:space="preserve"> </w:t>
      </w:r>
      <w:r w:rsidR="00C43513" w:rsidRPr="00C43513">
        <w:rPr>
          <w:rFonts w:cs="Times New Roman"/>
          <w:szCs w:val="24"/>
        </w:rPr>
        <w:t>employed</w:t>
      </w:r>
      <w:r w:rsidR="00770332">
        <w:rPr>
          <w:rFonts w:cs="Times New Roman"/>
          <w:szCs w:val="24"/>
        </w:rPr>
        <w:t xml:space="preserve"> </w:t>
      </w:r>
      <w:r w:rsidR="00060FA3">
        <w:rPr>
          <w:rFonts w:cs="Times New Roman"/>
          <w:szCs w:val="24"/>
        </w:rPr>
        <w:t xml:space="preserve">to </w:t>
      </w:r>
      <w:r w:rsidR="00C50E78">
        <w:rPr>
          <w:rFonts w:cs="Times New Roman"/>
          <w:szCs w:val="24"/>
        </w:rPr>
        <w:t>formaliz</w:t>
      </w:r>
      <w:r w:rsidR="00060FA3">
        <w:rPr>
          <w:rFonts w:cs="Times New Roman"/>
          <w:szCs w:val="24"/>
        </w:rPr>
        <w:t>e</w:t>
      </w:r>
      <w:r w:rsidR="00C50E78">
        <w:rPr>
          <w:rFonts w:cs="Times New Roman"/>
          <w:szCs w:val="24"/>
        </w:rPr>
        <w:t xml:space="preserve"> </w:t>
      </w:r>
      <w:r w:rsidR="00C43513" w:rsidRPr="00C43513">
        <w:rPr>
          <w:rFonts w:cs="Times New Roman"/>
          <w:szCs w:val="24"/>
        </w:rPr>
        <w:t>the</w:t>
      </w:r>
      <w:r w:rsidR="00316F6E">
        <w:rPr>
          <w:rFonts w:cs="Times New Roman"/>
          <w:szCs w:val="24"/>
        </w:rPr>
        <w:t xml:space="preserve"> type of reciprocal (non-governmental)</w:t>
      </w:r>
      <w:r w:rsidR="00DC0235">
        <w:rPr>
          <w:rFonts w:cs="Times New Roman"/>
          <w:szCs w:val="24"/>
        </w:rPr>
        <w:t xml:space="preserve"> </w:t>
      </w:r>
      <w:r w:rsidR="00571E76">
        <w:rPr>
          <w:rFonts w:cs="Times New Roman"/>
          <w:szCs w:val="24"/>
        </w:rPr>
        <w:t xml:space="preserve">n-person </w:t>
      </w:r>
      <w:r w:rsidR="009B22ED">
        <w:rPr>
          <w:rFonts w:cs="Times New Roman"/>
          <w:szCs w:val="24"/>
        </w:rPr>
        <w:t xml:space="preserve">strategic </w:t>
      </w:r>
      <w:r w:rsidR="00575578">
        <w:rPr>
          <w:rFonts w:cs="Times New Roman"/>
          <w:szCs w:val="24"/>
        </w:rPr>
        <w:t xml:space="preserve">bargaining </w:t>
      </w:r>
      <w:r w:rsidR="00D36FDF">
        <w:rPr>
          <w:rFonts w:cs="Times New Roman"/>
          <w:szCs w:val="24"/>
        </w:rPr>
        <w:t>game</w:t>
      </w:r>
      <w:r w:rsidR="00575578">
        <w:rPr>
          <w:rFonts w:cs="Times New Roman"/>
          <w:szCs w:val="24"/>
        </w:rPr>
        <w:t xml:space="preserve"> </w:t>
      </w:r>
      <w:r w:rsidR="000D7B72">
        <w:rPr>
          <w:rFonts w:cs="Times New Roman"/>
          <w:szCs w:val="24"/>
        </w:rPr>
        <w:t xml:space="preserve">specifically </w:t>
      </w:r>
      <w:r w:rsidR="00156743">
        <w:rPr>
          <w:rFonts w:cs="Times New Roman"/>
          <w:szCs w:val="24"/>
        </w:rPr>
        <w:t>envision</w:t>
      </w:r>
      <w:r w:rsidR="00C43513" w:rsidRPr="00C43513">
        <w:rPr>
          <w:rFonts w:cs="Times New Roman"/>
          <w:szCs w:val="24"/>
        </w:rPr>
        <w:t xml:space="preserve">ed by </w:t>
      </w:r>
      <w:r w:rsidR="00C50E78">
        <w:rPr>
          <w:rFonts w:cs="Times New Roman"/>
          <w:szCs w:val="24"/>
        </w:rPr>
        <w:t xml:space="preserve">both Coase and </w:t>
      </w:r>
      <w:r w:rsidR="00C43513" w:rsidRPr="00C43513">
        <w:rPr>
          <w:rFonts w:cs="Times New Roman"/>
          <w:szCs w:val="24"/>
        </w:rPr>
        <w:t>Cheung. Following Nash’s pioneering work</w:t>
      </w:r>
      <w:r w:rsidR="00FC3592">
        <w:rPr>
          <w:rFonts w:cs="Times New Roman"/>
          <w:szCs w:val="24"/>
        </w:rPr>
        <w:t>,</w:t>
      </w:r>
      <w:r w:rsidR="008D24ED" w:rsidRPr="008D24ED">
        <w:rPr>
          <w:rFonts w:cs="Times New Roman"/>
          <w:szCs w:val="24"/>
        </w:rPr>
        <w:t xml:space="preserve"> </w:t>
      </w:r>
      <w:r w:rsidR="00C43513" w:rsidRPr="00C43513">
        <w:rPr>
          <w:rFonts w:cs="Times New Roman"/>
          <w:szCs w:val="24"/>
        </w:rPr>
        <w:t xml:space="preserve">recent studies </w:t>
      </w:r>
      <w:r w:rsidR="00FC6AA6">
        <w:rPr>
          <w:rFonts w:cs="Times New Roman"/>
          <w:szCs w:val="24"/>
        </w:rPr>
        <w:t xml:space="preserve">on the “Holdout Problem” </w:t>
      </w:r>
      <w:r w:rsidR="00C43513" w:rsidRPr="00C43513">
        <w:rPr>
          <w:rFonts w:cs="Times New Roman"/>
          <w:szCs w:val="24"/>
        </w:rPr>
        <w:t xml:space="preserve">have analyzed the strategic </w:t>
      </w:r>
      <w:r w:rsidR="005E5EFE" w:rsidRPr="00C43513">
        <w:rPr>
          <w:rFonts w:cs="Times New Roman"/>
          <w:szCs w:val="24"/>
        </w:rPr>
        <w:t xml:space="preserve">game-theoretical </w:t>
      </w:r>
      <w:r w:rsidR="00C43513" w:rsidRPr="00C43513">
        <w:rPr>
          <w:rFonts w:cs="Times New Roman"/>
          <w:szCs w:val="24"/>
        </w:rPr>
        <w:t>bargaining behaviors</w:t>
      </w:r>
      <w:r w:rsidR="00E3321F">
        <w:rPr>
          <w:rFonts w:cs="Times New Roman"/>
          <w:szCs w:val="24"/>
        </w:rPr>
        <w:t>, i.e.,</w:t>
      </w:r>
      <w:r w:rsidR="00C43513" w:rsidRPr="00C43513">
        <w:rPr>
          <w:rFonts w:cs="Times New Roman"/>
          <w:szCs w:val="24"/>
        </w:rPr>
        <w:t xml:space="preserve"> </w:t>
      </w:r>
      <w:r w:rsidR="005E5EFE">
        <w:rPr>
          <w:rFonts w:cs="Times New Roman"/>
          <w:szCs w:val="24"/>
        </w:rPr>
        <w:t xml:space="preserve">exhibited by </w:t>
      </w:r>
      <w:r w:rsidR="008C48CC">
        <w:rPr>
          <w:rFonts w:cs="Times New Roman"/>
          <w:szCs w:val="24"/>
        </w:rPr>
        <w:t xml:space="preserve">real-world </w:t>
      </w:r>
      <w:r w:rsidR="00C43513" w:rsidRPr="00C43513">
        <w:rPr>
          <w:rFonts w:cs="Times New Roman"/>
          <w:szCs w:val="24"/>
        </w:rPr>
        <w:t xml:space="preserve">landowners during the Classic Land Assembly Game. </w:t>
      </w:r>
      <w:r w:rsidR="00446C2C">
        <w:rPr>
          <w:rFonts w:cs="Times New Roman"/>
          <w:szCs w:val="24"/>
        </w:rPr>
        <w:t>[Nash</w:t>
      </w:r>
      <w:r w:rsidR="00D433AE">
        <w:rPr>
          <w:rFonts w:cs="Times New Roman"/>
          <w:szCs w:val="24"/>
        </w:rPr>
        <w:t xml:space="preserve"> 1960]</w:t>
      </w:r>
    </w:p>
    <w:p w14:paraId="482E8CAD" w14:textId="3890FCDA" w:rsidR="006A352C" w:rsidRDefault="00511187" w:rsidP="00C43513">
      <w:pPr>
        <w:spacing w:after="160"/>
        <w:ind w:left="0" w:firstLine="0"/>
        <w:jc w:val="left"/>
        <w:rPr>
          <w:rFonts w:cs="Times New Roman"/>
          <w:szCs w:val="24"/>
        </w:rPr>
      </w:pPr>
      <w:r>
        <w:rPr>
          <w:rFonts w:cs="Times New Roman"/>
          <w:szCs w:val="24"/>
        </w:rPr>
        <w:t>T</w:t>
      </w:r>
      <w:r w:rsidR="00AF1909">
        <w:rPr>
          <w:rFonts w:cs="Times New Roman"/>
          <w:szCs w:val="24"/>
        </w:rPr>
        <w:t>his</w:t>
      </w:r>
      <w:r w:rsidR="006404C7">
        <w:rPr>
          <w:rFonts w:cs="Times New Roman"/>
          <w:szCs w:val="24"/>
        </w:rPr>
        <w:t xml:space="preserve"> original</w:t>
      </w:r>
      <w:r w:rsidR="00AF1909">
        <w:rPr>
          <w:rFonts w:cs="Times New Roman"/>
          <w:szCs w:val="24"/>
        </w:rPr>
        <w:t xml:space="preserve"> study </w:t>
      </w:r>
      <w:r w:rsidR="00CD5293">
        <w:rPr>
          <w:rFonts w:cs="Times New Roman"/>
          <w:szCs w:val="24"/>
        </w:rPr>
        <w:t xml:space="preserve">is the first-of-its-kind to </w:t>
      </w:r>
      <w:r w:rsidR="00A62E93">
        <w:rPr>
          <w:rFonts w:cs="Times New Roman"/>
          <w:szCs w:val="24"/>
        </w:rPr>
        <w:t>explore</w:t>
      </w:r>
      <w:r w:rsidR="004F4727">
        <w:rPr>
          <w:rFonts w:cs="Times New Roman"/>
          <w:szCs w:val="24"/>
        </w:rPr>
        <w:t xml:space="preserve"> </w:t>
      </w:r>
      <w:r w:rsidR="00D70E7B">
        <w:rPr>
          <w:rFonts w:cs="Times New Roman"/>
          <w:szCs w:val="24"/>
        </w:rPr>
        <w:t>strategic</w:t>
      </w:r>
      <w:r w:rsidR="004F4727">
        <w:rPr>
          <w:rFonts w:cs="Times New Roman"/>
          <w:szCs w:val="24"/>
        </w:rPr>
        <w:t xml:space="preserve"> holdout resolution </w:t>
      </w:r>
      <w:r w:rsidR="00AD7DD6">
        <w:rPr>
          <w:rFonts w:cs="Times New Roman"/>
          <w:szCs w:val="24"/>
        </w:rPr>
        <w:t>during</w:t>
      </w:r>
      <w:r w:rsidR="00C93462">
        <w:rPr>
          <w:rFonts w:cs="Times New Roman"/>
          <w:szCs w:val="24"/>
        </w:rPr>
        <w:t xml:space="preserve"> </w:t>
      </w:r>
      <w:r w:rsidR="005F0953">
        <w:rPr>
          <w:rFonts w:cs="Times New Roman"/>
          <w:szCs w:val="24"/>
        </w:rPr>
        <w:t xml:space="preserve">real-world </w:t>
      </w:r>
      <w:r w:rsidR="00026D97">
        <w:rPr>
          <w:rFonts w:cs="Times New Roman"/>
          <w:szCs w:val="24"/>
        </w:rPr>
        <w:t xml:space="preserve">land assembly </w:t>
      </w:r>
      <w:r w:rsidR="00AD7DD6">
        <w:rPr>
          <w:rFonts w:cs="Times New Roman"/>
          <w:szCs w:val="24"/>
        </w:rPr>
        <w:t>negotiations, i.e., as</w:t>
      </w:r>
      <w:r w:rsidR="0086198B">
        <w:rPr>
          <w:rFonts w:cs="Times New Roman"/>
          <w:szCs w:val="24"/>
        </w:rPr>
        <w:t xml:space="preserve"> </w:t>
      </w:r>
      <w:r w:rsidR="005D7CC2">
        <w:rPr>
          <w:rFonts w:cs="Times New Roman"/>
          <w:szCs w:val="24"/>
        </w:rPr>
        <w:t xml:space="preserve">first </w:t>
      </w:r>
      <w:r w:rsidR="00AD7DD6">
        <w:rPr>
          <w:rFonts w:cs="Times New Roman"/>
          <w:szCs w:val="24"/>
        </w:rPr>
        <w:t>modell</w:t>
      </w:r>
      <w:r w:rsidR="0086198B">
        <w:rPr>
          <w:rFonts w:cs="Times New Roman"/>
          <w:szCs w:val="24"/>
        </w:rPr>
        <w:t xml:space="preserve">ed by </w:t>
      </w:r>
      <w:r w:rsidR="00C43513" w:rsidRPr="00C43513">
        <w:rPr>
          <w:rFonts w:cs="Times New Roman"/>
          <w:szCs w:val="24"/>
        </w:rPr>
        <w:t>Eckart</w:t>
      </w:r>
      <w:r w:rsidR="00F605D4">
        <w:rPr>
          <w:rFonts w:cs="Times New Roman"/>
          <w:szCs w:val="24"/>
        </w:rPr>
        <w:t xml:space="preserve"> (1980)</w:t>
      </w:r>
      <w:r w:rsidR="0086198B">
        <w:rPr>
          <w:rFonts w:cs="Times New Roman"/>
          <w:szCs w:val="24"/>
        </w:rPr>
        <w:t>, who</w:t>
      </w:r>
      <w:r w:rsidR="00C43513" w:rsidRPr="00C43513">
        <w:rPr>
          <w:rFonts w:cs="Times New Roman"/>
          <w:szCs w:val="24"/>
        </w:rPr>
        <w:t xml:space="preserve"> demonstrated that when </w:t>
      </w:r>
      <w:r w:rsidR="0073655B">
        <w:rPr>
          <w:rFonts w:cs="Times New Roman"/>
          <w:szCs w:val="24"/>
        </w:rPr>
        <w:t>landowners</w:t>
      </w:r>
      <w:r w:rsidR="0073655B" w:rsidRPr="00C43513">
        <w:rPr>
          <w:rFonts w:cs="Times New Roman"/>
          <w:szCs w:val="24"/>
        </w:rPr>
        <w:t xml:space="preserve"> </w:t>
      </w:r>
      <w:r w:rsidR="00C43513" w:rsidRPr="00C43513">
        <w:rPr>
          <w:rFonts w:cs="Times New Roman"/>
          <w:szCs w:val="24"/>
        </w:rPr>
        <w:t>bargain as part of a coalition, each</w:t>
      </w:r>
      <w:r w:rsidR="00381EA4">
        <w:rPr>
          <w:rFonts w:cs="Times New Roman"/>
          <w:szCs w:val="24"/>
        </w:rPr>
        <w:t xml:space="preserve"> </w:t>
      </w:r>
      <w:r w:rsidR="00C43513" w:rsidRPr="00C43513">
        <w:rPr>
          <w:rFonts w:cs="Times New Roman"/>
          <w:szCs w:val="24"/>
        </w:rPr>
        <w:t xml:space="preserve">will voluntarily moderate their </w:t>
      </w:r>
      <w:r w:rsidR="00381EA4">
        <w:rPr>
          <w:rFonts w:cs="Times New Roman"/>
          <w:szCs w:val="24"/>
        </w:rPr>
        <w:t xml:space="preserve">monopoly </w:t>
      </w:r>
      <w:r w:rsidR="00C43513" w:rsidRPr="00C43513">
        <w:rPr>
          <w:rFonts w:cs="Times New Roman"/>
          <w:szCs w:val="24"/>
        </w:rPr>
        <w:t>holdout</w:t>
      </w:r>
      <w:r w:rsidR="00381EA4">
        <w:rPr>
          <w:rFonts w:cs="Times New Roman"/>
          <w:szCs w:val="24"/>
        </w:rPr>
        <w:t xml:space="preserve"> price</w:t>
      </w:r>
      <w:r w:rsidR="00C43513" w:rsidRPr="00C43513">
        <w:rPr>
          <w:rFonts w:cs="Times New Roman"/>
          <w:szCs w:val="24"/>
        </w:rPr>
        <w:t xml:space="preserve">, rather than jeopardize profits for the entire coalition. </w:t>
      </w:r>
      <w:r w:rsidR="0086198B">
        <w:rPr>
          <w:rFonts w:cs="Times New Roman"/>
          <w:szCs w:val="24"/>
        </w:rPr>
        <w:t xml:space="preserve">Likewise, </w:t>
      </w:r>
      <w:r w:rsidR="005D7CC2">
        <w:rPr>
          <w:rFonts w:cs="Times New Roman"/>
          <w:szCs w:val="24"/>
        </w:rPr>
        <w:t xml:space="preserve">by </w:t>
      </w:r>
      <w:r w:rsidR="00C43513" w:rsidRPr="00C43513">
        <w:rPr>
          <w:rFonts w:cs="Times New Roman"/>
          <w:szCs w:val="24"/>
        </w:rPr>
        <w:t>Strange</w:t>
      </w:r>
      <w:r w:rsidR="00D433AE">
        <w:rPr>
          <w:rFonts w:cs="Times New Roman"/>
          <w:szCs w:val="24"/>
        </w:rPr>
        <w:t xml:space="preserve"> </w:t>
      </w:r>
      <w:r w:rsidR="00F605D4">
        <w:rPr>
          <w:rFonts w:cs="Times New Roman"/>
          <w:szCs w:val="24"/>
        </w:rPr>
        <w:t>(1998)</w:t>
      </w:r>
      <w:r w:rsidR="00C43513" w:rsidRPr="00C43513">
        <w:rPr>
          <w:rFonts w:cs="Times New Roman"/>
          <w:szCs w:val="24"/>
        </w:rPr>
        <w:t xml:space="preserve"> </w:t>
      </w:r>
      <w:r w:rsidR="005D7CC2">
        <w:rPr>
          <w:rFonts w:cs="Times New Roman"/>
          <w:szCs w:val="24"/>
        </w:rPr>
        <w:t xml:space="preserve">who </w:t>
      </w:r>
      <w:r w:rsidR="00C43513" w:rsidRPr="00C43513">
        <w:rPr>
          <w:rFonts w:cs="Times New Roman"/>
          <w:szCs w:val="24"/>
        </w:rPr>
        <w:t>observe</w:t>
      </w:r>
      <w:r w:rsidR="0086198B">
        <w:rPr>
          <w:rFonts w:cs="Times New Roman"/>
          <w:szCs w:val="24"/>
        </w:rPr>
        <w:t>d</w:t>
      </w:r>
      <w:r w:rsidR="00C43513" w:rsidRPr="00C43513">
        <w:rPr>
          <w:rFonts w:cs="Times New Roman"/>
          <w:szCs w:val="24"/>
        </w:rPr>
        <w:t xml:space="preserve"> that when 2 or more </w:t>
      </w:r>
      <w:r w:rsidR="009F2707" w:rsidRPr="00C43513">
        <w:rPr>
          <w:rFonts w:cs="Times New Roman"/>
          <w:szCs w:val="24"/>
        </w:rPr>
        <w:t>holdouts</w:t>
      </w:r>
      <w:r w:rsidR="00433B28">
        <w:rPr>
          <w:rFonts w:cs="Times New Roman"/>
          <w:szCs w:val="24"/>
        </w:rPr>
        <w:t xml:space="preserve"> </w:t>
      </w:r>
      <w:r w:rsidR="00C43513" w:rsidRPr="00C43513">
        <w:rPr>
          <w:rFonts w:cs="Times New Roman"/>
          <w:szCs w:val="24"/>
        </w:rPr>
        <w:t xml:space="preserve">are bargaining </w:t>
      </w:r>
      <w:r w:rsidR="00C6232B">
        <w:rPr>
          <w:rFonts w:cs="Times New Roman"/>
          <w:szCs w:val="24"/>
        </w:rPr>
        <w:t>as</w:t>
      </w:r>
      <w:r w:rsidR="00C43513" w:rsidRPr="00C43513">
        <w:rPr>
          <w:rFonts w:cs="Times New Roman"/>
          <w:szCs w:val="24"/>
        </w:rPr>
        <w:t xml:space="preserve"> strategic complements, </w:t>
      </w:r>
      <w:r w:rsidR="00C6232B">
        <w:rPr>
          <w:rFonts w:cs="Times New Roman"/>
          <w:szCs w:val="24"/>
        </w:rPr>
        <w:t xml:space="preserve">if </w:t>
      </w:r>
      <w:r w:rsidR="00C43513" w:rsidRPr="00C43513">
        <w:rPr>
          <w:rFonts w:cs="Times New Roman"/>
          <w:szCs w:val="24"/>
        </w:rPr>
        <w:t xml:space="preserve">one </w:t>
      </w:r>
      <w:r w:rsidR="009F2707">
        <w:rPr>
          <w:rFonts w:cs="Times New Roman"/>
          <w:szCs w:val="24"/>
        </w:rPr>
        <w:t xml:space="preserve">landowner </w:t>
      </w:r>
      <w:r w:rsidR="00C43513" w:rsidRPr="00C43513">
        <w:rPr>
          <w:rFonts w:cs="Times New Roman"/>
          <w:szCs w:val="24"/>
        </w:rPr>
        <w:t>strategically lower</w:t>
      </w:r>
      <w:r w:rsidR="00C6232B">
        <w:rPr>
          <w:rFonts w:cs="Times New Roman"/>
          <w:szCs w:val="24"/>
        </w:rPr>
        <w:t>s</w:t>
      </w:r>
      <w:r w:rsidR="00C43513" w:rsidRPr="00C43513">
        <w:rPr>
          <w:rFonts w:cs="Times New Roman"/>
          <w:szCs w:val="24"/>
        </w:rPr>
        <w:t xml:space="preserve"> their </w:t>
      </w:r>
      <w:r w:rsidR="009F2707">
        <w:rPr>
          <w:rFonts w:cs="Times New Roman"/>
          <w:szCs w:val="24"/>
        </w:rPr>
        <w:t>monopoly</w:t>
      </w:r>
      <w:r w:rsidR="00433B28" w:rsidRPr="00C43513">
        <w:rPr>
          <w:rFonts w:cs="Times New Roman"/>
          <w:szCs w:val="24"/>
        </w:rPr>
        <w:t xml:space="preserve"> </w:t>
      </w:r>
      <w:r w:rsidR="00C43513" w:rsidRPr="00C43513">
        <w:rPr>
          <w:rFonts w:cs="Times New Roman"/>
          <w:szCs w:val="24"/>
        </w:rPr>
        <w:t>price to become “price leader”, th</w:t>
      </w:r>
      <w:r w:rsidR="001B7936">
        <w:rPr>
          <w:rFonts w:cs="Times New Roman"/>
          <w:szCs w:val="24"/>
        </w:rPr>
        <w:t>is</w:t>
      </w:r>
      <w:r w:rsidR="00C6232B">
        <w:rPr>
          <w:rFonts w:cs="Times New Roman"/>
          <w:szCs w:val="24"/>
        </w:rPr>
        <w:t xml:space="preserve"> will</w:t>
      </w:r>
      <w:r w:rsidR="00C43513" w:rsidRPr="00C43513">
        <w:rPr>
          <w:rFonts w:cs="Times New Roman"/>
          <w:szCs w:val="24"/>
        </w:rPr>
        <w:t xml:space="preserve"> induce the others to moderate their</w:t>
      </w:r>
      <w:r w:rsidR="001B7936">
        <w:rPr>
          <w:rFonts w:cs="Times New Roman"/>
          <w:szCs w:val="24"/>
        </w:rPr>
        <w:t xml:space="preserve"> prices</w:t>
      </w:r>
      <w:r w:rsidR="00C43513" w:rsidRPr="00C43513">
        <w:rPr>
          <w:rFonts w:cs="Times New Roman"/>
          <w:szCs w:val="24"/>
        </w:rPr>
        <w:t xml:space="preserve">. </w:t>
      </w:r>
      <w:r w:rsidR="0086198B">
        <w:rPr>
          <w:rFonts w:cs="Times New Roman"/>
          <w:szCs w:val="24"/>
        </w:rPr>
        <w:t xml:space="preserve">And </w:t>
      </w:r>
      <w:r w:rsidR="008A5637">
        <w:rPr>
          <w:rFonts w:cs="Times New Roman"/>
          <w:szCs w:val="24"/>
        </w:rPr>
        <w:t>last</w:t>
      </w:r>
      <w:r w:rsidR="00DC556D">
        <w:rPr>
          <w:rFonts w:cs="Times New Roman"/>
          <w:szCs w:val="24"/>
        </w:rPr>
        <w:t>ly</w:t>
      </w:r>
      <w:r w:rsidR="0086198B">
        <w:rPr>
          <w:rFonts w:cs="Times New Roman"/>
          <w:szCs w:val="24"/>
        </w:rPr>
        <w:t xml:space="preserve">, </w:t>
      </w:r>
      <w:r w:rsidR="00C43513" w:rsidRPr="00C43513">
        <w:rPr>
          <w:rFonts w:cs="Times New Roman"/>
          <w:szCs w:val="24"/>
        </w:rPr>
        <w:t>Miceli and Segerson (1998)</w:t>
      </w:r>
      <w:r w:rsidR="008A5637">
        <w:rPr>
          <w:rFonts w:cs="Times New Roman"/>
          <w:szCs w:val="24"/>
        </w:rPr>
        <w:t xml:space="preserve"> </w:t>
      </w:r>
      <w:r w:rsidR="00C43513" w:rsidRPr="00C43513">
        <w:rPr>
          <w:rFonts w:cs="Times New Roman"/>
          <w:szCs w:val="24"/>
        </w:rPr>
        <w:t>demonstrate</w:t>
      </w:r>
      <w:r w:rsidR="009461D6">
        <w:rPr>
          <w:rFonts w:cs="Times New Roman"/>
          <w:szCs w:val="24"/>
        </w:rPr>
        <w:t>d that landowners will voluntarily moderate their</w:t>
      </w:r>
      <w:r w:rsidR="00C43513" w:rsidRPr="00C43513">
        <w:rPr>
          <w:rFonts w:cs="Times New Roman"/>
          <w:szCs w:val="24"/>
        </w:rPr>
        <w:t xml:space="preserve"> </w:t>
      </w:r>
      <w:r w:rsidR="00097653">
        <w:rPr>
          <w:rFonts w:cs="Times New Roman"/>
          <w:szCs w:val="24"/>
        </w:rPr>
        <w:t>monopoly</w:t>
      </w:r>
      <w:r w:rsidR="00C43513" w:rsidRPr="00C43513">
        <w:rPr>
          <w:rFonts w:cs="Times New Roman"/>
          <w:szCs w:val="24"/>
        </w:rPr>
        <w:t xml:space="preserve"> holdouts, </w:t>
      </w:r>
      <w:r w:rsidR="009461D6">
        <w:rPr>
          <w:rFonts w:cs="Times New Roman"/>
          <w:szCs w:val="24"/>
        </w:rPr>
        <w:t>i.e.</w:t>
      </w:r>
      <w:r w:rsidR="00C43513" w:rsidRPr="00C43513">
        <w:rPr>
          <w:rFonts w:cs="Times New Roman"/>
          <w:szCs w:val="24"/>
        </w:rPr>
        <w:t xml:space="preserve">, by accepting off-site “property </w:t>
      </w:r>
      <w:r w:rsidR="00C43513" w:rsidRPr="00C43513">
        <w:rPr>
          <w:rFonts w:cs="Times New Roman"/>
          <w:szCs w:val="24"/>
        </w:rPr>
        <w:lastRenderedPageBreak/>
        <w:t>swaps”</w:t>
      </w:r>
      <w:r w:rsidR="00C373E9">
        <w:rPr>
          <w:rFonts w:cs="Times New Roman"/>
          <w:szCs w:val="24"/>
        </w:rPr>
        <w:t xml:space="preserve"> in lieu of</w:t>
      </w:r>
      <w:r w:rsidR="00C43513" w:rsidRPr="00C43513">
        <w:rPr>
          <w:rFonts w:cs="Times New Roman"/>
          <w:szCs w:val="24"/>
        </w:rPr>
        <w:t xml:space="preserve"> direct payments. </w:t>
      </w:r>
      <w:r w:rsidR="00C373E9">
        <w:rPr>
          <w:rFonts w:cs="Times New Roman"/>
          <w:szCs w:val="24"/>
        </w:rPr>
        <w:t xml:space="preserve">Thus, </w:t>
      </w:r>
      <w:r w:rsidR="00C43513" w:rsidRPr="00C43513">
        <w:rPr>
          <w:rFonts w:cs="Times New Roman"/>
          <w:szCs w:val="24"/>
        </w:rPr>
        <w:t>each of these strategic bargaining</w:t>
      </w:r>
      <w:r w:rsidR="00C373E9">
        <w:rPr>
          <w:rFonts w:cs="Times New Roman"/>
          <w:szCs w:val="24"/>
        </w:rPr>
        <w:t xml:space="preserve"> </w:t>
      </w:r>
      <w:r w:rsidR="00C43513" w:rsidRPr="00C43513">
        <w:rPr>
          <w:rFonts w:cs="Times New Roman"/>
          <w:szCs w:val="24"/>
        </w:rPr>
        <w:t>scenarios</w:t>
      </w:r>
      <w:r w:rsidR="00363FA3">
        <w:rPr>
          <w:rFonts w:cs="Times New Roman"/>
          <w:szCs w:val="24"/>
        </w:rPr>
        <w:t xml:space="preserve"> examine how </w:t>
      </w:r>
      <w:r w:rsidR="00C43513" w:rsidRPr="00C43513">
        <w:rPr>
          <w:rFonts w:cs="Times New Roman"/>
          <w:szCs w:val="24"/>
        </w:rPr>
        <w:t xml:space="preserve">landowners </w:t>
      </w:r>
      <w:r w:rsidR="007A17E4">
        <w:rPr>
          <w:rFonts w:cs="Times New Roman"/>
          <w:szCs w:val="24"/>
        </w:rPr>
        <w:t>can be</w:t>
      </w:r>
      <w:r w:rsidR="00B73B9E">
        <w:rPr>
          <w:rFonts w:cs="Times New Roman"/>
          <w:szCs w:val="24"/>
        </w:rPr>
        <w:t xml:space="preserve"> </w:t>
      </w:r>
      <w:r w:rsidR="00C43513" w:rsidRPr="00C43513">
        <w:rPr>
          <w:rFonts w:cs="Times New Roman"/>
          <w:szCs w:val="24"/>
        </w:rPr>
        <w:t xml:space="preserve">“induced” to voluntarily moderate their holdout behaviors, i.e., rather than requiring </w:t>
      </w:r>
      <w:r w:rsidR="007A17E4">
        <w:rPr>
          <w:rFonts w:cs="Times New Roman"/>
          <w:szCs w:val="24"/>
        </w:rPr>
        <w:t xml:space="preserve">“external” government </w:t>
      </w:r>
      <w:r w:rsidR="00955A5D">
        <w:rPr>
          <w:rFonts w:cs="Times New Roman"/>
          <w:szCs w:val="24"/>
        </w:rPr>
        <w:t>intervention</w:t>
      </w:r>
      <w:r w:rsidR="007A17E4">
        <w:rPr>
          <w:rFonts w:cs="Times New Roman"/>
          <w:szCs w:val="24"/>
        </w:rPr>
        <w:t xml:space="preserve"> via </w:t>
      </w:r>
      <w:r w:rsidR="00C43513" w:rsidRPr="00C43513">
        <w:rPr>
          <w:rFonts w:cs="Times New Roman"/>
          <w:szCs w:val="24"/>
        </w:rPr>
        <w:t xml:space="preserve">eminent domain. </w:t>
      </w:r>
      <w:r w:rsidR="00A1227A">
        <w:rPr>
          <w:rFonts w:cs="Times New Roman"/>
          <w:szCs w:val="24"/>
        </w:rPr>
        <w:t xml:space="preserve">[Eckart 1980; </w:t>
      </w:r>
      <w:r w:rsidR="007D02ED">
        <w:rPr>
          <w:rFonts w:cs="Times New Roman"/>
          <w:szCs w:val="24"/>
        </w:rPr>
        <w:t>Strange</w:t>
      </w:r>
      <w:r w:rsidR="00A1227A">
        <w:rPr>
          <w:rFonts w:cs="Times New Roman"/>
          <w:szCs w:val="24"/>
        </w:rPr>
        <w:t xml:space="preserve"> 199</w:t>
      </w:r>
      <w:r w:rsidR="007D02ED">
        <w:rPr>
          <w:rFonts w:cs="Times New Roman"/>
          <w:szCs w:val="24"/>
        </w:rPr>
        <w:t>8</w:t>
      </w:r>
      <w:r w:rsidR="00A1227A">
        <w:rPr>
          <w:rFonts w:cs="Times New Roman"/>
          <w:szCs w:val="24"/>
        </w:rPr>
        <w:t xml:space="preserve">; Miceli and Segersen </w:t>
      </w:r>
      <w:r w:rsidR="007D02ED">
        <w:rPr>
          <w:rFonts w:cs="Times New Roman"/>
          <w:szCs w:val="24"/>
        </w:rPr>
        <w:t>2004]</w:t>
      </w:r>
    </w:p>
    <w:p w14:paraId="4479FFE6" w14:textId="239E2478" w:rsidR="00D433AE" w:rsidRPr="00D433AE" w:rsidRDefault="00C43513" w:rsidP="00EE6A7A">
      <w:pPr>
        <w:pStyle w:val="Heading2"/>
      </w:pPr>
      <w:bookmarkStart w:id="22" w:name="_Toc126651367"/>
      <w:bookmarkStart w:id="23" w:name="_Toc134346730"/>
      <w:r w:rsidRPr="00BF66F4">
        <w:t>Primary Research Question</w:t>
      </w:r>
      <w:bookmarkEnd w:id="22"/>
      <w:r w:rsidR="00CF502D">
        <w:t>:</w:t>
      </w:r>
      <w:bookmarkEnd w:id="23"/>
    </w:p>
    <w:p w14:paraId="220994F6" w14:textId="77777777" w:rsidR="00C43513" w:rsidRPr="00C43513" w:rsidRDefault="00C43513" w:rsidP="00C43513">
      <w:pPr>
        <w:spacing w:after="160"/>
        <w:ind w:left="0" w:firstLine="0"/>
        <w:jc w:val="center"/>
        <w:rPr>
          <w:rFonts w:cs="Times New Roman"/>
          <w:i/>
          <w:iCs/>
          <w:szCs w:val="24"/>
        </w:rPr>
      </w:pPr>
      <w:r w:rsidRPr="00C43513">
        <w:rPr>
          <w:rFonts w:cs="Times New Roman"/>
          <w:i/>
          <w:iCs/>
          <w:szCs w:val="24"/>
        </w:rPr>
        <w:t>“How do you resolve monopoly holdouts without requiring eminent domain?”</w:t>
      </w:r>
    </w:p>
    <w:p w14:paraId="64A47296" w14:textId="1DC2861F" w:rsidR="00C43513" w:rsidRPr="00C43513" w:rsidRDefault="007063F2" w:rsidP="00C43513">
      <w:pPr>
        <w:spacing w:after="160"/>
        <w:ind w:left="0" w:firstLine="0"/>
        <w:jc w:val="left"/>
        <w:rPr>
          <w:rFonts w:cs="Times New Roman"/>
          <w:szCs w:val="24"/>
        </w:rPr>
      </w:pPr>
      <w:r>
        <w:rPr>
          <w:rFonts w:cs="Times New Roman"/>
          <w:szCs w:val="24"/>
        </w:rPr>
        <w:t>In order t</w:t>
      </w:r>
      <w:r w:rsidR="009279DB">
        <w:rPr>
          <w:rFonts w:cs="Times New Roman"/>
          <w:szCs w:val="24"/>
        </w:rPr>
        <w:t xml:space="preserve">o answer the </w:t>
      </w:r>
      <w:r w:rsidR="00C43513" w:rsidRPr="00C43513">
        <w:rPr>
          <w:rFonts w:cs="Times New Roman"/>
          <w:szCs w:val="24"/>
        </w:rPr>
        <w:t xml:space="preserve">primary </w:t>
      </w:r>
      <w:r w:rsidR="009279DB">
        <w:rPr>
          <w:rFonts w:cs="Times New Roman"/>
          <w:szCs w:val="24"/>
        </w:rPr>
        <w:t>research question</w:t>
      </w:r>
      <w:r w:rsidR="00146AFD">
        <w:rPr>
          <w:rFonts w:cs="Times New Roman"/>
          <w:szCs w:val="24"/>
        </w:rPr>
        <w:t xml:space="preserve"> motivating</w:t>
      </w:r>
      <w:r w:rsidR="009279DB">
        <w:rPr>
          <w:rFonts w:cs="Times New Roman"/>
          <w:szCs w:val="24"/>
        </w:rPr>
        <w:t xml:space="preserve"> </w:t>
      </w:r>
      <w:r w:rsidR="00C43513" w:rsidRPr="00C43513">
        <w:rPr>
          <w:rFonts w:cs="Times New Roman"/>
          <w:szCs w:val="24"/>
        </w:rPr>
        <w:t>this study</w:t>
      </w:r>
      <w:r w:rsidR="00FA5E13">
        <w:rPr>
          <w:rFonts w:cs="Times New Roman"/>
          <w:szCs w:val="24"/>
        </w:rPr>
        <w:t>,</w:t>
      </w:r>
      <w:r w:rsidR="00C43513" w:rsidRPr="00C43513">
        <w:rPr>
          <w:rFonts w:cs="Times New Roman"/>
          <w:szCs w:val="24"/>
        </w:rPr>
        <w:t xml:space="preserve"> </w:t>
      </w:r>
      <w:r w:rsidR="00FA5E13">
        <w:rPr>
          <w:rFonts w:cs="Times New Roman"/>
          <w:szCs w:val="24"/>
        </w:rPr>
        <w:t>it</w:t>
      </w:r>
      <w:r w:rsidR="00C43513" w:rsidRPr="00C43513">
        <w:rPr>
          <w:rFonts w:cs="Times New Roman"/>
          <w:szCs w:val="24"/>
        </w:rPr>
        <w:t xml:space="preserve"> </w:t>
      </w:r>
      <w:r w:rsidR="00C46457">
        <w:rPr>
          <w:rFonts w:cs="Times New Roman"/>
          <w:szCs w:val="24"/>
        </w:rPr>
        <w:t xml:space="preserve">sought to </w:t>
      </w:r>
      <w:r w:rsidR="00E746E9">
        <w:rPr>
          <w:rFonts w:cs="Times New Roman"/>
          <w:szCs w:val="24"/>
        </w:rPr>
        <w:t>examin</w:t>
      </w:r>
      <w:r w:rsidR="00C43513" w:rsidRPr="00C43513">
        <w:rPr>
          <w:rFonts w:cs="Times New Roman"/>
          <w:szCs w:val="24"/>
        </w:rPr>
        <w:t>e</w:t>
      </w:r>
      <w:r w:rsidR="00C46457">
        <w:rPr>
          <w:rFonts w:cs="Times New Roman"/>
          <w:szCs w:val="24"/>
        </w:rPr>
        <w:t xml:space="preserve">, </w:t>
      </w:r>
      <w:r w:rsidR="00FA5E13">
        <w:rPr>
          <w:rFonts w:cs="Times New Roman"/>
          <w:szCs w:val="24"/>
        </w:rPr>
        <w:t>firsthand</w:t>
      </w:r>
      <w:r w:rsidR="00EE1B70">
        <w:rPr>
          <w:rFonts w:cs="Times New Roman"/>
          <w:szCs w:val="24"/>
        </w:rPr>
        <w:t>,</w:t>
      </w:r>
      <w:r w:rsidR="00146AFD">
        <w:rPr>
          <w:rFonts w:cs="Times New Roman"/>
          <w:szCs w:val="24"/>
        </w:rPr>
        <w:t xml:space="preserve"> </w:t>
      </w:r>
      <w:r w:rsidR="00E746E9">
        <w:rPr>
          <w:rFonts w:cs="Times New Roman"/>
          <w:szCs w:val="24"/>
        </w:rPr>
        <w:t xml:space="preserve">the </w:t>
      </w:r>
      <w:r w:rsidR="009351AC">
        <w:rPr>
          <w:rFonts w:cs="Times New Roman"/>
          <w:szCs w:val="24"/>
        </w:rPr>
        <w:t xml:space="preserve">strategic </w:t>
      </w:r>
      <w:r w:rsidR="00C43513" w:rsidRPr="00C43513">
        <w:rPr>
          <w:rFonts w:cs="Times New Roman"/>
          <w:szCs w:val="24"/>
        </w:rPr>
        <w:t>bargaining behaviors</w:t>
      </w:r>
      <w:r w:rsidR="00CD3700" w:rsidRPr="00CD3700">
        <w:rPr>
          <w:rFonts w:cs="Times New Roman"/>
          <w:szCs w:val="24"/>
        </w:rPr>
        <w:t xml:space="preserve"> </w:t>
      </w:r>
      <w:r w:rsidR="00C47A3C">
        <w:rPr>
          <w:rFonts w:cs="Times New Roman"/>
          <w:szCs w:val="24"/>
        </w:rPr>
        <w:t xml:space="preserve">exhibited </w:t>
      </w:r>
      <w:r w:rsidR="00E746E9">
        <w:rPr>
          <w:rFonts w:cs="Times New Roman"/>
          <w:szCs w:val="24"/>
        </w:rPr>
        <w:t xml:space="preserve">by </w:t>
      </w:r>
      <w:r w:rsidR="006840B9">
        <w:rPr>
          <w:rFonts w:cs="Times New Roman"/>
          <w:szCs w:val="24"/>
        </w:rPr>
        <w:t xml:space="preserve">actual </w:t>
      </w:r>
      <w:r w:rsidR="00CD3700">
        <w:rPr>
          <w:rFonts w:cs="Times New Roman"/>
          <w:szCs w:val="24"/>
        </w:rPr>
        <w:t>monopoly</w:t>
      </w:r>
      <w:r w:rsidR="00CD3700" w:rsidRPr="00C43513">
        <w:rPr>
          <w:rFonts w:cs="Times New Roman"/>
          <w:szCs w:val="24"/>
        </w:rPr>
        <w:t xml:space="preserve"> holdout</w:t>
      </w:r>
      <w:r w:rsidR="00E746E9">
        <w:rPr>
          <w:rFonts w:cs="Times New Roman"/>
          <w:szCs w:val="24"/>
        </w:rPr>
        <w:t>s</w:t>
      </w:r>
      <w:r w:rsidR="00C43513" w:rsidRPr="00C43513">
        <w:rPr>
          <w:rFonts w:cs="Times New Roman"/>
          <w:szCs w:val="24"/>
        </w:rPr>
        <w:t xml:space="preserve">, i.e., </w:t>
      </w:r>
      <w:r w:rsidR="00CD3700">
        <w:rPr>
          <w:rFonts w:cs="Times New Roman"/>
          <w:szCs w:val="24"/>
        </w:rPr>
        <w:t xml:space="preserve">during </w:t>
      </w:r>
      <w:r w:rsidR="00C43513" w:rsidRPr="00C43513">
        <w:rPr>
          <w:rFonts w:cs="Times New Roman"/>
          <w:szCs w:val="24"/>
        </w:rPr>
        <w:t xml:space="preserve">real-world land assembly negotiations. This study was uniquely fortunate to have collected a sufficient number of robust, well-documented case studies, spanning two successive policy regimes, </w:t>
      </w:r>
      <w:r w:rsidR="0087698F">
        <w:rPr>
          <w:rFonts w:cs="Times New Roman"/>
          <w:szCs w:val="24"/>
        </w:rPr>
        <w:t xml:space="preserve">i.e., </w:t>
      </w:r>
      <w:r w:rsidR="00472340">
        <w:rPr>
          <w:rFonts w:cs="Times New Roman"/>
          <w:szCs w:val="24"/>
        </w:rPr>
        <w:t xml:space="preserve">those conducted </w:t>
      </w:r>
      <w:r w:rsidR="00C43513" w:rsidRPr="00C43513">
        <w:rPr>
          <w:rFonts w:cs="Times New Roman"/>
          <w:szCs w:val="24"/>
        </w:rPr>
        <w:t xml:space="preserve">at the height of the Urban Renewal era (c. 1962-65) and </w:t>
      </w:r>
      <w:r w:rsidR="00A16C70">
        <w:rPr>
          <w:rFonts w:cs="Times New Roman"/>
          <w:szCs w:val="24"/>
        </w:rPr>
        <w:t>dur</w:t>
      </w:r>
      <w:r w:rsidR="00C43513" w:rsidRPr="00C43513">
        <w:rPr>
          <w:rFonts w:cs="Times New Roman"/>
          <w:szCs w:val="24"/>
        </w:rPr>
        <w:t xml:space="preserve">ing the </w:t>
      </w:r>
      <w:r w:rsidR="00C43513" w:rsidRPr="009A346C">
        <w:rPr>
          <w:rFonts w:cs="Times New Roman"/>
          <w:i/>
          <w:iCs/>
          <w:szCs w:val="24"/>
        </w:rPr>
        <w:t>Kelo</w:t>
      </w:r>
      <w:r w:rsidR="00C43513" w:rsidRPr="00C43513">
        <w:rPr>
          <w:rFonts w:cs="Times New Roman"/>
          <w:szCs w:val="24"/>
        </w:rPr>
        <w:t xml:space="preserve"> controversy (c. 2005-06). </w:t>
      </w:r>
    </w:p>
    <w:p w14:paraId="528217F9" w14:textId="349A9C9C" w:rsidR="00E57051" w:rsidRPr="00E57051" w:rsidRDefault="0063646B" w:rsidP="00E57051">
      <w:pPr>
        <w:spacing w:after="160"/>
        <w:ind w:left="0" w:firstLine="0"/>
        <w:jc w:val="left"/>
        <w:rPr>
          <w:rFonts w:cs="Times New Roman"/>
          <w:szCs w:val="24"/>
        </w:rPr>
      </w:pPr>
      <w:r>
        <w:rPr>
          <w:rFonts w:cs="Times New Roman"/>
          <w:szCs w:val="24"/>
        </w:rPr>
        <w:t>Following t</w:t>
      </w:r>
      <w:r w:rsidR="00C43513" w:rsidRPr="00C43513">
        <w:rPr>
          <w:rFonts w:cs="Times New Roman"/>
          <w:szCs w:val="24"/>
        </w:rPr>
        <w:t>h</w:t>
      </w:r>
      <w:r w:rsidR="00A10DC4">
        <w:rPr>
          <w:rFonts w:cs="Times New Roman"/>
          <w:szCs w:val="24"/>
        </w:rPr>
        <w:t>e</w:t>
      </w:r>
      <w:r w:rsidR="00A16C70">
        <w:rPr>
          <w:rFonts w:cs="Times New Roman"/>
          <w:szCs w:val="24"/>
        </w:rPr>
        <w:t xml:space="preserve"> grounded theory</w:t>
      </w:r>
      <w:r w:rsidR="00A10DC4">
        <w:rPr>
          <w:rFonts w:cs="Times New Roman"/>
          <w:szCs w:val="24"/>
        </w:rPr>
        <w:t xml:space="preserve"> research </w:t>
      </w:r>
      <w:r w:rsidR="00A16C70">
        <w:rPr>
          <w:rFonts w:cs="Times New Roman"/>
          <w:szCs w:val="24"/>
        </w:rPr>
        <w:t xml:space="preserve">design </w:t>
      </w:r>
      <w:r w:rsidR="00A10DC4">
        <w:rPr>
          <w:rFonts w:cs="Times New Roman"/>
          <w:szCs w:val="24"/>
        </w:rPr>
        <w:t xml:space="preserve">methodology </w:t>
      </w:r>
      <w:r w:rsidR="00B16C4F">
        <w:rPr>
          <w:rFonts w:cs="Times New Roman"/>
          <w:szCs w:val="24"/>
        </w:rPr>
        <w:t xml:space="preserve">first </w:t>
      </w:r>
      <w:r w:rsidR="00C43513" w:rsidRPr="00C43513">
        <w:rPr>
          <w:rFonts w:cs="Times New Roman"/>
          <w:szCs w:val="24"/>
        </w:rPr>
        <w:t>pioneered by Coase</w:t>
      </w:r>
      <w:r>
        <w:rPr>
          <w:rFonts w:cs="Times New Roman"/>
          <w:szCs w:val="24"/>
        </w:rPr>
        <w:t>,</w:t>
      </w:r>
      <w:r w:rsidR="000E1E41">
        <w:rPr>
          <w:rFonts w:cs="Times New Roman"/>
          <w:szCs w:val="24"/>
        </w:rPr>
        <w:t xml:space="preserve"> </w:t>
      </w:r>
      <w:r>
        <w:rPr>
          <w:rFonts w:cs="Times New Roman"/>
          <w:szCs w:val="24"/>
        </w:rPr>
        <w:t>this study</w:t>
      </w:r>
      <w:r w:rsidR="00C43513" w:rsidRPr="00C43513">
        <w:rPr>
          <w:rFonts w:cs="Times New Roman"/>
          <w:szCs w:val="24"/>
        </w:rPr>
        <w:t xml:space="preserve"> conduct</w:t>
      </w:r>
      <w:r>
        <w:rPr>
          <w:rFonts w:cs="Times New Roman"/>
          <w:szCs w:val="24"/>
        </w:rPr>
        <w:t>ed</w:t>
      </w:r>
      <w:r w:rsidR="00C43513" w:rsidRPr="00C43513">
        <w:rPr>
          <w:rFonts w:cs="Times New Roman"/>
          <w:szCs w:val="24"/>
        </w:rPr>
        <w:t xml:space="preserve"> a comprehensive case study analysis</w:t>
      </w:r>
      <w:r>
        <w:rPr>
          <w:rFonts w:cs="Times New Roman"/>
          <w:szCs w:val="24"/>
        </w:rPr>
        <w:t>, i.e.,</w:t>
      </w:r>
      <w:r w:rsidR="00C43513" w:rsidRPr="00C43513">
        <w:rPr>
          <w:rFonts w:cs="Times New Roman"/>
          <w:szCs w:val="24"/>
        </w:rPr>
        <w:t xml:space="preserve"> </w:t>
      </w:r>
      <w:r w:rsidR="0016670C">
        <w:rPr>
          <w:rFonts w:cs="Times New Roman"/>
          <w:szCs w:val="24"/>
        </w:rPr>
        <w:t xml:space="preserve">seeking to </w:t>
      </w:r>
      <w:r w:rsidR="00C43513" w:rsidRPr="00C43513">
        <w:rPr>
          <w:rFonts w:cs="Times New Roman"/>
          <w:szCs w:val="24"/>
        </w:rPr>
        <w:t>examin</w:t>
      </w:r>
      <w:r w:rsidR="0016670C">
        <w:rPr>
          <w:rFonts w:cs="Times New Roman"/>
          <w:szCs w:val="24"/>
        </w:rPr>
        <w:t>e</w:t>
      </w:r>
      <w:r w:rsidR="00C43513" w:rsidRPr="00C43513">
        <w:rPr>
          <w:rFonts w:cs="Times New Roman"/>
          <w:szCs w:val="24"/>
        </w:rPr>
        <w:t xml:space="preserve"> the complete organization, planning, and operation of the </w:t>
      </w:r>
      <w:r w:rsidR="0016670C">
        <w:rPr>
          <w:rFonts w:cs="Times New Roman"/>
          <w:szCs w:val="24"/>
        </w:rPr>
        <w:t xml:space="preserve">general </w:t>
      </w:r>
      <w:r w:rsidR="00C43513" w:rsidRPr="00C43513">
        <w:rPr>
          <w:rFonts w:cs="Times New Roman"/>
          <w:szCs w:val="24"/>
        </w:rPr>
        <w:t xml:space="preserve">land assembly process </w:t>
      </w:r>
      <w:r w:rsidR="00C43513" w:rsidRPr="00C43513">
        <w:rPr>
          <w:rFonts w:cs="Times New Roman"/>
          <w:i/>
          <w:iCs/>
          <w:szCs w:val="24"/>
        </w:rPr>
        <w:t>in situ</w:t>
      </w:r>
      <w:r w:rsidR="004C1536">
        <w:rPr>
          <w:rFonts w:cs="Times New Roman"/>
          <w:szCs w:val="24"/>
        </w:rPr>
        <w:t>.</w:t>
      </w:r>
      <w:r w:rsidR="00E57051" w:rsidRPr="00E57051">
        <w:t xml:space="preserve"> </w:t>
      </w:r>
      <w:r w:rsidR="0016670C">
        <w:rPr>
          <w:rFonts w:cs="Times New Roman"/>
          <w:szCs w:val="24"/>
        </w:rPr>
        <w:t>For</w:t>
      </w:r>
      <w:r w:rsidR="00E57051" w:rsidRPr="00E57051">
        <w:rPr>
          <w:rFonts w:cs="Times New Roman"/>
          <w:szCs w:val="24"/>
        </w:rPr>
        <w:t xml:space="preserve"> this original study, three historical land assembly projects were selected as paradigmatic case studies: Columbia, MD, Walt Disneyworld, FL, the World Trade Center, NYC. Each was similar in size, scale, scope, and duration, conducted </w:t>
      </w:r>
      <w:r w:rsidR="00871AA6">
        <w:rPr>
          <w:rFonts w:cs="Times New Roman"/>
          <w:szCs w:val="24"/>
        </w:rPr>
        <w:t xml:space="preserve">simultaneously </w:t>
      </w:r>
      <w:r w:rsidR="00E57051" w:rsidRPr="00E57051">
        <w:rPr>
          <w:rFonts w:cs="Times New Roman"/>
          <w:szCs w:val="24"/>
        </w:rPr>
        <w:t>at the height of the Urban Renewal era (c.1962-68)</w:t>
      </w:r>
      <w:r w:rsidR="00095D32">
        <w:rPr>
          <w:rFonts w:cs="Times New Roman"/>
          <w:szCs w:val="24"/>
        </w:rPr>
        <w:t xml:space="preserve">, </w:t>
      </w:r>
      <w:r w:rsidR="00E4270A">
        <w:rPr>
          <w:rFonts w:cs="Times New Roman"/>
          <w:szCs w:val="24"/>
        </w:rPr>
        <w:t xml:space="preserve">and were strictly </w:t>
      </w:r>
      <w:r w:rsidR="00E57051" w:rsidRPr="00E57051">
        <w:rPr>
          <w:rFonts w:cs="Times New Roman"/>
          <w:szCs w:val="24"/>
        </w:rPr>
        <w:t>private, quasi-governmental, or public</w:t>
      </w:r>
      <w:r w:rsidR="00E4270A">
        <w:rPr>
          <w:rFonts w:cs="Times New Roman"/>
          <w:szCs w:val="24"/>
        </w:rPr>
        <w:t xml:space="preserve"> land assembly projects</w:t>
      </w:r>
      <w:r w:rsidR="00E57051" w:rsidRPr="00E57051">
        <w:rPr>
          <w:rFonts w:cs="Times New Roman"/>
          <w:szCs w:val="24"/>
        </w:rPr>
        <w:t xml:space="preserve">, </w:t>
      </w:r>
      <w:r w:rsidR="008E14C4">
        <w:rPr>
          <w:rFonts w:cs="Times New Roman"/>
          <w:szCs w:val="24"/>
        </w:rPr>
        <w:t>i.e., having</w:t>
      </w:r>
      <w:r w:rsidR="00E57051" w:rsidRPr="00E57051">
        <w:rPr>
          <w:rFonts w:cs="Times New Roman"/>
          <w:szCs w:val="24"/>
        </w:rPr>
        <w:t xml:space="preserve"> corresponding powers of eminent domain, respectively.</w:t>
      </w:r>
      <w:r w:rsidR="00674873">
        <w:rPr>
          <w:rFonts w:cs="Times New Roman"/>
          <w:szCs w:val="24"/>
        </w:rPr>
        <w:t xml:space="preserve"> As </w:t>
      </w:r>
      <w:r w:rsidR="00821917">
        <w:rPr>
          <w:rFonts w:cs="Times New Roman"/>
          <w:szCs w:val="24"/>
        </w:rPr>
        <w:t xml:space="preserve">fully </w:t>
      </w:r>
      <w:r w:rsidR="00CF0D41">
        <w:rPr>
          <w:rFonts w:cs="Times New Roman"/>
          <w:szCs w:val="24"/>
        </w:rPr>
        <w:t xml:space="preserve">discussed </w:t>
      </w:r>
      <w:r w:rsidR="00674873">
        <w:rPr>
          <w:rFonts w:cs="Times New Roman"/>
          <w:szCs w:val="24"/>
        </w:rPr>
        <w:t xml:space="preserve">in Chapter 3, </w:t>
      </w:r>
      <w:r w:rsidR="00DC4346">
        <w:rPr>
          <w:rFonts w:cs="Times New Roman"/>
          <w:szCs w:val="24"/>
        </w:rPr>
        <w:t>each of these landmark projects</w:t>
      </w:r>
      <w:r w:rsidR="00F236A5">
        <w:rPr>
          <w:rFonts w:cs="Times New Roman"/>
          <w:szCs w:val="24"/>
        </w:rPr>
        <w:t xml:space="preserve"> </w:t>
      </w:r>
      <w:r w:rsidR="00821917">
        <w:rPr>
          <w:rFonts w:cs="Times New Roman"/>
          <w:szCs w:val="24"/>
        </w:rPr>
        <w:t>provide</w:t>
      </w:r>
      <w:r w:rsidR="00455A78">
        <w:rPr>
          <w:rFonts w:cs="Times New Roman"/>
          <w:szCs w:val="24"/>
        </w:rPr>
        <w:t>d</w:t>
      </w:r>
      <w:r w:rsidR="00F236A5">
        <w:rPr>
          <w:rFonts w:cs="Times New Roman"/>
          <w:szCs w:val="24"/>
        </w:rPr>
        <w:t xml:space="preserve"> real-world examples</w:t>
      </w:r>
      <w:r w:rsidR="003C32E4">
        <w:rPr>
          <w:rFonts w:cs="Times New Roman"/>
          <w:szCs w:val="24"/>
        </w:rPr>
        <w:t xml:space="preserve">, </w:t>
      </w:r>
      <w:r w:rsidR="00455A78">
        <w:rPr>
          <w:rFonts w:cs="Times New Roman"/>
          <w:szCs w:val="24"/>
        </w:rPr>
        <w:t xml:space="preserve">i.e., fully </w:t>
      </w:r>
      <w:r w:rsidR="003C32E4">
        <w:rPr>
          <w:rFonts w:cs="Times New Roman"/>
          <w:szCs w:val="24"/>
        </w:rPr>
        <w:t xml:space="preserve">demonstrating </w:t>
      </w:r>
      <w:r w:rsidR="003C32E4">
        <w:rPr>
          <w:rFonts w:cs="Times New Roman"/>
          <w:szCs w:val="24"/>
        </w:rPr>
        <w:lastRenderedPageBreak/>
        <w:t xml:space="preserve">how </w:t>
      </w:r>
      <w:r w:rsidR="00455A78">
        <w:rPr>
          <w:rFonts w:cs="Times New Roman"/>
          <w:szCs w:val="24"/>
        </w:rPr>
        <w:t xml:space="preserve">these </w:t>
      </w:r>
      <w:r w:rsidR="003C32E4">
        <w:rPr>
          <w:rFonts w:cs="Times New Roman"/>
          <w:szCs w:val="24"/>
        </w:rPr>
        <w:t xml:space="preserve">developers systematically </w:t>
      </w:r>
      <w:r w:rsidR="001515EF">
        <w:rPr>
          <w:rFonts w:cs="Times New Roman"/>
          <w:szCs w:val="24"/>
        </w:rPr>
        <w:t>resolve</w:t>
      </w:r>
      <w:r w:rsidR="00455A78">
        <w:rPr>
          <w:rFonts w:cs="Times New Roman"/>
          <w:szCs w:val="24"/>
        </w:rPr>
        <w:t>d</w:t>
      </w:r>
      <w:r w:rsidR="001515EF">
        <w:rPr>
          <w:rFonts w:cs="Times New Roman"/>
          <w:szCs w:val="24"/>
        </w:rPr>
        <w:t xml:space="preserve"> multiple instances of monopoly holdouts, </w:t>
      </w:r>
      <w:r w:rsidR="001515EF" w:rsidRPr="00455A78">
        <w:rPr>
          <w:rFonts w:cs="Times New Roman"/>
          <w:i/>
          <w:iCs/>
          <w:szCs w:val="24"/>
        </w:rPr>
        <w:t>without</w:t>
      </w:r>
      <w:r w:rsidR="001515EF">
        <w:rPr>
          <w:rFonts w:cs="Times New Roman"/>
          <w:szCs w:val="24"/>
        </w:rPr>
        <w:t xml:space="preserve"> requiring eminent domain.</w:t>
      </w:r>
      <w:r w:rsidR="00F236A5">
        <w:rPr>
          <w:rFonts w:cs="Times New Roman"/>
          <w:szCs w:val="24"/>
        </w:rPr>
        <w:t xml:space="preserve">  </w:t>
      </w:r>
      <w:r w:rsidR="00DC4346">
        <w:rPr>
          <w:rFonts w:cs="Times New Roman"/>
          <w:szCs w:val="24"/>
        </w:rPr>
        <w:t xml:space="preserve"> </w:t>
      </w:r>
    </w:p>
    <w:p w14:paraId="6EBB7C4F" w14:textId="3ADAB150" w:rsidR="004C1536" w:rsidRDefault="00577D9E" w:rsidP="00E57051">
      <w:pPr>
        <w:spacing w:after="160"/>
        <w:ind w:left="0" w:firstLine="0"/>
        <w:jc w:val="left"/>
        <w:rPr>
          <w:rFonts w:cs="Times New Roman"/>
          <w:szCs w:val="24"/>
        </w:rPr>
      </w:pPr>
      <w:r>
        <w:rPr>
          <w:rFonts w:cs="Times New Roman"/>
          <w:szCs w:val="24"/>
        </w:rPr>
        <w:t xml:space="preserve">Because </w:t>
      </w:r>
      <w:r w:rsidR="00DD7DD8">
        <w:rPr>
          <w:rFonts w:cs="Times New Roman"/>
          <w:szCs w:val="24"/>
        </w:rPr>
        <w:t xml:space="preserve">the </w:t>
      </w:r>
      <w:r w:rsidR="000345E9">
        <w:rPr>
          <w:rFonts w:cs="Times New Roman"/>
          <w:szCs w:val="24"/>
        </w:rPr>
        <w:t xml:space="preserve">land assembly </w:t>
      </w:r>
      <w:r w:rsidR="000A2FF8">
        <w:rPr>
          <w:rFonts w:cs="Times New Roman"/>
          <w:szCs w:val="24"/>
        </w:rPr>
        <w:t xml:space="preserve">negotiations </w:t>
      </w:r>
      <w:r w:rsidR="000345E9">
        <w:rPr>
          <w:rFonts w:cs="Times New Roman"/>
          <w:szCs w:val="24"/>
        </w:rPr>
        <w:t xml:space="preserve">for </w:t>
      </w:r>
      <w:r>
        <w:rPr>
          <w:rFonts w:cs="Times New Roman"/>
          <w:szCs w:val="24"/>
        </w:rPr>
        <w:t>b</w:t>
      </w:r>
      <w:r w:rsidR="00E57051" w:rsidRPr="00E57051">
        <w:rPr>
          <w:rFonts w:cs="Times New Roman"/>
          <w:szCs w:val="24"/>
        </w:rPr>
        <w:t>oth Columbia and Walt Disneyworld</w:t>
      </w:r>
      <w:r>
        <w:rPr>
          <w:rFonts w:cs="Times New Roman"/>
          <w:szCs w:val="24"/>
        </w:rPr>
        <w:t xml:space="preserve"> </w:t>
      </w:r>
      <w:r w:rsidR="00E57051" w:rsidRPr="00E57051">
        <w:rPr>
          <w:rFonts w:cs="Times New Roman"/>
          <w:szCs w:val="24"/>
        </w:rPr>
        <w:t>were</w:t>
      </w:r>
      <w:r w:rsidR="000443A7">
        <w:rPr>
          <w:rFonts w:cs="Times New Roman"/>
          <w:szCs w:val="24"/>
        </w:rPr>
        <w:t xml:space="preserve"> initially </w:t>
      </w:r>
      <w:r w:rsidR="00E57051" w:rsidRPr="00E57051">
        <w:rPr>
          <w:rFonts w:cs="Times New Roman"/>
          <w:szCs w:val="24"/>
        </w:rPr>
        <w:t xml:space="preserve">conducted in complete secrecy, </w:t>
      </w:r>
      <w:r w:rsidR="000A2FF8">
        <w:rPr>
          <w:rFonts w:cs="Times New Roman"/>
          <w:szCs w:val="24"/>
        </w:rPr>
        <w:t xml:space="preserve">both </w:t>
      </w:r>
      <w:r w:rsidR="002466D1">
        <w:rPr>
          <w:rFonts w:cs="Times New Roman"/>
          <w:szCs w:val="24"/>
        </w:rPr>
        <w:t xml:space="preserve">developers </w:t>
      </w:r>
      <w:r w:rsidR="000A2FF8">
        <w:rPr>
          <w:rFonts w:cs="Times New Roman"/>
          <w:szCs w:val="24"/>
        </w:rPr>
        <w:t xml:space="preserve">were able to successfully resolve </w:t>
      </w:r>
      <w:r w:rsidR="002466D1">
        <w:rPr>
          <w:rFonts w:cs="Times New Roman"/>
          <w:szCs w:val="24"/>
        </w:rPr>
        <w:t xml:space="preserve">all </w:t>
      </w:r>
      <w:r w:rsidR="000A2FF8">
        <w:rPr>
          <w:rFonts w:cs="Times New Roman"/>
          <w:szCs w:val="24"/>
        </w:rPr>
        <w:t>monopoly holdouts</w:t>
      </w:r>
      <w:r w:rsidR="00D467F5">
        <w:rPr>
          <w:rFonts w:cs="Times New Roman"/>
          <w:szCs w:val="24"/>
        </w:rPr>
        <w:t xml:space="preserve">, i.e., </w:t>
      </w:r>
      <w:r w:rsidR="00D467F5" w:rsidRPr="00D467F5">
        <w:rPr>
          <w:rFonts w:cs="Times New Roman"/>
          <w:i/>
          <w:iCs/>
          <w:szCs w:val="24"/>
        </w:rPr>
        <w:t>without</w:t>
      </w:r>
      <w:r w:rsidR="00D467F5">
        <w:rPr>
          <w:rFonts w:cs="Times New Roman"/>
          <w:szCs w:val="24"/>
        </w:rPr>
        <w:t xml:space="preserve"> </w:t>
      </w:r>
      <w:r w:rsidR="00E31A4E">
        <w:rPr>
          <w:rFonts w:cs="Times New Roman"/>
          <w:szCs w:val="24"/>
        </w:rPr>
        <w:t>requir</w:t>
      </w:r>
      <w:r w:rsidR="00D467F5">
        <w:rPr>
          <w:rFonts w:cs="Times New Roman"/>
          <w:szCs w:val="24"/>
        </w:rPr>
        <w:t>ing</w:t>
      </w:r>
      <w:r w:rsidR="00E31A4E">
        <w:rPr>
          <w:rFonts w:cs="Times New Roman"/>
          <w:szCs w:val="24"/>
        </w:rPr>
        <w:t xml:space="preserve"> eminent domain</w:t>
      </w:r>
      <w:r w:rsidR="00C5144D">
        <w:rPr>
          <w:rFonts w:cs="Times New Roman"/>
          <w:szCs w:val="24"/>
        </w:rPr>
        <w:t xml:space="preserve">. </w:t>
      </w:r>
      <w:r w:rsidR="00731DF6">
        <w:rPr>
          <w:rFonts w:cs="Times New Roman"/>
          <w:szCs w:val="24"/>
        </w:rPr>
        <w:t>As the “Crown Jewel” of Urban Renewal projects, t</w:t>
      </w:r>
      <w:r w:rsidR="00E57051" w:rsidRPr="00E57051">
        <w:rPr>
          <w:rFonts w:cs="Times New Roman"/>
          <w:szCs w:val="24"/>
        </w:rPr>
        <w:t>he World Trade Cente</w:t>
      </w:r>
      <w:r w:rsidR="0005406C">
        <w:rPr>
          <w:rFonts w:cs="Times New Roman"/>
          <w:szCs w:val="24"/>
        </w:rPr>
        <w:t xml:space="preserve">r </w:t>
      </w:r>
      <w:r w:rsidR="00E57051" w:rsidRPr="00E57051">
        <w:rPr>
          <w:rFonts w:cs="Times New Roman"/>
          <w:szCs w:val="24"/>
        </w:rPr>
        <w:t xml:space="preserve">was the first </w:t>
      </w:r>
      <w:r w:rsidR="00C24FC0" w:rsidRPr="00E57051">
        <w:rPr>
          <w:rFonts w:cs="Times New Roman"/>
          <w:szCs w:val="24"/>
        </w:rPr>
        <w:t>project</w:t>
      </w:r>
      <w:r w:rsidR="0005406C" w:rsidRPr="00E57051">
        <w:rPr>
          <w:rFonts w:cs="Times New Roman"/>
          <w:szCs w:val="24"/>
        </w:rPr>
        <w:t xml:space="preserve"> </w:t>
      </w:r>
      <w:r w:rsidR="00E57051" w:rsidRPr="00E57051">
        <w:rPr>
          <w:rFonts w:cs="Times New Roman"/>
          <w:szCs w:val="24"/>
        </w:rPr>
        <w:t xml:space="preserve">to face a binding holdout (led by urban activist Jane Jacobs) and </w:t>
      </w:r>
      <w:r w:rsidR="00AF15DE">
        <w:rPr>
          <w:rFonts w:cs="Times New Roman"/>
          <w:szCs w:val="24"/>
        </w:rPr>
        <w:t>also</w:t>
      </w:r>
      <w:r w:rsidR="009B2586">
        <w:rPr>
          <w:rFonts w:cs="Times New Roman"/>
          <w:szCs w:val="24"/>
        </w:rPr>
        <w:t>,</w:t>
      </w:r>
      <w:r w:rsidR="00AF15DE">
        <w:rPr>
          <w:rFonts w:cs="Times New Roman"/>
          <w:szCs w:val="24"/>
        </w:rPr>
        <w:t xml:space="preserve"> </w:t>
      </w:r>
      <w:r w:rsidR="00E17BB8">
        <w:rPr>
          <w:rFonts w:cs="Times New Roman"/>
          <w:szCs w:val="24"/>
        </w:rPr>
        <w:t xml:space="preserve">the </w:t>
      </w:r>
      <w:r w:rsidR="00E57051" w:rsidRPr="00E57051">
        <w:rPr>
          <w:rFonts w:cs="Times New Roman"/>
          <w:szCs w:val="24"/>
        </w:rPr>
        <w:t>first</w:t>
      </w:r>
      <w:r w:rsidR="00C057AC">
        <w:rPr>
          <w:rFonts w:cs="Times New Roman"/>
          <w:szCs w:val="24"/>
        </w:rPr>
        <w:t xml:space="preserve"> </w:t>
      </w:r>
      <w:r w:rsidR="00E57051" w:rsidRPr="00E57051">
        <w:rPr>
          <w:rFonts w:cs="Times New Roman"/>
          <w:szCs w:val="24"/>
        </w:rPr>
        <w:t xml:space="preserve">to successfully resolve </w:t>
      </w:r>
      <w:r w:rsidR="00AF15DE">
        <w:rPr>
          <w:rFonts w:cs="Times New Roman"/>
          <w:szCs w:val="24"/>
        </w:rPr>
        <w:t>it</w:t>
      </w:r>
      <w:r w:rsidR="00E57051" w:rsidRPr="00E57051">
        <w:rPr>
          <w:rFonts w:cs="Times New Roman"/>
          <w:szCs w:val="24"/>
        </w:rPr>
        <w:t xml:space="preserve"> through reciprocal bargaining, </w:t>
      </w:r>
      <w:r w:rsidR="009B2586" w:rsidRPr="00E57051">
        <w:rPr>
          <w:rFonts w:cs="Times New Roman"/>
          <w:szCs w:val="24"/>
        </w:rPr>
        <w:t xml:space="preserve">i.e., </w:t>
      </w:r>
      <w:r w:rsidR="00E57051" w:rsidRPr="00E57051">
        <w:rPr>
          <w:rFonts w:cs="Times New Roman"/>
          <w:szCs w:val="24"/>
        </w:rPr>
        <w:t>rather than exercis</w:t>
      </w:r>
      <w:r w:rsidR="00AF15DE">
        <w:rPr>
          <w:rFonts w:cs="Times New Roman"/>
          <w:szCs w:val="24"/>
        </w:rPr>
        <w:t>e</w:t>
      </w:r>
      <w:r w:rsidR="00E57051" w:rsidRPr="00E57051">
        <w:rPr>
          <w:rFonts w:cs="Times New Roman"/>
          <w:szCs w:val="24"/>
        </w:rPr>
        <w:t xml:space="preserve"> its </w:t>
      </w:r>
      <w:r w:rsidR="007F62A9">
        <w:rPr>
          <w:rFonts w:cs="Times New Roman"/>
          <w:szCs w:val="24"/>
        </w:rPr>
        <w:t xml:space="preserve">full </w:t>
      </w:r>
      <w:r w:rsidR="008B5DDF">
        <w:rPr>
          <w:rFonts w:cs="Times New Roman"/>
          <w:szCs w:val="24"/>
        </w:rPr>
        <w:t xml:space="preserve">statutory </w:t>
      </w:r>
      <w:r w:rsidR="00E57051" w:rsidRPr="00E57051">
        <w:rPr>
          <w:rFonts w:cs="Times New Roman"/>
          <w:szCs w:val="24"/>
        </w:rPr>
        <w:t xml:space="preserve">powers of eminent domain, as </w:t>
      </w:r>
      <w:r w:rsidR="004C0161">
        <w:rPr>
          <w:rFonts w:cs="Times New Roman"/>
          <w:szCs w:val="24"/>
        </w:rPr>
        <w:t xml:space="preserve">first </w:t>
      </w:r>
      <w:r w:rsidR="007F62A9">
        <w:rPr>
          <w:rFonts w:cs="Times New Roman"/>
          <w:szCs w:val="24"/>
        </w:rPr>
        <w:t>prescribed by</w:t>
      </w:r>
      <w:r w:rsidR="00E57051" w:rsidRPr="00E57051">
        <w:rPr>
          <w:rFonts w:cs="Times New Roman"/>
          <w:szCs w:val="24"/>
        </w:rPr>
        <w:t xml:space="preserve"> </w:t>
      </w:r>
      <w:r w:rsidR="00E57051" w:rsidRPr="008B5DDF">
        <w:rPr>
          <w:rFonts w:cs="Times New Roman"/>
          <w:i/>
          <w:iCs/>
          <w:szCs w:val="24"/>
        </w:rPr>
        <w:t>Berman v Parker</w:t>
      </w:r>
      <w:r w:rsidR="00E57051" w:rsidRPr="00E57051">
        <w:rPr>
          <w:rFonts w:cs="Times New Roman"/>
          <w:szCs w:val="24"/>
        </w:rPr>
        <w:t>.</w:t>
      </w:r>
    </w:p>
    <w:p w14:paraId="5B0C0451" w14:textId="7A61C519" w:rsidR="00C43513" w:rsidRPr="00C43513" w:rsidRDefault="00C43513" w:rsidP="00C43513">
      <w:pPr>
        <w:spacing w:after="160"/>
        <w:ind w:left="0" w:firstLine="0"/>
        <w:jc w:val="left"/>
        <w:rPr>
          <w:rFonts w:cs="Times New Roman"/>
          <w:szCs w:val="24"/>
        </w:rPr>
      </w:pPr>
      <w:r w:rsidRPr="00C43513">
        <w:rPr>
          <w:rFonts w:cs="Times New Roman"/>
          <w:szCs w:val="24"/>
        </w:rPr>
        <w:t xml:space="preserve">To replicate Cheung’s </w:t>
      </w:r>
      <w:r w:rsidR="005C1FC4">
        <w:rPr>
          <w:rFonts w:cs="Times New Roman"/>
          <w:szCs w:val="24"/>
        </w:rPr>
        <w:t xml:space="preserve">original </w:t>
      </w:r>
      <w:r w:rsidRPr="00C43513">
        <w:rPr>
          <w:rFonts w:cs="Times New Roman"/>
          <w:szCs w:val="24"/>
        </w:rPr>
        <w:t>field interview model, this study conduct</w:t>
      </w:r>
      <w:r w:rsidR="0054755E">
        <w:rPr>
          <w:rFonts w:cs="Times New Roman"/>
          <w:szCs w:val="24"/>
        </w:rPr>
        <w:t>ed</w:t>
      </w:r>
      <w:r w:rsidRPr="00C43513">
        <w:rPr>
          <w:rFonts w:cs="Times New Roman"/>
          <w:szCs w:val="24"/>
        </w:rPr>
        <w:t xml:space="preserve"> formal IRB research interviews with professional real estate administrators at public universities, i.e., asking them to discuss their direct participation </w:t>
      </w:r>
      <w:r w:rsidR="000B5BF0">
        <w:rPr>
          <w:rFonts w:cs="Times New Roman"/>
          <w:szCs w:val="24"/>
        </w:rPr>
        <w:t xml:space="preserve">in actual </w:t>
      </w:r>
      <w:r w:rsidRPr="00C43513">
        <w:rPr>
          <w:rFonts w:cs="Times New Roman"/>
          <w:szCs w:val="24"/>
        </w:rPr>
        <w:t xml:space="preserve">land assembly negotiations, i.e., </w:t>
      </w:r>
      <w:r w:rsidR="000B5BF0" w:rsidRPr="00C43513">
        <w:rPr>
          <w:rFonts w:cs="Times New Roman"/>
          <w:szCs w:val="24"/>
        </w:rPr>
        <w:t xml:space="preserve">during ongoing </w:t>
      </w:r>
      <w:r w:rsidR="000B5BF0">
        <w:rPr>
          <w:rFonts w:cs="Times New Roman"/>
          <w:szCs w:val="24"/>
        </w:rPr>
        <w:t xml:space="preserve">campus expansion projects </w:t>
      </w:r>
      <w:r w:rsidRPr="00C43513">
        <w:rPr>
          <w:rFonts w:cs="Times New Roman"/>
          <w:szCs w:val="24"/>
        </w:rPr>
        <w:t>at their respective campuses. As an under-examined population, public universit</w:t>
      </w:r>
      <w:r w:rsidR="00A9615F">
        <w:rPr>
          <w:rFonts w:cs="Times New Roman"/>
          <w:szCs w:val="24"/>
        </w:rPr>
        <w:t xml:space="preserve">y real estate administrators </w:t>
      </w:r>
      <w:r w:rsidRPr="00C43513">
        <w:rPr>
          <w:rFonts w:cs="Times New Roman"/>
          <w:szCs w:val="24"/>
        </w:rPr>
        <w:t>provide</w:t>
      </w:r>
      <w:r w:rsidR="00A9615F">
        <w:rPr>
          <w:rFonts w:cs="Times New Roman"/>
          <w:szCs w:val="24"/>
        </w:rPr>
        <w:t>d</w:t>
      </w:r>
      <w:r w:rsidRPr="00C43513">
        <w:rPr>
          <w:rFonts w:cs="Times New Roman"/>
          <w:szCs w:val="24"/>
        </w:rPr>
        <w:t xml:space="preserve"> an ideal source of original research data. Across the US, university campuses draw from the widest possible range of sizes, types, and locations, each matching their local geography, i.e., from being </w:t>
      </w:r>
      <w:r w:rsidR="00FC3457">
        <w:rPr>
          <w:rFonts w:cs="Times New Roman"/>
          <w:szCs w:val="24"/>
        </w:rPr>
        <w:t xml:space="preserve">completely </w:t>
      </w:r>
      <w:r w:rsidRPr="00C43513">
        <w:rPr>
          <w:rFonts w:cs="Times New Roman"/>
          <w:szCs w:val="24"/>
        </w:rPr>
        <w:t xml:space="preserve">landlocked to being on </w:t>
      </w:r>
      <w:r w:rsidR="00E226E0" w:rsidRPr="00C43513">
        <w:rPr>
          <w:rFonts w:cs="Times New Roman"/>
          <w:szCs w:val="24"/>
        </w:rPr>
        <w:t>an open</w:t>
      </w:r>
      <w:r w:rsidRPr="00C43513">
        <w:rPr>
          <w:rFonts w:cs="Times New Roman"/>
          <w:szCs w:val="24"/>
        </w:rPr>
        <w:t xml:space="preserve"> prairie, and everything in between. Likewise, each university is necessarily involved in ongoing land assembly, i.e., ranging from a new parking lot to a full campus expansion. The national organization</w:t>
      </w:r>
      <w:r w:rsidR="00F953C4">
        <w:rPr>
          <w:rFonts w:cs="Times New Roman"/>
          <w:szCs w:val="24"/>
        </w:rPr>
        <w:t>, i.e.,</w:t>
      </w:r>
      <w:r w:rsidRPr="00C43513">
        <w:rPr>
          <w:rFonts w:cs="Times New Roman"/>
          <w:szCs w:val="24"/>
        </w:rPr>
        <w:t xml:space="preserve"> </w:t>
      </w:r>
      <w:r w:rsidR="006C09F6">
        <w:rPr>
          <w:rFonts w:cs="Times New Roman"/>
          <w:szCs w:val="24"/>
        </w:rPr>
        <w:t xml:space="preserve">overseeing </w:t>
      </w:r>
      <w:r w:rsidR="00F953C4">
        <w:rPr>
          <w:rFonts w:cs="Times New Roman"/>
          <w:szCs w:val="24"/>
        </w:rPr>
        <w:t xml:space="preserve">ongoing </w:t>
      </w:r>
      <w:r w:rsidR="006C09F6">
        <w:rPr>
          <w:rFonts w:cs="Times New Roman"/>
          <w:szCs w:val="24"/>
        </w:rPr>
        <w:t xml:space="preserve">land assembly negotiations at public universities </w:t>
      </w:r>
      <w:r w:rsidRPr="00C43513">
        <w:rPr>
          <w:rFonts w:cs="Times New Roman"/>
          <w:szCs w:val="24"/>
        </w:rPr>
        <w:t>p</w:t>
      </w:r>
      <w:r w:rsidR="006C09F6">
        <w:rPr>
          <w:rFonts w:cs="Times New Roman"/>
          <w:szCs w:val="24"/>
        </w:rPr>
        <w:t>ublic universities</w:t>
      </w:r>
      <w:r w:rsidRPr="00C43513">
        <w:rPr>
          <w:rFonts w:cs="Times New Roman"/>
          <w:szCs w:val="24"/>
        </w:rPr>
        <w:t xml:space="preserve"> is the Association of University Real Estate Officials [AUREO]. </w:t>
      </w:r>
    </w:p>
    <w:p w14:paraId="0132E2D6" w14:textId="42117A9F" w:rsidR="00C43513" w:rsidRPr="00C43513" w:rsidRDefault="00C43513" w:rsidP="00C43513">
      <w:pPr>
        <w:spacing w:after="160"/>
        <w:ind w:left="0" w:firstLine="0"/>
        <w:jc w:val="left"/>
        <w:rPr>
          <w:rFonts w:cs="Times New Roman"/>
          <w:szCs w:val="24"/>
        </w:rPr>
      </w:pPr>
      <w:r w:rsidRPr="00C43513">
        <w:rPr>
          <w:rFonts w:cs="Times New Roman"/>
          <w:szCs w:val="24"/>
        </w:rPr>
        <w:lastRenderedPageBreak/>
        <w:t>To replicate the game-theoretical bargaining model first pioneered by Nash, and later clarified and defined by Eckart, Strange, Miceli and Segerson</w:t>
      </w:r>
      <w:r w:rsidR="004D1FF4">
        <w:rPr>
          <w:rFonts w:cs="Times New Roman"/>
          <w:szCs w:val="24"/>
        </w:rPr>
        <w:t>,</w:t>
      </w:r>
      <w:r w:rsidRPr="00C43513">
        <w:rPr>
          <w:rFonts w:cs="Times New Roman"/>
          <w:szCs w:val="24"/>
        </w:rPr>
        <w:t xml:space="preserve"> et al, this study sought specifically to model the strategic holdout behaviors that arise uniquely during an n-person, non-cooperative land assembly bargaining game, i.e., during real-world land assembly negotiations. From the sample population of twenty-seven “Tier 2” interviewees, as a smaller sample size of six (6) interviewees self-selected as willing participants in the more intensive “Tier 1” research interviews, i.e., to discuss their direct participation in four (4) ongoing land assembly projects at the University of Cincinnati, the University of Illinois Urbana-Champaign, the University of Texas Austin, and the University of Oklahoma Norman. In each case, the respondents fully described the procedures they employed, allowing them to negotiate one-on-one with members of the local community, i.e., successfully resolving a wide range of holdout problems </w:t>
      </w:r>
      <w:r w:rsidRPr="00C43513">
        <w:rPr>
          <w:rFonts w:cs="Times New Roman"/>
          <w:i/>
          <w:iCs/>
          <w:szCs w:val="24"/>
        </w:rPr>
        <w:t>without</w:t>
      </w:r>
      <w:r w:rsidRPr="00C43513">
        <w:rPr>
          <w:rFonts w:cs="Times New Roman"/>
          <w:szCs w:val="24"/>
        </w:rPr>
        <w:t xml:space="preserve"> requiring eminent domain.</w:t>
      </w:r>
      <w:r w:rsidR="00306848">
        <w:rPr>
          <w:rFonts w:cs="Times New Roman"/>
          <w:szCs w:val="24"/>
        </w:rPr>
        <w:t xml:space="preserve"> [Nash 1960; Eckart 1980; Strange 1998; Miceli and Segerson</w:t>
      </w:r>
      <w:r w:rsidR="007424AE">
        <w:rPr>
          <w:rFonts w:cs="Times New Roman"/>
          <w:szCs w:val="24"/>
        </w:rPr>
        <w:t xml:space="preserve"> 2010]</w:t>
      </w:r>
    </w:p>
    <w:p w14:paraId="1834CEBD" w14:textId="3D7590FD" w:rsidR="00C43513" w:rsidRDefault="00A33C1A" w:rsidP="00C43513">
      <w:pPr>
        <w:spacing w:after="160"/>
        <w:ind w:left="0" w:firstLine="0"/>
        <w:jc w:val="left"/>
        <w:rPr>
          <w:rFonts w:cs="Times New Roman"/>
          <w:szCs w:val="24"/>
        </w:rPr>
      </w:pPr>
      <w:r>
        <w:rPr>
          <w:rFonts w:cs="Times New Roman"/>
          <w:szCs w:val="24"/>
        </w:rPr>
        <w:t>As fully discussed in C</w:t>
      </w:r>
      <w:r w:rsidR="00B326E0">
        <w:rPr>
          <w:rFonts w:cs="Times New Roman"/>
          <w:szCs w:val="24"/>
        </w:rPr>
        <w:t xml:space="preserve">hapter 4, </w:t>
      </w:r>
      <w:r w:rsidR="000D6C69">
        <w:rPr>
          <w:rFonts w:cs="Times New Roman"/>
          <w:szCs w:val="24"/>
        </w:rPr>
        <w:t xml:space="preserve">in </w:t>
      </w:r>
      <w:r w:rsidR="00B326E0">
        <w:rPr>
          <w:rFonts w:cs="Times New Roman"/>
          <w:szCs w:val="24"/>
        </w:rPr>
        <w:t xml:space="preserve">the </w:t>
      </w:r>
      <w:r w:rsidR="00B326E0" w:rsidRPr="00C43513">
        <w:rPr>
          <w:rFonts w:cs="Times New Roman"/>
          <w:szCs w:val="24"/>
        </w:rPr>
        <w:t xml:space="preserve">firsthand narrative accounts </w:t>
      </w:r>
      <w:r w:rsidR="00B326E0">
        <w:rPr>
          <w:rFonts w:cs="Times New Roman"/>
          <w:szCs w:val="24"/>
        </w:rPr>
        <w:t>provided by the IRB</w:t>
      </w:r>
      <w:r w:rsidR="00C43513" w:rsidRPr="00C43513">
        <w:rPr>
          <w:rFonts w:cs="Times New Roman"/>
          <w:szCs w:val="24"/>
        </w:rPr>
        <w:t xml:space="preserve"> interviewees, </w:t>
      </w:r>
      <w:r w:rsidR="000D6C69">
        <w:rPr>
          <w:rFonts w:cs="Times New Roman"/>
          <w:szCs w:val="24"/>
        </w:rPr>
        <w:t xml:space="preserve">they fully </w:t>
      </w:r>
      <w:r w:rsidR="00C43513" w:rsidRPr="00C43513">
        <w:rPr>
          <w:rFonts w:cs="Times New Roman"/>
          <w:szCs w:val="24"/>
        </w:rPr>
        <w:t>describ</w:t>
      </w:r>
      <w:r w:rsidR="005A5700">
        <w:rPr>
          <w:rFonts w:cs="Times New Roman"/>
          <w:szCs w:val="24"/>
        </w:rPr>
        <w:t>ed</w:t>
      </w:r>
      <w:r w:rsidR="00C43513" w:rsidRPr="00C43513">
        <w:rPr>
          <w:rFonts w:cs="Times New Roman"/>
          <w:szCs w:val="24"/>
        </w:rPr>
        <w:t xml:space="preserve"> the host of innovative bargaining mechanisms they routinely employed</w:t>
      </w:r>
      <w:r w:rsidR="000D6C69">
        <w:rPr>
          <w:rFonts w:cs="Times New Roman"/>
          <w:szCs w:val="24"/>
        </w:rPr>
        <w:t xml:space="preserve"> </w:t>
      </w:r>
      <w:r w:rsidR="00C43513" w:rsidRPr="00C43513">
        <w:rPr>
          <w:rFonts w:cs="Times New Roman"/>
          <w:szCs w:val="24"/>
        </w:rPr>
        <w:t xml:space="preserve">during real-world land assembly </w:t>
      </w:r>
      <w:r w:rsidR="000D6C69">
        <w:rPr>
          <w:rFonts w:cs="Times New Roman"/>
          <w:szCs w:val="24"/>
        </w:rPr>
        <w:t>negotiations</w:t>
      </w:r>
      <w:r w:rsidR="000D6C69" w:rsidRPr="00C43513">
        <w:rPr>
          <w:rFonts w:cs="Times New Roman"/>
          <w:szCs w:val="24"/>
        </w:rPr>
        <w:t>, i.e.,</w:t>
      </w:r>
      <w:r w:rsidR="000D6C69">
        <w:rPr>
          <w:rFonts w:cs="Times New Roman"/>
          <w:szCs w:val="24"/>
        </w:rPr>
        <w:t xml:space="preserve"> </w:t>
      </w:r>
      <w:r w:rsidR="00C43513" w:rsidRPr="00C43513">
        <w:rPr>
          <w:rFonts w:cs="Times New Roman"/>
          <w:szCs w:val="24"/>
        </w:rPr>
        <w:t xml:space="preserve">to resolve </w:t>
      </w:r>
      <w:r w:rsidR="000D6C69">
        <w:rPr>
          <w:rFonts w:cs="Times New Roman"/>
          <w:szCs w:val="24"/>
        </w:rPr>
        <w:t xml:space="preserve">monopoly </w:t>
      </w:r>
      <w:r w:rsidR="00C43513" w:rsidRPr="00C43513">
        <w:rPr>
          <w:rFonts w:cs="Times New Roman"/>
          <w:szCs w:val="24"/>
        </w:rPr>
        <w:t xml:space="preserve">holdouts without requiring eminent domain. Next, they </w:t>
      </w:r>
      <w:r w:rsidR="00892C99">
        <w:rPr>
          <w:rFonts w:cs="Times New Roman"/>
          <w:szCs w:val="24"/>
        </w:rPr>
        <w:t xml:space="preserve">thoroughly </w:t>
      </w:r>
      <w:r w:rsidR="00C43513" w:rsidRPr="00C43513">
        <w:rPr>
          <w:rFonts w:cs="Times New Roman"/>
          <w:szCs w:val="24"/>
        </w:rPr>
        <w:t xml:space="preserve">explained how they strategically employed these mechanisms, </w:t>
      </w:r>
      <w:r w:rsidR="00892C99">
        <w:rPr>
          <w:rFonts w:cs="Times New Roman"/>
          <w:szCs w:val="24"/>
        </w:rPr>
        <w:t>i.e., enabling them</w:t>
      </w:r>
      <w:r w:rsidR="00C43513" w:rsidRPr="00C43513">
        <w:rPr>
          <w:rFonts w:cs="Times New Roman"/>
          <w:szCs w:val="24"/>
        </w:rPr>
        <w:t xml:space="preserve"> to reach</w:t>
      </w:r>
      <w:r w:rsidR="00892C99">
        <w:rPr>
          <w:rFonts w:cs="Times New Roman"/>
          <w:szCs w:val="24"/>
        </w:rPr>
        <w:t xml:space="preserve"> reciprocal</w:t>
      </w:r>
      <w:r w:rsidR="00AF2FA3">
        <w:rPr>
          <w:rFonts w:cs="Times New Roman"/>
          <w:szCs w:val="24"/>
        </w:rPr>
        <w:t xml:space="preserve"> mutually beneficial</w:t>
      </w:r>
      <w:r w:rsidR="00C43513" w:rsidRPr="00C43513">
        <w:rPr>
          <w:rFonts w:cs="Times New Roman"/>
          <w:szCs w:val="24"/>
        </w:rPr>
        <w:t xml:space="preserve"> bargaining agreements</w:t>
      </w:r>
      <w:r w:rsidR="00AF2FA3">
        <w:rPr>
          <w:rFonts w:cs="Times New Roman"/>
          <w:szCs w:val="24"/>
        </w:rPr>
        <w:t xml:space="preserve"> to successfully resolve monopoly holdouts, </w:t>
      </w:r>
      <w:r w:rsidR="00C43513" w:rsidRPr="00C43513">
        <w:rPr>
          <w:rFonts w:cs="Times New Roman"/>
          <w:szCs w:val="24"/>
        </w:rPr>
        <w:t>that otherwise would have caused the</w:t>
      </w:r>
      <w:r w:rsidR="00A85996">
        <w:rPr>
          <w:rFonts w:cs="Times New Roman"/>
          <w:szCs w:val="24"/>
        </w:rPr>
        <w:t>m to</w:t>
      </w:r>
      <w:r w:rsidR="00C43513" w:rsidRPr="00C43513">
        <w:rPr>
          <w:rFonts w:cs="Times New Roman"/>
          <w:szCs w:val="24"/>
        </w:rPr>
        <w:t xml:space="preserve"> forfei</w:t>
      </w:r>
      <w:r w:rsidR="00A85996">
        <w:rPr>
          <w:rFonts w:cs="Times New Roman"/>
          <w:szCs w:val="24"/>
        </w:rPr>
        <w:t xml:space="preserve">t </w:t>
      </w:r>
      <w:r w:rsidR="00C43513" w:rsidRPr="00C43513">
        <w:rPr>
          <w:rFonts w:cs="Times New Roman"/>
          <w:szCs w:val="24"/>
        </w:rPr>
        <w:t>the</w:t>
      </w:r>
      <w:r w:rsidR="00F907FE">
        <w:rPr>
          <w:rFonts w:cs="Times New Roman"/>
          <w:szCs w:val="24"/>
        </w:rPr>
        <w:t>ir</w:t>
      </w:r>
      <w:r w:rsidR="00C43513" w:rsidRPr="00C43513">
        <w:rPr>
          <w:rFonts w:cs="Times New Roman"/>
          <w:szCs w:val="24"/>
        </w:rPr>
        <w:t xml:space="preserve"> projects. </w:t>
      </w:r>
    </w:p>
    <w:p w14:paraId="5156E8D7" w14:textId="4CE5EEFF" w:rsidR="00F907FE" w:rsidRPr="00C43513" w:rsidRDefault="00077FC8" w:rsidP="00C43513">
      <w:pPr>
        <w:spacing w:after="160"/>
        <w:ind w:left="0" w:firstLine="0"/>
        <w:jc w:val="left"/>
        <w:rPr>
          <w:rFonts w:cs="Times New Roman"/>
          <w:szCs w:val="24"/>
        </w:rPr>
      </w:pPr>
      <w:r w:rsidRPr="00C43513">
        <w:rPr>
          <w:rFonts w:cs="Times New Roman"/>
          <w:szCs w:val="24"/>
        </w:rPr>
        <w:lastRenderedPageBreak/>
        <w:t xml:space="preserve">This key finding of this </w:t>
      </w:r>
      <w:r w:rsidR="00525750">
        <w:rPr>
          <w:rFonts w:cs="Times New Roman"/>
          <w:szCs w:val="24"/>
        </w:rPr>
        <w:t xml:space="preserve">original research </w:t>
      </w:r>
      <w:r w:rsidRPr="00C43513">
        <w:rPr>
          <w:rFonts w:cs="Times New Roman"/>
          <w:szCs w:val="24"/>
        </w:rPr>
        <w:t>study is discove</w:t>
      </w:r>
      <w:r w:rsidR="00835E81">
        <w:rPr>
          <w:rFonts w:cs="Times New Roman"/>
          <w:szCs w:val="24"/>
        </w:rPr>
        <w:t>ring</w:t>
      </w:r>
      <w:r w:rsidRPr="00C43513">
        <w:rPr>
          <w:rFonts w:cs="Times New Roman"/>
          <w:szCs w:val="24"/>
        </w:rPr>
        <w:t xml:space="preserve"> that</w:t>
      </w:r>
      <w:r w:rsidR="004B4FC6" w:rsidRPr="004B4FC6">
        <w:rPr>
          <w:rFonts w:cs="Times New Roman"/>
          <w:szCs w:val="24"/>
        </w:rPr>
        <w:t xml:space="preserve"> </w:t>
      </w:r>
      <w:r w:rsidR="004B4FC6" w:rsidRPr="00C43513">
        <w:rPr>
          <w:rFonts w:cs="Times New Roman"/>
          <w:szCs w:val="24"/>
        </w:rPr>
        <w:t xml:space="preserve">public </w:t>
      </w:r>
      <w:r w:rsidR="00835E81" w:rsidRPr="00C43513">
        <w:rPr>
          <w:rFonts w:cs="Times New Roman"/>
          <w:szCs w:val="24"/>
        </w:rPr>
        <w:t xml:space="preserve">land assembly </w:t>
      </w:r>
      <w:r w:rsidR="004B4FC6" w:rsidRPr="00C43513">
        <w:rPr>
          <w:rFonts w:cs="Times New Roman"/>
          <w:szCs w:val="24"/>
        </w:rPr>
        <w:t>negotiators</w:t>
      </w:r>
      <w:r w:rsidRPr="00C43513">
        <w:rPr>
          <w:rFonts w:cs="Times New Roman"/>
          <w:szCs w:val="24"/>
        </w:rPr>
        <w:t xml:space="preserve">, </w:t>
      </w:r>
      <w:r w:rsidR="00525750">
        <w:rPr>
          <w:rFonts w:cs="Times New Roman"/>
          <w:szCs w:val="24"/>
        </w:rPr>
        <w:t xml:space="preserve">in a wide range of real-world land assembly projects </w:t>
      </w:r>
      <w:r w:rsidRPr="00C43513">
        <w:rPr>
          <w:rFonts w:cs="Times New Roman"/>
          <w:szCs w:val="24"/>
        </w:rPr>
        <w:t xml:space="preserve">across the US, </w:t>
      </w:r>
      <w:r w:rsidR="00E526A2">
        <w:rPr>
          <w:rFonts w:cs="Times New Roman"/>
          <w:szCs w:val="24"/>
        </w:rPr>
        <w:t>routinely</w:t>
      </w:r>
      <w:r w:rsidRPr="00C43513">
        <w:rPr>
          <w:rFonts w:cs="Times New Roman"/>
          <w:szCs w:val="24"/>
        </w:rPr>
        <w:t xml:space="preserve"> resolve </w:t>
      </w:r>
      <w:r w:rsidR="00525750">
        <w:rPr>
          <w:rFonts w:cs="Times New Roman"/>
          <w:szCs w:val="24"/>
        </w:rPr>
        <w:t xml:space="preserve">monopoly </w:t>
      </w:r>
      <w:r w:rsidRPr="00C43513">
        <w:rPr>
          <w:rFonts w:cs="Times New Roman"/>
          <w:szCs w:val="24"/>
        </w:rPr>
        <w:t xml:space="preserve">holdouts through </w:t>
      </w:r>
      <w:r w:rsidR="001321A5">
        <w:rPr>
          <w:rFonts w:cs="Times New Roman"/>
          <w:szCs w:val="24"/>
        </w:rPr>
        <w:t>strategic</w:t>
      </w:r>
      <w:r w:rsidR="00525750">
        <w:rPr>
          <w:rFonts w:cs="Times New Roman"/>
          <w:szCs w:val="24"/>
        </w:rPr>
        <w:t xml:space="preserve"> </w:t>
      </w:r>
      <w:r w:rsidRPr="00C43513">
        <w:rPr>
          <w:rFonts w:cs="Times New Roman"/>
          <w:szCs w:val="24"/>
        </w:rPr>
        <w:t xml:space="preserve">bargaining, i.e., </w:t>
      </w:r>
      <w:r w:rsidR="00E526A2">
        <w:rPr>
          <w:rFonts w:cs="Times New Roman"/>
          <w:szCs w:val="24"/>
        </w:rPr>
        <w:t>rather than</w:t>
      </w:r>
      <w:r w:rsidR="006D18A1">
        <w:rPr>
          <w:rFonts w:cs="Times New Roman"/>
          <w:szCs w:val="24"/>
        </w:rPr>
        <w:t xml:space="preserve"> requiring </w:t>
      </w:r>
      <w:r w:rsidRPr="00C43513">
        <w:rPr>
          <w:rFonts w:cs="Times New Roman"/>
          <w:szCs w:val="24"/>
        </w:rPr>
        <w:t xml:space="preserve">eminent domain. This discovery </w:t>
      </w:r>
      <w:r w:rsidR="00D35B77">
        <w:rPr>
          <w:rFonts w:cs="Times New Roman"/>
          <w:szCs w:val="24"/>
        </w:rPr>
        <w:t xml:space="preserve">is significant because it </w:t>
      </w:r>
      <w:r w:rsidRPr="00C43513">
        <w:rPr>
          <w:rFonts w:cs="Times New Roman"/>
          <w:szCs w:val="24"/>
        </w:rPr>
        <w:t>directly contradicts almost 250 years of</w:t>
      </w:r>
      <w:r w:rsidR="006D18A1">
        <w:rPr>
          <w:rFonts w:cs="Times New Roman"/>
          <w:szCs w:val="24"/>
        </w:rPr>
        <w:t xml:space="preserve"> longstanding </w:t>
      </w:r>
      <w:r w:rsidR="004D2951">
        <w:rPr>
          <w:rFonts w:cs="Times New Roman"/>
          <w:szCs w:val="24"/>
        </w:rPr>
        <w:t>p</w:t>
      </w:r>
      <w:r w:rsidRPr="00C43513">
        <w:rPr>
          <w:rFonts w:cs="Times New Roman"/>
          <w:szCs w:val="24"/>
        </w:rPr>
        <w:t>olicy</w:t>
      </w:r>
      <w:r w:rsidR="006D18A1" w:rsidRPr="00C43513">
        <w:rPr>
          <w:rFonts w:cs="Times New Roman"/>
          <w:szCs w:val="24"/>
        </w:rPr>
        <w:t xml:space="preserve"> orthodox</w:t>
      </w:r>
      <w:r w:rsidR="006D18A1">
        <w:rPr>
          <w:rFonts w:cs="Times New Roman"/>
          <w:szCs w:val="24"/>
        </w:rPr>
        <w:t>y</w:t>
      </w:r>
      <w:r w:rsidR="009F4462">
        <w:rPr>
          <w:rFonts w:cs="Times New Roman"/>
          <w:szCs w:val="24"/>
        </w:rPr>
        <w:t>, i.e.,</w:t>
      </w:r>
      <w:r w:rsidR="00D35B77">
        <w:rPr>
          <w:rFonts w:cs="Times New Roman"/>
          <w:szCs w:val="24"/>
        </w:rPr>
        <w:t xml:space="preserve"> </w:t>
      </w:r>
      <w:r w:rsidR="006D18A1">
        <w:rPr>
          <w:rFonts w:cs="Times New Roman"/>
          <w:szCs w:val="24"/>
        </w:rPr>
        <w:t>concerning</w:t>
      </w:r>
      <w:r w:rsidRPr="00C43513">
        <w:rPr>
          <w:rFonts w:cs="Times New Roman"/>
          <w:szCs w:val="24"/>
        </w:rPr>
        <w:t xml:space="preserve"> </w:t>
      </w:r>
      <w:r w:rsidR="00935629">
        <w:rPr>
          <w:rFonts w:cs="Times New Roman"/>
          <w:szCs w:val="24"/>
        </w:rPr>
        <w:t xml:space="preserve">our </w:t>
      </w:r>
      <w:r w:rsidR="009F4462">
        <w:rPr>
          <w:rFonts w:cs="Times New Roman"/>
          <w:szCs w:val="24"/>
        </w:rPr>
        <w:t>basic assertions</w:t>
      </w:r>
      <w:r w:rsidR="00935629">
        <w:rPr>
          <w:rFonts w:cs="Times New Roman"/>
          <w:szCs w:val="24"/>
        </w:rPr>
        <w:t xml:space="preserve"> </w:t>
      </w:r>
      <w:r w:rsidR="009F4462">
        <w:rPr>
          <w:rFonts w:cs="Times New Roman"/>
          <w:szCs w:val="24"/>
        </w:rPr>
        <w:t xml:space="preserve">about </w:t>
      </w:r>
      <w:r w:rsidR="006D18A1">
        <w:rPr>
          <w:rFonts w:cs="Times New Roman"/>
          <w:szCs w:val="24"/>
        </w:rPr>
        <w:t xml:space="preserve">monopoly </w:t>
      </w:r>
      <w:r w:rsidRPr="00C43513">
        <w:rPr>
          <w:rFonts w:cs="Times New Roman"/>
          <w:szCs w:val="24"/>
        </w:rPr>
        <w:t xml:space="preserve">holdout behavior. </w:t>
      </w:r>
    </w:p>
    <w:p w14:paraId="3CEBD578" w14:textId="77777777" w:rsidR="00C43513" w:rsidRDefault="00C43513" w:rsidP="00EE6A7A">
      <w:pPr>
        <w:pStyle w:val="Heading2"/>
      </w:pPr>
      <w:bookmarkStart w:id="24" w:name="_Toc126651368"/>
      <w:bookmarkStart w:id="25" w:name="_Toc134346731"/>
      <w:r w:rsidRPr="00C43513">
        <w:t>Significance of the Study:</w:t>
      </w:r>
      <w:bookmarkEnd w:id="24"/>
      <w:bookmarkEnd w:id="25"/>
    </w:p>
    <w:p w14:paraId="20387C06" w14:textId="7ADB7E76" w:rsidR="009A410A" w:rsidRDefault="00B85B56" w:rsidP="00B57586">
      <w:pPr>
        <w:ind w:left="0" w:firstLine="0"/>
        <w:jc w:val="left"/>
      </w:pPr>
      <w:r w:rsidRPr="00B85B56">
        <w:t xml:space="preserve">The </w:t>
      </w:r>
      <w:r w:rsidR="007074E6">
        <w:t>significance</w:t>
      </w:r>
      <w:r w:rsidRPr="00B85B56">
        <w:t xml:space="preserve"> of this study </w:t>
      </w:r>
      <w:r>
        <w:t>was</w:t>
      </w:r>
      <w:r w:rsidRPr="00B85B56">
        <w:t xml:space="preserve"> </w:t>
      </w:r>
      <w:r w:rsidR="007074E6">
        <w:t>clearly identifyin</w:t>
      </w:r>
      <w:r w:rsidR="00262D1E">
        <w:t>g a host of</w:t>
      </w:r>
      <w:r w:rsidRPr="00B85B56">
        <w:t xml:space="preserve"> practical alternative</w:t>
      </w:r>
      <w:r w:rsidR="007E0459">
        <w:t>s</w:t>
      </w:r>
      <w:r w:rsidRPr="00B85B56">
        <w:t xml:space="preserve"> for resolving monopoly holdouts, i.e., without requiring eminent domain. As a practical alternative to longstanding policy orthodoxy,</w:t>
      </w:r>
      <w:r w:rsidR="00171E0D">
        <w:t xml:space="preserve"> </w:t>
      </w:r>
      <w:r w:rsidRPr="00B85B56">
        <w:t>this study find</w:t>
      </w:r>
      <w:r w:rsidR="00856577">
        <w:t>s</w:t>
      </w:r>
      <w:r w:rsidRPr="00B85B56">
        <w:t xml:space="preserve"> that</w:t>
      </w:r>
      <w:r w:rsidR="00F22B85">
        <w:t>,</w:t>
      </w:r>
      <w:r w:rsidRPr="00B85B56">
        <w:t xml:space="preserve"> by systematically negotiating reciprocal, mutually beneficial [Coasean] bargaining agreements with recalcitrant landowners, it is possible to successfully resolve monopoly holdouts without requiring eminent domain. </w:t>
      </w:r>
      <w:r w:rsidR="001A6321" w:rsidRPr="001A6321">
        <w:t xml:space="preserve">While these results may seem pedestrian to the layperson, their practical implications for the practice of Regional/City Planning are profound. </w:t>
      </w:r>
      <w:r w:rsidRPr="00B85B56">
        <w:t>By employing these same innovative bargaining mechanisms, it enables urban planners/designers/administrators to continually seek out local innovators (of all stripes), partner them with youthful entrepreneurs, and create new economic, social, and political synergies, i.e., enabling any local municipality to achieve the same urban growth/redevelopment/revitalization renaissance pioneered in so-called “College Towns</w:t>
      </w:r>
      <w:r w:rsidR="00FC3457" w:rsidRPr="00B85B56">
        <w:t>.”</w:t>
      </w:r>
    </w:p>
    <w:p w14:paraId="7CA058DE" w14:textId="77777777" w:rsidR="00FC3457" w:rsidRDefault="00FC3457" w:rsidP="00B57586">
      <w:pPr>
        <w:ind w:left="0" w:firstLine="0"/>
        <w:jc w:val="left"/>
      </w:pPr>
    </w:p>
    <w:p w14:paraId="0B73A4E4" w14:textId="77777777" w:rsidR="001F3123" w:rsidRPr="009A410A" w:rsidRDefault="001F3123" w:rsidP="00B57586">
      <w:pPr>
        <w:ind w:left="0" w:firstLine="0"/>
        <w:jc w:val="left"/>
      </w:pPr>
    </w:p>
    <w:p w14:paraId="760D2D8B" w14:textId="77777777" w:rsidR="00C43513" w:rsidRPr="00C43513" w:rsidRDefault="00C43513" w:rsidP="00EE6A7A">
      <w:pPr>
        <w:pStyle w:val="Heading2"/>
      </w:pPr>
      <w:bookmarkStart w:id="26" w:name="_Toc126651369"/>
      <w:bookmarkStart w:id="27" w:name="_Toc134346732"/>
      <w:r w:rsidRPr="00C43513">
        <w:lastRenderedPageBreak/>
        <w:t>Description of the Chapters:</w:t>
      </w:r>
      <w:bookmarkEnd w:id="26"/>
      <w:bookmarkEnd w:id="27"/>
    </w:p>
    <w:p w14:paraId="7A2D35C1" w14:textId="77777777" w:rsidR="00C43513" w:rsidRPr="00173F51" w:rsidRDefault="00C43513" w:rsidP="00C43513">
      <w:pPr>
        <w:spacing w:after="160"/>
        <w:ind w:left="0" w:firstLine="0"/>
        <w:jc w:val="left"/>
        <w:rPr>
          <w:rFonts w:cs="Times New Roman"/>
          <w:szCs w:val="24"/>
        </w:rPr>
      </w:pPr>
      <w:r w:rsidRPr="00173F51">
        <w:rPr>
          <w:rFonts w:cs="Times New Roman"/>
          <w:szCs w:val="24"/>
        </w:rPr>
        <w:t xml:space="preserve">Chapter 1: Introduction </w:t>
      </w:r>
    </w:p>
    <w:p w14:paraId="352F65AD" w14:textId="0E711CA2" w:rsidR="00C43513" w:rsidRPr="000F02A6" w:rsidRDefault="00C43513" w:rsidP="00C43513">
      <w:pPr>
        <w:spacing w:after="160"/>
        <w:ind w:left="0" w:firstLine="0"/>
        <w:jc w:val="left"/>
        <w:rPr>
          <w:rFonts w:cs="Times New Roman"/>
          <w:szCs w:val="24"/>
        </w:rPr>
      </w:pPr>
      <w:r w:rsidRPr="00C43513">
        <w:rPr>
          <w:rFonts w:cs="Times New Roman"/>
          <w:szCs w:val="24"/>
        </w:rPr>
        <w:t xml:space="preserve">Provides a complete roadmap for conducting this original research study. It discusses the historical background of the research topic and provides a concise statement of the problem motivating this original research. It outlines the research design methodology protocols required for conducting this research and explains how they are employed to fully answer the primary research question. Finally, it discusses the results of the study, and how these findings are significant in filling the current gap in our knowledge, i.e., concerning a practical alternative for resolving monopoly holdouts </w:t>
      </w:r>
      <w:r w:rsidRPr="00C43513">
        <w:rPr>
          <w:rFonts w:cs="Times New Roman"/>
          <w:i/>
          <w:iCs/>
          <w:szCs w:val="24"/>
        </w:rPr>
        <w:t>without</w:t>
      </w:r>
      <w:r w:rsidRPr="00C43513">
        <w:rPr>
          <w:rFonts w:cs="Times New Roman"/>
          <w:szCs w:val="24"/>
        </w:rPr>
        <w:t xml:space="preserve"> requiring eminent domain. </w:t>
      </w:r>
    </w:p>
    <w:p w14:paraId="765C7D61" w14:textId="63770698" w:rsidR="00C43513" w:rsidRPr="000F02A6" w:rsidRDefault="00C43513" w:rsidP="00C43513">
      <w:pPr>
        <w:spacing w:after="160"/>
        <w:ind w:left="0" w:firstLine="0"/>
        <w:jc w:val="left"/>
        <w:rPr>
          <w:rFonts w:cs="Times New Roman"/>
          <w:szCs w:val="24"/>
        </w:rPr>
      </w:pPr>
      <w:r w:rsidRPr="000F02A6">
        <w:rPr>
          <w:rFonts w:cs="Times New Roman"/>
          <w:szCs w:val="24"/>
        </w:rPr>
        <w:t xml:space="preserve">Chapter 2: Literature Review </w:t>
      </w:r>
    </w:p>
    <w:p w14:paraId="5542E2C8" w14:textId="77777777" w:rsidR="00C43513" w:rsidRPr="00C43513" w:rsidRDefault="00C43513" w:rsidP="00C43513">
      <w:pPr>
        <w:spacing w:after="160"/>
        <w:ind w:left="0" w:firstLine="0"/>
        <w:jc w:val="left"/>
        <w:rPr>
          <w:rFonts w:cs="Times New Roman"/>
          <w:szCs w:val="24"/>
        </w:rPr>
      </w:pPr>
      <w:r w:rsidRPr="00C43513">
        <w:rPr>
          <w:rFonts w:cs="Times New Roman"/>
          <w:szCs w:val="24"/>
        </w:rPr>
        <w:t xml:space="preserve">Summarizes and critically analyzes the main research arguments motivating this study. In the relevant literature, there exists a key gap in our understanding between our formal theoretical assertions and their real-world implications concerning monopoly holdout resolution. To address this gap, this formal literature review fully examines the theoretical framework behind these traditional economic assertions, their codification into longstanding policy orthodoxy, and the so-called “heterodox” research design methodologies, i.e., for finding a practical alternative for resolving monopoly holdouts behavior, thus challenging this longstanding policy orthodoxy. </w:t>
      </w:r>
    </w:p>
    <w:p w14:paraId="1144E07B" w14:textId="77777777" w:rsidR="00C70B13" w:rsidRDefault="00C70B13" w:rsidP="00C43513">
      <w:pPr>
        <w:spacing w:after="160"/>
        <w:ind w:left="0" w:firstLine="0"/>
        <w:jc w:val="left"/>
        <w:rPr>
          <w:rFonts w:cs="Times New Roman"/>
          <w:szCs w:val="24"/>
        </w:rPr>
      </w:pPr>
    </w:p>
    <w:p w14:paraId="1D49ABEA" w14:textId="77777777" w:rsidR="00C70B13" w:rsidRDefault="00C70B13" w:rsidP="00C43513">
      <w:pPr>
        <w:spacing w:after="160"/>
        <w:ind w:left="0" w:firstLine="0"/>
        <w:jc w:val="left"/>
        <w:rPr>
          <w:rFonts w:cs="Times New Roman"/>
          <w:szCs w:val="24"/>
        </w:rPr>
      </w:pPr>
    </w:p>
    <w:p w14:paraId="0202E5E8" w14:textId="1A6484DC" w:rsidR="00C43513" w:rsidRPr="000F02A6" w:rsidRDefault="00C43513" w:rsidP="00C43513">
      <w:pPr>
        <w:spacing w:after="160"/>
        <w:ind w:left="0" w:firstLine="0"/>
        <w:jc w:val="left"/>
        <w:rPr>
          <w:rFonts w:cs="Times New Roman"/>
          <w:szCs w:val="24"/>
        </w:rPr>
      </w:pPr>
      <w:r w:rsidRPr="000F02A6">
        <w:rPr>
          <w:rFonts w:cs="Times New Roman"/>
          <w:szCs w:val="24"/>
        </w:rPr>
        <w:lastRenderedPageBreak/>
        <w:t>Chapter 3:</w:t>
      </w:r>
      <w:r w:rsidR="002A749D">
        <w:rPr>
          <w:rFonts w:cs="Times New Roman"/>
          <w:szCs w:val="24"/>
        </w:rPr>
        <w:t xml:space="preserve"> Historical</w:t>
      </w:r>
      <w:r w:rsidRPr="000F02A6">
        <w:rPr>
          <w:rFonts w:cs="Times New Roman"/>
          <w:szCs w:val="24"/>
        </w:rPr>
        <w:t xml:space="preserve"> Case Studies </w:t>
      </w:r>
    </w:p>
    <w:p w14:paraId="0CA7B9E4" w14:textId="3DE5FA07" w:rsidR="000C1806" w:rsidRDefault="00C43513" w:rsidP="00C43513">
      <w:pPr>
        <w:spacing w:after="160"/>
        <w:ind w:left="0" w:firstLine="0"/>
        <w:jc w:val="left"/>
        <w:rPr>
          <w:rFonts w:cs="Times New Roman"/>
          <w:szCs w:val="24"/>
        </w:rPr>
      </w:pPr>
      <w:r w:rsidRPr="00C43513">
        <w:rPr>
          <w:rFonts w:cs="Times New Roman"/>
          <w:szCs w:val="24"/>
        </w:rPr>
        <w:t xml:space="preserve">Fully examines three historical land assembly projects of Columbia, MD, Walt Disneyworld, FL, and the World Trade Center, NYC. As paradigmatic case studies, </w:t>
      </w:r>
      <w:r w:rsidR="00B35605">
        <w:rPr>
          <w:rFonts w:cs="Times New Roman"/>
          <w:szCs w:val="24"/>
        </w:rPr>
        <w:t>each</w:t>
      </w:r>
      <w:r w:rsidRPr="00C43513">
        <w:rPr>
          <w:rFonts w:cs="Times New Roman"/>
          <w:szCs w:val="24"/>
        </w:rPr>
        <w:t xml:space="preserve"> thoroughly documented how</w:t>
      </w:r>
      <w:r w:rsidR="002615D0">
        <w:rPr>
          <w:rFonts w:cs="Times New Roman"/>
          <w:szCs w:val="24"/>
        </w:rPr>
        <w:t xml:space="preserve"> they </w:t>
      </w:r>
      <w:r w:rsidR="002615D0" w:rsidRPr="00C43513">
        <w:rPr>
          <w:rFonts w:cs="Times New Roman"/>
          <w:szCs w:val="24"/>
        </w:rPr>
        <w:t>successfully resolved monopoly holdouts</w:t>
      </w:r>
      <w:r w:rsidR="002615D0">
        <w:rPr>
          <w:rFonts w:cs="Times New Roman"/>
          <w:szCs w:val="24"/>
        </w:rPr>
        <w:t xml:space="preserve"> </w:t>
      </w:r>
      <w:r w:rsidRPr="00C43513">
        <w:rPr>
          <w:rFonts w:cs="Times New Roman"/>
          <w:i/>
          <w:iCs/>
          <w:szCs w:val="24"/>
        </w:rPr>
        <w:t>without</w:t>
      </w:r>
      <w:r w:rsidRPr="00C43513">
        <w:rPr>
          <w:rFonts w:cs="Times New Roman"/>
          <w:szCs w:val="24"/>
        </w:rPr>
        <w:t xml:space="preserve"> requiring eminent domain</w:t>
      </w:r>
      <w:r w:rsidR="00B35605" w:rsidRPr="00C43513">
        <w:rPr>
          <w:rFonts w:cs="Times New Roman"/>
          <w:szCs w:val="24"/>
        </w:rPr>
        <w:t>, i.e.,</w:t>
      </w:r>
      <w:r w:rsidR="00CB2505">
        <w:rPr>
          <w:rFonts w:cs="Times New Roman"/>
          <w:szCs w:val="24"/>
        </w:rPr>
        <w:t xml:space="preserve"> at</w:t>
      </w:r>
      <w:r w:rsidRPr="00C43513">
        <w:rPr>
          <w:rFonts w:cs="Times New Roman"/>
          <w:szCs w:val="24"/>
        </w:rPr>
        <w:t xml:space="preserve"> the height of the Urban Renewal era (c.1962-68).</w:t>
      </w:r>
    </w:p>
    <w:p w14:paraId="18469937" w14:textId="797AA178" w:rsidR="00C43513" w:rsidRPr="000F02A6" w:rsidRDefault="00C43513" w:rsidP="00C43513">
      <w:pPr>
        <w:spacing w:after="160"/>
        <w:ind w:left="0" w:firstLine="0"/>
        <w:jc w:val="left"/>
        <w:rPr>
          <w:rFonts w:cs="Times New Roman"/>
          <w:szCs w:val="24"/>
        </w:rPr>
      </w:pPr>
      <w:r w:rsidRPr="000F02A6">
        <w:rPr>
          <w:rFonts w:cs="Times New Roman"/>
          <w:szCs w:val="24"/>
        </w:rPr>
        <w:t>Chapter 4: IRB</w:t>
      </w:r>
      <w:r w:rsidR="008F45CE">
        <w:rPr>
          <w:rFonts w:cs="Times New Roman"/>
          <w:szCs w:val="24"/>
        </w:rPr>
        <w:t xml:space="preserve"> </w:t>
      </w:r>
      <w:r w:rsidR="002A749D">
        <w:rPr>
          <w:rFonts w:cs="Times New Roman"/>
          <w:szCs w:val="24"/>
        </w:rPr>
        <w:t xml:space="preserve">Interview </w:t>
      </w:r>
      <w:r w:rsidRPr="000F02A6">
        <w:rPr>
          <w:rFonts w:cs="Times New Roman"/>
          <w:szCs w:val="24"/>
        </w:rPr>
        <w:t>Study Results</w:t>
      </w:r>
    </w:p>
    <w:p w14:paraId="799DB34D" w14:textId="093498CC" w:rsidR="00BC4E73" w:rsidRDefault="00C43513" w:rsidP="00A601FC">
      <w:pPr>
        <w:spacing w:after="160"/>
        <w:ind w:left="0" w:firstLine="0"/>
        <w:jc w:val="left"/>
        <w:rPr>
          <w:rFonts w:cs="Times New Roman"/>
          <w:szCs w:val="24"/>
        </w:rPr>
      </w:pPr>
      <w:r w:rsidRPr="00C43513">
        <w:rPr>
          <w:rFonts w:cs="Times New Roman"/>
          <w:szCs w:val="24"/>
        </w:rPr>
        <w:t xml:space="preserve">Fully documents all the original data collected from IRB interviews conducted with AUREO [Association of University Real Estate Officials], who fully described the innovative bargaining mechanisms they routinely employed during ongoing land assembly negotiations at their respective public universities, enabling them to successfully resolve monopoly holdouts </w:t>
      </w:r>
      <w:r w:rsidRPr="00C43513">
        <w:rPr>
          <w:rFonts w:cs="Times New Roman"/>
          <w:i/>
          <w:iCs/>
          <w:szCs w:val="24"/>
        </w:rPr>
        <w:t>without</w:t>
      </w:r>
      <w:r w:rsidRPr="00C43513">
        <w:rPr>
          <w:rFonts w:cs="Times New Roman"/>
          <w:szCs w:val="24"/>
        </w:rPr>
        <w:t xml:space="preserve"> requiring eminent domain, i.e., at the height of the </w:t>
      </w:r>
      <w:r w:rsidRPr="00C43513">
        <w:rPr>
          <w:rFonts w:cs="Times New Roman"/>
          <w:i/>
          <w:iCs/>
          <w:szCs w:val="24"/>
        </w:rPr>
        <w:t>Kelo</w:t>
      </w:r>
      <w:r w:rsidRPr="00C43513">
        <w:rPr>
          <w:rFonts w:cs="Times New Roman"/>
          <w:szCs w:val="24"/>
        </w:rPr>
        <w:t xml:space="preserve"> controversy (c. 2005-6).</w:t>
      </w:r>
      <w:bookmarkStart w:id="28" w:name="_Toc126651370"/>
    </w:p>
    <w:p w14:paraId="5B8AAF01" w14:textId="4C2BB13F" w:rsidR="00CE3C1A" w:rsidRDefault="00FE0B02" w:rsidP="00A601FC">
      <w:pPr>
        <w:spacing w:after="160"/>
        <w:ind w:left="0" w:firstLine="0"/>
        <w:jc w:val="left"/>
        <w:rPr>
          <w:rFonts w:cs="Times New Roman"/>
          <w:szCs w:val="24"/>
        </w:rPr>
      </w:pPr>
      <w:r>
        <w:rPr>
          <w:rFonts w:cs="Times New Roman"/>
          <w:szCs w:val="24"/>
        </w:rPr>
        <w:t>Chapter 5: Discussion</w:t>
      </w:r>
    </w:p>
    <w:p w14:paraId="6116E3CB" w14:textId="55175092" w:rsidR="004B2216" w:rsidRDefault="004B2216" w:rsidP="00A601FC">
      <w:pPr>
        <w:spacing w:after="160"/>
        <w:ind w:left="0" w:firstLine="0"/>
        <w:jc w:val="left"/>
        <w:rPr>
          <w:rFonts w:cs="Times New Roman"/>
          <w:szCs w:val="24"/>
        </w:rPr>
      </w:pPr>
      <w:r>
        <w:rPr>
          <w:rFonts w:cs="Times New Roman"/>
          <w:szCs w:val="24"/>
        </w:rPr>
        <w:t xml:space="preserve">Discusses the </w:t>
      </w:r>
      <w:r w:rsidR="00B26619">
        <w:rPr>
          <w:rFonts w:cs="Times New Roman"/>
          <w:szCs w:val="24"/>
        </w:rPr>
        <w:t xml:space="preserve">original inspiration for conducting this study, </w:t>
      </w:r>
      <w:r w:rsidR="00C31209">
        <w:rPr>
          <w:rFonts w:cs="Times New Roman"/>
          <w:szCs w:val="24"/>
        </w:rPr>
        <w:t>summariz</w:t>
      </w:r>
      <w:r w:rsidR="0040200D">
        <w:rPr>
          <w:rFonts w:cs="Times New Roman"/>
          <w:szCs w:val="24"/>
        </w:rPr>
        <w:t>es</w:t>
      </w:r>
      <w:r w:rsidR="00C31209">
        <w:rPr>
          <w:rFonts w:cs="Times New Roman"/>
          <w:szCs w:val="24"/>
        </w:rPr>
        <w:t xml:space="preserve"> the </w:t>
      </w:r>
      <w:r w:rsidR="00B903C0">
        <w:rPr>
          <w:rFonts w:cs="Times New Roman"/>
          <w:szCs w:val="24"/>
        </w:rPr>
        <w:t>study results, explain</w:t>
      </w:r>
      <w:r w:rsidR="0040200D">
        <w:rPr>
          <w:rFonts w:cs="Times New Roman"/>
          <w:szCs w:val="24"/>
        </w:rPr>
        <w:t>s</w:t>
      </w:r>
      <w:r w:rsidR="00B903C0">
        <w:rPr>
          <w:rFonts w:cs="Times New Roman"/>
          <w:szCs w:val="24"/>
        </w:rPr>
        <w:t xml:space="preserve"> the key research findings, </w:t>
      </w:r>
      <w:r w:rsidR="00610C57">
        <w:rPr>
          <w:rFonts w:cs="Times New Roman"/>
          <w:szCs w:val="24"/>
        </w:rPr>
        <w:t>clearly stat</w:t>
      </w:r>
      <w:r w:rsidR="0040200D">
        <w:rPr>
          <w:rFonts w:cs="Times New Roman"/>
          <w:szCs w:val="24"/>
        </w:rPr>
        <w:t>es</w:t>
      </w:r>
      <w:r w:rsidR="00610C57">
        <w:rPr>
          <w:rFonts w:cs="Times New Roman"/>
          <w:szCs w:val="24"/>
        </w:rPr>
        <w:t xml:space="preserve"> </w:t>
      </w:r>
      <w:r w:rsidR="00587C3B">
        <w:rPr>
          <w:rFonts w:cs="Times New Roman"/>
          <w:szCs w:val="24"/>
        </w:rPr>
        <w:t xml:space="preserve">the research </w:t>
      </w:r>
      <w:r w:rsidR="00610C57">
        <w:rPr>
          <w:rFonts w:cs="Times New Roman"/>
          <w:szCs w:val="24"/>
        </w:rPr>
        <w:t xml:space="preserve">conclusions, and </w:t>
      </w:r>
      <w:r w:rsidR="00BC37A0">
        <w:rPr>
          <w:rFonts w:cs="Times New Roman"/>
          <w:szCs w:val="24"/>
        </w:rPr>
        <w:t>offer</w:t>
      </w:r>
      <w:r w:rsidR="0040200D">
        <w:rPr>
          <w:rFonts w:cs="Times New Roman"/>
          <w:szCs w:val="24"/>
        </w:rPr>
        <w:t>s</w:t>
      </w:r>
      <w:r w:rsidR="00BC37A0">
        <w:rPr>
          <w:rFonts w:cs="Times New Roman"/>
          <w:szCs w:val="24"/>
        </w:rPr>
        <w:t xml:space="preserve"> some final observations</w:t>
      </w:r>
      <w:r w:rsidR="00FD1A3E">
        <w:rPr>
          <w:rFonts w:cs="Times New Roman"/>
          <w:szCs w:val="24"/>
        </w:rPr>
        <w:t xml:space="preserve">, i.e., </w:t>
      </w:r>
      <w:r w:rsidR="00C90CFA">
        <w:rPr>
          <w:rFonts w:cs="Times New Roman"/>
          <w:szCs w:val="24"/>
        </w:rPr>
        <w:t xml:space="preserve">concerning </w:t>
      </w:r>
      <w:r w:rsidR="00FD1A3E">
        <w:rPr>
          <w:rFonts w:cs="Times New Roman"/>
          <w:szCs w:val="24"/>
        </w:rPr>
        <w:t>further opportunities of</w:t>
      </w:r>
      <w:r w:rsidR="008A610D">
        <w:rPr>
          <w:rFonts w:cs="Times New Roman"/>
          <w:szCs w:val="24"/>
        </w:rPr>
        <w:t xml:space="preserve"> </w:t>
      </w:r>
      <w:r w:rsidR="00FD1A3E">
        <w:rPr>
          <w:rFonts w:cs="Times New Roman"/>
          <w:szCs w:val="24"/>
        </w:rPr>
        <w:t xml:space="preserve">academic </w:t>
      </w:r>
      <w:r w:rsidR="008A610D">
        <w:rPr>
          <w:rFonts w:cs="Times New Roman"/>
          <w:szCs w:val="24"/>
        </w:rPr>
        <w:t>investigation generated by this study.</w:t>
      </w:r>
    </w:p>
    <w:p w14:paraId="5F3B979F" w14:textId="77777777" w:rsidR="00FE0B02" w:rsidRDefault="00FE0B02" w:rsidP="00A601FC">
      <w:pPr>
        <w:spacing w:after="160"/>
        <w:ind w:left="0" w:firstLine="0"/>
        <w:jc w:val="left"/>
        <w:rPr>
          <w:rFonts w:cs="Times New Roman"/>
          <w:szCs w:val="24"/>
        </w:rPr>
      </w:pPr>
    </w:p>
    <w:p w14:paraId="5F12EFE3" w14:textId="4CE49E67" w:rsidR="001642FE" w:rsidRPr="00A601FC" w:rsidRDefault="001642FE" w:rsidP="00F11372">
      <w:pPr>
        <w:pStyle w:val="Heading1"/>
        <w:rPr>
          <w:rFonts w:cs="Times New Roman"/>
        </w:rPr>
      </w:pPr>
      <w:bookmarkStart w:id="29" w:name="_Toc134346733"/>
      <w:r w:rsidRPr="001642FE">
        <w:lastRenderedPageBreak/>
        <w:t>Chapter 2: Literature Review</w:t>
      </w:r>
      <w:bookmarkEnd w:id="28"/>
      <w:bookmarkEnd w:id="29"/>
    </w:p>
    <w:p w14:paraId="4349445A" w14:textId="7D4E2F25" w:rsidR="00A47708" w:rsidRPr="00A47708" w:rsidRDefault="00A47708" w:rsidP="00EE6A7A">
      <w:pPr>
        <w:pStyle w:val="Heading2"/>
      </w:pPr>
      <w:bookmarkStart w:id="30" w:name="_Toc134346734"/>
      <w:r>
        <w:t>Introduction:</w:t>
      </w:r>
      <w:bookmarkEnd w:id="30"/>
    </w:p>
    <w:p w14:paraId="1C0727C5" w14:textId="50DA87FD" w:rsidR="00924E1E" w:rsidRPr="00924E1E" w:rsidRDefault="00924E1E" w:rsidP="00924E1E">
      <w:pPr>
        <w:spacing w:after="160"/>
        <w:ind w:left="0" w:firstLine="0"/>
        <w:jc w:val="left"/>
        <w:rPr>
          <w:rFonts w:cs="Times New Roman"/>
          <w:szCs w:val="24"/>
        </w:rPr>
      </w:pPr>
      <w:r w:rsidRPr="00924E1E">
        <w:rPr>
          <w:rFonts w:cs="Times New Roman"/>
          <w:szCs w:val="24"/>
        </w:rPr>
        <w:t>The purpose of this Literature Review is to summarize and critically analyze the main research arguments motivating this study. In the relevant literature, there exists a key research gap between orthodox theoretical assertions</w:t>
      </w:r>
      <w:r w:rsidR="000438C0">
        <w:rPr>
          <w:rFonts w:cs="Times New Roman"/>
          <w:szCs w:val="24"/>
        </w:rPr>
        <w:t xml:space="preserve"> </w:t>
      </w:r>
      <w:r w:rsidRPr="00924E1E">
        <w:rPr>
          <w:rFonts w:cs="Times New Roman"/>
          <w:szCs w:val="24"/>
        </w:rPr>
        <w:t>and their real-world consequences, i.e., concerning longstanding eminent domain policy. To address this gap, this formal review examines the ongoing polemical debate between three main bodies of academic literature; traditional economic theory, its codification as policy orthodoxy, and so-called “heterodox” economic theories, i.e., designed to challenge such longstanding policy orthodoxies.</w:t>
      </w:r>
    </w:p>
    <w:p w14:paraId="598D6A7C" w14:textId="751EB84F" w:rsidR="00924E1E" w:rsidRPr="00924E1E" w:rsidRDefault="00924E1E" w:rsidP="00924E1E">
      <w:pPr>
        <w:spacing w:after="160"/>
        <w:ind w:left="0" w:firstLine="0"/>
        <w:jc w:val="left"/>
        <w:rPr>
          <w:rFonts w:cs="Times New Roman"/>
          <w:szCs w:val="24"/>
        </w:rPr>
      </w:pPr>
      <w:r w:rsidRPr="00924E1E">
        <w:rPr>
          <w:rFonts w:cs="Times New Roman"/>
          <w:szCs w:val="24"/>
        </w:rPr>
        <w:t>As a “well-established part of legal and economic lore</w:t>
      </w:r>
      <w:r w:rsidR="009D57C0" w:rsidRPr="00924E1E">
        <w:rPr>
          <w:rFonts w:cs="Times New Roman"/>
          <w:szCs w:val="24"/>
        </w:rPr>
        <w:t>,”</w:t>
      </w:r>
      <w:r w:rsidRPr="00924E1E">
        <w:rPr>
          <w:rFonts w:asciiTheme="minorHAnsi" w:hAnsiTheme="minorHAnsi" w:cstheme="minorBidi"/>
          <w:sz w:val="22"/>
        </w:rPr>
        <w:t xml:space="preserve"> </w:t>
      </w:r>
      <w:r w:rsidR="00AA0446">
        <w:rPr>
          <w:rFonts w:cs="Times New Roman"/>
          <w:szCs w:val="24"/>
        </w:rPr>
        <w:t xml:space="preserve">academics have </w:t>
      </w:r>
      <w:r w:rsidR="00AA0446" w:rsidRPr="00924E1E">
        <w:rPr>
          <w:rFonts w:cs="Times New Roman"/>
          <w:szCs w:val="24"/>
        </w:rPr>
        <w:t xml:space="preserve">consistently viewed </w:t>
      </w:r>
      <w:r w:rsidR="00D109AD">
        <w:rPr>
          <w:rFonts w:cs="Times New Roman"/>
          <w:szCs w:val="24"/>
        </w:rPr>
        <w:t>monopoly</w:t>
      </w:r>
      <w:r w:rsidRPr="00924E1E">
        <w:rPr>
          <w:rFonts w:cs="Times New Roman"/>
          <w:szCs w:val="24"/>
        </w:rPr>
        <w:t xml:space="preserve"> holdout behavior as a potential market impediment, aris</w:t>
      </w:r>
      <w:r w:rsidR="00FB1255">
        <w:rPr>
          <w:rFonts w:cs="Times New Roman"/>
          <w:szCs w:val="24"/>
        </w:rPr>
        <w:t>ing</w:t>
      </w:r>
      <w:r w:rsidRPr="00924E1E">
        <w:rPr>
          <w:rFonts w:cs="Times New Roman"/>
          <w:szCs w:val="24"/>
        </w:rPr>
        <w:t xml:space="preserve"> uniquely during public land assembly negotiations. Because a single holdout can permanently halt negotiations, </w:t>
      </w:r>
      <w:r w:rsidR="000C1806" w:rsidRPr="00924E1E">
        <w:rPr>
          <w:rFonts w:cs="Times New Roman"/>
          <w:szCs w:val="24"/>
        </w:rPr>
        <w:t>thus</w:t>
      </w:r>
      <w:r w:rsidRPr="00924E1E">
        <w:rPr>
          <w:rFonts w:cs="Times New Roman"/>
          <w:szCs w:val="24"/>
        </w:rPr>
        <w:t xml:space="preserve"> causing the forfeiture of </w:t>
      </w:r>
      <w:r w:rsidR="00CE66D0">
        <w:rPr>
          <w:rFonts w:cs="Times New Roman"/>
          <w:szCs w:val="24"/>
        </w:rPr>
        <w:t xml:space="preserve">a </w:t>
      </w:r>
      <w:r w:rsidRPr="00924E1E">
        <w:rPr>
          <w:rFonts w:cs="Times New Roman"/>
          <w:szCs w:val="24"/>
        </w:rPr>
        <w:t>public infrastructure project (such as a road, school, lighthouse, etc.)</w:t>
      </w:r>
      <w:r w:rsidR="00CE66D0">
        <w:rPr>
          <w:rFonts w:cs="Times New Roman"/>
          <w:szCs w:val="24"/>
        </w:rPr>
        <w:t>.</w:t>
      </w:r>
      <w:r w:rsidRPr="00924E1E">
        <w:rPr>
          <w:rFonts w:cs="Times New Roman"/>
          <w:szCs w:val="24"/>
        </w:rPr>
        <w:t xml:space="preserve"> </w:t>
      </w:r>
      <w:r w:rsidR="00CE66D0" w:rsidRPr="00924E1E">
        <w:rPr>
          <w:rFonts w:cs="Times New Roman"/>
          <w:szCs w:val="24"/>
        </w:rPr>
        <w:t>This</w:t>
      </w:r>
      <w:r w:rsidRPr="00924E1E">
        <w:rPr>
          <w:rFonts w:cs="Times New Roman"/>
          <w:szCs w:val="24"/>
        </w:rPr>
        <w:t xml:space="preserve"> strategic </w:t>
      </w:r>
      <w:r w:rsidR="005649CF">
        <w:rPr>
          <w:rFonts w:cs="Times New Roman"/>
          <w:szCs w:val="24"/>
        </w:rPr>
        <w:t>holdout</w:t>
      </w:r>
      <w:r w:rsidRPr="00924E1E">
        <w:rPr>
          <w:rFonts w:cs="Times New Roman"/>
          <w:szCs w:val="24"/>
        </w:rPr>
        <w:t xml:space="preserve"> behavior cause</w:t>
      </w:r>
      <w:r w:rsidR="009F7E6E">
        <w:rPr>
          <w:rFonts w:cs="Times New Roman"/>
          <w:szCs w:val="24"/>
        </w:rPr>
        <w:t>s</w:t>
      </w:r>
      <w:r w:rsidRPr="00924E1E">
        <w:rPr>
          <w:rFonts w:cs="Times New Roman"/>
          <w:szCs w:val="24"/>
        </w:rPr>
        <w:t xml:space="preserve"> a general market failure, </w:t>
      </w:r>
      <w:r w:rsidR="001C5509">
        <w:rPr>
          <w:rFonts w:cs="Times New Roman"/>
          <w:szCs w:val="24"/>
        </w:rPr>
        <w:t>which</w:t>
      </w:r>
      <w:r w:rsidRPr="00924E1E">
        <w:rPr>
          <w:rFonts w:cs="Times New Roman"/>
          <w:szCs w:val="24"/>
        </w:rPr>
        <w:t xml:space="preserve"> </w:t>
      </w:r>
      <w:r w:rsidR="00DF30FD" w:rsidRPr="00924E1E">
        <w:rPr>
          <w:rFonts w:cs="Times New Roman"/>
          <w:szCs w:val="24"/>
        </w:rPr>
        <w:t>only direct government intervention</w:t>
      </w:r>
      <w:r w:rsidR="00DF30FD">
        <w:rPr>
          <w:rFonts w:cs="Times New Roman"/>
          <w:szCs w:val="24"/>
        </w:rPr>
        <w:t xml:space="preserve"> can</w:t>
      </w:r>
      <w:r w:rsidRPr="00924E1E">
        <w:rPr>
          <w:rFonts w:cs="Times New Roman"/>
          <w:szCs w:val="24"/>
        </w:rPr>
        <w:t xml:space="preserve"> correct, i.e., </w:t>
      </w:r>
      <w:r w:rsidR="009F7E6E">
        <w:rPr>
          <w:rFonts w:cs="Times New Roman"/>
          <w:szCs w:val="24"/>
        </w:rPr>
        <w:t xml:space="preserve">via </w:t>
      </w:r>
      <w:r w:rsidRPr="00924E1E">
        <w:rPr>
          <w:rFonts w:cs="Times New Roman"/>
          <w:szCs w:val="24"/>
        </w:rPr>
        <w:t>eminent domain. [Miceli and Segerson 1998; O’Flaherty 1994, Shavell</w:t>
      </w:r>
      <w:r w:rsidR="003D4729">
        <w:rPr>
          <w:rFonts w:cs="Times New Roman"/>
          <w:szCs w:val="24"/>
        </w:rPr>
        <w:t xml:space="preserve"> 2010</w:t>
      </w:r>
      <w:r w:rsidRPr="00924E1E">
        <w:rPr>
          <w:rFonts w:cs="Times New Roman"/>
          <w:szCs w:val="24"/>
        </w:rPr>
        <w:t xml:space="preserve">, </w:t>
      </w:r>
      <w:r w:rsidR="008233A3">
        <w:rPr>
          <w:rFonts w:cs="Times New Roman"/>
          <w:szCs w:val="24"/>
        </w:rPr>
        <w:t>Parisi 2002;</w:t>
      </w:r>
      <w:r w:rsidR="000537B7">
        <w:rPr>
          <w:rFonts w:cs="Times New Roman"/>
          <w:szCs w:val="24"/>
        </w:rPr>
        <w:t xml:space="preserve"> </w:t>
      </w:r>
      <w:r w:rsidR="0047590E" w:rsidRPr="0047590E">
        <w:rPr>
          <w:rFonts w:cs="Times New Roman"/>
          <w:szCs w:val="24"/>
        </w:rPr>
        <w:t>Menezes</w:t>
      </w:r>
      <w:r w:rsidR="0047590E">
        <w:rPr>
          <w:rFonts w:cs="Times New Roman"/>
          <w:szCs w:val="24"/>
        </w:rPr>
        <w:t xml:space="preserve"> and </w:t>
      </w:r>
      <w:r w:rsidR="0047590E" w:rsidRPr="0047590E">
        <w:rPr>
          <w:rFonts w:cs="Times New Roman"/>
          <w:szCs w:val="24"/>
        </w:rPr>
        <w:t>Pitchford</w:t>
      </w:r>
      <w:r w:rsidR="0047590E">
        <w:rPr>
          <w:rFonts w:cs="Times New Roman"/>
          <w:szCs w:val="24"/>
        </w:rPr>
        <w:t xml:space="preserve"> 2004</w:t>
      </w:r>
      <w:r w:rsidR="00A02EA4">
        <w:rPr>
          <w:rFonts w:cs="Times New Roman"/>
          <w:szCs w:val="24"/>
        </w:rPr>
        <w:t>;</w:t>
      </w:r>
      <w:r w:rsidR="00E6165E">
        <w:rPr>
          <w:rFonts w:cs="Times New Roman"/>
          <w:szCs w:val="24"/>
        </w:rPr>
        <w:t xml:space="preserve"> Munch 1976</w:t>
      </w:r>
      <w:r w:rsidR="007E192B">
        <w:rPr>
          <w:rFonts w:cs="Times New Roman"/>
          <w:szCs w:val="24"/>
        </w:rPr>
        <w:t>]</w:t>
      </w:r>
    </w:p>
    <w:p w14:paraId="213B008C" w14:textId="6DA78D38" w:rsidR="00924E1E" w:rsidRPr="00924E1E" w:rsidRDefault="00924E1E" w:rsidP="00EE6A7A">
      <w:pPr>
        <w:pStyle w:val="Heading2"/>
      </w:pPr>
      <w:bookmarkStart w:id="31" w:name="_Toc134346735"/>
      <w:r w:rsidRPr="00924E1E">
        <w:t xml:space="preserve">Part 1: Traditional </w:t>
      </w:r>
      <w:r w:rsidR="0021580A">
        <w:t>Market Failure</w:t>
      </w:r>
      <w:r w:rsidR="00453ED8">
        <w:t>/</w:t>
      </w:r>
      <w:r w:rsidR="005B225C" w:rsidRPr="005B225C">
        <w:t xml:space="preserve"> </w:t>
      </w:r>
      <w:r w:rsidR="005B225C">
        <w:t>Externalities</w:t>
      </w:r>
      <w:r w:rsidR="00453ED8">
        <w:t xml:space="preserve"> Theory</w:t>
      </w:r>
      <w:bookmarkEnd w:id="31"/>
    </w:p>
    <w:p w14:paraId="6F90CB1B" w14:textId="5D298DB3" w:rsidR="00924E1E" w:rsidRPr="00924E1E" w:rsidRDefault="00924E1E" w:rsidP="00924E1E">
      <w:pPr>
        <w:spacing w:after="160"/>
        <w:ind w:left="0" w:firstLine="0"/>
        <w:jc w:val="left"/>
        <w:rPr>
          <w:rFonts w:cs="Times New Roman"/>
          <w:szCs w:val="24"/>
        </w:rPr>
      </w:pPr>
      <w:r w:rsidRPr="00924E1E">
        <w:rPr>
          <w:rFonts w:cs="Times New Roman"/>
          <w:szCs w:val="24"/>
        </w:rPr>
        <w:t>In his classic “</w:t>
      </w:r>
      <w:r w:rsidRPr="00924E1E">
        <w:rPr>
          <w:rFonts w:cs="Times New Roman"/>
          <w:i/>
          <w:iCs/>
          <w:szCs w:val="24"/>
        </w:rPr>
        <w:t>Inquiry into the Nature and Causes of the Wealth of Nations</w:t>
      </w:r>
      <w:r w:rsidRPr="00924E1E">
        <w:rPr>
          <w:rFonts w:cs="Times New Roman"/>
          <w:szCs w:val="24"/>
        </w:rPr>
        <w:t xml:space="preserve">” (1776) Adam Smith, the foremost champion of pure, laissez-faire Industrial Capitalism, was first to assert the need for direct government intervention in the provision of schools and </w:t>
      </w:r>
      <w:r w:rsidRPr="00924E1E">
        <w:rPr>
          <w:rFonts w:cs="Times New Roman"/>
          <w:szCs w:val="24"/>
        </w:rPr>
        <w:lastRenderedPageBreak/>
        <w:t>other public goods, i.e., whose benefits “simultaneously affect a group of individuals” [Cornes and Sandler 1996 p.3]. Indeed, the clearest statement of the “Public Goods Problem”, as recognized in classical economics, was provided more than 30 years earlier by Smith’s friend</w:t>
      </w:r>
      <w:r w:rsidR="002502FC">
        <w:rPr>
          <w:rFonts w:cs="Times New Roman"/>
          <w:szCs w:val="24"/>
        </w:rPr>
        <w:t xml:space="preserve"> and colleague</w:t>
      </w:r>
      <w:r w:rsidRPr="00924E1E">
        <w:rPr>
          <w:rFonts w:cs="Times New Roman"/>
          <w:szCs w:val="24"/>
        </w:rPr>
        <w:t>, the celebrated empirical philosopher David Hume, who remarked:</w:t>
      </w:r>
    </w:p>
    <w:p w14:paraId="20CCB941" w14:textId="77777777" w:rsidR="00924E1E" w:rsidRPr="008F2612" w:rsidRDefault="00924E1E" w:rsidP="00981137">
      <w:pPr>
        <w:spacing w:after="160" w:line="240" w:lineRule="auto"/>
        <w:ind w:left="720" w:firstLine="0"/>
        <w:jc w:val="left"/>
        <w:rPr>
          <w:rFonts w:cs="Times New Roman"/>
          <w:sz w:val="22"/>
        </w:rPr>
      </w:pPr>
      <w:r w:rsidRPr="008F2612">
        <w:rPr>
          <w:rFonts w:cs="Times New Roman"/>
          <w:sz w:val="22"/>
        </w:rPr>
        <w:t>“Two neighbors may agree to drain a meadow, which they possess in common; because ‘tis easy for them to know each other’s mind; and each must perceive, that the immediate consequence of his failing in his part, is, the abandoning of the whole project. But ‘tis very difficult, and indeed impossible, that a thousand persons shou’d agree in any such actions, it being difficult for them to concert so complicated a design, and still more difficult for them to execute it; while each seeks a pretext to free himself of the trouble and expence, and wou’d lay the whole burden on others. Political society easily remedies both these inconveniences.”</w:t>
      </w:r>
    </w:p>
    <w:p w14:paraId="68EBC28F" w14:textId="72888AEC" w:rsidR="00924E1E" w:rsidRPr="00924E1E" w:rsidRDefault="00924E1E" w:rsidP="00924E1E">
      <w:pPr>
        <w:spacing w:after="160"/>
        <w:ind w:left="0" w:firstLine="0"/>
        <w:jc w:val="right"/>
        <w:rPr>
          <w:rFonts w:cs="Times New Roman"/>
          <w:szCs w:val="24"/>
        </w:rPr>
      </w:pPr>
      <w:r w:rsidRPr="00924E1E">
        <w:rPr>
          <w:rFonts w:cs="Times New Roman"/>
          <w:szCs w:val="24"/>
        </w:rPr>
        <w:tab/>
      </w:r>
      <w:r w:rsidRPr="00924E1E">
        <w:rPr>
          <w:rFonts w:cs="Times New Roman"/>
          <w:szCs w:val="24"/>
        </w:rPr>
        <w:tab/>
      </w:r>
      <w:r w:rsidRPr="00924E1E">
        <w:rPr>
          <w:rFonts w:cs="Times New Roman"/>
          <w:szCs w:val="24"/>
        </w:rPr>
        <w:tab/>
      </w:r>
      <w:r w:rsidRPr="00924E1E">
        <w:rPr>
          <w:rFonts w:cs="Times New Roman"/>
          <w:szCs w:val="24"/>
        </w:rPr>
        <w:tab/>
        <w:t>“</w:t>
      </w:r>
      <w:r w:rsidRPr="00924E1E">
        <w:rPr>
          <w:rFonts w:cs="Times New Roman"/>
          <w:i/>
          <w:iCs/>
          <w:szCs w:val="24"/>
        </w:rPr>
        <w:t>Treatise of Human Nature</w:t>
      </w:r>
      <w:r w:rsidRPr="00924E1E">
        <w:rPr>
          <w:rFonts w:cs="Times New Roman"/>
          <w:szCs w:val="24"/>
        </w:rPr>
        <w:t xml:space="preserve">” </w:t>
      </w:r>
      <w:r w:rsidR="00686E39" w:rsidRPr="00924E1E">
        <w:rPr>
          <w:rFonts w:cs="Times New Roman"/>
          <w:szCs w:val="24"/>
        </w:rPr>
        <w:t xml:space="preserve">Hume, D. </w:t>
      </w:r>
      <w:r w:rsidRPr="00924E1E">
        <w:rPr>
          <w:rFonts w:cs="Times New Roman"/>
          <w:szCs w:val="24"/>
        </w:rPr>
        <w:t>(1739</w:t>
      </w:r>
      <w:r w:rsidR="00AF5B67">
        <w:rPr>
          <w:rFonts w:cs="Times New Roman"/>
          <w:szCs w:val="24"/>
        </w:rPr>
        <w:t xml:space="preserve">) </w:t>
      </w:r>
    </w:p>
    <w:p w14:paraId="3793E0E2" w14:textId="3C6B18FB" w:rsidR="00924E1E" w:rsidRPr="00924E1E" w:rsidRDefault="00924E1E" w:rsidP="00924E1E">
      <w:pPr>
        <w:spacing w:after="160"/>
        <w:ind w:left="0" w:firstLine="0"/>
        <w:jc w:val="left"/>
        <w:rPr>
          <w:rFonts w:cs="Times New Roman"/>
          <w:szCs w:val="24"/>
        </w:rPr>
      </w:pPr>
      <w:r w:rsidRPr="00924E1E">
        <w:rPr>
          <w:rFonts w:cs="Times New Roman"/>
          <w:szCs w:val="24"/>
        </w:rPr>
        <w:t xml:space="preserve">In the footsteps of such luminaries as Smith and Hume, classical economists (Mill, Sidgwick, Pigou, Samuelson, et al) universally praised the modern lighthouse, i.e., as being the textbook example of a (laissez-faire-capitalism-produced) pure public good. Since each passing ship neither “uses up” nor “excludes” the light from any other passing ship, its beacon provides a perfectly non-rival and non-exclusionary pure public good. Paradoxically, in a strictly capitalist market economy, the closer the private entrepreneur actually gets to producing a pure public good, the less their profit-motive. Indeed, following Hume’s basic assertion, because there is no moral incentive for the public to pay for these benefits, the government must intervene. </w:t>
      </w:r>
    </w:p>
    <w:p w14:paraId="3F271E63" w14:textId="5DF8E999" w:rsidR="00924E1E" w:rsidRPr="00924E1E" w:rsidRDefault="00924E1E" w:rsidP="00924E1E">
      <w:pPr>
        <w:spacing w:after="160"/>
        <w:ind w:left="0" w:firstLine="0"/>
        <w:jc w:val="left"/>
        <w:rPr>
          <w:rFonts w:cs="Times New Roman"/>
          <w:szCs w:val="24"/>
        </w:rPr>
      </w:pPr>
      <w:r w:rsidRPr="00924E1E">
        <w:rPr>
          <w:rFonts w:cs="Times New Roman"/>
          <w:szCs w:val="24"/>
        </w:rPr>
        <w:t>In 1848, in “</w:t>
      </w:r>
      <w:r w:rsidRPr="00924E1E">
        <w:rPr>
          <w:rFonts w:cs="Times New Roman"/>
          <w:i/>
          <w:iCs/>
          <w:szCs w:val="24"/>
        </w:rPr>
        <w:t>Principles of Political Economy”</w:t>
      </w:r>
      <w:r w:rsidRPr="00924E1E">
        <w:rPr>
          <w:rFonts w:cs="Times New Roman"/>
          <w:szCs w:val="24"/>
        </w:rPr>
        <w:t xml:space="preserve"> in the chapter “Of the Grounds and Limits of the Laissez-Faire or Non-Interference Principle” British economic philosopher John Stuart Mill </w:t>
      </w:r>
      <w:r w:rsidR="0063358C">
        <w:rPr>
          <w:rFonts w:cs="Times New Roman"/>
          <w:szCs w:val="24"/>
        </w:rPr>
        <w:t xml:space="preserve">was </w:t>
      </w:r>
      <w:r w:rsidRPr="00924E1E">
        <w:rPr>
          <w:rFonts w:cs="Times New Roman"/>
          <w:szCs w:val="24"/>
        </w:rPr>
        <w:t xml:space="preserve">first </w:t>
      </w:r>
      <w:r w:rsidR="0063358C">
        <w:rPr>
          <w:rFonts w:cs="Times New Roman"/>
          <w:szCs w:val="24"/>
        </w:rPr>
        <w:t xml:space="preserve">to </w:t>
      </w:r>
      <w:r w:rsidRPr="00924E1E">
        <w:rPr>
          <w:rFonts w:cs="Times New Roman"/>
          <w:szCs w:val="24"/>
        </w:rPr>
        <w:t xml:space="preserve">use the modern lighthouse as a textbook </w:t>
      </w:r>
      <w:r w:rsidRPr="00924E1E">
        <w:rPr>
          <w:rFonts w:cs="Times New Roman"/>
          <w:szCs w:val="24"/>
        </w:rPr>
        <w:lastRenderedPageBreak/>
        <w:t>example of a pure public good</w:t>
      </w:r>
      <w:r w:rsidR="004650C8">
        <w:rPr>
          <w:rFonts w:cs="Times New Roman"/>
          <w:szCs w:val="24"/>
        </w:rPr>
        <w:t xml:space="preserve">, asserting that </w:t>
      </w:r>
      <w:r w:rsidR="00AB669F">
        <w:rPr>
          <w:rFonts w:cs="Times New Roman"/>
          <w:szCs w:val="24"/>
        </w:rPr>
        <w:t>it</w:t>
      </w:r>
      <w:r w:rsidRPr="00924E1E">
        <w:rPr>
          <w:rFonts w:cs="Times New Roman"/>
          <w:szCs w:val="24"/>
        </w:rPr>
        <w:t xml:space="preserve"> must be provided by the government rather than by private enterprise, saying: </w:t>
      </w:r>
    </w:p>
    <w:p w14:paraId="5AC57F19" w14:textId="77777777" w:rsidR="00924E1E" w:rsidRDefault="00924E1E" w:rsidP="00407719">
      <w:pPr>
        <w:spacing w:after="160" w:line="240" w:lineRule="auto"/>
        <w:ind w:left="720" w:firstLine="0"/>
        <w:jc w:val="left"/>
        <w:rPr>
          <w:rFonts w:cs="Times New Roman"/>
          <w:szCs w:val="24"/>
        </w:rPr>
      </w:pPr>
      <w:r w:rsidRPr="008D41ED">
        <w:rPr>
          <w:rFonts w:cs="Times New Roman"/>
          <w:szCs w:val="24"/>
        </w:rPr>
        <w:t>“Since it is impossible that the ships at sea which are benefited by a lighthouse, should be made to pay a toll on the occasion of its use, no one would build lighthouses from motives of personal interest, unless indemnified and rewarded from a compulsory levy made by the state”.</w:t>
      </w:r>
    </w:p>
    <w:p w14:paraId="0C669577" w14:textId="11272C94" w:rsidR="00686E39" w:rsidRDefault="00686E39" w:rsidP="00686E39">
      <w:pPr>
        <w:spacing w:after="160" w:line="240" w:lineRule="auto"/>
        <w:ind w:left="720" w:firstLine="0"/>
        <w:jc w:val="right"/>
        <w:rPr>
          <w:rFonts w:cs="Times New Roman"/>
          <w:szCs w:val="24"/>
        </w:rPr>
      </w:pPr>
      <w:r>
        <w:rPr>
          <w:rFonts w:cs="Times New Roman"/>
          <w:szCs w:val="24"/>
        </w:rPr>
        <w:t>J.S. Mill (1848)</w:t>
      </w:r>
    </w:p>
    <w:p w14:paraId="0E02CA64" w14:textId="77777777" w:rsidR="008D41ED" w:rsidRPr="008D41ED" w:rsidRDefault="008D41ED" w:rsidP="00407719">
      <w:pPr>
        <w:spacing w:after="160" w:line="240" w:lineRule="auto"/>
        <w:ind w:left="720" w:firstLine="0"/>
        <w:jc w:val="left"/>
        <w:rPr>
          <w:rFonts w:cs="Times New Roman"/>
          <w:szCs w:val="24"/>
        </w:rPr>
      </w:pPr>
    </w:p>
    <w:p w14:paraId="65A9D8B1" w14:textId="167236A3" w:rsidR="00924E1E" w:rsidRPr="00924E1E" w:rsidRDefault="00924E1E" w:rsidP="00924E1E">
      <w:pPr>
        <w:spacing w:after="160"/>
        <w:ind w:left="0" w:firstLine="0"/>
        <w:jc w:val="left"/>
        <w:rPr>
          <w:rFonts w:cs="Times New Roman"/>
          <w:szCs w:val="24"/>
        </w:rPr>
      </w:pPr>
      <w:r w:rsidRPr="00924E1E">
        <w:rPr>
          <w:rFonts w:cs="Times New Roman"/>
          <w:szCs w:val="24"/>
        </w:rPr>
        <w:t>In 1883, in “</w:t>
      </w:r>
      <w:r w:rsidRPr="00924E1E">
        <w:rPr>
          <w:rFonts w:cs="Times New Roman"/>
          <w:i/>
          <w:iCs/>
          <w:szCs w:val="24"/>
        </w:rPr>
        <w:t>Principles of Political Economy”</w:t>
      </w:r>
      <w:r w:rsidRPr="00924E1E">
        <w:rPr>
          <w:rFonts w:cs="Times New Roman"/>
          <w:szCs w:val="24"/>
        </w:rPr>
        <w:t xml:space="preserve"> in the chapter “The System of Natural Liberty Considered in Relation to Production”, Henry Sidgwick also </w:t>
      </w:r>
      <w:r w:rsidR="00FB0EEE">
        <w:rPr>
          <w:rFonts w:cs="Times New Roman"/>
          <w:szCs w:val="24"/>
        </w:rPr>
        <w:t>observe</w:t>
      </w:r>
      <w:r w:rsidRPr="00924E1E">
        <w:rPr>
          <w:rFonts w:cs="Times New Roman"/>
          <w:szCs w:val="24"/>
        </w:rPr>
        <w:t>d:</w:t>
      </w:r>
    </w:p>
    <w:p w14:paraId="3FEAECBF" w14:textId="77777777" w:rsidR="00924E1E" w:rsidRDefault="00924E1E" w:rsidP="003B639D">
      <w:pPr>
        <w:spacing w:after="160" w:line="240" w:lineRule="auto"/>
        <w:ind w:left="720" w:firstLine="0"/>
        <w:jc w:val="left"/>
        <w:rPr>
          <w:rFonts w:cs="Times New Roman"/>
          <w:szCs w:val="24"/>
        </w:rPr>
      </w:pPr>
      <w:r w:rsidRPr="00924E1E">
        <w:rPr>
          <w:rFonts w:cs="Times New Roman"/>
          <w:szCs w:val="24"/>
        </w:rPr>
        <w:t>“…there are some utilities which, from their nature, are practically incapable of being appropriated by those who produce them or would otherwise be willing to purchase them. For instance, it may easily happen that the benefits of a well-placed lighthouse must be largely enjoyed by ships on which no toll could be conveniently imposed.”</w:t>
      </w:r>
    </w:p>
    <w:p w14:paraId="34C5EF53" w14:textId="10B7F2A6" w:rsidR="00AB31F1" w:rsidRDefault="00AB31F1" w:rsidP="00AB31F1">
      <w:pPr>
        <w:spacing w:after="160" w:line="240" w:lineRule="auto"/>
        <w:ind w:left="720" w:firstLine="0"/>
        <w:jc w:val="right"/>
        <w:rPr>
          <w:rFonts w:cs="Times New Roman"/>
          <w:szCs w:val="24"/>
        </w:rPr>
      </w:pPr>
      <w:r>
        <w:rPr>
          <w:rFonts w:cs="Times New Roman"/>
          <w:szCs w:val="24"/>
        </w:rPr>
        <w:t>H. Sidgwick (1883)</w:t>
      </w:r>
    </w:p>
    <w:p w14:paraId="2F8087E2" w14:textId="77777777" w:rsidR="003B639D" w:rsidRPr="00924E1E" w:rsidRDefault="003B639D" w:rsidP="003B639D">
      <w:pPr>
        <w:spacing w:after="160" w:line="240" w:lineRule="auto"/>
        <w:ind w:left="720" w:firstLine="0"/>
        <w:jc w:val="left"/>
        <w:rPr>
          <w:rFonts w:cs="Times New Roman"/>
          <w:szCs w:val="24"/>
        </w:rPr>
      </w:pPr>
    </w:p>
    <w:p w14:paraId="32892B30" w14:textId="71612486" w:rsidR="00924E1E" w:rsidRPr="00924E1E" w:rsidRDefault="00924E1E" w:rsidP="00924E1E">
      <w:pPr>
        <w:spacing w:after="160"/>
        <w:ind w:left="0" w:firstLine="0"/>
        <w:jc w:val="left"/>
        <w:rPr>
          <w:rFonts w:cs="Times New Roman"/>
          <w:szCs w:val="24"/>
        </w:rPr>
      </w:pPr>
      <w:r w:rsidRPr="00924E1E">
        <w:rPr>
          <w:rFonts w:cs="Times New Roman"/>
          <w:szCs w:val="24"/>
        </w:rPr>
        <w:t xml:space="preserve">In 1938, in </w:t>
      </w:r>
      <w:r w:rsidRPr="00924E1E">
        <w:rPr>
          <w:rFonts w:cs="Times New Roman"/>
          <w:i/>
          <w:iCs/>
          <w:szCs w:val="24"/>
        </w:rPr>
        <w:t>“Economics of Welfare”</w:t>
      </w:r>
      <w:r w:rsidRPr="00924E1E">
        <w:rPr>
          <w:rFonts w:cs="Times New Roman"/>
          <w:szCs w:val="24"/>
        </w:rPr>
        <w:t xml:space="preserve"> Arthur Pigou cited Sidgwick’s lighthouse example as an instance of “uncompensated services”, i.e., in which “incidental services are performed to third parties from whom it is technically difficult to exact payment.” Finally, in 1964, in </w:t>
      </w:r>
      <w:r w:rsidRPr="00924E1E">
        <w:rPr>
          <w:rFonts w:cs="Times New Roman"/>
          <w:i/>
          <w:iCs/>
          <w:szCs w:val="24"/>
        </w:rPr>
        <w:t>“Economics”</w:t>
      </w:r>
      <w:r w:rsidRPr="00924E1E">
        <w:rPr>
          <w:rFonts w:cs="Times New Roman"/>
          <w:szCs w:val="24"/>
        </w:rPr>
        <w:t xml:space="preserve">, in the section on the “Economic Role of Government”, Paul A. Samuelson was the most forthright of all these earlier writers, asserting that: “government provides certain indispensable </w:t>
      </w:r>
      <w:r w:rsidRPr="00924E1E">
        <w:rPr>
          <w:rFonts w:cs="Times New Roman"/>
          <w:i/>
          <w:iCs/>
          <w:szCs w:val="24"/>
        </w:rPr>
        <w:t>public</w:t>
      </w:r>
      <w:r w:rsidRPr="00924E1E">
        <w:rPr>
          <w:rFonts w:cs="Times New Roman"/>
          <w:szCs w:val="24"/>
        </w:rPr>
        <w:t xml:space="preserve"> services without which community life would be unthinkable and which by their nature cannot appropriately be left to private enterprise”, i.e., citing the lighthouse as an “obvious example”.</w:t>
      </w:r>
      <w:r w:rsidR="00726A86">
        <w:rPr>
          <w:rFonts w:cs="Times New Roman"/>
          <w:szCs w:val="24"/>
        </w:rPr>
        <w:t xml:space="preserve"> [Pigou 1938; Samuelson 1964]</w:t>
      </w:r>
    </w:p>
    <w:p w14:paraId="534A9512" w14:textId="295B9BE0" w:rsidR="00924E1E" w:rsidRPr="00924E1E" w:rsidRDefault="00924E1E" w:rsidP="00924E1E">
      <w:pPr>
        <w:spacing w:after="160"/>
        <w:ind w:left="0" w:firstLine="0"/>
        <w:jc w:val="left"/>
        <w:rPr>
          <w:rFonts w:cs="Times New Roman"/>
          <w:szCs w:val="24"/>
        </w:rPr>
      </w:pPr>
      <w:r w:rsidRPr="00924E1E">
        <w:rPr>
          <w:rFonts w:cs="Times New Roman"/>
          <w:szCs w:val="24"/>
        </w:rPr>
        <w:lastRenderedPageBreak/>
        <w:t xml:space="preserve">In </w:t>
      </w:r>
      <w:r w:rsidRPr="00924E1E">
        <w:rPr>
          <w:rFonts w:cs="Times New Roman"/>
          <w:i/>
          <w:iCs/>
          <w:szCs w:val="24"/>
        </w:rPr>
        <w:t>The Economics of Welfare</w:t>
      </w:r>
      <w:r w:rsidRPr="00924E1E">
        <w:rPr>
          <w:rFonts w:cs="Times New Roman"/>
          <w:szCs w:val="24"/>
        </w:rPr>
        <w:t xml:space="preserve"> (1920), Pigou observed that such instances of uncompensated lighthouse services, which arise uniquely during the provision of a pure public good, i.e., occur strictly outside (“externally to”) a capitalist market economy, thus, they operate as market “externalities”. Pigou’s rationale for using government intervention also stems from Hume, namely, that producers (and consumers) of pure public goods incorporate only their own costs and benefits, i.e., while ignoring any incidental costs or benefits th</w:t>
      </w:r>
      <w:r w:rsidR="009158C7">
        <w:rPr>
          <w:rFonts w:cs="Times New Roman"/>
          <w:szCs w:val="24"/>
        </w:rPr>
        <w:t>ey</w:t>
      </w:r>
      <w:r w:rsidRPr="00924E1E">
        <w:rPr>
          <w:rFonts w:cs="Times New Roman"/>
          <w:szCs w:val="24"/>
        </w:rPr>
        <w:t xml:space="preserve"> may incur upon others. Governments </w:t>
      </w:r>
      <w:r w:rsidR="001C4754">
        <w:rPr>
          <w:rFonts w:cs="Times New Roman"/>
          <w:szCs w:val="24"/>
        </w:rPr>
        <w:t xml:space="preserve">intervene </w:t>
      </w:r>
      <w:r w:rsidRPr="00924E1E">
        <w:rPr>
          <w:rFonts w:cs="Times New Roman"/>
          <w:szCs w:val="24"/>
        </w:rPr>
        <w:t>as “outside” agents</w:t>
      </w:r>
      <w:r w:rsidR="00A02EFB">
        <w:rPr>
          <w:rFonts w:cs="Times New Roman"/>
          <w:szCs w:val="24"/>
        </w:rPr>
        <w:t>,</w:t>
      </w:r>
      <w:r w:rsidRPr="00924E1E">
        <w:rPr>
          <w:rFonts w:cs="Times New Roman"/>
          <w:szCs w:val="24"/>
        </w:rPr>
        <w:t xml:space="preserve"> who, by imposing taxes and/or subsidies, can “induce” these generators of externalities to moderate their behaviors, thus efficiently reaching general market equilibrium, i.e., while avoiding general market failure </w:t>
      </w:r>
      <w:r w:rsidR="00B12733">
        <w:rPr>
          <w:rFonts w:cs="Times New Roman"/>
          <w:szCs w:val="24"/>
        </w:rPr>
        <w:t xml:space="preserve">[Pigou 1920; </w:t>
      </w:r>
      <w:r w:rsidRPr="00924E1E">
        <w:rPr>
          <w:rFonts w:cs="Times New Roman"/>
          <w:szCs w:val="24"/>
        </w:rPr>
        <w:t>Bator 1958</w:t>
      </w:r>
      <w:r w:rsidR="00784076">
        <w:rPr>
          <w:rFonts w:cs="Times New Roman"/>
          <w:szCs w:val="24"/>
        </w:rPr>
        <w:t xml:space="preserve">; </w:t>
      </w:r>
      <w:r w:rsidR="001C4754">
        <w:rPr>
          <w:rFonts w:cs="Times New Roman"/>
          <w:szCs w:val="24"/>
        </w:rPr>
        <w:t>Meade 1958</w:t>
      </w:r>
      <w:r w:rsidR="00B12733">
        <w:rPr>
          <w:rFonts w:cs="Times New Roman"/>
          <w:szCs w:val="24"/>
        </w:rPr>
        <w:t>]</w:t>
      </w:r>
      <w:r w:rsidRPr="00924E1E">
        <w:rPr>
          <w:rFonts w:cs="Times New Roman"/>
          <w:szCs w:val="24"/>
        </w:rPr>
        <w:t>.</w:t>
      </w:r>
    </w:p>
    <w:p w14:paraId="6F45BC10" w14:textId="036AF44F" w:rsidR="00924E1E" w:rsidRDefault="00924E1E" w:rsidP="00924E1E">
      <w:pPr>
        <w:spacing w:after="160"/>
        <w:ind w:left="0" w:firstLine="0"/>
        <w:jc w:val="left"/>
        <w:rPr>
          <w:rFonts w:cs="Times New Roman"/>
          <w:szCs w:val="24"/>
        </w:rPr>
      </w:pPr>
      <w:r w:rsidRPr="00924E1E">
        <w:rPr>
          <w:rFonts w:cs="Times New Roman"/>
          <w:szCs w:val="24"/>
        </w:rPr>
        <w:t>In “</w:t>
      </w:r>
      <w:r w:rsidRPr="00924E1E">
        <w:rPr>
          <w:rFonts w:cs="Times New Roman"/>
          <w:i/>
          <w:iCs/>
          <w:szCs w:val="24"/>
        </w:rPr>
        <w:t>The Theory of Externalities, Public Goods and Club Goods</w:t>
      </w:r>
      <w:r w:rsidRPr="00924E1E">
        <w:rPr>
          <w:rFonts w:cs="Times New Roman"/>
          <w:szCs w:val="24"/>
        </w:rPr>
        <w:t xml:space="preserve">” (1996) Cornes and Sandler complete this longstanding theoretical discourse, examining how +/- externalities are reciprocal, i.e., acting as “uncompensated interdependencies” in the provision of a pure public good. Using Pigouvian taxation/subsidization, the government intervenes as an (external) third-party mediator, namely, to assign liability to the generator of the externality, i.e., by determining whether “A harms B” or “B harms A”. Moreover, the imposition of taxes (and/or subsidies) is meant to induce both holdouts and free riders to moderate their behaviors, so as to achieve efficiency. Likewise, insofar as eminent domain is also a form of Pigouvian taxation, i.e., which the government uses to “induce” recalcitrant landowners to moderate their monopoly holdout prices, and thus, preventing the forfeiture of a public urban redevelopment </w:t>
      </w:r>
      <w:r w:rsidRPr="00924E1E">
        <w:rPr>
          <w:rFonts w:cs="Times New Roman"/>
          <w:szCs w:val="24"/>
        </w:rPr>
        <w:lastRenderedPageBreak/>
        <w:t xml:space="preserve">project and averting a general market failure, eminent domain is the cornerstone of longstanding </w:t>
      </w:r>
      <w:r w:rsidR="00762732">
        <w:rPr>
          <w:rFonts w:cs="Times New Roman"/>
          <w:szCs w:val="24"/>
        </w:rPr>
        <w:t xml:space="preserve">Pigouvian </w:t>
      </w:r>
      <w:r w:rsidRPr="00924E1E">
        <w:rPr>
          <w:rFonts w:cs="Times New Roman"/>
          <w:szCs w:val="24"/>
        </w:rPr>
        <w:t>policy orthodoxy</w:t>
      </w:r>
      <w:r w:rsidR="00B12733">
        <w:rPr>
          <w:rFonts w:cs="Times New Roman"/>
          <w:szCs w:val="24"/>
        </w:rPr>
        <w:t xml:space="preserve"> [Cor</w:t>
      </w:r>
      <w:r w:rsidR="006C5232">
        <w:rPr>
          <w:rFonts w:cs="Times New Roman"/>
          <w:szCs w:val="24"/>
        </w:rPr>
        <w:t>nes and Sandler 1996].</w:t>
      </w:r>
    </w:p>
    <w:p w14:paraId="614C9A90" w14:textId="62E367E4" w:rsidR="00924E1E" w:rsidRPr="00924E1E" w:rsidRDefault="00924E1E" w:rsidP="00924E1E">
      <w:pPr>
        <w:spacing w:after="160"/>
        <w:ind w:left="0" w:firstLine="0"/>
        <w:jc w:val="left"/>
        <w:rPr>
          <w:rFonts w:cs="Times New Roman"/>
          <w:szCs w:val="24"/>
        </w:rPr>
      </w:pPr>
      <w:r w:rsidRPr="00924E1E">
        <w:rPr>
          <w:rFonts w:cs="Times New Roman"/>
          <w:szCs w:val="24"/>
        </w:rPr>
        <w:t xml:space="preserve">In </w:t>
      </w:r>
      <w:r w:rsidRPr="00924E1E">
        <w:rPr>
          <w:rFonts w:cs="Times New Roman"/>
          <w:i/>
          <w:iCs/>
          <w:szCs w:val="24"/>
        </w:rPr>
        <w:t xml:space="preserve">“Economics: An Introductory Analysis” </w:t>
      </w:r>
      <w:r w:rsidRPr="00924E1E">
        <w:rPr>
          <w:rFonts w:cs="Times New Roman"/>
          <w:szCs w:val="24"/>
        </w:rPr>
        <w:t>(1964) Samuelson comes closest to codifying this longstanding policy orthodoxy</w:t>
      </w:r>
      <w:r w:rsidR="003C00EC">
        <w:rPr>
          <w:rFonts w:cs="Times New Roman"/>
          <w:szCs w:val="24"/>
        </w:rPr>
        <w:t xml:space="preserve"> concerning monopoly holdout externalities</w:t>
      </w:r>
      <w:r w:rsidRPr="00924E1E">
        <w:rPr>
          <w:rFonts w:cs="Times New Roman"/>
          <w:szCs w:val="24"/>
        </w:rPr>
        <w:t xml:space="preserve">. </w:t>
      </w:r>
      <w:r w:rsidR="00F412AF">
        <w:rPr>
          <w:rFonts w:cs="Times New Roman"/>
          <w:szCs w:val="24"/>
        </w:rPr>
        <w:t>By e</w:t>
      </w:r>
      <w:r w:rsidRPr="00924E1E">
        <w:rPr>
          <w:rFonts w:cs="Times New Roman"/>
          <w:szCs w:val="24"/>
        </w:rPr>
        <w:t>xtending the example of the lighthouse one step further, he asserts the very fact that the fees cannot be collected from free riders automatically qualifies the lighthouse as a “suitable social or public good”. However, even if private operators could somehow magically collect a fee from each passing ship—say, by radar reconnaissance--- as they would a private good at market-equilibrium price, it may not be socially optimal to continue providing the service. Why not? Because there will always be one more “external” holdout/free rider, hence, there will always be one more market failure. Because of th</w:t>
      </w:r>
      <w:r w:rsidR="00F07731">
        <w:rPr>
          <w:rFonts w:cs="Times New Roman"/>
          <w:szCs w:val="24"/>
        </w:rPr>
        <w:t>is</w:t>
      </w:r>
      <w:r w:rsidRPr="00924E1E">
        <w:rPr>
          <w:rFonts w:cs="Times New Roman"/>
          <w:szCs w:val="24"/>
        </w:rPr>
        <w:t xml:space="preserve"> intractable market externality problem, he concludes that it may not be “socially worth it” to provide pure public goods at all</w:t>
      </w:r>
      <w:r w:rsidR="00004FBF">
        <w:rPr>
          <w:rFonts w:cs="Times New Roman"/>
          <w:szCs w:val="24"/>
        </w:rPr>
        <w:t xml:space="preserve">. This is </w:t>
      </w:r>
      <w:r w:rsidRPr="00924E1E">
        <w:rPr>
          <w:rFonts w:cs="Times New Roman"/>
          <w:szCs w:val="24"/>
        </w:rPr>
        <w:t>the so-called “Samuelson Condition</w:t>
      </w:r>
      <w:r w:rsidR="0032266C" w:rsidRPr="00924E1E">
        <w:rPr>
          <w:rFonts w:cs="Times New Roman"/>
          <w:szCs w:val="24"/>
        </w:rPr>
        <w:t>.”</w:t>
      </w:r>
      <w:r w:rsidR="006C5232">
        <w:rPr>
          <w:rFonts w:cs="Times New Roman"/>
          <w:szCs w:val="24"/>
        </w:rPr>
        <w:t xml:space="preserve"> [Samuelson 1964]</w:t>
      </w:r>
      <w:r w:rsidR="00F364BE">
        <w:rPr>
          <w:rFonts w:cs="Times New Roman"/>
          <w:szCs w:val="24"/>
        </w:rPr>
        <w:t>.</w:t>
      </w:r>
    </w:p>
    <w:p w14:paraId="52D25DC1" w14:textId="793BF150" w:rsidR="00924E1E" w:rsidRPr="00924E1E" w:rsidRDefault="00F412AF" w:rsidP="00924E1E">
      <w:pPr>
        <w:spacing w:after="160"/>
        <w:ind w:left="0" w:firstLine="0"/>
        <w:jc w:val="left"/>
        <w:rPr>
          <w:rFonts w:cs="Times New Roman"/>
          <w:szCs w:val="24"/>
        </w:rPr>
      </w:pPr>
      <w:r>
        <w:rPr>
          <w:rFonts w:cs="Times New Roman"/>
          <w:szCs w:val="24"/>
        </w:rPr>
        <w:t>For Coase, t</w:t>
      </w:r>
      <w:r w:rsidR="00924E1E" w:rsidRPr="00924E1E">
        <w:rPr>
          <w:rFonts w:cs="Times New Roman"/>
          <w:szCs w:val="24"/>
        </w:rPr>
        <w:t>here is a real-world element of tragedy in Samuelson’s assertions. On the one hand, as long as a single holdout can still cause the forfeiture of an ongoing public land assembly project, eminent domain</w:t>
      </w:r>
      <w:r w:rsidR="0036556E">
        <w:rPr>
          <w:rFonts w:cs="Times New Roman"/>
          <w:szCs w:val="24"/>
        </w:rPr>
        <w:t xml:space="preserve"> is required</w:t>
      </w:r>
      <w:r w:rsidR="00924E1E" w:rsidRPr="00924E1E">
        <w:rPr>
          <w:rFonts w:cs="Times New Roman"/>
          <w:szCs w:val="24"/>
        </w:rPr>
        <w:t xml:space="preserve"> to overcome the holdout, i.e., to “correct or prevent” the market failure. On the other hand, because “there’s always gonna be one more holdout</w:t>
      </w:r>
      <w:r w:rsidR="0036556E" w:rsidRPr="00924E1E">
        <w:rPr>
          <w:rFonts w:cs="Times New Roman"/>
          <w:szCs w:val="24"/>
        </w:rPr>
        <w:t>,”</w:t>
      </w:r>
      <w:r w:rsidR="00924E1E" w:rsidRPr="00924E1E">
        <w:rPr>
          <w:rFonts w:cs="Times New Roman"/>
          <w:szCs w:val="24"/>
        </w:rPr>
        <w:t xml:space="preserve"> it “may not be worth it anymore” to keep using eminent domain (i.e., the cornerstone of longstanding policy orthodoxy).  In Samuelson’s words, it may not be worth it to provide these “indispensable” pure public goods (such as </w:t>
      </w:r>
      <w:r w:rsidR="00924E1E" w:rsidRPr="00924E1E">
        <w:rPr>
          <w:rFonts w:cs="Times New Roman"/>
          <w:szCs w:val="24"/>
        </w:rPr>
        <w:lastRenderedPageBreak/>
        <w:t>roads, schools, lighthouses, etc.) at all… resulting inevitably in a real-world economic tragedy.</w:t>
      </w:r>
      <w:r w:rsidR="00F364BE">
        <w:rPr>
          <w:rFonts w:cs="Times New Roman"/>
          <w:szCs w:val="24"/>
        </w:rPr>
        <w:t xml:space="preserve"> [Samuelson 1954</w:t>
      </w:r>
      <w:r w:rsidR="00B4630B">
        <w:rPr>
          <w:rFonts w:cs="Times New Roman"/>
          <w:szCs w:val="24"/>
        </w:rPr>
        <w:t>; Coase 1960; Cheung 1973; Keynes</w:t>
      </w:r>
      <w:r w:rsidR="00F07215">
        <w:rPr>
          <w:rFonts w:cs="Times New Roman"/>
          <w:szCs w:val="24"/>
        </w:rPr>
        <w:t xml:space="preserve"> </w:t>
      </w:r>
      <w:r w:rsidR="00F24B3E">
        <w:rPr>
          <w:rFonts w:cs="Times New Roman"/>
          <w:szCs w:val="24"/>
        </w:rPr>
        <w:t>1936</w:t>
      </w:r>
      <w:r w:rsidR="00F364BE">
        <w:rPr>
          <w:rFonts w:cs="Times New Roman"/>
          <w:szCs w:val="24"/>
        </w:rPr>
        <w:t>].</w:t>
      </w:r>
    </w:p>
    <w:p w14:paraId="6B638DFA" w14:textId="2D69083A" w:rsidR="00924E1E" w:rsidRPr="00924E1E" w:rsidRDefault="00924E1E" w:rsidP="00924E1E">
      <w:pPr>
        <w:spacing w:after="160"/>
        <w:ind w:left="0" w:firstLine="0"/>
        <w:jc w:val="left"/>
        <w:rPr>
          <w:rFonts w:cs="Times New Roman"/>
          <w:szCs w:val="24"/>
        </w:rPr>
      </w:pPr>
      <w:r w:rsidRPr="00924E1E">
        <w:rPr>
          <w:rFonts w:cs="Times New Roman"/>
          <w:szCs w:val="24"/>
        </w:rPr>
        <w:t xml:space="preserve">In “The Problem of Social Cost” (1960) Ronald Coase openly challenges such longstanding policy orthodoxy, arguing that just because the externality exists, it is not necessarily causing a market failure, nor does it immediately warrant direct government intervention </w:t>
      </w:r>
      <w:r w:rsidR="00CC46DD">
        <w:rPr>
          <w:rFonts w:cs="Times New Roman"/>
          <w:szCs w:val="24"/>
        </w:rPr>
        <w:t>[Coase 1960</w:t>
      </w:r>
      <w:r w:rsidR="00EC20EA">
        <w:rPr>
          <w:rFonts w:cs="Times New Roman"/>
          <w:szCs w:val="24"/>
        </w:rPr>
        <w:t>; Coase 1974</w:t>
      </w:r>
      <w:r w:rsidR="00CC46DD">
        <w:rPr>
          <w:rFonts w:cs="Times New Roman"/>
          <w:szCs w:val="24"/>
        </w:rPr>
        <w:t>].</w:t>
      </w:r>
    </w:p>
    <w:p w14:paraId="654A99FE" w14:textId="24666701" w:rsidR="00924E1E" w:rsidRPr="00924E1E" w:rsidRDefault="00924E1E" w:rsidP="00EE6A7A">
      <w:pPr>
        <w:pStyle w:val="Heading2"/>
      </w:pPr>
      <w:bookmarkStart w:id="32" w:name="_Toc134346736"/>
      <w:r w:rsidRPr="00924E1E">
        <w:t xml:space="preserve">Part 2: Codification </w:t>
      </w:r>
      <w:r w:rsidR="00177097">
        <w:t>o</w:t>
      </w:r>
      <w:r w:rsidR="0043320C">
        <w:t xml:space="preserve">f </w:t>
      </w:r>
      <w:r w:rsidR="00FC3EBE">
        <w:t xml:space="preserve">US </w:t>
      </w:r>
      <w:r w:rsidR="005552CA">
        <w:t xml:space="preserve">Eminent Domain </w:t>
      </w:r>
      <w:r w:rsidRPr="00924E1E">
        <w:t xml:space="preserve">Policy </w:t>
      </w:r>
      <w:r w:rsidR="00FC747A" w:rsidRPr="00924E1E">
        <w:t>Orthodox</w:t>
      </w:r>
      <w:r w:rsidR="00FC747A">
        <w:t>y</w:t>
      </w:r>
      <w:bookmarkEnd w:id="32"/>
    </w:p>
    <w:p w14:paraId="7A028DF2" w14:textId="2AA6BB45" w:rsidR="00924E1E" w:rsidRPr="00924E1E" w:rsidRDefault="00924E1E" w:rsidP="00924E1E">
      <w:pPr>
        <w:spacing w:after="160"/>
        <w:ind w:left="0" w:firstLine="0"/>
        <w:jc w:val="left"/>
        <w:rPr>
          <w:rFonts w:cs="Times New Roman"/>
          <w:szCs w:val="24"/>
        </w:rPr>
      </w:pPr>
      <w:r w:rsidRPr="00924E1E">
        <w:rPr>
          <w:rFonts w:cs="Times New Roman"/>
          <w:szCs w:val="24"/>
        </w:rPr>
        <w:t xml:space="preserve">Starting with Hume and Adam Smith, the longstanding </w:t>
      </w:r>
      <w:r w:rsidR="00972209">
        <w:rPr>
          <w:rFonts w:cs="Times New Roman"/>
          <w:szCs w:val="24"/>
        </w:rPr>
        <w:t xml:space="preserve">theoretical economic </w:t>
      </w:r>
      <w:r w:rsidRPr="00924E1E">
        <w:rPr>
          <w:rFonts w:cs="Times New Roman"/>
          <w:szCs w:val="24"/>
        </w:rPr>
        <w:t>assertions concerning holdout resolution w</w:t>
      </w:r>
      <w:r w:rsidR="00FC3EBE">
        <w:rPr>
          <w:rFonts w:cs="Times New Roman"/>
          <w:szCs w:val="24"/>
        </w:rPr>
        <w:t>ere initially</w:t>
      </w:r>
      <w:r w:rsidRPr="00924E1E">
        <w:rPr>
          <w:rFonts w:cs="Times New Roman"/>
          <w:szCs w:val="24"/>
        </w:rPr>
        <w:t xml:space="preserve"> codified into policy orthodoxy in </w:t>
      </w:r>
      <w:r w:rsidRPr="00924E1E">
        <w:rPr>
          <w:rFonts w:cs="Times New Roman"/>
          <w:i/>
          <w:iCs/>
          <w:szCs w:val="24"/>
        </w:rPr>
        <w:t>Kohl v United States</w:t>
      </w:r>
      <w:r w:rsidRPr="00924E1E">
        <w:rPr>
          <w:rFonts w:cs="Times New Roman"/>
          <w:szCs w:val="24"/>
        </w:rPr>
        <w:t xml:space="preserve"> (1875), which justified the use of eminent domain to seize private property, with just compensation, for the construction of government buildings in Cincinnati, Ohio, on grounds that “the ability of the government to seize property for its uses, such as creating infrastructure… cannot be preserved if the obstinacy of a private person…prevents the acquisition (i.e., by holding out).” </w:t>
      </w:r>
      <w:r w:rsidR="003B4A37">
        <w:rPr>
          <w:rFonts w:cs="Times New Roman"/>
          <w:szCs w:val="24"/>
        </w:rPr>
        <w:t>[</w:t>
      </w:r>
      <w:r w:rsidR="003B4A37" w:rsidRPr="003B4A37">
        <w:rPr>
          <w:rFonts w:cs="Times New Roman"/>
          <w:i/>
          <w:iCs/>
          <w:szCs w:val="24"/>
        </w:rPr>
        <w:t>Kohl</w:t>
      </w:r>
      <w:r w:rsidR="003B4A37">
        <w:rPr>
          <w:rFonts w:cs="Times New Roman"/>
          <w:szCs w:val="24"/>
        </w:rPr>
        <w:t xml:space="preserve"> 1875]</w:t>
      </w:r>
    </w:p>
    <w:p w14:paraId="4F0C739A" w14:textId="378EC36D" w:rsidR="00924E1E" w:rsidRPr="00924E1E" w:rsidRDefault="00924E1E" w:rsidP="00924E1E">
      <w:pPr>
        <w:spacing w:after="160"/>
        <w:ind w:left="0" w:firstLine="0"/>
        <w:jc w:val="left"/>
        <w:rPr>
          <w:rFonts w:cs="Times New Roman"/>
          <w:szCs w:val="24"/>
        </w:rPr>
      </w:pPr>
      <w:r w:rsidRPr="00924E1E">
        <w:rPr>
          <w:rFonts w:cs="Times New Roman"/>
          <w:szCs w:val="24"/>
        </w:rPr>
        <w:t xml:space="preserve">Likewise, the landmark decision of </w:t>
      </w:r>
      <w:r w:rsidRPr="00924E1E">
        <w:rPr>
          <w:rFonts w:cs="Times New Roman"/>
          <w:i/>
          <w:iCs/>
          <w:szCs w:val="24"/>
        </w:rPr>
        <w:t>Berman v Parker</w:t>
      </w:r>
      <w:r w:rsidRPr="00924E1E">
        <w:rPr>
          <w:rFonts w:cs="Times New Roman"/>
          <w:szCs w:val="24"/>
        </w:rPr>
        <w:t xml:space="preserve"> (1954) </w:t>
      </w:r>
      <w:r w:rsidR="00D0495B" w:rsidRPr="00924E1E">
        <w:rPr>
          <w:rFonts w:cs="Times New Roman"/>
          <w:szCs w:val="24"/>
        </w:rPr>
        <w:t xml:space="preserve">justified </w:t>
      </w:r>
      <w:r w:rsidRPr="00924E1E">
        <w:rPr>
          <w:rFonts w:cs="Times New Roman"/>
          <w:szCs w:val="24"/>
        </w:rPr>
        <w:t xml:space="preserve">the widespread use of eminent domain for slum clearance, i.e., on grounds that large-scale public housing projects in Washington, DC, constituted “Public Benefits” under the Takings Clause. To defend its rationale, the Court argued “if owner after owner were permitted to (hold out) …these integrated plans for urban redevelopment would suffer greatly." Upon validating “Title I: Slum Clearance” (Fair Housing Act of 1949), </w:t>
      </w:r>
      <w:r w:rsidRPr="00924E1E">
        <w:rPr>
          <w:rFonts w:cs="Times New Roman"/>
          <w:i/>
          <w:iCs/>
          <w:szCs w:val="24"/>
        </w:rPr>
        <w:t>Berman</w:t>
      </w:r>
      <w:r w:rsidRPr="00924E1E">
        <w:rPr>
          <w:rFonts w:cs="Times New Roman"/>
          <w:szCs w:val="24"/>
        </w:rPr>
        <w:t xml:space="preserve"> greenlighted the full “constellation” of infrastructure programs/policies launched during </w:t>
      </w:r>
      <w:r w:rsidRPr="00924E1E">
        <w:rPr>
          <w:rFonts w:cs="Times New Roman"/>
          <w:szCs w:val="24"/>
        </w:rPr>
        <w:lastRenderedPageBreak/>
        <w:t>the Urban Renewal program, i.e., starting in the mid 1950’s. [</w:t>
      </w:r>
      <w:r w:rsidR="00A777ED">
        <w:rPr>
          <w:rFonts w:cs="Times New Roman"/>
          <w:szCs w:val="24"/>
        </w:rPr>
        <w:t>Burns, R.</w:t>
      </w:r>
      <w:r w:rsidR="00570204">
        <w:rPr>
          <w:rFonts w:cs="Times New Roman"/>
          <w:szCs w:val="24"/>
        </w:rPr>
        <w:t>,</w:t>
      </w:r>
      <w:r w:rsidR="0010795B">
        <w:rPr>
          <w:rFonts w:cs="Times New Roman"/>
          <w:szCs w:val="24"/>
        </w:rPr>
        <w:t xml:space="preserve"> contributors: </w:t>
      </w:r>
      <w:r w:rsidRPr="00924E1E">
        <w:rPr>
          <w:rFonts w:cs="Times New Roman"/>
          <w:szCs w:val="24"/>
        </w:rPr>
        <w:t>Wallace, Suarez, Jackson, Caro, et al</w:t>
      </w:r>
      <w:r w:rsidR="00C56776">
        <w:rPr>
          <w:rFonts w:cs="Times New Roman"/>
          <w:szCs w:val="24"/>
        </w:rPr>
        <w:t>. 2002</w:t>
      </w:r>
      <w:r w:rsidRPr="00924E1E">
        <w:rPr>
          <w:rFonts w:cs="Times New Roman"/>
          <w:szCs w:val="24"/>
        </w:rPr>
        <w:t xml:space="preserve">] </w:t>
      </w:r>
    </w:p>
    <w:p w14:paraId="2BBBA9FF" w14:textId="6B945446" w:rsidR="00924E1E" w:rsidRPr="00924E1E" w:rsidRDefault="00924E1E" w:rsidP="00924E1E">
      <w:pPr>
        <w:spacing w:after="160"/>
        <w:ind w:left="0" w:firstLine="0"/>
        <w:jc w:val="left"/>
        <w:rPr>
          <w:rFonts w:cs="Times New Roman"/>
          <w:szCs w:val="24"/>
        </w:rPr>
      </w:pPr>
      <w:r w:rsidRPr="00924E1E">
        <w:rPr>
          <w:rFonts w:cs="Times New Roman"/>
          <w:i/>
          <w:iCs/>
          <w:szCs w:val="24"/>
        </w:rPr>
        <w:t>Poletown Neighborhood Council v. City of Detroit (</w:t>
      </w:r>
      <w:r w:rsidRPr="00924E1E">
        <w:rPr>
          <w:rFonts w:cs="Times New Roman"/>
          <w:szCs w:val="24"/>
        </w:rPr>
        <w:t xml:space="preserve">1981) </w:t>
      </w:r>
      <w:r w:rsidR="001F5D9F" w:rsidRPr="00924E1E">
        <w:rPr>
          <w:rFonts w:cs="Times New Roman"/>
          <w:szCs w:val="24"/>
        </w:rPr>
        <w:t xml:space="preserve">authorized </w:t>
      </w:r>
      <w:r w:rsidRPr="00924E1E">
        <w:rPr>
          <w:rFonts w:cs="Times New Roman"/>
          <w:szCs w:val="24"/>
        </w:rPr>
        <w:t xml:space="preserve">the use of eminent domain to clear “Poletown”, an ethnic neighborhood in Hamtramck, a suburb of Detroit, Michigan, i.e., to build a new GM Cadillac production facility. It was likewise asserted that without eminent domain, “the construction of railroads, highways, and other such ‘instrumentalities of commerce’ … would be a “logistical and practical nightmare”, i.e., given the incentive of property owners to hold out.” </w:t>
      </w:r>
      <w:r w:rsidR="00DA27C4">
        <w:rPr>
          <w:rFonts w:cs="Times New Roman"/>
          <w:szCs w:val="24"/>
        </w:rPr>
        <w:t>[</w:t>
      </w:r>
      <w:r w:rsidR="001206A8" w:rsidRPr="001206A8">
        <w:rPr>
          <w:rFonts w:cs="Times New Roman"/>
          <w:i/>
          <w:iCs/>
          <w:szCs w:val="24"/>
        </w:rPr>
        <w:t>Poletown</w:t>
      </w:r>
      <w:r w:rsidR="001206A8">
        <w:rPr>
          <w:rFonts w:cs="Times New Roman"/>
          <w:szCs w:val="24"/>
        </w:rPr>
        <w:t xml:space="preserve"> 1981; </w:t>
      </w:r>
      <w:r w:rsidR="00376606" w:rsidRPr="00376606">
        <w:rPr>
          <w:rFonts w:cs="Times New Roman"/>
          <w:szCs w:val="24"/>
        </w:rPr>
        <w:t>Wylie 1990;</w:t>
      </w:r>
      <w:r w:rsidR="004B791F">
        <w:rPr>
          <w:rFonts w:cs="Times New Roman"/>
          <w:szCs w:val="24"/>
        </w:rPr>
        <w:t xml:space="preserve"> Nader 1990</w:t>
      </w:r>
      <w:r w:rsidR="008E7D77">
        <w:rPr>
          <w:rFonts w:cs="Times New Roman"/>
          <w:szCs w:val="24"/>
        </w:rPr>
        <w:t>;</w:t>
      </w:r>
      <w:r w:rsidR="00376606" w:rsidRPr="00376606">
        <w:rPr>
          <w:rFonts w:cs="Times New Roman"/>
          <w:szCs w:val="24"/>
        </w:rPr>
        <w:t xml:space="preserve"> Greenhut 2004]</w:t>
      </w:r>
    </w:p>
    <w:p w14:paraId="59756750" w14:textId="217369ED" w:rsidR="00924E1E" w:rsidRPr="00924E1E" w:rsidRDefault="00924E1E" w:rsidP="00924E1E">
      <w:pPr>
        <w:spacing w:after="160"/>
        <w:ind w:left="0" w:firstLine="0"/>
        <w:jc w:val="left"/>
        <w:rPr>
          <w:rFonts w:cs="Times New Roman"/>
          <w:szCs w:val="24"/>
        </w:rPr>
      </w:pPr>
      <w:r w:rsidRPr="00924E1E">
        <w:rPr>
          <w:rFonts w:cs="Times New Roman"/>
          <w:szCs w:val="24"/>
        </w:rPr>
        <w:t xml:space="preserve">Finally, in </w:t>
      </w:r>
      <w:r w:rsidRPr="00924E1E">
        <w:rPr>
          <w:rFonts w:cs="Times New Roman"/>
          <w:i/>
          <w:iCs/>
          <w:szCs w:val="24"/>
        </w:rPr>
        <w:t>Kelo v City of New London</w:t>
      </w:r>
      <w:r w:rsidRPr="00924E1E">
        <w:rPr>
          <w:rFonts w:cs="Times New Roman"/>
          <w:szCs w:val="24"/>
        </w:rPr>
        <w:t xml:space="preserve"> (2005) eminent domain was used to overcome 7 holdouts, including the property of Ms. Susette Kelo, i.e., to build a new Pfizer Corporate headquarters in the “economically depressed” neighborhood of Fort Trumbull, Connecticut. The Court justified its policy rationale as being a “comprehensive and rational approach to identifying and correcting a market failure”. </w:t>
      </w:r>
      <w:r w:rsidR="00D44D18">
        <w:rPr>
          <w:rFonts w:cs="Times New Roman"/>
          <w:szCs w:val="24"/>
        </w:rPr>
        <w:t>[</w:t>
      </w:r>
      <w:r w:rsidR="00D44D18" w:rsidRPr="00D44D18">
        <w:rPr>
          <w:rFonts w:cs="Times New Roman"/>
          <w:i/>
          <w:iCs/>
          <w:szCs w:val="24"/>
        </w:rPr>
        <w:t>Kelo</w:t>
      </w:r>
      <w:r w:rsidR="00D44D18">
        <w:rPr>
          <w:rFonts w:cs="Times New Roman"/>
          <w:szCs w:val="24"/>
        </w:rPr>
        <w:t xml:space="preserve"> 2005</w:t>
      </w:r>
      <w:r w:rsidR="00DD56EA">
        <w:rPr>
          <w:rFonts w:cs="Times New Roman"/>
          <w:szCs w:val="24"/>
        </w:rPr>
        <w:t>;</w:t>
      </w:r>
      <w:r w:rsidR="006E0A19">
        <w:rPr>
          <w:rFonts w:cs="Times New Roman"/>
          <w:szCs w:val="24"/>
        </w:rPr>
        <w:t xml:space="preserve"> </w:t>
      </w:r>
      <w:r w:rsidR="00DD56EA" w:rsidRPr="00DD56EA">
        <w:rPr>
          <w:rFonts w:cs="Times New Roman"/>
          <w:szCs w:val="24"/>
        </w:rPr>
        <w:t>Berliner 2005; Bullock 2005; Malamut 2000; Somin 2015]</w:t>
      </w:r>
    </w:p>
    <w:p w14:paraId="08095370" w14:textId="6E1D32C8" w:rsidR="00924E1E" w:rsidRPr="00924E1E" w:rsidRDefault="00924E1E" w:rsidP="00924E1E">
      <w:pPr>
        <w:spacing w:after="160"/>
        <w:ind w:left="0" w:firstLine="0"/>
        <w:jc w:val="left"/>
        <w:rPr>
          <w:rFonts w:cs="Times New Roman"/>
          <w:szCs w:val="24"/>
        </w:rPr>
      </w:pPr>
      <w:r w:rsidRPr="00924E1E">
        <w:rPr>
          <w:rFonts w:cs="Times New Roman"/>
          <w:szCs w:val="24"/>
        </w:rPr>
        <w:t>Following the controversial</w:t>
      </w:r>
      <w:r w:rsidRPr="00924E1E">
        <w:rPr>
          <w:rFonts w:cs="Times New Roman"/>
          <w:i/>
          <w:iCs/>
          <w:szCs w:val="24"/>
        </w:rPr>
        <w:t xml:space="preserve"> Kelo </w:t>
      </w:r>
      <w:r w:rsidRPr="00924E1E">
        <w:rPr>
          <w:rFonts w:cs="Times New Roman"/>
          <w:szCs w:val="24"/>
        </w:rPr>
        <w:t xml:space="preserve">decision, “many ordinary Americans were shocked to learn a city could condemn homes and small businesses in order to promote private development – a reality they were unaware of until the publicity surrounding </w:t>
      </w:r>
      <w:r w:rsidRPr="00924E1E">
        <w:rPr>
          <w:rFonts w:cs="Times New Roman"/>
          <w:i/>
          <w:iCs/>
          <w:szCs w:val="24"/>
        </w:rPr>
        <w:t xml:space="preserve">Kelo </w:t>
      </w:r>
      <w:r w:rsidRPr="00924E1E">
        <w:rPr>
          <w:rFonts w:cs="Times New Roman"/>
          <w:szCs w:val="24"/>
        </w:rPr>
        <w:t>drove it home to them” [Somin</w:t>
      </w:r>
      <w:r w:rsidR="00393B90">
        <w:rPr>
          <w:rFonts w:cs="Times New Roman"/>
          <w:szCs w:val="24"/>
        </w:rPr>
        <w:t xml:space="preserve"> 2015</w:t>
      </w:r>
      <w:r w:rsidRPr="00924E1E">
        <w:rPr>
          <w:rFonts w:cs="Times New Roman"/>
          <w:szCs w:val="24"/>
        </w:rPr>
        <w:t>; Berliner</w:t>
      </w:r>
      <w:r w:rsidR="003F64D8">
        <w:rPr>
          <w:rFonts w:cs="Times New Roman"/>
          <w:szCs w:val="24"/>
        </w:rPr>
        <w:t xml:space="preserve"> 2005</w:t>
      </w:r>
      <w:r w:rsidRPr="00924E1E">
        <w:rPr>
          <w:rFonts w:cs="Times New Roman"/>
          <w:szCs w:val="24"/>
        </w:rPr>
        <w:t>; Bullock</w:t>
      </w:r>
      <w:r w:rsidR="003F64D8">
        <w:rPr>
          <w:rFonts w:cs="Times New Roman"/>
          <w:szCs w:val="24"/>
        </w:rPr>
        <w:t xml:space="preserve"> 2005</w:t>
      </w:r>
      <w:r w:rsidRPr="00924E1E">
        <w:rPr>
          <w:rFonts w:cs="Times New Roman"/>
          <w:szCs w:val="24"/>
        </w:rPr>
        <w:t xml:space="preserve">; </w:t>
      </w:r>
      <w:r w:rsidR="00AA2B82">
        <w:rPr>
          <w:rFonts w:cs="Times New Roman"/>
          <w:szCs w:val="24"/>
        </w:rPr>
        <w:t xml:space="preserve">Malamut 2000; </w:t>
      </w:r>
      <w:r w:rsidRPr="00924E1E">
        <w:rPr>
          <w:rFonts w:cs="Times New Roman"/>
          <w:szCs w:val="24"/>
        </w:rPr>
        <w:t>et al]. In "After Kelo: Political Rhetoric and Policy Responses"</w:t>
      </w:r>
      <w:r w:rsidR="000A7928">
        <w:rPr>
          <w:rFonts w:cs="Times New Roman"/>
          <w:szCs w:val="24"/>
        </w:rPr>
        <w:t xml:space="preserve"> </w:t>
      </w:r>
      <w:r w:rsidRPr="00924E1E">
        <w:rPr>
          <w:rFonts w:cs="Times New Roman"/>
          <w:szCs w:val="24"/>
        </w:rPr>
        <w:t xml:space="preserve">Jacobs and Bassett </w:t>
      </w:r>
      <w:r w:rsidR="000A7928" w:rsidRPr="00924E1E">
        <w:rPr>
          <w:rFonts w:cs="Times New Roman"/>
          <w:szCs w:val="24"/>
        </w:rPr>
        <w:t xml:space="preserve">(2005) </w:t>
      </w:r>
      <w:r w:rsidRPr="00924E1E">
        <w:rPr>
          <w:rFonts w:cs="Times New Roman"/>
          <w:szCs w:val="24"/>
        </w:rPr>
        <w:t xml:space="preserve">conducted a landmark nationwide survey, reporting a broad consensus still supported the traditional use of eminent domain, e.g., for abandoned/blighted property, roads, </w:t>
      </w:r>
      <w:r w:rsidRPr="00924E1E">
        <w:rPr>
          <w:rFonts w:cs="Times New Roman"/>
          <w:szCs w:val="24"/>
        </w:rPr>
        <w:lastRenderedPageBreak/>
        <w:t xml:space="preserve">bridges, schools, etc., but were equal opposed to its strictly private use, e.g., for large-scale corporate redevelopment projects. In response to </w:t>
      </w:r>
      <w:r w:rsidRPr="00924E1E">
        <w:rPr>
          <w:rFonts w:cs="Times New Roman"/>
          <w:i/>
          <w:iCs/>
          <w:szCs w:val="24"/>
        </w:rPr>
        <w:t>Kelo</w:t>
      </w:r>
      <w:r w:rsidRPr="00924E1E">
        <w:rPr>
          <w:rFonts w:cs="Times New Roman"/>
          <w:szCs w:val="24"/>
        </w:rPr>
        <w:t>, 43 state legislatures enacted laws restricting eminent domain for strictly private use, while most municipal governments chose to retain these powers as an entrepreneurial device, i.e., for attracting lucrative corporate redevelopment projects in the aging urban centers, starting in the Reagan-era. [Jacobs and Bassett 2010</w:t>
      </w:r>
      <w:r w:rsidR="00D15DDE">
        <w:rPr>
          <w:rFonts w:cs="Times New Roman"/>
          <w:szCs w:val="24"/>
        </w:rPr>
        <w:t>;</w:t>
      </w:r>
      <w:r w:rsidRPr="00924E1E">
        <w:rPr>
          <w:rFonts w:cs="Times New Roman"/>
          <w:szCs w:val="24"/>
        </w:rPr>
        <w:t xml:space="preserve"> Banerjee &amp; Loukaitou-Sideris 2014</w:t>
      </w:r>
      <w:r w:rsidR="00D15DDE">
        <w:rPr>
          <w:rFonts w:cs="Times New Roman"/>
          <w:szCs w:val="24"/>
        </w:rPr>
        <w:t>;</w:t>
      </w:r>
      <w:r w:rsidR="00593B54">
        <w:rPr>
          <w:rFonts w:cs="Times New Roman"/>
          <w:szCs w:val="24"/>
        </w:rPr>
        <w:t xml:space="preserve"> Somin 2015</w:t>
      </w:r>
      <w:r w:rsidRPr="00924E1E">
        <w:rPr>
          <w:rFonts w:cs="Times New Roman"/>
          <w:szCs w:val="24"/>
        </w:rPr>
        <w:t>]</w:t>
      </w:r>
    </w:p>
    <w:p w14:paraId="68D2AE53" w14:textId="30F6D090" w:rsidR="00924E1E" w:rsidRPr="00924E1E" w:rsidRDefault="00251234" w:rsidP="00924E1E">
      <w:pPr>
        <w:spacing w:after="160"/>
        <w:ind w:left="0" w:firstLine="0"/>
        <w:jc w:val="left"/>
        <w:rPr>
          <w:rFonts w:cs="Times New Roman"/>
          <w:szCs w:val="24"/>
        </w:rPr>
      </w:pPr>
      <w:r>
        <w:rPr>
          <w:rFonts w:cs="Times New Roman"/>
          <w:szCs w:val="24"/>
        </w:rPr>
        <w:t>F</w:t>
      </w:r>
      <w:r w:rsidRPr="00924E1E">
        <w:rPr>
          <w:rFonts w:cs="Times New Roman"/>
          <w:szCs w:val="24"/>
        </w:rPr>
        <w:t xml:space="preserve">ollowing the controversial </w:t>
      </w:r>
      <w:r w:rsidRPr="00924E1E">
        <w:rPr>
          <w:rFonts w:cs="Times New Roman"/>
          <w:i/>
          <w:iCs/>
          <w:szCs w:val="24"/>
        </w:rPr>
        <w:t>Kelo</w:t>
      </w:r>
      <w:r w:rsidRPr="00924E1E">
        <w:rPr>
          <w:rFonts w:cs="Times New Roman"/>
          <w:szCs w:val="24"/>
        </w:rPr>
        <w:t xml:space="preserve"> decision</w:t>
      </w:r>
      <w:r>
        <w:rPr>
          <w:rFonts w:cs="Times New Roman"/>
          <w:szCs w:val="24"/>
        </w:rPr>
        <w:t xml:space="preserve">, </w:t>
      </w:r>
      <w:r w:rsidR="00924E1E" w:rsidRPr="00924E1E">
        <w:rPr>
          <w:rFonts w:cs="Times New Roman"/>
          <w:szCs w:val="24"/>
        </w:rPr>
        <w:t xml:space="preserve">recent studies (Hornaday (2007), Hubbard (2009), Trimble (2019), et al) find that </w:t>
      </w:r>
      <w:r w:rsidR="002A0DBF" w:rsidRPr="00924E1E">
        <w:rPr>
          <w:rFonts w:cs="Times New Roman"/>
          <w:szCs w:val="24"/>
        </w:rPr>
        <w:t>the State of Texas</w:t>
      </w:r>
      <w:r w:rsidR="002A0DBF">
        <w:rPr>
          <w:rFonts w:cs="Times New Roman"/>
          <w:szCs w:val="24"/>
        </w:rPr>
        <w:t xml:space="preserve"> </w:t>
      </w:r>
      <w:r w:rsidR="002A0DBF" w:rsidRPr="00924E1E">
        <w:rPr>
          <w:rFonts w:cs="Times New Roman"/>
          <w:szCs w:val="24"/>
        </w:rPr>
        <w:t>effectively re-affirmed</w:t>
      </w:r>
      <w:r w:rsidR="002A0DBF">
        <w:rPr>
          <w:rFonts w:cs="Times New Roman"/>
          <w:szCs w:val="24"/>
        </w:rPr>
        <w:t xml:space="preserve"> </w:t>
      </w:r>
      <w:r w:rsidR="00F33348">
        <w:rPr>
          <w:rFonts w:cs="Times New Roman"/>
          <w:szCs w:val="24"/>
        </w:rPr>
        <w:t xml:space="preserve">this </w:t>
      </w:r>
      <w:r w:rsidR="00580E08" w:rsidRPr="00924E1E">
        <w:rPr>
          <w:rFonts w:cs="Times New Roman"/>
          <w:szCs w:val="24"/>
        </w:rPr>
        <w:t>longstanding policy orthodoxy</w:t>
      </w:r>
      <w:r w:rsidR="00924E1E" w:rsidRPr="00924E1E">
        <w:rPr>
          <w:rFonts w:cs="Times New Roman"/>
          <w:szCs w:val="24"/>
        </w:rPr>
        <w:t xml:space="preserve">, i.e., </w:t>
      </w:r>
      <w:r w:rsidR="00580E08">
        <w:rPr>
          <w:rFonts w:cs="Times New Roman"/>
          <w:szCs w:val="24"/>
        </w:rPr>
        <w:t xml:space="preserve">as </w:t>
      </w:r>
      <w:r w:rsidR="00924E1E" w:rsidRPr="00924E1E">
        <w:rPr>
          <w:rFonts w:cs="Times New Roman"/>
          <w:szCs w:val="24"/>
        </w:rPr>
        <w:t>first established in</w:t>
      </w:r>
      <w:r w:rsidR="00924E1E" w:rsidRPr="00924E1E">
        <w:rPr>
          <w:rFonts w:cs="Times New Roman"/>
          <w:i/>
          <w:iCs/>
          <w:szCs w:val="24"/>
        </w:rPr>
        <w:t xml:space="preserve"> Berman,</w:t>
      </w:r>
      <w:r w:rsidR="00924E1E" w:rsidRPr="00924E1E">
        <w:rPr>
          <w:rFonts w:cs="Times New Roman"/>
          <w:szCs w:val="24"/>
        </w:rPr>
        <w:t xml:space="preserve"> and later in </w:t>
      </w:r>
      <w:r w:rsidR="00924E1E" w:rsidRPr="00924E1E">
        <w:rPr>
          <w:rFonts w:cs="Times New Roman"/>
          <w:i/>
          <w:iCs/>
          <w:szCs w:val="24"/>
        </w:rPr>
        <w:t>Kelo</w:t>
      </w:r>
      <w:r w:rsidR="00D21EC3">
        <w:rPr>
          <w:rFonts w:cs="Times New Roman"/>
          <w:szCs w:val="24"/>
        </w:rPr>
        <w:t xml:space="preserve">. </w:t>
      </w:r>
      <w:r w:rsidR="00924E1E" w:rsidRPr="00924E1E">
        <w:rPr>
          <w:rFonts w:cs="Times New Roman"/>
          <w:i/>
          <w:iCs/>
          <w:szCs w:val="24"/>
        </w:rPr>
        <w:t>Texas Government Code Chapter 2206.001</w:t>
      </w:r>
      <w:r w:rsidR="00924E1E" w:rsidRPr="00924E1E">
        <w:rPr>
          <w:rFonts w:cs="Times New Roman"/>
          <w:szCs w:val="24"/>
        </w:rPr>
        <w:t xml:space="preserve"> (2015) </w:t>
      </w:r>
      <w:r w:rsidR="00D21EC3" w:rsidRPr="00924E1E">
        <w:rPr>
          <w:rFonts w:cs="Times New Roman"/>
          <w:szCs w:val="24"/>
        </w:rPr>
        <w:t>declar</w:t>
      </w:r>
      <w:r w:rsidR="0035621C">
        <w:rPr>
          <w:rFonts w:cs="Times New Roman"/>
          <w:szCs w:val="24"/>
        </w:rPr>
        <w:t>ed</w:t>
      </w:r>
      <w:r w:rsidR="00D21EC3" w:rsidRPr="00924E1E">
        <w:rPr>
          <w:rFonts w:cs="Times New Roman"/>
          <w:szCs w:val="24"/>
        </w:rPr>
        <w:t xml:space="preserve"> </w:t>
      </w:r>
      <w:r w:rsidR="00924E1E" w:rsidRPr="00924E1E">
        <w:rPr>
          <w:rFonts w:cs="Times New Roman"/>
          <w:szCs w:val="24"/>
        </w:rPr>
        <w:t>that high school/college/professional sports stadiums constituted a “Public Benefits</w:t>
      </w:r>
      <w:r w:rsidR="002317D5" w:rsidRPr="00924E1E">
        <w:rPr>
          <w:rFonts w:cs="Times New Roman"/>
          <w:szCs w:val="24"/>
        </w:rPr>
        <w:t>”,</w:t>
      </w:r>
      <w:r w:rsidR="00924E1E" w:rsidRPr="00924E1E">
        <w:rPr>
          <w:rFonts w:cs="Times New Roman"/>
          <w:szCs w:val="24"/>
        </w:rPr>
        <w:t xml:space="preserve"> and that Just Compensation could be increased (up to 250%), i.e., to prevent holdouts</w:t>
      </w:r>
      <w:r w:rsidR="002317D5">
        <w:rPr>
          <w:rFonts w:cs="Times New Roman"/>
          <w:szCs w:val="24"/>
        </w:rPr>
        <w:t xml:space="preserve"> </w:t>
      </w:r>
      <w:r w:rsidR="00924E1E" w:rsidRPr="00924E1E">
        <w:rPr>
          <w:rFonts w:cs="Times New Roman"/>
          <w:szCs w:val="24"/>
        </w:rPr>
        <w:t>under the Takings Clause.</w:t>
      </w:r>
      <w:r w:rsidR="00CA0E9E">
        <w:rPr>
          <w:rFonts w:cs="Times New Roman"/>
          <w:szCs w:val="24"/>
        </w:rPr>
        <w:t xml:space="preserve"> [</w:t>
      </w:r>
      <w:r w:rsidR="00CA0E9E" w:rsidRPr="00CA0E9E">
        <w:rPr>
          <w:rFonts w:cs="Times New Roman"/>
          <w:szCs w:val="24"/>
        </w:rPr>
        <w:t>(Hornaday 2007</w:t>
      </w:r>
      <w:r w:rsidR="00CA0E9E">
        <w:rPr>
          <w:rFonts w:cs="Times New Roman"/>
          <w:szCs w:val="24"/>
        </w:rPr>
        <w:t>;</w:t>
      </w:r>
      <w:r w:rsidR="00CA0E9E" w:rsidRPr="00CA0E9E">
        <w:rPr>
          <w:rFonts w:cs="Times New Roman"/>
          <w:szCs w:val="24"/>
        </w:rPr>
        <w:t xml:space="preserve"> Hubbard 2009</w:t>
      </w:r>
      <w:r w:rsidR="00CA0E9E">
        <w:rPr>
          <w:rFonts w:cs="Times New Roman"/>
          <w:szCs w:val="24"/>
        </w:rPr>
        <w:t>;</w:t>
      </w:r>
      <w:r w:rsidR="00CA0E9E" w:rsidRPr="00CA0E9E">
        <w:rPr>
          <w:rFonts w:cs="Times New Roman"/>
          <w:szCs w:val="24"/>
        </w:rPr>
        <w:t xml:space="preserve"> Trimble 2019</w:t>
      </w:r>
      <w:r w:rsidR="00CA0E9E">
        <w:rPr>
          <w:rFonts w:cs="Times New Roman"/>
          <w:szCs w:val="24"/>
        </w:rPr>
        <w:t>]</w:t>
      </w:r>
    </w:p>
    <w:p w14:paraId="62FE4C8F" w14:textId="1153D19B" w:rsidR="00924E1E" w:rsidRPr="00924E1E" w:rsidRDefault="00924E1E" w:rsidP="00924E1E">
      <w:pPr>
        <w:spacing w:after="160"/>
        <w:ind w:left="0" w:firstLine="0"/>
        <w:jc w:val="left"/>
        <w:rPr>
          <w:rFonts w:cs="Times New Roman"/>
          <w:szCs w:val="24"/>
        </w:rPr>
      </w:pPr>
      <w:r w:rsidRPr="00924E1E">
        <w:rPr>
          <w:rFonts w:cs="Times New Roman"/>
          <w:szCs w:val="24"/>
        </w:rPr>
        <w:t xml:space="preserve">Nevertheless, as a formal assessment of longstanding eminent domain policy, in “Foreward” Judge Richard Posner argues that the strong adverse reaction to the </w:t>
      </w:r>
      <w:r w:rsidRPr="00924E1E">
        <w:rPr>
          <w:rFonts w:cs="Times New Roman"/>
          <w:i/>
          <w:iCs/>
          <w:szCs w:val="24"/>
        </w:rPr>
        <w:t>Kelo</w:t>
      </w:r>
      <w:r w:rsidRPr="00924E1E">
        <w:rPr>
          <w:rFonts w:cs="Times New Roman"/>
          <w:szCs w:val="24"/>
        </w:rPr>
        <w:t xml:space="preserve"> decision was actually evidence of its pragmatic soundness. “When the Court declines to invalidate an unpopular government power, it tosses the issue back into the democratic arena… They will have to roll up their sleeves and fight the battle in Congress and state legislatures - where they may well succeed</w:t>
      </w:r>
      <w:r w:rsidR="00AB6C9D" w:rsidRPr="00924E1E">
        <w:rPr>
          <w:rFonts w:cs="Times New Roman"/>
          <w:szCs w:val="24"/>
        </w:rPr>
        <w:t>.”</w:t>
      </w:r>
      <w:r w:rsidRPr="00924E1E">
        <w:rPr>
          <w:rFonts w:cs="Times New Roman"/>
          <w:szCs w:val="24"/>
        </w:rPr>
        <w:t xml:space="preserve"> [Posner</w:t>
      </w:r>
      <w:r w:rsidR="001C38F8">
        <w:rPr>
          <w:rFonts w:cs="Times New Roman"/>
          <w:szCs w:val="24"/>
        </w:rPr>
        <w:t xml:space="preserve"> 2005; Kelly 2006]</w:t>
      </w:r>
    </w:p>
    <w:p w14:paraId="50CBE9C8" w14:textId="42F266BE" w:rsidR="00924E1E" w:rsidRPr="00924E1E" w:rsidRDefault="00924E1E" w:rsidP="00EE6A7A">
      <w:pPr>
        <w:pStyle w:val="Heading2"/>
      </w:pPr>
      <w:bookmarkStart w:id="33" w:name="_Toc134346737"/>
      <w:r w:rsidRPr="00924E1E">
        <w:lastRenderedPageBreak/>
        <w:t xml:space="preserve">Part 3: Heterodox/Grounded </w:t>
      </w:r>
      <w:r w:rsidR="006208CA">
        <w:t xml:space="preserve">Theory Research </w:t>
      </w:r>
      <w:r w:rsidR="00FF6685">
        <w:t>Methods</w:t>
      </w:r>
      <w:bookmarkEnd w:id="33"/>
    </w:p>
    <w:p w14:paraId="39D483B6" w14:textId="2A5732BD" w:rsidR="00924E1E" w:rsidRPr="00924E1E" w:rsidRDefault="00924E1E" w:rsidP="00924E1E">
      <w:pPr>
        <w:spacing w:after="160"/>
        <w:ind w:left="0" w:firstLine="0"/>
        <w:jc w:val="left"/>
        <w:rPr>
          <w:rFonts w:cs="Times New Roman"/>
          <w:szCs w:val="24"/>
        </w:rPr>
      </w:pPr>
      <w:r w:rsidRPr="00924E1E">
        <w:rPr>
          <w:rFonts w:cs="Times New Roman"/>
          <w:szCs w:val="24"/>
        </w:rPr>
        <w:t>In “</w:t>
      </w:r>
      <w:r w:rsidRPr="00924E1E">
        <w:rPr>
          <w:rFonts w:cs="Times New Roman"/>
          <w:i/>
          <w:iCs/>
          <w:szCs w:val="24"/>
        </w:rPr>
        <w:t>The General Theory of Employment, Interest and Money</w:t>
      </w:r>
      <w:r w:rsidRPr="00924E1E">
        <w:rPr>
          <w:rFonts w:cs="Times New Roman"/>
          <w:szCs w:val="24"/>
        </w:rPr>
        <w:t xml:space="preserve">” (1936): John Maynard Keynes was first to challenge what he perceived as the undue influence of traditional economic theory, i.e., upon formal policy orthodoxy, arguing that purely theoretical assertions by traditional economists and political philosophers, both right and wrong, are more powerful than is commonly understood. Keynes </w:t>
      </w:r>
      <w:r w:rsidR="003B373E" w:rsidRPr="00924E1E">
        <w:rPr>
          <w:rFonts w:cs="Times New Roman"/>
          <w:szCs w:val="24"/>
        </w:rPr>
        <w:t xml:space="preserve">summarized </w:t>
      </w:r>
      <w:r w:rsidR="003B373E">
        <w:rPr>
          <w:rFonts w:cs="Times New Roman"/>
          <w:szCs w:val="24"/>
        </w:rPr>
        <w:t xml:space="preserve">his </w:t>
      </w:r>
      <w:r w:rsidRPr="00924E1E">
        <w:rPr>
          <w:rFonts w:cs="Times New Roman"/>
          <w:szCs w:val="24"/>
        </w:rPr>
        <w:t>rationale for challenging longstanding policy orthodoxy in his famous quote:</w:t>
      </w:r>
    </w:p>
    <w:p w14:paraId="28CD9FBB" w14:textId="77777777" w:rsidR="00924E1E" w:rsidRPr="00924E1E" w:rsidRDefault="00924E1E" w:rsidP="00F40A47">
      <w:pPr>
        <w:spacing w:after="160" w:line="240" w:lineRule="auto"/>
        <w:ind w:left="720" w:firstLine="0"/>
        <w:jc w:val="left"/>
        <w:rPr>
          <w:rFonts w:cs="Times New Roman"/>
          <w:szCs w:val="24"/>
        </w:rPr>
      </w:pPr>
      <w:r w:rsidRPr="00924E1E">
        <w:rPr>
          <w:rFonts w:cs="Times New Roman"/>
          <w:szCs w:val="24"/>
        </w:rPr>
        <w:t xml:space="preserve">“Practical men who believe themselves to be quite exempt from any intellectual influence, are usually the slaves of some defunct economist. Madmen in authority, who hear voices in the air, are distilling their frenzy from some academic scribbler of a few years back.” </w:t>
      </w:r>
    </w:p>
    <w:p w14:paraId="73758EC4" w14:textId="7D6C5B30" w:rsidR="00924E1E" w:rsidRPr="00924E1E" w:rsidRDefault="00924E1E" w:rsidP="00924E1E">
      <w:pPr>
        <w:spacing w:after="160"/>
        <w:ind w:left="0" w:firstLine="0"/>
        <w:jc w:val="right"/>
        <w:rPr>
          <w:rFonts w:cs="Times New Roman"/>
          <w:szCs w:val="24"/>
        </w:rPr>
      </w:pPr>
      <w:r w:rsidRPr="00924E1E">
        <w:rPr>
          <w:rFonts w:cs="Times New Roman"/>
          <w:szCs w:val="24"/>
        </w:rPr>
        <w:t>― John Maynard Keynes</w:t>
      </w:r>
      <w:r w:rsidR="000A2BB9">
        <w:rPr>
          <w:rFonts w:cs="Times New Roman"/>
          <w:szCs w:val="24"/>
        </w:rPr>
        <w:t xml:space="preserve"> 1936</w:t>
      </w:r>
    </w:p>
    <w:p w14:paraId="7FF2DA21" w14:textId="7169446F" w:rsidR="00924E1E" w:rsidRPr="00924E1E" w:rsidRDefault="00924E1E" w:rsidP="00924E1E">
      <w:pPr>
        <w:spacing w:after="160"/>
        <w:ind w:left="0" w:firstLine="0"/>
        <w:jc w:val="left"/>
        <w:rPr>
          <w:rFonts w:cs="Times New Roman"/>
          <w:szCs w:val="24"/>
        </w:rPr>
      </w:pPr>
      <w:r w:rsidRPr="00924E1E">
        <w:rPr>
          <w:rFonts w:cs="Times New Roman"/>
          <w:szCs w:val="24"/>
        </w:rPr>
        <w:t xml:space="preserve">In “The Lighthouse in Economics” (1974) Coase purposefully examined the real-world operations of British lighthouses, i.e., specifically challenging longstanding theoretical policy assertions by Mill, Sidgwick, Pigou, Samuelson, et al. Arguing that, despite the example of the lighthouse being used extensively in traditional literature, to his knowledge, none of these celebrated economists had ever made a comprehensive study of lighthouse finance and administration </w:t>
      </w:r>
      <w:r w:rsidRPr="00924E1E">
        <w:rPr>
          <w:rFonts w:cs="Times New Roman"/>
          <w:i/>
          <w:iCs/>
          <w:szCs w:val="24"/>
        </w:rPr>
        <w:t>in situ</w:t>
      </w:r>
      <w:r w:rsidRPr="00924E1E">
        <w:rPr>
          <w:rFonts w:cs="Times New Roman"/>
          <w:szCs w:val="24"/>
        </w:rPr>
        <w:t xml:space="preserve">. Indeed, </w:t>
      </w:r>
      <w:r w:rsidR="00DE21DE">
        <w:rPr>
          <w:rFonts w:cs="Times New Roman"/>
          <w:szCs w:val="24"/>
        </w:rPr>
        <w:t>“</w:t>
      </w:r>
      <w:r w:rsidRPr="00924E1E">
        <w:rPr>
          <w:rFonts w:cs="Times New Roman"/>
          <w:szCs w:val="24"/>
        </w:rPr>
        <w:t xml:space="preserve">it appears </w:t>
      </w:r>
      <w:r w:rsidR="00DE21DE">
        <w:rPr>
          <w:rFonts w:cs="Times New Roman"/>
          <w:szCs w:val="24"/>
        </w:rPr>
        <w:t xml:space="preserve">that </w:t>
      </w:r>
      <w:r w:rsidRPr="00924E1E">
        <w:rPr>
          <w:rFonts w:cs="Times New Roman"/>
          <w:szCs w:val="24"/>
        </w:rPr>
        <w:t>they simply plucked the lighthouse “out of thin air” to serve as an illustration”. Coase’s main polemic was to question:</w:t>
      </w:r>
    </w:p>
    <w:p w14:paraId="22A7179B" w14:textId="77777777" w:rsidR="00924E1E" w:rsidRPr="00924E1E" w:rsidRDefault="00924E1E" w:rsidP="00594448">
      <w:pPr>
        <w:spacing w:after="160" w:line="240" w:lineRule="auto"/>
        <w:ind w:left="720" w:firstLine="0"/>
        <w:jc w:val="left"/>
        <w:rPr>
          <w:rFonts w:cs="Times New Roman"/>
          <w:szCs w:val="24"/>
        </w:rPr>
      </w:pPr>
      <w:r w:rsidRPr="00924E1E">
        <w:rPr>
          <w:rFonts w:cs="Times New Roman"/>
          <w:szCs w:val="24"/>
        </w:rPr>
        <w:t>How is it that these great men have, in their economic writings, been led to make statements (assertions) about lighthouses which are misleading to the facts, whose meaning, if thought about in a concrete fashion, is quite unclear, and which, to the extent that they imply a policy conclusion, are very likely wrong?</w:t>
      </w:r>
    </w:p>
    <w:p w14:paraId="7F415345" w14:textId="77777777" w:rsidR="00924E1E" w:rsidRPr="00924E1E" w:rsidRDefault="00924E1E" w:rsidP="00924E1E">
      <w:pPr>
        <w:spacing w:after="160"/>
        <w:ind w:left="0" w:firstLine="0"/>
        <w:jc w:val="right"/>
        <w:rPr>
          <w:rFonts w:cs="Times New Roman"/>
          <w:szCs w:val="24"/>
        </w:rPr>
      </w:pPr>
      <w:r w:rsidRPr="00924E1E">
        <w:rPr>
          <w:rFonts w:cs="Times New Roman"/>
          <w:szCs w:val="24"/>
        </w:rPr>
        <w:t>--- Ronald Coase 1972</w:t>
      </w:r>
    </w:p>
    <w:p w14:paraId="08248697" w14:textId="391A2713" w:rsidR="00924E1E" w:rsidRPr="00924E1E" w:rsidRDefault="00924E1E" w:rsidP="00924E1E">
      <w:pPr>
        <w:spacing w:after="160"/>
        <w:ind w:left="0" w:firstLine="0"/>
        <w:jc w:val="left"/>
        <w:rPr>
          <w:rFonts w:cs="Times New Roman"/>
          <w:szCs w:val="24"/>
        </w:rPr>
      </w:pPr>
      <w:r w:rsidRPr="00924E1E">
        <w:rPr>
          <w:rFonts w:cs="Times New Roman"/>
          <w:szCs w:val="24"/>
        </w:rPr>
        <w:lastRenderedPageBreak/>
        <w:t xml:space="preserve">In “The Fable of the Bees: An Economic Investigation” (1973) Cheung likewise interviewed real-world beekeepers and apple growers, i.e., openly challenging Meade’s assertions about bee pollination and nectar production. Arguing that whether or not Keynes was correct in his claim that policymakers are "distilling their frenzy" from economists, it appears self-evident that some economists [planners, judges, government policymakers, city officials, et al] have been distilling their policy implications from fables. </w:t>
      </w:r>
      <w:r w:rsidR="00594448">
        <w:rPr>
          <w:rFonts w:cs="Times New Roman"/>
          <w:szCs w:val="24"/>
        </w:rPr>
        <w:t>[Cheung 1973; Meade 1958; Bator 1958]</w:t>
      </w:r>
    </w:p>
    <w:p w14:paraId="7C4C0088" w14:textId="36A31657" w:rsidR="00924E1E" w:rsidRPr="00924E1E" w:rsidRDefault="00710997" w:rsidP="00710997">
      <w:pPr>
        <w:spacing w:after="160" w:line="240" w:lineRule="auto"/>
        <w:ind w:left="720" w:firstLine="0"/>
        <w:jc w:val="left"/>
        <w:rPr>
          <w:rFonts w:cs="Times New Roman"/>
          <w:szCs w:val="24"/>
        </w:rPr>
      </w:pPr>
      <w:r>
        <w:rPr>
          <w:rFonts w:cs="Times New Roman"/>
          <w:szCs w:val="24"/>
        </w:rPr>
        <w:t>“</w:t>
      </w:r>
      <w:r w:rsidR="00924E1E" w:rsidRPr="00924E1E">
        <w:rPr>
          <w:rFonts w:cs="Times New Roman"/>
          <w:szCs w:val="24"/>
        </w:rPr>
        <w:t>In a desire to promote government intervention, they have been prone to advance, without the support of careful investigation, the notion of "market failure."  My main criticism, rather, concerns their approach to economic inquiry in failing to investigate the real-world situation and in arriving at policy implications out of sheer imagination. As a result, their work contributes little to our understanding of the actual economic system.</w:t>
      </w:r>
      <w:r>
        <w:rPr>
          <w:rFonts w:cs="Times New Roman"/>
          <w:szCs w:val="24"/>
        </w:rPr>
        <w:t>”</w:t>
      </w:r>
      <w:r w:rsidR="00924E1E" w:rsidRPr="00924E1E">
        <w:rPr>
          <w:rFonts w:cs="Times New Roman"/>
          <w:szCs w:val="24"/>
        </w:rPr>
        <w:t xml:space="preserve"> </w:t>
      </w:r>
    </w:p>
    <w:p w14:paraId="0ABD4BA8" w14:textId="77777777" w:rsidR="00924E1E" w:rsidRPr="00924E1E" w:rsidRDefault="00924E1E" w:rsidP="00924E1E">
      <w:pPr>
        <w:spacing w:after="160"/>
        <w:ind w:left="0" w:firstLine="0"/>
        <w:jc w:val="right"/>
        <w:rPr>
          <w:rFonts w:cs="Times New Roman"/>
          <w:szCs w:val="24"/>
        </w:rPr>
      </w:pPr>
      <w:r w:rsidRPr="00924E1E">
        <w:rPr>
          <w:rFonts w:cs="Times New Roman"/>
          <w:szCs w:val="24"/>
        </w:rPr>
        <w:t>--- Stephen C. Cheung 1973</w:t>
      </w:r>
    </w:p>
    <w:p w14:paraId="1B0C3563" w14:textId="77777777" w:rsidR="00924E1E" w:rsidRPr="00924E1E" w:rsidRDefault="00924E1E" w:rsidP="00924E1E">
      <w:pPr>
        <w:spacing w:after="160"/>
        <w:ind w:left="0" w:firstLine="0"/>
        <w:jc w:val="left"/>
        <w:rPr>
          <w:rFonts w:cs="Times New Roman"/>
          <w:szCs w:val="24"/>
        </w:rPr>
      </w:pPr>
    </w:p>
    <w:p w14:paraId="3E68EA23" w14:textId="02F202EF" w:rsidR="00924E1E" w:rsidRPr="00924E1E" w:rsidRDefault="00924E1E" w:rsidP="00924E1E">
      <w:pPr>
        <w:spacing w:after="160"/>
        <w:ind w:left="0" w:firstLine="0"/>
        <w:jc w:val="left"/>
        <w:rPr>
          <w:rFonts w:cs="Times New Roman"/>
          <w:szCs w:val="24"/>
        </w:rPr>
      </w:pPr>
      <w:r w:rsidRPr="00924E1E">
        <w:rPr>
          <w:rFonts w:cs="Times New Roman"/>
          <w:szCs w:val="24"/>
        </w:rPr>
        <w:t>In “The Lighthouse in Economics” (1974) Coase took exception to the apparent lack of academic grounding shown by these celebrated economists,</w:t>
      </w:r>
      <w:r w:rsidR="00471EF5">
        <w:rPr>
          <w:rFonts w:cs="Times New Roman"/>
          <w:szCs w:val="24"/>
        </w:rPr>
        <w:t xml:space="preserve"> whose</w:t>
      </w:r>
      <w:r w:rsidRPr="00924E1E">
        <w:rPr>
          <w:rFonts w:cs="Times New Roman"/>
          <w:szCs w:val="24"/>
        </w:rPr>
        <w:t xml:space="preserve"> </w:t>
      </w:r>
      <w:r w:rsidR="00471EF5" w:rsidRPr="00924E1E">
        <w:rPr>
          <w:rFonts w:cs="Times New Roman"/>
          <w:szCs w:val="24"/>
        </w:rPr>
        <w:t>purely theoretical policy assertions bec</w:t>
      </w:r>
      <w:r w:rsidR="00471EF5">
        <w:rPr>
          <w:rFonts w:cs="Times New Roman"/>
          <w:szCs w:val="24"/>
        </w:rPr>
        <w:t>a</w:t>
      </w:r>
      <w:r w:rsidR="00471EF5" w:rsidRPr="00924E1E">
        <w:rPr>
          <w:rFonts w:cs="Times New Roman"/>
          <w:szCs w:val="24"/>
        </w:rPr>
        <w:t>me policy orthodoxy</w:t>
      </w:r>
      <w:r w:rsidR="00C06F34">
        <w:rPr>
          <w:rFonts w:cs="Times New Roman"/>
          <w:szCs w:val="24"/>
        </w:rPr>
        <w:t xml:space="preserve">, i.e., but </w:t>
      </w:r>
      <w:r w:rsidR="005C1D48">
        <w:rPr>
          <w:rFonts w:cs="Times New Roman"/>
          <w:szCs w:val="24"/>
        </w:rPr>
        <w:t xml:space="preserve">they did </w:t>
      </w:r>
      <w:r w:rsidR="00FA78AC">
        <w:rPr>
          <w:rFonts w:cs="Times New Roman"/>
          <w:szCs w:val="24"/>
        </w:rPr>
        <w:t>not</w:t>
      </w:r>
      <w:r w:rsidR="00C06F34">
        <w:rPr>
          <w:rFonts w:cs="Times New Roman"/>
          <w:szCs w:val="24"/>
        </w:rPr>
        <w:t xml:space="preserve"> </w:t>
      </w:r>
      <w:r w:rsidR="0086658E" w:rsidRPr="00924E1E">
        <w:rPr>
          <w:rFonts w:cs="Times New Roman"/>
          <w:szCs w:val="24"/>
        </w:rPr>
        <w:t xml:space="preserve">rigorously </w:t>
      </w:r>
      <w:r w:rsidR="00FA78AC">
        <w:rPr>
          <w:rFonts w:cs="Times New Roman"/>
          <w:szCs w:val="24"/>
        </w:rPr>
        <w:t>evaluate</w:t>
      </w:r>
      <w:r w:rsidR="005C1D48">
        <w:rPr>
          <w:rFonts w:cs="Times New Roman"/>
          <w:szCs w:val="24"/>
        </w:rPr>
        <w:t xml:space="preserve"> them</w:t>
      </w:r>
      <w:r w:rsidR="0086658E" w:rsidRPr="00924E1E">
        <w:rPr>
          <w:rFonts w:cs="Times New Roman"/>
          <w:szCs w:val="24"/>
        </w:rPr>
        <w:t xml:space="preserve"> </w:t>
      </w:r>
      <w:r w:rsidRPr="00924E1E">
        <w:rPr>
          <w:rFonts w:cs="Times New Roman"/>
          <w:szCs w:val="24"/>
        </w:rPr>
        <w:t xml:space="preserve">in the real-world. To address this gap, Coase purposefully examined the operation of British lighthouses, finding that passing ships and shippers “willingly” paid the tolls for lighthouse services, thus </w:t>
      </w:r>
      <w:r w:rsidRPr="00924E1E">
        <w:rPr>
          <w:rFonts w:cs="Times New Roman"/>
          <w:i/>
          <w:iCs/>
          <w:szCs w:val="24"/>
        </w:rPr>
        <w:t>refuting by existence</w:t>
      </w:r>
      <w:r w:rsidRPr="00924E1E">
        <w:rPr>
          <w:rFonts w:cs="Times New Roman"/>
          <w:szCs w:val="24"/>
        </w:rPr>
        <w:t xml:space="preserve"> the longstanding policy assertions by Mill, Sidgwick, Pigou, Samuelson, Meade, etc. concerning free riders. By describing the complete organization, financing, and operation of the centuries-old British lighthouse system, Coase provides a practical policy alternative for correcting intractable market externalities, i.e., </w:t>
      </w:r>
      <w:r w:rsidRPr="00924E1E">
        <w:rPr>
          <w:rFonts w:cs="Times New Roman"/>
          <w:i/>
          <w:iCs/>
          <w:szCs w:val="24"/>
        </w:rPr>
        <w:t>without</w:t>
      </w:r>
      <w:r w:rsidRPr="00924E1E">
        <w:rPr>
          <w:rFonts w:cs="Times New Roman"/>
          <w:szCs w:val="24"/>
        </w:rPr>
        <w:t xml:space="preserve"> requiring direct government intervention.</w:t>
      </w:r>
    </w:p>
    <w:p w14:paraId="59EB0C04" w14:textId="1FA483AB" w:rsidR="00924E1E" w:rsidRPr="00924E1E" w:rsidRDefault="00924E1E" w:rsidP="00924E1E">
      <w:pPr>
        <w:spacing w:after="160"/>
        <w:ind w:left="0" w:firstLine="0"/>
        <w:jc w:val="left"/>
        <w:rPr>
          <w:rFonts w:cs="Times New Roman"/>
          <w:szCs w:val="24"/>
        </w:rPr>
      </w:pPr>
      <w:bookmarkStart w:id="34" w:name="_Hlk122002589"/>
      <w:r w:rsidRPr="00924E1E">
        <w:rPr>
          <w:rFonts w:cs="Times New Roman"/>
          <w:szCs w:val="24"/>
        </w:rPr>
        <w:lastRenderedPageBreak/>
        <w:t xml:space="preserve">In “The Fable of the Bees: An Economic Investigation” (1973) Cheung likewise challenges Meade’s theoretical assertions, i.e., requiring that the government intervene in bee-pollination and honey production. </w:t>
      </w:r>
      <w:bookmarkEnd w:id="34"/>
      <w:r w:rsidRPr="00924E1E">
        <w:rPr>
          <w:rFonts w:cs="Times New Roman"/>
          <w:szCs w:val="24"/>
        </w:rPr>
        <w:t xml:space="preserve">In Meade’s popular essay, he described honeybees as freely pollinating the apple blossoms </w:t>
      </w:r>
      <w:r w:rsidR="009722A2" w:rsidRPr="00924E1E">
        <w:rPr>
          <w:rFonts w:cs="Times New Roman"/>
          <w:szCs w:val="24"/>
        </w:rPr>
        <w:t>without compensating</w:t>
      </w:r>
      <w:r w:rsidR="009722A2">
        <w:rPr>
          <w:rFonts w:cs="Times New Roman"/>
          <w:szCs w:val="24"/>
        </w:rPr>
        <w:t xml:space="preserve"> them</w:t>
      </w:r>
      <w:r w:rsidRPr="00924E1E">
        <w:rPr>
          <w:rFonts w:cs="Times New Roman"/>
          <w:szCs w:val="24"/>
        </w:rPr>
        <w:t xml:space="preserve"> for their services, while also freely collecting the nectar for making honey without compensating the apple grower. Obviously, without </w:t>
      </w:r>
      <w:r w:rsidR="00FA78AC" w:rsidRPr="00924E1E">
        <w:rPr>
          <w:rFonts w:cs="Times New Roman"/>
          <w:szCs w:val="24"/>
        </w:rPr>
        <w:t>bee</w:t>
      </w:r>
      <w:r w:rsidR="00FA78AC">
        <w:rPr>
          <w:rFonts w:cs="Times New Roman"/>
          <w:szCs w:val="24"/>
        </w:rPr>
        <w:t xml:space="preserve"> </w:t>
      </w:r>
      <w:r w:rsidRPr="00924E1E">
        <w:rPr>
          <w:rFonts w:cs="Times New Roman"/>
          <w:szCs w:val="24"/>
        </w:rPr>
        <w:t>pollination there would be no apples, and without nectar there would be no honey, inevitably resulting in a market failure. As a remedy, Meade calls for the government to impose a system of (Pigouvian) taxes and subsidies to overcome such “ownership externalities</w:t>
      </w:r>
      <w:r w:rsidR="009722A2" w:rsidRPr="00924E1E">
        <w:rPr>
          <w:rFonts w:cs="Times New Roman"/>
          <w:szCs w:val="24"/>
        </w:rPr>
        <w:t>,”</w:t>
      </w:r>
      <w:r w:rsidRPr="00924E1E">
        <w:rPr>
          <w:rFonts w:cs="Times New Roman"/>
          <w:szCs w:val="24"/>
        </w:rPr>
        <w:t xml:space="preserve"> </w:t>
      </w:r>
      <w:r w:rsidR="00936B1F" w:rsidRPr="00924E1E">
        <w:rPr>
          <w:rFonts w:cs="Times New Roman"/>
          <w:szCs w:val="24"/>
        </w:rPr>
        <w:t>thereby</w:t>
      </w:r>
      <w:r w:rsidRPr="00924E1E">
        <w:rPr>
          <w:rFonts w:cs="Times New Roman"/>
          <w:szCs w:val="24"/>
        </w:rPr>
        <w:t xml:space="preserve"> ensuring that scarce resources are efficiently allocated.</w:t>
      </w:r>
      <w:r w:rsidR="005C1D48">
        <w:rPr>
          <w:rFonts w:cs="Times New Roman"/>
          <w:szCs w:val="24"/>
        </w:rPr>
        <w:t xml:space="preserve"> [Cheung 1973; Meade 1958; Bator 1958</w:t>
      </w:r>
      <w:r w:rsidR="00936B1F">
        <w:rPr>
          <w:rFonts w:cs="Times New Roman"/>
          <w:szCs w:val="24"/>
        </w:rPr>
        <w:t>]</w:t>
      </w:r>
    </w:p>
    <w:p w14:paraId="2938E459" w14:textId="1919B2A0" w:rsidR="00924E1E" w:rsidRPr="00924E1E" w:rsidRDefault="00924E1E" w:rsidP="00924E1E">
      <w:pPr>
        <w:spacing w:after="160"/>
        <w:ind w:left="0" w:firstLine="0"/>
        <w:jc w:val="left"/>
        <w:rPr>
          <w:rFonts w:cs="Times New Roman"/>
          <w:szCs w:val="24"/>
        </w:rPr>
      </w:pPr>
      <w:r w:rsidRPr="00924E1E">
        <w:rPr>
          <w:rFonts w:cs="Times New Roman"/>
          <w:szCs w:val="24"/>
        </w:rPr>
        <w:t xml:space="preserve">Surprised at the universal credence given to Meade’s lighthearted fable, Cheung investigated the actual pricing and contractual arrangements of beekeeping in Washington State, one of the largest apple-growing regions in the world. Looking no further than the yellow pages in the Telephone Directory (c. 1974) he found conclusive evidence showing that </w:t>
      </w:r>
      <w:r w:rsidR="00936B1F">
        <w:rPr>
          <w:rFonts w:cs="Times New Roman"/>
          <w:szCs w:val="24"/>
        </w:rPr>
        <w:t xml:space="preserve">they </w:t>
      </w:r>
      <w:r w:rsidR="00936B1F" w:rsidRPr="00924E1E">
        <w:rPr>
          <w:rFonts w:cs="Times New Roman"/>
          <w:szCs w:val="24"/>
        </w:rPr>
        <w:t xml:space="preserve">routinely transact </w:t>
      </w:r>
      <w:r w:rsidRPr="00924E1E">
        <w:rPr>
          <w:rFonts w:cs="Times New Roman"/>
          <w:szCs w:val="24"/>
        </w:rPr>
        <w:t>both nectar and pollination services in the marketplace. Finding the traditional analysis of this reciprocal bargaining arrangement “unnecessarily complex” Cheung conducted field interviews with actual beekeepers and apple-growers, discovering that they routinely reached formal contracts, fully compensating each other for their respective services, and that these pricing and contractual arrangements were consistent with the efficient (market-clearing) allocation of resources, thus, fully internalizing Meade’s so-called “ownership externalities” without requiring government intervention.</w:t>
      </w:r>
      <w:r w:rsidR="00A864E5" w:rsidRPr="00A864E5">
        <w:t xml:space="preserve"> </w:t>
      </w:r>
      <w:r w:rsidR="00A864E5" w:rsidRPr="00A864E5">
        <w:rPr>
          <w:rFonts w:cs="Times New Roman"/>
          <w:szCs w:val="24"/>
        </w:rPr>
        <w:t>[Cheung 1973; Meade 1958; Bator 1958]</w:t>
      </w:r>
    </w:p>
    <w:p w14:paraId="069CFD95" w14:textId="2C5431B0" w:rsidR="00924E1E" w:rsidRPr="00924E1E" w:rsidRDefault="00924E1E" w:rsidP="00924E1E">
      <w:pPr>
        <w:spacing w:after="160"/>
        <w:ind w:left="0" w:firstLine="0"/>
        <w:jc w:val="left"/>
        <w:rPr>
          <w:rFonts w:cs="Times New Roman"/>
          <w:szCs w:val="24"/>
        </w:rPr>
      </w:pPr>
      <w:r w:rsidRPr="00924E1E">
        <w:rPr>
          <w:rFonts w:cs="Times New Roman"/>
          <w:szCs w:val="24"/>
        </w:rPr>
        <w:lastRenderedPageBreak/>
        <w:t>In “Non-Cooperative Games” (1951) John Forbes Nash employed game</w:t>
      </w:r>
      <w:r w:rsidR="003F5471">
        <w:rPr>
          <w:rFonts w:cs="Times New Roman"/>
          <w:szCs w:val="24"/>
        </w:rPr>
        <w:t>-</w:t>
      </w:r>
      <w:r w:rsidRPr="00924E1E">
        <w:rPr>
          <w:rFonts w:cs="Times New Roman"/>
          <w:szCs w:val="24"/>
        </w:rPr>
        <w:t xml:space="preserve">theoretical </w:t>
      </w:r>
      <w:r w:rsidR="003F5471">
        <w:rPr>
          <w:rFonts w:cs="Times New Roman"/>
          <w:szCs w:val="24"/>
        </w:rPr>
        <w:t xml:space="preserve">behavioral </w:t>
      </w:r>
      <w:r w:rsidRPr="00924E1E">
        <w:rPr>
          <w:rFonts w:cs="Times New Roman"/>
          <w:szCs w:val="24"/>
        </w:rPr>
        <w:t>analysis to demonstrate how two (or more) profit-maximizing agents can reach a reciprocal “n-person” non-cooperative bargaining agreement, i.e., without requiring “external” government intervention. This is the same real-world bargaining scenario described by Cheung. In order to reach an efficient pricing and contractual agreement, both beekeepers and apple growers must possess complete information, i.e., regarding each other’s optimal profit-maximation strategies. Moreover, because both firms’ production functions are strategically interdependent, their optimal bargaining strategies are inherently reciprocal. Thus, the solution for this game is necessarily a Nash Equilibrium.</w:t>
      </w:r>
      <w:r w:rsidR="00936B1F">
        <w:rPr>
          <w:rFonts w:cs="Times New Roman"/>
          <w:szCs w:val="24"/>
        </w:rPr>
        <w:t xml:space="preserve"> [Nash </w:t>
      </w:r>
      <w:r w:rsidR="00AB2A14">
        <w:rPr>
          <w:rFonts w:cs="Times New Roman"/>
          <w:szCs w:val="24"/>
        </w:rPr>
        <w:t>1951]</w:t>
      </w:r>
    </w:p>
    <w:p w14:paraId="03D0E90C" w14:textId="02FCBBCD" w:rsidR="00924E1E" w:rsidRPr="004C19AF" w:rsidRDefault="00924E1E" w:rsidP="00924E1E">
      <w:pPr>
        <w:spacing w:after="160"/>
        <w:ind w:left="0" w:firstLine="0"/>
        <w:jc w:val="left"/>
        <w:rPr>
          <w:rFonts w:cs="Times New Roman"/>
          <w:szCs w:val="24"/>
        </w:rPr>
      </w:pPr>
      <w:r w:rsidRPr="00924E1E">
        <w:rPr>
          <w:rFonts w:cs="Times New Roman"/>
          <w:szCs w:val="24"/>
        </w:rPr>
        <w:t xml:space="preserve">Following Nash’s pioneering work, recent game-theoretical studies have analyzed the strategic bargaining behaviors of landowners during the </w:t>
      </w:r>
      <w:r w:rsidR="009739DE">
        <w:rPr>
          <w:rFonts w:cs="Times New Roman"/>
          <w:szCs w:val="24"/>
        </w:rPr>
        <w:t>c</w:t>
      </w:r>
      <w:r w:rsidRPr="00924E1E">
        <w:rPr>
          <w:rFonts w:cs="Times New Roman"/>
          <w:szCs w:val="24"/>
        </w:rPr>
        <w:t>lassic Land Assembly Game. In 1985, Eckart was first to examine the strategic resolution of monopoly holdout behavior from a purely game-theoretical point of view. Eckart demonstrated that when uninformed landowners bargain as a coalition, an individual will be induced to lower their monopoly price upon realizing it poses a negative externality that jeopardizes profits for the whole coalition.</w:t>
      </w:r>
      <w:r w:rsidR="00E40267">
        <w:rPr>
          <w:rFonts w:asciiTheme="minorHAnsi" w:hAnsiTheme="minorHAnsi" w:cstheme="minorBidi"/>
          <w:sz w:val="22"/>
        </w:rPr>
        <w:t xml:space="preserve"> </w:t>
      </w:r>
      <w:r w:rsidR="001830CC" w:rsidRPr="001830CC">
        <w:rPr>
          <w:rFonts w:cs="Times New Roman"/>
          <w:szCs w:val="24"/>
        </w:rPr>
        <w:t>[Eckart 1985</w:t>
      </w:r>
      <w:r w:rsidR="004D166B">
        <w:rPr>
          <w:rFonts w:cs="Times New Roman"/>
          <w:szCs w:val="24"/>
        </w:rPr>
        <w:t>;</w:t>
      </w:r>
      <w:r w:rsidR="004D166B" w:rsidRPr="004D166B">
        <w:t xml:space="preserve"> </w:t>
      </w:r>
      <w:r w:rsidR="004D166B" w:rsidRPr="004D166B">
        <w:rPr>
          <w:rFonts w:cs="Times New Roman"/>
          <w:szCs w:val="24"/>
        </w:rPr>
        <w:t>Menezes</w:t>
      </w:r>
      <w:r w:rsidR="004D166B">
        <w:rPr>
          <w:rFonts w:cs="Times New Roman"/>
          <w:szCs w:val="24"/>
        </w:rPr>
        <w:t xml:space="preserve"> </w:t>
      </w:r>
      <w:r w:rsidR="00B46D85">
        <w:rPr>
          <w:rFonts w:cs="Times New Roman"/>
          <w:szCs w:val="24"/>
        </w:rPr>
        <w:t xml:space="preserve">and Pitchford </w:t>
      </w:r>
      <w:r w:rsidR="004D166B">
        <w:rPr>
          <w:rFonts w:cs="Times New Roman"/>
          <w:szCs w:val="24"/>
        </w:rPr>
        <w:t xml:space="preserve">2004; </w:t>
      </w:r>
      <w:r w:rsidR="00EE618F">
        <w:rPr>
          <w:rFonts w:cs="Times New Roman"/>
          <w:szCs w:val="24"/>
        </w:rPr>
        <w:t>Shavell 2010</w:t>
      </w:r>
      <w:r w:rsidR="001830CC" w:rsidRPr="001830CC">
        <w:rPr>
          <w:rFonts w:cs="Times New Roman"/>
          <w:szCs w:val="24"/>
        </w:rPr>
        <w:t>]</w:t>
      </w:r>
    </w:p>
    <w:p w14:paraId="00891E9F" w14:textId="46AAEF7E" w:rsidR="00924E1E" w:rsidRPr="00924E1E" w:rsidRDefault="00924E1E" w:rsidP="00924E1E">
      <w:pPr>
        <w:spacing w:after="160"/>
        <w:ind w:left="0" w:firstLine="0"/>
        <w:jc w:val="left"/>
        <w:rPr>
          <w:rFonts w:cs="Times New Roman"/>
          <w:szCs w:val="24"/>
        </w:rPr>
      </w:pPr>
      <w:r w:rsidRPr="00924E1E">
        <w:rPr>
          <w:rFonts w:cs="Times New Roman"/>
          <w:szCs w:val="24"/>
        </w:rPr>
        <w:t xml:space="preserve">In 1995, Strange examines monopoly holdout behavior as it affects savvy landowners who have full knowledge of the market value of their property, as well as their optimal monopoly holdout price. Strange observes that when </w:t>
      </w:r>
      <w:r w:rsidR="00AB2A14" w:rsidRPr="00924E1E">
        <w:rPr>
          <w:rFonts w:cs="Times New Roman"/>
          <w:szCs w:val="24"/>
        </w:rPr>
        <w:t>two</w:t>
      </w:r>
      <w:r w:rsidRPr="00924E1E">
        <w:rPr>
          <w:rFonts w:cs="Times New Roman"/>
          <w:szCs w:val="24"/>
        </w:rPr>
        <w:t xml:space="preserve"> or more savvy landowners realize that their properties are strategic complements in the assembly, by persuading </w:t>
      </w:r>
      <w:r w:rsidRPr="00924E1E">
        <w:rPr>
          <w:rFonts w:cs="Times New Roman"/>
          <w:szCs w:val="24"/>
        </w:rPr>
        <w:lastRenderedPageBreak/>
        <w:t xml:space="preserve">one of the landowners to slightly lower their monopoly price, they can become the “price leader” thus inducing the others to lower their prices (and forcing them to accept a lower price). </w:t>
      </w:r>
      <w:r w:rsidR="00AB2A14">
        <w:rPr>
          <w:rFonts w:cs="Times New Roman"/>
          <w:szCs w:val="24"/>
        </w:rPr>
        <w:t>[</w:t>
      </w:r>
      <w:r w:rsidRPr="00924E1E">
        <w:rPr>
          <w:rFonts w:cs="Times New Roman"/>
          <w:szCs w:val="24"/>
        </w:rPr>
        <w:t>Strange 1995</w:t>
      </w:r>
      <w:r w:rsidR="00DC4FC6">
        <w:rPr>
          <w:rFonts w:cs="Times New Roman"/>
          <w:szCs w:val="24"/>
        </w:rPr>
        <w:t xml:space="preserve">; </w:t>
      </w:r>
      <w:r w:rsidR="00675009">
        <w:rPr>
          <w:rFonts w:cs="Times New Roman"/>
          <w:szCs w:val="24"/>
        </w:rPr>
        <w:t xml:space="preserve">Munch 1976; </w:t>
      </w:r>
      <w:r w:rsidR="00504F0E">
        <w:rPr>
          <w:rFonts w:cs="Times New Roman"/>
          <w:szCs w:val="24"/>
        </w:rPr>
        <w:t>Miceli and Segerson 2007</w:t>
      </w:r>
      <w:r w:rsidR="00AB2A14">
        <w:rPr>
          <w:rFonts w:cs="Times New Roman"/>
          <w:szCs w:val="24"/>
        </w:rPr>
        <w:t>]</w:t>
      </w:r>
    </w:p>
    <w:p w14:paraId="27686226" w14:textId="529186B9" w:rsidR="00924E1E" w:rsidRPr="00924E1E" w:rsidRDefault="00924E1E" w:rsidP="00924E1E">
      <w:pPr>
        <w:spacing w:after="160"/>
        <w:ind w:left="0" w:firstLine="0"/>
        <w:jc w:val="left"/>
        <w:rPr>
          <w:rFonts w:cs="Times New Roman"/>
          <w:szCs w:val="24"/>
        </w:rPr>
      </w:pPr>
      <w:r w:rsidRPr="00924E1E">
        <w:rPr>
          <w:rFonts w:cs="Times New Roman"/>
          <w:szCs w:val="24"/>
        </w:rPr>
        <w:t xml:space="preserve">In 1998, Miceli and Segerson investigate a strategic bargaining scenario whereby </w:t>
      </w:r>
      <w:r w:rsidR="00ED7A49" w:rsidRPr="00924E1E">
        <w:rPr>
          <w:rFonts w:cs="Times New Roman"/>
          <w:szCs w:val="24"/>
        </w:rPr>
        <w:t xml:space="preserve">are </w:t>
      </w:r>
      <w:r w:rsidR="00ED7A49">
        <w:rPr>
          <w:rFonts w:cs="Times New Roman"/>
          <w:szCs w:val="24"/>
        </w:rPr>
        <w:t xml:space="preserve">negotiators </w:t>
      </w:r>
      <w:r w:rsidR="00ED7A49" w:rsidRPr="00924E1E">
        <w:rPr>
          <w:rFonts w:cs="Times New Roman"/>
          <w:szCs w:val="24"/>
        </w:rPr>
        <w:t xml:space="preserve">encourage </w:t>
      </w:r>
      <w:r w:rsidRPr="00924E1E">
        <w:rPr>
          <w:rFonts w:cs="Times New Roman"/>
          <w:szCs w:val="24"/>
        </w:rPr>
        <w:t>landowners to reach voluntary agreements such as “property swaps”, i.e., enabling them to maximize their price through direct transfer of property, rather than direct payment. In each case, us</w:t>
      </w:r>
      <w:r w:rsidR="00E11548">
        <w:rPr>
          <w:rFonts w:cs="Times New Roman"/>
          <w:szCs w:val="24"/>
        </w:rPr>
        <w:t>ing</w:t>
      </w:r>
      <w:r w:rsidRPr="00924E1E">
        <w:rPr>
          <w:rFonts w:cs="Times New Roman"/>
          <w:szCs w:val="24"/>
        </w:rPr>
        <w:t xml:space="preserve"> principles of </w:t>
      </w:r>
      <w:r w:rsidR="00ED7A49" w:rsidRPr="00924E1E">
        <w:rPr>
          <w:rFonts w:cs="Times New Roman"/>
          <w:szCs w:val="24"/>
        </w:rPr>
        <w:t>game theory</w:t>
      </w:r>
      <w:r w:rsidRPr="00924E1E">
        <w:rPr>
          <w:rFonts w:cs="Times New Roman"/>
          <w:szCs w:val="24"/>
        </w:rPr>
        <w:t xml:space="preserve">, </w:t>
      </w:r>
      <w:r w:rsidR="00912A20" w:rsidRPr="00924E1E">
        <w:rPr>
          <w:rFonts w:cs="Times New Roman"/>
          <w:szCs w:val="24"/>
        </w:rPr>
        <w:t xml:space="preserve">developers </w:t>
      </w:r>
      <w:r w:rsidR="00E11548">
        <w:rPr>
          <w:rFonts w:cs="Times New Roman"/>
          <w:szCs w:val="24"/>
        </w:rPr>
        <w:t xml:space="preserve">are able </w:t>
      </w:r>
      <w:r w:rsidRPr="00924E1E">
        <w:rPr>
          <w:rFonts w:cs="Times New Roman"/>
          <w:szCs w:val="24"/>
        </w:rPr>
        <w:t xml:space="preserve">to increase the likelihood of reaching mutually beneficial agreements with landowners that </w:t>
      </w:r>
      <w:r w:rsidR="00DB115E">
        <w:rPr>
          <w:rFonts w:cs="Times New Roman"/>
          <w:szCs w:val="24"/>
        </w:rPr>
        <w:t xml:space="preserve">they </w:t>
      </w:r>
      <w:r w:rsidRPr="00924E1E">
        <w:rPr>
          <w:rFonts w:cs="Times New Roman"/>
          <w:szCs w:val="24"/>
        </w:rPr>
        <w:t xml:space="preserve">may have </w:t>
      </w:r>
      <w:r w:rsidR="00DB115E">
        <w:rPr>
          <w:rFonts w:cs="Times New Roman"/>
          <w:szCs w:val="24"/>
        </w:rPr>
        <w:t>missed</w:t>
      </w:r>
      <w:r w:rsidR="00DB115E" w:rsidRPr="00924E1E">
        <w:rPr>
          <w:rFonts w:cs="Times New Roman"/>
          <w:szCs w:val="24"/>
        </w:rPr>
        <w:t xml:space="preserve"> </w:t>
      </w:r>
      <w:r w:rsidRPr="00924E1E">
        <w:rPr>
          <w:rFonts w:cs="Times New Roman"/>
          <w:szCs w:val="24"/>
        </w:rPr>
        <w:t xml:space="preserve">otherwise. </w:t>
      </w:r>
      <w:r w:rsidR="00DB115E">
        <w:rPr>
          <w:rFonts w:cs="Times New Roman"/>
          <w:szCs w:val="24"/>
        </w:rPr>
        <w:t>[</w:t>
      </w:r>
      <w:r w:rsidR="00504F0E" w:rsidRPr="00924E1E">
        <w:rPr>
          <w:rFonts w:cs="Times New Roman"/>
          <w:szCs w:val="24"/>
        </w:rPr>
        <w:t xml:space="preserve">Miceli </w:t>
      </w:r>
      <w:r w:rsidRPr="00924E1E">
        <w:rPr>
          <w:rFonts w:cs="Times New Roman"/>
          <w:szCs w:val="24"/>
        </w:rPr>
        <w:t xml:space="preserve">and </w:t>
      </w:r>
      <w:r w:rsidR="00504F0E" w:rsidRPr="00924E1E">
        <w:rPr>
          <w:rFonts w:cs="Times New Roman"/>
          <w:szCs w:val="24"/>
        </w:rPr>
        <w:t xml:space="preserve">Segerson </w:t>
      </w:r>
      <w:r w:rsidRPr="00924E1E">
        <w:rPr>
          <w:rFonts w:cs="Times New Roman"/>
          <w:szCs w:val="24"/>
        </w:rPr>
        <w:t>199</w:t>
      </w:r>
      <w:r w:rsidR="004C2EC0">
        <w:rPr>
          <w:rFonts w:cs="Times New Roman"/>
          <w:szCs w:val="24"/>
        </w:rPr>
        <w:t>7</w:t>
      </w:r>
      <w:r w:rsidR="004D1FF4">
        <w:rPr>
          <w:rFonts w:cs="Times New Roman"/>
          <w:szCs w:val="24"/>
        </w:rPr>
        <w:t>;</w:t>
      </w:r>
      <w:r w:rsidR="004C2EC0">
        <w:rPr>
          <w:rFonts w:cs="Times New Roman"/>
          <w:szCs w:val="24"/>
        </w:rPr>
        <w:t xml:space="preserve"> 1998</w:t>
      </w:r>
      <w:r w:rsidR="004D1FF4">
        <w:rPr>
          <w:rFonts w:cs="Times New Roman"/>
          <w:szCs w:val="24"/>
        </w:rPr>
        <w:t xml:space="preserve">; </w:t>
      </w:r>
      <w:r w:rsidR="001943BF">
        <w:rPr>
          <w:rFonts w:cs="Times New Roman"/>
          <w:szCs w:val="24"/>
        </w:rPr>
        <w:t>2007</w:t>
      </w:r>
      <w:r w:rsidR="004D1FF4">
        <w:rPr>
          <w:rFonts w:cs="Times New Roman"/>
          <w:szCs w:val="24"/>
        </w:rPr>
        <w:t xml:space="preserve">; </w:t>
      </w:r>
      <w:r w:rsidR="001943BF">
        <w:rPr>
          <w:rFonts w:cs="Times New Roman"/>
          <w:szCs w:val="24"/>
        </w:rPr>
        <w:t>2010]</w:t>
      </w:r>
    </w:p>
    <w:p w14:paraId="6A8A21F9" w14:textId="16664974" w:rsidR="00924E1E" w:rsidRDefault="00924E1E" w:rsidP="00924E1E">
      <w:pPr>
        <w:spacing w:after="160"/>
        <w:ind w:left="0" w:firstLine="0"/>
        <w:jc w:val="left"/>
        <w:rPr>
          <w:rFonts w:cs="Times New Roman"/>
          <w:szCs w:val="24"/>
        </w:rPr>
      </w:pPr>
      <w:r w:rsidRPr="00924E1E">
        <w:rPr>
          <w:rFonts w:cs="Times New Roman"/>
          <w:szCs w:val="24"/>
        </w:rPr>
        <w:t xml:space="preserve">In “Sequential Bargaining and Land Assembly: A New Theory of the Holdout Problem” </w:t>
      </w:r>
      <w:bookmarkStart w:id="35" w:name="_Hlk122336463"/>
      <w:r w:rsidRPr="00924E1E">
        <w:rPr>
          <w:rFonts w:cs="Times New Roman"/>
          <w:szCs w:val="24"/>
        </w:rPr>
        <w:t xml:space="preserve">Miceli and Segerson </w:t>
      </w:r>
      <w:bookmarkEnd w:id="35"/>
      <w:r w:rsidR="009E7849" w:rsidRPr="00924E1E">
        <w:rPr>
          <w:rFonts w:cs="Times New Roman"/>
          <w:szCs w:val="24"/>
        </w:rPr>
        <w:t>(201</w:t>
      </w:r>
      <w:r w:rsidR="009E7849">
        <w:rPr>
          <w:rFonts w:cs="Times New Roman"/>
          <w:szCs w:val="24"/>
        </w:rPr>
        <w:t>0</w:t>
      </w:r>
      <w:r w:rsidR="009E7849" w:rsidRPr="00924E1E">
        <w:rPr>
          <w:rFonts w:cs="Times New Roman"/>
          <w:szCs w:val="24"/>
        </w:rPr>
        <w:t xml:space="preserve">) </w:t>
      </w:r>
      <w:r w:rsidRPr="00924E1E">
        <w:rPr>
          <w:rFonts w:cs="Times New Roman"/>
          <w:szCs w:val="24"/>
        </w:rPr>
        <w:t>formally characterize the classic Holdout Problem, namely, as the “Supply Side analogue” to the traditional Free Rider Problem. This characterization is significant, because it bridges the key research gap between the current body of game-theoretical holdout/land assembly literature and the well-defined analytics of orthodox Market Externality Theory. Whereas Miceli and Segerson viewed holdouts and free riders as simple analogues, Cornes and Sandler defined them as “uncompensated interdependencies</w:t>
      </w:r>
      <w:r w:rsidR="001943BF" w:rsidRPr="00924E1E">
        <w:rPr>
          <w:rFonts w:cs="Times New Roman"/>
          <w:szCs w:val="24"/>
        </w:rPr>
        <w:t>,”</w:t>
      </w:r>
      <w:r w:rsidRPr="00924E1E">
        <w:rPr>
          <w:rFonts w:cs="Times New Roman"/>
          <w:szCs w:val="24"/>
        </w:rPr>
        <w:t xml:space="preserve"> i.e., operating as </w:t>
      </w:r>
      <w:r w:rsidRPr="00924E1E">
        <w:rPr>
          <w:rFonts w:cs="Times New Roman"/>
          <w:i/>
          <w:iCs/>
          <w:szCs w:val="24"/>
        </w:rPr>
        <w:t xml:space="preserve">reciprocal </w:t>
      </w:r>
      <w:r w:rsidRPr="00924E1E">
        <w:rPr>
          <w:rFonts w:cs="Times New Roman"/>
          <w:szCs w:val="24"/>
        </w:rPr>
        <w:t xml:space="preserve">market externalities. </w:t>
      </w:r>
    </w:p>
    <w:p w14:paraId="1EA9DF9B" w14:textId="65CBB652" w:rsidR="006C267A" w:rsidRPr="00924E1E" w:rsidRDefault="006C267A" w:rsidP="00924E1E">
      <w:pPr>
        <w:spacing w:after="160"/>
        <w:ind w:left="0" w:firstLine="0"/>
        <w:jc w:val="left"/>
        <w:rPr>
          <w:rFonts w:cs="Times New Roman"/>
          <w:szCs w:val="24"/>
        </w:rPr>
      </w:pPr>
      <w:r w:rsidRPr="006C267A">
        <w:rPr>
          <w:rFonts w:cs="Times New Roman"/>
          <w:szCs w:val="24"/>
        </w:rPr>
        <w:t xml:space="preserve">In “The Tragedy of the Anticommons: Property in Transition from Marx to Markets,” Heller clarifies and defines this reciprocal relationship between holdout and free rider externalities. Where Hardin describes the “tragedy of the commons” as the condition of market failure where the lack of private ownership leads to the tragic overutilization of </w:t>
      </w:r>
      <w:r w:rsidRPr="006C267A">
        <w:rPr>
          <w:rFonts w:cs="Times New Roman"/>
          <w:szCs w:val="24"/>
        </w:rPr>
        <w:lastRenderedPageBreak/>
        <w:t>scarce public resources, Heller describes the symmetric “tragedy of the anticommons”, i.e., as the reciprocal under-utilization of the same scarce resources due to “excessive” ownership rights (including zoning laws). Heller also recommends that the exercise of such excessive property rights, aka monopoly holdouts, be “re-bundled” more efficiently, e.g., via eminent domain. [Hardin 1968, Heller 1998, 2008; Buchanon and Yoon 2000]</w:t>
      </w:r>
    </w:p>
    <w:p w14:paraId="021A26D6" w14:textId="22575E0A" w:rsidR="001642FE" w:rsidRPr="006C267A" w:rsidRDefault="00924E1E" w:rsidP="006C267A">
      <w:pPr>
        <w:spacing w:after="160"/>
        <w:ind w:left="0" w:firstLine="0"/>
        <w:jc w:val="left"/>
        <w:rPr>
          <w:rFonts w:cs="Times New Roman"/>
          <w:szCs w:val="24"/>
        </w:rPr>
      </w:pPr>
      <w:r w:rsidRPr="00924E1E">
        <w:rPr>
          <w:rFonts w:cs="Times New Roman"/>
          <w:szCs w:val="24"/>
        </w:rPr>
        <w:t>This Literature Review fully summarizes and critically analyzes the main research arguments motivating this original study. It then examines previous landmark studies exploring the reciprocal “Free-Rider” problem, guiding the research design methodology fully employed by this original study. Following the same heterodox/grounded theory research design methodology pioneered by Coase, Cheung, Nash, et al, it is possible to refute</w:t>
      </w:r>
      <w:r w:rsidRPr="00924E1E">
        <w:rPr>
          <w:rFonts w:cs="Times New Roman"/>
          <w:i/>
          <w:iCs/>
          <w:szCs w:val="24"/>
        </w:rPr>
        <w:t xml:space="preserve"> </w:t>
      </w:r>
      <w:r w:rsidRPr="00924E1E">
        <w:rPr>
          <w:rFonts w:cs="Times New Roman"/>
          <w:szCs w:val="24"/>
        </w:rPr>
        <w:t>the same longstanding orthodox policy assertions, i.e., concerning the reciprocal</w:t>
      </w:r>
      <w:r w:rsidR="00F81CC8">
        <w:rPr>
          <w:rFonts w:cs="Times New Roman"/>
          <w:szCs w:val="24"/>
        </w:rPr>
        <w:t xml:space="preserve"> monopoly</w:t>
      </w:r>
      <w:r w:rsidRPr="00924E1E">
        <w:rPr>
          <w:rFonts w:cs="Times New Roman"/>
          <w:szCs w:val="24"/>
        </w:rPr>
        <w:t xml:space="preserve"> holdout problem.</w:t>
      </w:r>
      <w:r w:rsidR="001642FE">
        <w:rPr>
          <w:rFonts w:cs="Times New Roman"/>
          <w:i/>
          <w:szCs w:val="24"/>
        </w:rPr>
        <w:br w:type="page"/>
      </w:r>
    </w:p>
    <w:p w14:paraId="40508AD4" w14:textId="6166FF81" w:rsidR="00EA5F6C" w:rsidRDefault="00EA5F6C" w:rsidP="00F11372">
      <w:pPr>
        <w:pStyle w:val="Heading1"/>
      </w:pPr>
      <w:bookmarkStart w:id="36" w:name="_Toc126651371"/>
      <w:bookmarkStart w:id="37" w:name="_Toc134346738"/>
      <w:r w:rsidRPr="00EA5F6C">
        <w:lastRenderedPageBreak/>
        <w:t xml:space="preserve">Chapter 3: </w:t>
      </w:r>
      <w:r w:rsidR="00C81D34">
        <w:t xml:space="preserve">Historical </w:t>
      </w:r>
      <w:r w:rsidR="00F21225">
        <w:t>Case Studies</w:t>
      </w:r>
      <w:bookmarkEnd w:id="36"/>
      <w:bookmarkEnd w:id="37"/>
    </w:p>
    <w:p w14:paraId="0E52279C" w14:textId="6CD246B4" w:rsidR="00A870AB" w:rsidRPr="004012C4" w:rsidRDefault="00A870AB" w:rsidP="00EE6A7A">
      <w:pPr>
        <w:pStyle w:val="Heading2"/>
      </w:pPr>
      <w:bookmarkStart w:id="38" w:name="_Hlk125712673"/>
      <w:bookmarkStart w:id="39" w:name="_Toc21516007"/>
      <w:bookmarkStart w:id="40" w:name="_Toc126651373"/>
      <w:bookmarkStart w:id="41" w:name="_Toc134346739"/>
      <w:bookmarkEnd w:id="38"/>
      <w:r w:rsidRPr="00EE6A7A">
        <w:t>Case Study #1: Columbia, Maryland (1962-1965</w:t>
      </w:r>
      <w:bookmarkEnd w:id="39"/>
      <w:r w:rsidRPr="00EE6A7A">
        <w:t>)</w:t>
      </w:r>
      <w:r w:rsidRPr="004012C4">
        <w:t xml:space="preserve"> James Rouse Developer</w:t>
      </w:r>
      <w:bookmarkEnd w:id="40"/>
      <w:bookmarkEnd w:id="41"/>
    </w:p>
    <w:p w14:paraId="4F4F138A" w14:textId="6F5C46C5" w:rsidR="00A870AB" w:rsidRPr="00A870AB" w:rsidRDefault="00A870AB" w:rsidP="00560441">
      <w:pPr>
        <w:spacing w:after="160"/>
        <w:ind w:left="0" w:firstLine="0"/>
        <w:jc w:val="left"/>
        <w:rPr>
          <w:rFonts w:cs="Times New Roman"/>
          <w:szCs w:val="24"/>
        </w:rPr>
      </w:pPr>
      <w:r w:rsidRPr="00A870AB">
        <w:rPr>
          <w:rFonts w:cs="Times New Roman"/>
          <w:szCs w:val="24"/>
        </w:rPr>
        <w:t xml:space="preserve">Between November 1962 and January 1965— James Rouse privately assembled more than 13,000 acres of land for a secret residential development project --at the height of the Urban Renewal era--without requiring any eminent domain.  Employing a covert network of </w:t>
      </w:r>
      <w:bookmarkStart w:id="42" w:name="_Hlk19869580"/>
      <w:r w:rsidRPr="00A870AB">
        <w:rPr>
          <w:rFonts w:cs="Times New Roman"/>
          <w:szCs w:val="24"/>
        </w:rPr>
        <w:t xml:space="preserve">dummy corporations, straw purchasers, and local brokers (acting unknowingly as his private real estate agents), </w:t>
      </w:r>
      <w:bookmarkEnd w:id="42"/>
      <w:r w:rsidRPr="00A870AB">
        <w:rPr>
          <w:rFonts w:cs="Times New Roman"/>
          <w:szCs w:val="24"/>
        </w:rPr>
        <w:t xml:space="preserve">Rouse successfully negotiated 112 individual transactions-- involving more than 600 landowners and related parties---acquiring enough contiguous land parcels to realize (at least a scaled-down version of) his original Master Plan. In fact, it was only after he had substantially completed the land assembly that Rouse publicly announced his intentions to build the planned community of Columbia, Maryland. </w:t>
      </w:r>
      <w:r w:rsidR="00880B99">
        <w:rPr>
          <w:rFonts w:cs="Times New Roman"/>
          <w:szCs w:val="24"/>
        </w:rPr>
        <w:t>[Tennenbaum</w:t>
      </w:r>
      <w:r w:rsidR="000E2041">
        <w:rPr>
          <w:rFonts w:cs="Times New Roman"/>
          <w:szCs w:val="24"/>
        </w:rPr>
        <w:t xml:space="preserve"> 1996</w:t>
      </w:r>
      <w:r w:rsidR="00E858AA">
        <w:rPr>
          <w:rFonts w:cs="Times New Roman"/>
          <w:szCs w:val="24"/>
        </w:rPr>
        <w:t>; Bloom 2004</w:t>
      </w:r>
      <w:r w:rsidR="00E14191">
        <w:rPr>
          <w:rFonts w:cs="Times New Roman"/>
          <w:szCs w:val="24"/>
        </w:rPr>
        <w:t>;</w:t>
      </w:r>
      <w:r w:rsidR="00E35CA6">
        <w:rPr>
          <w:rFonts w:cs="Times New Roman"/>
          <w:szCs w:val="24"/>
        </w:rPr>
        <w:t xml:space="preserve"> Olsen 2003]</w:t>
      </w:r>
    </w:p>
    <w:p w14:paraId="27AD68C1" w14:textId="77777777" w:rsidR="00A870AB" w:rsidRPr="00A870AB" w:rsidRDefault="00A870AB" w:rsidP="007675D6">
      <w:pPr>
        <w:ind w:left="0" w:firstLine="0"/>
      </w:pPr>
      <w:r w:rsidRPr="00A870AB">
        <w:t>Phase 1: Establishing Target Assembly Area (1962)</w:t>
      </w:r>
    </w:p>
    <w:p w14:paraId="42988E54" w14:textId="77777777" w:rsidR="00A870AB" w:rsidRPr="00A870AB" w:rsidRDefault="00A870AB" w:rsidP="00560441">
      <w:pPr>
        <w:spacing w:after="160"/>
        <w:ind w:left="0" w:firstLine="0"/>
        <w:jc w:val="left"/>
        <w:rPr>
          <w:rFonts w:cs="Times New Roman"/>
          <w:szCs w:val="24"/>
        </w:rPr>
      </w:pPr>
      <w:r w:rsidRPr="00A870AB">
        <w:rPr>
          <w:rFonts w:cs="Times New Roman"/>
          <w:szCs w:val="24"/>
        </w:rPr>
        <w:t xml:space="preserve">By late 1962, Howard County, Maryland, had become a likely target for large-scale development, being situated along the path of the newly proposed route for Interstate Highway 95 in the Baltimore-Washington DC corridor. Sensing a unique entrepreneurial opportunity, private real estate broker Robert Moxley listed his own property (along with two adjoining properties owned by his family members) -- as a large assemblage providing close access to the proposed I-95 route in rural Howard County, Maryland -- just southwest of the Greater Baltimore area. Unbeknownst to Moxley, the sale of his 1,039 acre "Cedar Lane" assemblage-- also finalized the secret location of the New Town of Columbia, Maryland. </w:t>
      </w:r>
    </w:p>
    <w:p w14:paraId="3557A5BC" w14:textId="77777777" w:rsidR="000422F7" w:rsidRDefault="00A870AB" w:rsidP="000422F7">
      <w:pPr>
        <w:spacing w:after="160"/>
        <w:ind w:left="0" w:firstLine="0"/>
        <w:jc w:val="center"/>
      </w:pPr>
      <w:r w:rsidRPr="00A870AB">
        <w:rPr>
          <w:rFonts w:cs="Times New Roman"/>
          <w:noProof/>
          <w:szCs w:val="24"/>
        </w:rPr>
        <w:lastRenderedPageBreak/>
        <w:drawing>
          <wp:inline distT="0" distB="0" distL="0" distR="0" wp14:anchorId="24BC988A" wp14:editId="24538091">
            <wp:extent cx="4641448" cy="3267333"/>
            <wp:effectExtent l="0" t="0" r="0" b="0"/>
            <wp:docPr id="5" name="Picture 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58657" cy="3279447"/>
                    </a:xfrm>
                    <a:prstGeom prst="rect">
                      <a:avLst/>
                    </a:prstGeom>
                    <a:noFill/>
                  </pic:spPr>
                </pic:pic>
              </a:graphicData>
            </a:graphic>
          </wp:inline>
        </w:drawing>
      </w:r>
    </w:p>
    <w:p w14:paraId="14D536E9" w14:textId="33AB62A6" w:rsidR="00A870AB" w:rsidRPr="002352F2" w:rsidRDefault="00DE381E" w:rsidP="002352F2">
      <w:pPr>
        <w:pStyle w:val="Figures"/>
      </w:pPr>
      <w:bookmarkStart w:id="43" w:name="_Toc127439124"/>
      <w:bookmarkStart w:id="44" w:name="_Toc126743894"/>
      <w:r w:rsidRPr="002352F2">
        <w:t xml:space="preserve">Figure </w:t>
      </w:r>
      <w:r w:rsidR="0075416E" w:rsidRPr="002352F2">
        <w:t>3.1</w:t>
      </w:r>
      <w:r w:rsidR="00A870AB" w:rsidRPr="002352F2">
        <w:t xml:space="preserve"> Establish</w:t>
      </w:r>
      <w:r w:rsidR="0075416E" w:rsidRPr="002352F2">
        <w:t xml:space="preserve">ing </w:t>
      </w:r>
      <w:r w:rsidR="007639AF" w:rsidRPr="002352F2">
        <w:t>Initial</w:t>
      </w:r>
      <w:r w:rsidR="00A870AB" w:rsidRPr="002352F2">
        <w:t xml:space="preserve"> </w:t>
      </w:r>
      <w:r w:rsidR="00E553BC" w:rsidRPr="002352F2">
        <w:t xml:space="preserve">Target </w:t>
      </w:r>
      <w:r w:rsidR="000102AA" w:rsidRPr="002352F2">
        <w:t xml:space="preserve">Assembly </w:t>
      </w:r>
      <w:r w:rsidR="00A870AB" w:rsidRPr="002352F2">
        <w:t>Area</w:t>
      </w:r>
      <w:r w:rsidR="0075416E" w:rsidRPr="002352F2">
        <w:t xml:space="preserve"> </w:t>
      </w:r>
      <w:r w:rsidR="0087714D" w:rsidRPr="002352F2">
        <w:t xml:space="preserve">for </w:t>
      </w:r>
      <w:r w:rsidR="0075416E" w:rsidRPr="002352F2">
        <w:t>Columbia</w:t>
      </w:r>
      <w:r w:rsidR="009338D2" w:rsidRPr="002352F2">
        <w:t>,</w:t>
      </w:r>
      <w:r w:rsidR="006B12F8" w:rsidRPr="002352F2">
        <w:t xml:space="preserve"> MD</w:t>
      </w:r>
      <w:r w:rsidR="009338D2" w:rsidRPr="002352F2">
        <w:t xml:space="preserve"> </w:t>
      </w:r>
      <w:r w:rsidR="002352F2" w:rsidRPr="002352F2">
        <w:t>(1962)</w:t>
      </w:r>
      <w:bookmarkEnd w:id="43"/>
      <w:r w:rsidR="0075416E" w:rsidRPr="002352F2">
        <w:t xml:space="preserve"> </w:t>
      </w:r>
      <w:bookmarkEnd w:id="44"/>
    </w:p>
    <w:p w14:paraId="19A7537D" w14:textId="77777777" w:rsidR="00A870AB" w:rsidRPr="00A870AB" w:rsidRDefault="00A870AB" w:rsidP="00560441">
      <w:pPr>
        <w:spacing w:after="160"/>
        <w:ind w:left="0" w:firstLine="0"/>
        <w:jc w:val="left"/>
        <w:rPr>
          <w:rFonts w:cs="Times New Roman"/>
          <w:szCs w:val="24"/>
        </w:rPr>
      </w:pPr>
      <w:r w:rsidRPr="00A870AB">
        <w:rPr>
          <w:rFonts w:cs="Times New Roman"/>
          <w:szCs w:val="24"/>
        </w:rPr>
        <w:t>After closing the initial transaction, Moxley immediately sought listings for adjacent properties--- in hopes of discovering a pattern of interest among buyers in the immediate vicinity. As adjacent parcels began to sell--- Moxley speculated that the area surrounding “Cedar Lane” was primed for large-scale development, commissioning the creation of a large plat map to identify prospective parcels-- and compile key information about the respective landowners-- in a 15,000+ acre potential assembly area. Obviously, GIS technology was not available in 1962. Nevertheless, as an experienced military cartographer---Moxley's map was state-of-the art-- providing him with enough data to coordinate any prospective acquisitions in a large target area. The following is a facsimile of original plat map commissioned by Robert Moxley in early 1963:</w:t>
      </w:r>
    </w:p>
    <w:p w14:paraId="433AB235" w14:textId="77777777" w:rsidR="00A870AB" w:rsidRPr="00A870AB" w:rsidRDefault="00A870AB" w:rsidP="00560441">
      <w:pPr>
        <w:spacing w:after="160"/>
        <w:ind w:left="0" w:firstLine="0"/>
        <w:jc w:val="center"/>
        <w:rPr>
          <w:rFonts w:cs="Times New Roman"/>
          <w:szCs w:val="24"/>
        </w:rPr>
      </w:pPr>
      <w:r w:rsidRPr="00A870AB">
        <w:rPr>
          <w:rFonts w:cs="Times New Roman"/>
          <w:noProof/>
          <w:szCs w:val="24"/>
        </w:rPr>
        <w:lastRenderedPageBreak/>
        <w:drawing>
          <wp:inline distT="0" distB="0" distL="0" distR="0" wp14:anchorId="69C46703" wp14:editId="2EB0BD06">
            <wp:extent cx="5324183" cy="3750590"/>
            <wp:effectExtent l="0" t="0" r="0" b="2540"/>
            <wp:docPr id="8" name="Picture 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p&#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434573" cy="3828354"/>
                    </a:xfrm>
                    <a:prstGeom prst="rect">
                      <a:avLst/>
                    </a:prstGeom>
                  </pic:spPr>
                </pic:pic>
              </a:graphicData>
            </a:graphic>
          </wp:inline>
        </w:drawing>
      </w:r>
    </w:p>
    <w:p w14:paraId="3DD38641" w14:textId="5580EFD2" w:rsidR="00A870AB" w:rsidRPr="00652DFB" w:rsidRDefault="00A870AB" w:rsidP="00652DFB">
      <w:pPr>
        <w:pStyle w:val="Figures"/>
      </w:pPr>
      <w:bookmarkStart w:id="45" w:name="_Toc126743895"/>
      <w:bookmarkStart w:id="46" w:name="_Toc127439125"/>
      <w:r w:rsidRPr="00652DFB">
        <w:t xml:space="preserve">Figure </w:t>
      </w:r>
      <w:r w:rsidR="007675D6" w:rsidRPr="00652DFB">
        <w:t xml:space="preserve">3.2 </w:t>
      </w:r>
      <w:r w:rsidRPr="00652DFB">
        <w:t xml:space="preserve">Original </w:t>
      </w:r>
      <w:r w:rsidR="00006E2D" w:rsidRPr="00652DFB">
        <w:t xml:space="preserve">Robert </w:t>
      </w:r>
      <w:r w:rsidRPr="00652DFB">
        <w:t>Moxley Plat Map (P</w:t>
      </w:r>
      <w:r w:rsidR="005343A5" w:rsidRPr="00652DFB">
        <w:t>hase 1</w:t>
      </w:r>
      <w:r w:rsidRPr="00652DFB">
        <w:t>)</w:t>
      </w:r>
      <w:bookmarkEnd w:id="45"/>
      <w:bookmarkEnd w:id="46"/>
    </w:p>
    <w:p w14:paraId="76D22DC6" w14:textId="77777777" w:rsidR="00A870AB" w:rsidRPr="00A870AB" w:rsidRDefault="00A870AB" w:rsidP="00560441">
      <w:pPr>
        <w:spacing w:after="160"/>
        <w:ind w:left="0" w:firstLine="0"/>
        <w:jc w:val="left"/>
        <w:rPr>
          <w:rFonts w:cs="Times New Roman"/>
          <w:b/>
          <w:szCs w:val="24"/>
        </w:rPr>
      </w:pPr>
    </w:p>
    <w:p w14:paraId="7832EDAD" w14:textId="77777777" w:rsidR="00A870AB" w:rsidRPr="00A870AB" w:rsidRDefault="00A870AB" w:rsidP="00560441">
      <w:pPr>
        <w:spacing w:after="160"/>
        <w:ind w:left="0" w:firstLine="0"/>
        <w:jc w:val="left"/>
        <w:rPr>
          <w:rFonts w:cs="Times New Roman"/>
          <w:szCs w:val="24"/>
        </w:rPr>
      </w:pPr>
      <w:r w:rsidRPr="00A870AB">
        <w:rPr>
          <w:rFonts w:cs="Times New Roman"/>
          <w:szCs w:val="24"/>
        </w:rPr>
        <w:t xml:space="preserve">Observing Moxley' s unique entrepreneurial skill in negotiating the Cedar Lane acquisition, the decision was straightforward to recruit him (unknowingly) to be the principal negotiator for the entire Columbia project. Subsequently, Rouse instructed his assembly team to work closely with Moxley to  gain listings for as many parcels as possible in the immediate vicinity of Cedar Lane-- to assemble a viable nucleus of parcels around this initial acquisition: Indeed, Rouse coordinated the entire covert operation through a single attorney—directing a cadre of purchasing agents from five dummy corporations acting as shill buyers-- coordinating all initial acquisitions simultaneously—while deliberately hiding the identity of the famous developer from </w:t>
      </w:r>
      <w:r w:rsidRPr="00A870AB">
        <w:rPr>
          <w:rFonts w:cs="Times New Roman"/>
          <w:szCs w:val="24"/>
        </w:rPr>
        <w:lastRenderedPageBreak/>
        <w:t xml:space="preserve">the landowners, local realtors, and the general public as long as possible—to  keep land prices from skyrocketing until the land assembly was substantially complete. </w:t>
      </w:r>
    </w:p>
    <w:p w14:paraId="54D503A7" w14:textId="079C9D47" w:rsidR="00A870AB" w:rsidRPr="00A870AB" w:rsidRDefault="00A870AB" w:rsidP="00560441">
      <w:pPr>
        <w:spacing w:after="160"/>
        <w:ind w:left="0" w:firstLine="0"/>
        <w:jc w:val="left"/>
        <w:rPr>
          <w:rFonts w:cs="Times New Roman"/>
          <w:szCs w:val="24"/>
        </w:rPr>
      </w:pPr>
      <w:r w:rsidRPr="00A870AB">
        <w:rPr>
          <w:rFonts w:cs="Times New Roman"/>
          <w:szCs w:val="24"/>
        </w:rPr>
        <w:t xml:space="preserve">In his personal memoir “Land Acquisition: The Realtor’s Perspective" Robert Moxley describes his direct participation--- including his evolving relationship with James Rouse-- throughout the Columbia acquisition/negotiation process. According to his narrative accounts, the overall Columbia land assembly process was organized in four logical phases: the objective of Phase 1 was to establish the target assembly area for the master project—Phase 2 was to establish a viable parcel nucleus-- justifying the continuation of the project---Phase 3 was to acquire the adjacent outparcels-- eliminating as many voids as possible-- consolidating the unified assemblage to the boundaries of the proposed city. Finally, Phase 4 sought to acquire as many remaining infill parcels as possible to complete the assemblage. </w:t>
      </w:r>
      <w:r w:rsidR="00A141D6">
        <w:rPr>
          <w:rFonts w:cs="Times New Roman"/>
          <w:szCs w:val="24"/>
        </w:rPr>
        <w:t>[Tennenbaum 1996]</w:t>
      </w:r>
    </w:p>
    <w:p w14:paraId="0AF9F69D" w14:textId="77777777" w:rsidR="00A870AB" w:rsidRPr="00A870AB" w:rsidRDefault="00A870AB" w:rsidP="00560441">
      <w:pPr>
        <w:spacing w:after="160"/>
        <w:ind w:left="0" w:firstLine="0"/>
        <w:jc w:val="left"/>
        <w:rPr>
          <w:rFonts w:cs="Times New Roman"/>
          <w:szCs w:val="24"/>
        </w:rPr>
      </w:pPr>
      <w:r w:rsidRPr="00A870AB">
        <w:rPr>
          <w:rFonts w:cs="Times New Roman"/>
          <w:szCs w:val="24"/>
        </w:rPr>
        <w:t xml:space="preserve">The objective of Phase 1 was to establish a suitable target assembly area for the projected 22+ square mile townsite --- within the larger 254 square mile area of Howard County. Given Moxley’s keen peripatetic observations—as well as the robust chronological data provided by the Columbia Archives-- it is possible to analyze the complete operation of this process </w:t>
      </w:r>
      <w:r w:rsidRPr="00A870AB">
        <w:rPr>
          <w:rFonts w:cs="Times New Roman"/>
          <w:i/>
          <w:szCs w:val="24"/>
        </w:rPr>
        <w:t>in situ</w:t>
      </w:r>
      <w:r w:rsidRPr="00A870AB">
        <w:rPr>
          <w:rFonts w:cs="Times New Roman"/>
          <w:szCs w:val="24"/>
        </w:rPr>
        <w:t xml:space="preserve">.  The first step in making this analysis was constructing a simple time-lapse study of parcel-aggregation during the four phases of the Columbia acquisition/negotiation process. First, a facsimile of Moxley's original plat map was scanned as four segments, and then remerged into a single composite panel, where a raster-to-vector digitization was performed by hand (in AutoCAD 2019), i.e., to create digital parcel boundaries from the original. The names of the property owners-- </w:t>
      </w:r>
      <w:r w:rsidRPr="00A870AB">
        <w:rPr>
          <w:rFonts w:cs="Times New Roman"/>
          <w:szCs w:val="24"/>
        </w:rPr>
        <w:lastRenderedPageBreak/>
        <w:t>clearly visible in the original scan-- were cross- referenced with their corresponding names and transaction dates contained in the Howard County public records (1962-1965) -- establishing a functional time-series GIS database.</w:t>
      </w:r>
    </w:p>
    <w:p w14:paraId="32768974" w14:textId="77777777" w:rsidR="00A870AB" w:rsidRPr="00A870AB" w:rsidRDefault="00A870AB" w:rsidP="00560441">
      <w:pPr>
        <w:spacing w:after="160"/>
        <w:ind w:left="0" w:firstLine="0"/>
        <w:jc w:val="center"/>
        <w:rPr>
          <w:rFonts w:cs="Times New Roman"/>
          <w:szCs w:val="24"/>
        </w:rPr>
      </w:pPr>
      <w:r w:rsidRPr="00A870AB">
        <w:rPr>
          <w:rFonts w:cs="Times New Roman"/>
          <w:noProof/>
          <w:szCs w:val="24"/>
        </w:rPr>
        <w:drawing>
          <wp:inline distT="0" distB="0" distL="0" distR="0" wp14:anchorId="4D506E57" wp14:editId="21A5CD4F">
            <wp:extent cx="4544705" cy="3716800"/>
            <wp:effectExtent l="0" t="0" r="8255" b="0"/>
            <wp:docPr id="14" name="Picture 1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Map&#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6633" cy="3742912"/>
                    </a:xfrm>
                    <a:prstGeom prst="rect">
                      <a:avLst/>
                    </a:prstGeom>
                    <a:noFill/>
                  </pic:spPr>
                </pic:pic>
              </a:graphicData>
            </a:graphic>
          </wp:inline>
        </w:drawing>
      </w:r>
    </w:p>
    <w:p w14:paraId="0883E543" w14:textId="41F45C42" w:rsidR="00A870AB" w:rsidRPr="00E97C31" w:rsidRDefault="00A870AB" w:rsidP="00E97C31">
      <w:pPr>
        <w:pStyle w:val="Figures"/>
      </w:pPr>
      <w:bookmarkStart w:id="47" w:name="_Toc126743896"/>
      <w:bookmarkStart w:id="48" w:name="_Toc127439126"/>
      <w:r w:rsidRPr="00E97C31">
        <w:t xml:space="preserve">Figure </w:t>
      </w:r>
      <w:r w:rsidR="007675D6" w:rsidRPr="00E97C31">
        <w:t xml:space="preserve">3.3 </w:t>
      </w:r>
      <w:r w:rsidRPr="00E97C31">
        <w:t xml:space="preserve">Composite Scan of </w:t>
      </w:r>
      <w:r w:rsidR="00325EC6" w:rsidRPr="00E97C31">
        <w:t xml:space="preserve">Original </w:t>
      </w:r>
      <w:r w:rsidRPr="00E97C31">
        <w:t>Moxley Plat Map (with Landowner Data)</w:t>
      </w:r>
      <w:bookmarkEnd w:id="47"/>
      <w:bookmarkEnd w:id="48"/>
    </w:p>
    <w:p w14:paraId="46FEDEB5" w14:textId="0CBF5AD6" w:rsidR="00A870AB" w:rsidRPr="00A870AB" w:rsidRDefault="00A870AB" w:rsidP="00560441">
      <w:pPr>
        <w:spacing w:after="160"/>
        <w:ind w:left="0" w:firstLine="0"/>
        <w:jc w:val="left"/>
        <w:rPr>
          <w:rFonts w:cs="Times New Roman"/>
          <w:szCs w:val="24"/>
        </w:rPr>
      </w:pPr>
      <w:r w:rsidRPr="00A870AB">
        <w:rPr>
          <w:rFonts w:cs="Times New Roman"/>
          <w:szCs w:val="24"/>
        </w:rPr>
        <w:t xml:space="preserve">Each parcel-polygon was then grouped and color-coded as a unique data layer --according to the respective month of each transaction.  Finally, each monthly parcel-group was mapped following to the chronology provided by Moxley— enabling a time-lapse study of each progressive acquisition/negotiation </w:t>
      </w:r>
      <w:r w:rsidR="00A141D6" w:rsidRPr="00A870AB">
        <w:rPr>
          <w:rFonts w:cs="Times New Roman"/>
          <w:szCs w:val="24"/>
        </w:rPr>
        <w:t>phase</w:t>
      </w:r>
      <w:r w:rsidRPr="00A870AB">
        <w:rPr>
          <w:rFonts w:cs="Times New Roman"/>
          <w:szCs w:val="24"/>
        </w:rPr>
        <w:t xml:space="preserve"> </w:t>
      </w:r>
      <w:r w:rsidR="006C267A">
        <w:rPr>
          <w:rFonts w:cs="Times New Roman"/>
          <w:szCs w:val="24"/>
        </w:rPr>
        <w:t>d</w:t>
      </w:r>
      <w:r w:rsidRPr="00A870AB">
        <w:rPr>
          <w:rFonts w:cs="Times New Roman"/>
          <w:szCs w:val="24"/>
        </w:rPr>
        <w:t>uring the Columbia land assembly process.</w:t>
      </w:r>
    </w:p>
    <w:p w14:paraId="3AB29567" w14:textId="77777777" w:rsidR="00A870AB" w:rsidRPr="00A870AB" w:rsidRDefault="00A870AB" w:rsidP="00560441">
      <w:pPr>
        <w:spacing w:after="160"/>
        <w:ind w:left="0" w:firstLine="0"/>
        <w:jc w:val="center"/>
        <w:rPr>
          <w:rFonts w:cs="Times New Roman"/>
          <w:szCs w:val="24"/>
        </w:rPr>
      </w:pPr>
    </w:p>
    <w:p w14:paraId="701A6D7A" w14:textId="77777777" w:rsidR="00A870AB" w:rsidRPr="00A870AB" w:rsidRDefault="00A870AB" w:rsidP="00473CF0">
      <w:pPr>
        <w:jc w:val="center"/>
      </w:pPr>
      <w:bookmarkStart w:id="49" w:name="_Toc126651375"/>
      <w:bookmarkStart w:id="50" w:name="_Toc21516010"/>
      <w:r w:rsidRPr="00A870AB">
        <w:rPr>
          <w:noProof/>
        </w:rPr>
        <w:lastRenderedPageBreak/>
        <w:drawing>
          <wp:inline distT="0" distB="0" distL="0" distR="0" wp14:anchorId="70C21109" wp14:editId="43459FCA">
            <wp:extent cx="3546704" cy="2222339"/>
            <wp:effectExtent l="0" t="0" r="0" b="6985"/>
            <wp:docPr id="6" name="Picture 6"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pplication&#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75301" cy="2240258"/>
                    </a:xfrm>
                    <a:prstGeom prst="rect">
                      <a:avLst/>
                    </a:prstGeom>
                    <a:noFill/>
                  </pic:spPr>
                </pic:pic>
              </a:graphicData>
            </a:graphic>
          </wp:inline>
        </w:drawing>
      </w:r>
      <w:bookmarkEnd w:id="49"/>
    </w:p>
    <w:p w14:paraId="40E6D216" w14:textId="46ED0428" w:rsidR="00A870AB" w:rsidRPr="005343A5" w:rsidRDefault="00A870AB" w:rsidP="005343A5">
      <w:pPr>
        <w:pStyle w:val="Figures"/>
      </w:pPr>
      <w:bookmarkStart w:id="51" w:name="_Toc127439127"/>
      <w:r w:rsidRPr="005343A5">
        <w:t xml:space="preserve">Figure </w:t>
      </w:r>
      <w:r w:rsidR="007675D6" w:rsidRPr="005343A5">
        <w:t>3.4</w:t>
      </w:r>
      <w:r w:rsidRPr="005343A5">
        <w:t xml:space="preserve"> (CAD-Digitized) Initial “Cedar Lane” Acquisition 1962 (Phase 1)</w:t>
      </w:r>
      <w:bookmarkEnd w:id="51"/>
    </w:p>
    <w:p w14:paraId="72167E11" w14:textId="77777777" w:rsidR="00A870AB" w:rsidRPr="00A870AB" w:rsidRDefault="00A870AB" w:rsidP="00560441">
      <w:pPr>
        <w:keepNext/>
        <w:keepLines/>
        <w:spacing w:before="40" w:after="0"/>
        <w:ind w:left="0"/>
        <w:outlineLvl w:val="2"/>
        <w:rPr>
          <w:rFonts w:eastAsiaTheme="majorEastAsia" w:cstheme="majorBidi"/>
          <w:b/>
          <w:szCs w:val="24"/>
        </w:rPr>
      </w:pPr>
    </w:p>
    <w:p w14:paraId="63EF377A" w14:textId="77777777" w:rsidR="00A870AB" w:rsidRPr="00A870AB" w:rsidRDefault="00A870AB" w:rsidP="006C267A">
      <w:pPr>
        <w:ind w:left="0" w:firstLine="0"/>
      </w:pPr>
      <w:bookmarkStart w:id="52" w:name="_Toc126651376"/>
      <w:r w:rsidRPr="00A870AB">
        <w:t>Phase 2: Establishing a Viable Parcel Nucleus (1962-63)</w:t>
      </w:r>
      <w:bookmarkEnd w:id="50"/>
      <w:bookmarkEnd w:id="52"/>
    </w:p>
    <w:p w14:paraId="6B303356" w14:textId="77777777" w:rsidR="00A870AB" w:rsidRPr="00A870AB" w:rsidRDefault="00A870AB" w:rsidP="006C267A">
      <w:pPr>
        <w:spacing w:after="160"/>
        <w:ind w:left="0" w:firstLine="0"/>
        <w:jc w:val="center"/>
        <w:rPr>
          <w:rFonts w:cs="Times New Roman"/>
          <w:b/>
          <w:szCs w:val="24"/>
        </w:rPr>
      </w:pPr>
      <w:r w:rsidRPr="00A870AB">
        <w:rPr>
          <w:rFonts w:cs="Times New Roman"/>
          <w:b/>
          <w:noProof/>
          <w:szCs w:val="24"/>
        </w:rPr>
        <w:drawing>
          <wp:inline distT="0" distB="0" distL="0" distR="0" wp14:anchorId="0AF6CA0F" wp14:editId="3D015EB6">
            <wp:extent cx="4166886" cy="2609710"/>
            <wp:effectExtent l="0" t="0" r="5080" b="635"/>
            <wp:docPr id="27" name="Picture 2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diagram&#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188940" cy="2623523"/>
                    </a:xfrm>
                    <a:prstGeom prst="rect">
                      <a:avLst/>
                    </a:prstGeom>
                  </pic:spPr>
                </pic:pic>
              </a:graphicData>
            </a:graphic>
          </wp:inline>
        </w:drawing>
      </w:r>
    </w:p>
    <w:p w14:paraId="332E5949" w14:textId="589333A3" w:rsidR="00A870AB" w:rsidRPr="00A870AB" w:rsidRDefault="00A870AB" w:rsidP="00C97864">
      <w:pPr>
        <w:pStyle w:val="Figures"/>
        <w:rPr>
          <w:rFonts w:cs="Times New Roman"/>
          <w:b/>
        </w:rPr>
      </w:pPr>
      <w:bookmarkStart w:id="53" w:name="_Toc127439128"/>
      <w:r w:rsidRPr="00A870AB">
        <w:t xml:space="preserve">Figure </w:t>
      </w:r>
      <w:r w:rsidR="007675D6">
        <w:t xml:space="preserve">3.5 </w:t>
      </w:r>
      <w:r w:rsidRPr="00A870AB">
        <w:t>Viable Parcel Nucleus Acquisition (Phase 2)</w:t>
      </w:r>
      <w:bookmarkEnd w:id="53"/>
    </w:p>
    <w:p w14:paraId="142426DB" w14:textId="1A8900F5" w:rsidR="00A870AB" w:rsidRPr="00A870AB" w:rsidRDefault="00A870AB" w:rsidP="00560441">
      <w:pPr>
        <w:spacing w:after="160"/>
        <w:ind w:left="0" w:firstLine="0"/>
        <w:jc w:val="left"/>
        <w:rPr>
          <w:rFonts w:cs="Times New Roman"/>
          <w:szCs w:val="24"/>
        </w:rPr>
      </w:pPr>
      <w:r w:rsidRPr="00A870AB">
        <w:rPr>
          <w:rFonts w:cs="Times New Roman"/>
          <w:szCs w:val="24"/>
        </w:rPr>
        <w:t xml:space="preserve">The objective of Phase 2 was to acquire enough contiguous land parcels around Cedar Lane to establish a viable nucleus— justifying the continuation of the project. According to the original transactions data provided by the Columbia Archives, of the total 13, 371 acres that were assembled for the Columbia project, 5,793 acres (41.7%) </w:t>
      </w:r>
      <w:r w:rsidRPr="00A870AB">
        <w:rPr>
          <w:rFonts w:cs="Times New Roman"/>
          <w:szCs w:val="24"/>
        </w:rPr>
        <w:lastRenderedPageBreak/>
        <w:t xml:space="preserve">were acquired in Phase 2.  In fact, 4,368 acres (75.2%) were acquired solely in the month of May. Indeed, from November 1962 to May 1963, this land was acquired exclusively through </w:t>
      </w:r>
      <w:r w:rsidR="002F5400">
        <w:rPr>
          <w:rFonts w:cs="Times New Roman"/>
          <w:szCs w:val="24"/>
        </w:rPr>
        <w:t>straw purchasing/</w:t>
      </w:r>
      <w:r w:rsidRPr="00A870AB">
        <w:rPr>
          <w:rFonts w:cs="Times New Roman"/>
          <w:szCs w:val="24"/>
        </w:rPr>
        <w:t xml:space="preserve">blind agency. Consequently, these records fully describe the scale and scope of Rouse’s secret acquisition/negotiation strategy. By employing a network of dummy corporations, straw purchasers, and local brokers (acting unknowingly as private real estate agents) to secretly (and simultaneously) Rouse was able to centrally coordinate all aspects on the ongoing land assembly process. </w:t>
      </w:r>
    </w:p>
    <w:p w14:paraId="49F35129" w14:textId="77777777" w:rsidR="00A870AB" w:rsidRPr="00A870AB" w:rsidRDefault="00A870AB" w:rsidP="00560441">
      <w:pPr>
        <w:spacing w:after="160"/>
        <w:ind w:left="0" w:firstLine="0"/>
        <w:jc w:val="left"/>
        <w:rPr>
          <w:rFonts w:cs="Times New Roman"/>
          <w:szCs w:val="24"/>
        </w:rPr>
      </w:pPr>
      <w:r w:rsidRPr="00A870AB">
        <w:rPr>
          <w:rFonts w:cs="Times New Roman"/>
          <w:szCs w:val="24"/>
        </w:rPr>
        <w:t>The following plate illustrates the centrally coordinated effort by Rouse’s five dummy corporations—working unknowingly through Moxley – to secure the acquisition of specific parcels immediately adjacent to Cedar Lane—establishing a viable parcel-nucleus in Phase 2:</w:t>
      </w:r>
      <w:r w:rsidRPr="00A870AB">
        <w:rPr>
          <w:rFonts w:cs="Times New Roman"/>
          <w:noProof/>
          <w:szCs w:val="24"/>
        </w:rPr>
        <w:drawing>
          <wp:inline distT="0" distB="0" distL="0" distR="0" wp14:anchorId="2AA20E98" wp14:editId="2D2B4D5F">
            <wp:extent cx="5018314" cy="2164741"/>
            <wp:effectExtent l="0" t="0" r="0" b="6985"/>
            <wp:docPr id="18" name="Picture 18"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with medium confidence"/>
                    <pic:cNvPicPr>
                      <a:picLocks noChangeAspect="1" noChangeArrowheads="1"/>
                    </pic:cNvPicPr>
                  </pic:nvPicPr>
                  <pic:blipFill rotWithShape="1">
                    <a:blip r:embed="rId15">
                      <a:extLst>
                        <a:ext uri="{28A0092B-C50C-407E-A947-70E740481C1C}">
                          <a14:useLocalDpi xmlns:a14="http://schemas.microsoft.com/office/drawing/2010/main" val="0"/>
                        </a:ext>
                      </a:extLst>
                    </a:blip>
                    <a:srcRect r="737" b="11207"/>
                    <a:stretch/>
                  </pic:blipFill>
                  <pic:spPr bwMode="auto">
                    <a:xfrm>
                      <a:off x="0" y="0"/>
                      <a:ext cx="5064946" cy="2184857"/>
                    </a:xfrm>
                    <a:prstGeom prst="rect">
                      <a:avLst/>
                    </a:prstGeom>
                    <a:noFill/>
                    <a:ln>
                      <a:noFill/>
                    </a:ln>
                    <a:extLst>
                      <a:ext uri="{53640926-AAD7-44D8-BBD7-CCE9431645EC}">
                        <a14:shadowObscured xmlns:a14="http://schemas.microsoft.com/office/drawing/2010/main"/>
                      </a:ext>
                    </a:extLst>
                  </pic:spPr>
                </pic:pic>
              </a:graphicData>
            </a:graphic>
          </wp:inline>
        </w:drawing>
      </w:r>
    </w:p>
    <w:p w14:paraId="167D752D" w14:textId="5395BB97" w:rsidR="00A870AB" w:rsidRPr="00A870AB" w:rsidRDefault="00A870AB" w:rsidP="00C97864">
      <w:pPr>
        <w:pStyle w:val="Figures"/>
        <w:rPr>
          <w:rFonts w:cs="Times New Roman"/>
        </w:rPr>
      </w:pPr>
      <w:bookmarkStart w:id="54" w:name="_Toc127439129"/>
      <w:r w:rsidRPr="00A870AB">
        <w:t xml:space="preserve">Figure </w:t>
      </w:r>
      <w:r w:rsidR="007675D6">
        <w:t xml:space="preserve">3.6 </w:t>
      </w:r>
      <w:r w:rsidRPr="00A870AB">
        <w:t>Coordinated Straw-Purchasing of Viable Parcel Nucleus (Phase 2)</w:t>
      </w:r>
      <w:bookmarkEnd w:id="54"/>
    </w:p>
    <w:p w14:paraId="66050CAC" w14:textId="77777777" w:rsidR="00A870AB" w:rsidRPr="00A870AB" w:rsidRDefault="00A870AB" w:rsidP="00560441">
      <w:pPr>
        <w:spacing w:after="160"/>
        <w:ind w:left="0" w:firstLine="0"/>
        <w:jc w:val="left"/>
        <w:rPr>
          <w:rFonts w:cs="Times New Roman"/>
          <w:szCs w:val="24"/>
        </w:rPr>
      </w:pPr>
    </w:p>
    <w:p w14:paraId="6AC40DB4" w14:textId="77777777" w:rsidR="00A870AB" w:rsidRPr="00A870AB" w:rsidRDefault="00A870AB" w:rsidP="00560441">
      <w:pPr>
        <w:spacing w:after="160"/>
        <w:ind w:left="0" w:firstLine="0"/>
        <w:jc w:val="left"/>
        <w:rPr>
          <w:rFonts w:cs="Times New Roman"/>
          <w:szCs w:val="24"/>
        </w:rPr>
      </w:pPr>
      <w:r w:rsidRPr="00A870AB">
        <w:rPr>
          <w:rFonts w:cs="Times New Roman"/>
          <w:szCs w:val="24"/>
        </w:rPr>
        <w:lastRenderedPageBreak/>
        <w:t xml:space="preserve">By mid-May 1963, it was determined that one parcel in particular was absolutely essential to the continuity of the project. Indeed, the acquisition of the Dasher property was the “critical point” in Rouse’s plan for the new city; failure to purchase this property in a timely fashion would have resulted in the abandonment of the entire project. The following map demonstrates why the Dasher property (shown in red) was indispensable for the continuity of the overall assemblage. Hence, with the successful (and pivotal) Dasher transaction, Phase Two was concluded. Had this critical parcel not been acquired, the Columbia project would have been abandoned. </w:t>
      </w:r>
    </w:p>
    <w:p w14:paraId="7E4EAFD1" w14:textId="77777777" w:rsidR="00A870AB" w:rsidRPr="00A870AB" w:rsidRDefault="00A870AB" w:rsidP="00560441">
      <w:pPr>
        <w:spacing w:after="160"/>
        <w:ind w:left="0" w:firstLine="0"/>
        <w:jc w:val="left"/>
        <w:rPr>
          <w:rFonts w:cs="Times New Roman"/>
          <w:szCs w:val="24"/>
        </w:rPr>
      </w:pPr>
      <w:r w:rsidRPr="00A870AB">
        <w:rPr>
          <w:rFonts w:cs="Times New Roman"/>
          <w:noProof/>
          <w:szCs w:val="24"/>
        </w:rPr>
        <w:drawing>
          <wp:inline distT="0" distB="0" distL="0" distR="0" wp14:anchorId="4C5A9B95" wp14:editId="4B0F8CC7">
            <wp:extent cx="4989444" cy="4164917"/>
            <wp:effectExtent l="0" t="0" r="0" b="0"/>
            <wp:docPr id="19" name="Picture 19" descr="A picture containing text,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devic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998186" cy="4172214"/>
                    </a:xfrm>
                    <a:prstGeom prst="rect">
                      <a:avLst/>
                    </a:prstGeom>
                  </pic:spPr>
                </pic:pic>
              </a:graphicData>
            </a:graphic>
          </wp:inline>
        </w:drawing>
      </w:r>
    </w:p>
    <w:p w14:paraId="2BBBE7AD" w14:textId="35CC6975" w:rsidR="00A870AB" w:rsidRPr="00A870AB" w:rsidRDefault="00A870AB" w:rsidP="00C97864">
      <w:pPr>
        <w:pStyle w:val="Figures"/>
        <w:rPr>
          <w:rFonts w:cs="Times New Roman"/>
        </w:rPr>
      </w:pPr>
      <w:bookmarkStart w:id="55" w:name="_Toc127439130"/>
      <w:r w:rsidRPr="00A870AB">
        <w:t xml:space="preserve">Figure </w:t>
      </w:r>
      <w:r w:rsidR="007675D6">
        <w:t xml:space="preserve">3.7 </w:t>
      </w:r>
      <w:r w:rsidRPr="00A870AB">
        <w:t>Dasher Holdout Property (Phase 2)</w:t>
      </w:r>
      <w:bookmarkEnd w:id="55"/>
    </w:p>
    <w:p w14:paraId="62B3B056" w14:textId="2F1F8917" w:rsidR="00A870AB" w:rsidRPr="00A870AB" w:rsidRDefault="00A870AB" w:rsidP="00560441">
      <w:pPr>
        <w:spacing w:after="160"/>
        <w:ind w:left="0" w:firstLine="0"/>
        <w:jc w:val="left"/>
        <w:rPr>
          <w:rFonts w:cs="Times New Roman"/>
          <w:szCs w:val="24"/>
        </w:rPr>
      </w:pPr>
      <w:r w:rsidRPr="00A870AB">
        <w:rPr>
          <w:rFonts w:cs="Times New Roman"/>
          <w:szCs w:val="24"/>
        </w:rPr>
        <w:lastRenderedPageBreak/>
        <w:t>Around the time of the Dasher acquisition, Moxley noticed a</w:t>
      </w:r>
      <w:r w:rsidR="003C1950">
        <w:rPr>
          <w:rFonts w:cs="Times New Roman"/>
          <w:szCs w:val="24"/>
        </w:rPr>
        <w:t xml:space="preserve"> random</w:t>
      </w:r>
      <w:r w:rsidRPr="00A870AB">
        <w:rPr>
          <w:rFonts w:cs="Times New Roman"/>
          <w:szCs w:val="24"/>
        </w:rPr>
        <w:t xml:space="preserve"> article</w:t>
      </w:r>
      <w:r w:rsidR="00BA3E85">
        <w:rPr>
          <w:rFonts w:cs="Times New Roman"/>
          <w:szCs w:val="24"/>
        </w:rPr>
        <w:t xml:space="preserve"> </w:t>
      </w:r>
      <w:r w:rsidRPr="00A870AB">
        <w:rPr>
          <w:rFonts w:cs="Times New Roman"/>
          <w:szCs w:val="24"/>
        </w:rPr>
        <w:t>in a Baltimore newspaper, highlighting the commercial developments in which James Rouse and his principals were involved. Although the article did not refer to the building of an entire city, it did cause Moxley to suspect privately that James Rouse was the ultimate purchaser of the land he had been selling. His suspicions were confirmed soon thereafter when Rouse requested to meet him personally, where he learned firsthand from Rouse that he had been assembling a large tract, and while he would still not discuss the planned use of the land he was buying, he did say it was imperative to expedite the assemblage, and not to divulge the name of the purchaser to anyone. With the Dasher acquisition in tow, and the viability of the project established, these events marked the transition to Phase 3.</w:t>
      </w:r>
    </w:p>
    <w:p w14:paraId="2280C0F0" w14:textId="77777777" w:rsidR="00A870AB" w:rsidRPr="00A870AB" w:rsidRDefault="00A870AB" w:rsidP="007675D6">
      <w:bookmarkStart w:id="56" w:name="_Toc21516011"/>
      <w:bookmarkStart w:id="57" w:name="_Toc126651377"/>
      <w:r w:rsidRPr="00A870AB">
        <w:t>Phase 3: Consolidation of Adjacent Outparcels (June 1963-July 1964)</w:t>
      </w:r>
      <w:bookmarkEnd w:id="56"/>
      <w:bookmarkEnd w:id="57"/>
      <w:r w:rsidRPr="00A870AB">
        <w:t xml:space="preserve"> </w:t>
      </w:r>
    </w:p>
    <w:p w14:paraId="40768E08" w14:textId="77777777" w:rsidR="00A870AB" w:rsidRPr="00A870AB" w:rsidRDefault="00A870AB" w:rsidP="00C97864">
      <w:pPr>
        <w:spacing w:after="160"/>
        <w:ind w:left="0" w:firstLine="0"/>
        <w:jc w:val="center"/>
        <w:rPr>
          <w:rFonts w:cs="Times New Roman"/>
          <w:b/>
          <w:szCs w:val="24"/>
        </w:rPr>
      </w:pPr>
      <w:r w:rsidRPr="00A870AB">
        <w:rPr>
          <w:rFonts w:cs="Times New Roman"/>
          <w:b/>
          <w:noProof/>
          <w:szCs w:val="24"/>
        </w:rPr>
        <w:drawing>
          <wp:inline distT="0" distB="0" distL="0" distR="0" wp14:anchorId="2E988C7B" wp14:editId="5E485EE7">
            <wp:extent cx="4847154" cy="3135086"/>
            <wp:effectExtent l="0" t="0" r="0" b="8255"/>
            <wp:docPr id="20" name="Picture 20"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Map&#10;&#10;Description automatically generated with medium confidence"/>
                    <pic:cNvPicPr/>
                  </pic:nvPicPr>
                  <pic:blipFill>
                    <a:blip r:embed="rId17">
                      <a:extLst>
                        <a:ext uri="{28A0092B-C50C-407E-A947-70E740481C1C}">
                          <a14:useLocalDpi xmlns:a14="http://schemas.microsoft.com/office/drawing/2010/main" val="0"/>
                        </a:ext>
                      </a:extLst>
                    </a:blip>
                    <a:stretch>
                      <a:fillRect/>
                    </a:stretch>
                  </pic:blipFill>
                  <pic:spPr>
                    <a:xfrm>
                      <a:off x="0" y="0"/>
                      <a:ext cx="4861201" cy="3144171"/>
                    </a:xfrm>
                    <a:prstGeom prst="rect">
                      <a:avLst/>
                    </a:prstGeom>
                  </pic:spPr>
                </pic:pic>
              </a:graphicData>
            </a:graphic>
          </wp:inline>
        </w:drawing>
      </w:r>
    </w:p>
    <w:p w14:paraId="1F339064" w14:textId="122D8568" w:rsidR="00A870AB" w:rsidRPr="00A870AB" w:rsidRDefault="00A870AB" w:rsidP="00C97864">
      <w:pPr>
        <w:pStyle w:val="Figures"/>
        <w:rPr>
          <w:rFonts w:cs="Times New Roman"/>
          <w:b/>
        </w:rPr>
      </w:pPr>
      <w:bookmarkStart w:id="58" w:name="_Toc127439131"/>
      <w:r w:rsidRPr="00A870AB">
        <w:t xml:space="preserve">Figure </w:t>
      </w:r>
      <w:r w:rsidR="007675D6">
        <w:t>3</w:t>
      </w:r>
      <w:r w:rsidRPr="00A870AB">
        <w:t xml:space="preserve">. </w:t>
      </w:r>
      <w:r w:rsidR="007675D6">
        <w:t>8</w:t>
      </w:r>
      <w:r w:rsidRPr="00A870AB">
        <w:t xml:space="preserve"> Consolidation of Outparcels to Establish Outer Boundaries</w:t>
      </w:r>
      <w:r w:rsidR="007675D6">
        <w:t xml:space="preserve"> </w:t>
      </w:r>
      <w:r w:rsidR="007675D6" w:rsidRPr="00A870AB">
        <w:t>(Phase 3)</w:t>
      </w:r>
      <w:bookmarkEnd w:id="58"/>
    </w:p>
    <w:p w14:paraId="18370ABF" w14:textId="77777777" w:rsidR="00A870AB" w:rsidRPr="00A870AB" w:rsidRDefault="00A870AB" w:rsidP="00560441">
      <w:pPr>
        <w:spacing w:after="160"/>
        <w:ind w:left="0" w:firstLine="0"/>
        <w:jc w:val="left"/>
        <w:rPr>
          <w:rFonts w:cs="Times New Roman"/>
          <w:noProof/>
          <w:szCs w:val="24"/>
        </w:rPr>
      </w:pPr>
      <w:r w:rsidRPr="00A870AB">
        <w:rPr>
          <w:rFonts w:cs="Times New Roman"/>
          <w:szCs w:val="24"/>
        </w:rPr>
        <w:lastRenderedPageBreak/>
        <w:t>The objective of Phase 3 was to acquire the outstanding outparcels to consolidate the unified assemblage to the outer boundaries of the target area. [Note: Phase 3 also involved the acquisition of parcels lying outside the target area-- to be used for special purposes, including speculative assemblages to be used for barter as voluntary “property swaps”.]</w:t>
      </w:r>
    </w:p>
    <w:p w14:paraId="12A400A1" w14:textId="77777777" w:rsidR="00A870AB" w:rsidRPr="00A870AB" w:rsidRDefault="00A870AB" w:rsidP="00560441">
      <w:pPr>
        <w:spacing w:after="160"/>
        <w:ind w:left="0" w:firstLine="0"/>
        <w:jc w:val="center"/>
        <w:rPr>
          <w:rFonts w:cs="Times New Roman"/>
          <w:szCs w:val="24"/>
        </w:rPr>
      </w:pPr>
      <w:r w:rsidRPr="00A870AB">
        <w:rPr>
          <w:rFonts w:cs="Times New Roman"/>
          <w:noProof/>
          <w:szCs w:val="24"/>
        </w:rPr>
        <w:drawing>
          <wp:inline distT="0" distB="0" distL="0" distR="0" wp14:anchorId="3F6A873A" wp14:editId="74D2A006">
            <wp:extent cx="4200525" cy="2962910"/>
            <wp:effectExtent l="0" t="0" r="0" b="0"/>
            <wp:docPr id="10" name="Picture 1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ap&#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00525" cy="2962910"/>
                    </a:xfrm>
                    <a:prstGeom prst="rect">
                      <a:avLst/>
                    </a:prstGeom>
                    <a:noFill/>
                  </pic:spPr>
                </pic:pic>
              </a:graphicData>
            </a:graphic>
          </wp:inline>
        </w:drawing>
      </w:r>
    </w:p>
    <w:p w14:paraId="38B8DFA7" w14:textId="337544FC" w:rsidR="00A870AB" w:rsidRPr="00A870AB" w:rsidRDefault="00A870AB" w:rsidP="00C97864">
      <w:pPr>
        <w:pStyle w:val="Figures"/>
      </w:pPr>
      <w:bookmarkStart w:id="59" w:name="_Toc127439132"/>
      <w:r w:rsidRPr="00A870AB">
        <w:t xml:space="preserve">Figure </w:t>
      </w:r>
      <w:r w:rsidR="007675D6">
        <w:t xml:space="preserve">3.9 </w:t>
      </w:r>
      <w:r w:rsidRPr="00A870AB">
        <w:t>“Three G’s” Holdout Properties (Phase 3)</w:t>
      </w:r>
      <w:bookmarkEnd w:id="59"/>
    </w:p>
    <w:p w14:paraId="2768E83B" w14:textId="77777777" w:rsidR="00A870AB" w:rsidRPr="00A870AB" w:rsidRDefault="00A870AB" w:rsidP="00560441">
      <w:pPr>
        <w:spacing w:after="160"/>
        <w:ind w:left="0" w:firstLine="0"/>
        <w:jc w:val="left"/>
        <w:rPr>
          <w:rFonts w:cs="Times New Roman"/>
          <w:szCs w:val="24"/>
        </w:rPr>
      </w:pPr>
    </w:p>
    <w:p w14:paraId="7EA1DBBF" w14:textId="005C555F" w:rsidR="00A870AB" w:rsidRPr="00A870AB" w:rsidRDefault="00A870AB" w:rsidP="00560441">
      <w:pPr>
        <w:spacing w:after="160"/>
        <w:ind w:left="0" w:firstLine="0"/>
        <w:jc w:val="left"/>
        <w:rPr>
          <w:rFonts w:cs="Times New Roman"/>
          <w:szCs w:val="24"/>
        </w:rPr>
      </w:pPr>
      <w:r w:rsidRPr="00A870AB">
        <w:rPr>
          <w:rFonts w:cs="Times New Roman"/>
          <w:szCs w:val="24"/>
        </w:rPr>
        <w:t xml:space="preserve">During their initial encounter, Rouse told Moxley that the purpose of the meeting was to </w:t>
      </w:r>
      <w:r w:rsidR="00CE490E" w:rsidRPr="00A870AB">
        <w:rPr>
          <w:rFonts w:cs="Times New Roman"/>
          <w:szCs w:val="24"/>
        </w:rPr>
        <w:t>ask for</w:t>
      </w:r>
      <w:r w:rsidRPr="00A870AB">
        <w:rPr>
          <w:rFonts w:cs="Times New Roman"/>
          <w:szCs w:val="24"/>
        </w:rPr>
        <w:t xml:space="preserve"> his help in planning the strategy for the acquisition of three very important properties, owned respectively by three very knowledgeable and shrew businesspeople. After much discussion, it was agreed that while all three outparcel properties were essential, the acquisition priority was for the Gould parcel, the Gudelesky parcel, and finally the Goldsmith parcel. The anticipated cost factor was the primary reason for the </w:t>
      </w:r>
      <w:r w:rsidRPr="00A870AB">
        <w:rPr>
          <w:rFonts w:cs="Times New Roman"/>
          <w:szCs w:val="24"/>
        </w:rPr>
        <w:lastRenderedPageBreak/>
        <w:t xml:space="preserve">order of priority; Cedar Lane had been bought for $630 per acre, but the price was now approaching $1000 per acre. The owners of the so-called "3G's" were well aware of this price escalation, and since they were all financially secure with no need to sell, they were expected to sell only if they believed they were getting a premium price for their land: The following map shows the strategic positioning of these key outparcels relative to the assemblage completed as of August 1963:  </w:t>
      </w:r>
    </w:p>
    <w:p w14:paraId="2278370F" w14:textId="5A243509" w:rsidR="00A870AB" w:rsidRPr="00A870AB" w:rsidRDefault="00A870AB" w:rsidP="00560441">
      <w:pPr>
        <w:spacing w:after="160"/>
        <w:ind w:left="0" w:firstLine="0"/>
        <w:jc w:val="left"/>
        <w:rPr>
          <w:rFonts w:cs="Times New Roman"/>
          <w:szCs w:val="24"/>
        </w:rPr>
      </w:pPr>
      <w:r w:rsidRPr="00A870AB">
        <w:rPr>
          <w:rFonts w:cs="Times New Roman"/>
          <w:szCs w:val="24"/>
        </w:rPr>
        <w:t xml:space="preserve">The acquisition of the Gould property was straightforward. As the grandson of railroad magnate Jay Gould, the owner </w:t>
      </w:r>
      <w:r w:rsidR="00CE490E" w:rsidRPr="00A870AB">
        <w:rPr>
          <w:rFonts w:cs="Times New Roman"/>
          <w:szCs w:val="24"/>
        </w:rPr>
        <w:t>was under</w:t>
      </w:r>
      <w:r w:rsidRPr="00A870AB">
        <w:rPr>
          <w:rFonts w:cs="Times New Roman"/>
          <w:szCs w:val="24"/>
        </w:rPr>
        <w:t xml:space="preserve"> no financial obligation to part with the land, but he had decided to sell the acreage and put the funds in bank stock. The negotiation was therefore relatively easy, because the owner knew the value of the land as well as the potential value of the bank stock he intended to purchase, so the sales price was soon agreed upon. </w:t>
      </w:r>
    </w:p>
    <w:p w14:paraId="78E4F9E9" w14:textId="77777777" w:rsidR="00A870AB" w:rsidRPr="00A870AB" w:rsidRDefault="00A870AB" w:rsidP="00560441">
      <w:pPr>
        <w:spacing w:after="160"/>
        <w:ind w:left="0" w:firstLine="0"/>
        <w:jc w:val="left"/>
        <w:rPr>
          <w:rFonts w:cs="Times New Roman"/>
          <w:szCs w:val="24"/>
        </w:rPr>
      </w:pPr>
      <w:r w:rsidRPr="00A870AB">
        <w:rPr>
          <w:rFonts w:cs="Times New Roman"/>
          <w:szCs w:val="24"/>
        </w:rPr>
        <w:t xml:space="preserve">During the negotiations for the Gudelesky property, the owner was extremely interested in hearing about who was buying all the land and for what purpose. However, Moxley avoided these questions and talked only about buying the property. After several meetings with the landowner and without a deal, he tried one last ploy. He assembled 4,000 contiguous acres by option in western Howard County, including the Turf Valley Country Club. He met again with the landowner and offered the 4,000 acres with its 36hole golf course in return for the parcel. This arrangement was satisfactory, and the landowner agreed to sell his 1000 acres tract on October 14, 1963, for $3,000,000. </w:t>
      </w:r>
    </w:p>
    <w:p w14:paraId="03545A15" w14:textId="0FC27CDC" w:rsidR="00A870AB" w:rsidRPr="00A870AB" w:rsidRDefault="00A870AB" w:rsidP="00560441">
      <w:pPr>
        <w:spacing w:after="160"/>
        <w:ind w:left="0" w:firstLine="0"/>
        <w:jc w:val="left"/>
        <w:rPr>
          <w:rFonts w:cs="Times New Roman"/>
          <w:szCs w:val="24"/>
        </w:rPr>
      </w:pPr>
      <w:r w:rsidRPr="00A870AB">
        <w:rPr>
          <w:rFonts w:cs="Times New Roman"/>
          <w:szCs w:val="24"/>
        </w:rPr>
        <w:t xml:space="preserve">The owner of the Goldsmith property operated the All-View Golf Course and a thoroughbred horse breeding farm situated on the property and was reputed to be a very </w:t>
      </w:r>
      <w:r w:rsidRPr="00A870AB">
        <w:rPr>
          <w:rFonts w:cs="Times New Roman"/>
          <w:szCs w:val="24"/>
        </w:rPr>
        <w:lastRenderedPageBreak/>
        <w:t xml:space="preserve">difficult man with whom to do business. After arduous negotiations, it became increasingly obvious that he was not interested in an outright sale because of tax externalities. Furthermore, because the owner received substantial cash flow from these enterprises, Moxley located another farm suitable for raising </w:t>
      </w:r>
      <w:r w:rsidR="00CE490E" w:rsidRPr="00A870AB">
        <w:rPr>
          <w:rFonts w:cs="Times New Roman"/>
          <w:szCs w:val="24"/>
        </w:rPr>
        <w:t>horses</w:t>
      </w:r>
      <w:r w:rsidRPr="00A870AB">
        <w:rPr>
          <w:rFonts w:cs="Times New Roman"/>
          <w:szCs w:val="24"/>
        </w:rPr>
        <w:t xml:space="preserve">, to which Goldsmith gave serious consideration for </w:t>
      </w:r>
      <w:r w:rsidR="005A354D" w:rsidRPr="00A870AB">
        <w:rPr>
          <w:rFonts w:cs="Times New Roman"/>
          <w:szCs w:val="24"/>
        </w:rPr>
        <w:t>disposing of</w:t>
      </w:r>
      <w:r w:rsidRPr="00A870AB">
        <w:rPr>
          <w:rFonts w:cs="Times New Roman"/>
          <w:szCs w:val="24"/>
        </w:rPr>
        <w:t xml:space="preserve"> his land. Moxley then negotiated a complex, but innovative lease agreement, and completed the transaction on August 24, 1964, nearly a year from the start of the negotiations in 1963. </w:t>
      </w:r>
    </w:p>
    <w:p w14:paraId="55AB59E2" w14:textId="6D862166" w:rsidR="005A354D" w:rsidRPr="005F2D1F" w:rsidRDefault="00A870AB" w:rsidP="007675D6">
      <w:pPr>
        <w:spacing w:after="160"/>
        <w:ind w:left="0" w:firstLine="0"/>
        <w:jc w:val="left"/>
        <w:rPr>
          <w:rFonts w:cs="Times New Roman"/>
          <w:szCs w:val="24"/>
        </w:rPr>
      </w:pPr>
      <w:r w:rsidRPr="00A870AB">
        <w:rPr>
          <w:rFonts w:cs="Times New Roman"/>
          <w:szCs w:val="24"/>
        </w:rPr>
        <w:t>The acquisition of the so-called "3 G's" effectively marked the final transition into Phase 4. This transition also marked the shift from using a simultaneous to a sequential bargaining strategy, emphasizing pure entrepreneurship rather than strict secrecy to acquire select outparcels needed primarily for eliminating the voids within the boundaries of the proposed city. This shift is also reflected in a relative concentration vs. dispersion of acquisitions made before and after May 1963 respectively</w:t>
      </w:r>
      <w:r w:rsidR="00966175">
        <w:rPr>
          <w:rFonts w:cs="Times New Roman"/>
          <w:szCs w:val="24"/>
        </w:rPr>
        <w:t>.</w:t>
      </w:r>
      <w:r w:rsidRPr="00A870AB">
        <w:rPr>
          <w:rFonts w:cs="Times New Roman"/>
          <w:szCs w:val="24"/>
        </w:rPr>
        <w:t xml:space="preserve"> </w:t>
      </w:r>
      <w:bookmarkStart w:id="60" w:name="_Toc21516012"/>
      <w:bookmarkStart w:id="61" w:name="_Toc126651378"/>
    </w:p>
    <w:p w14:paraId="5295E96A" w14:textId="429127A9" w:rsidR="00A870AB" w:rsidRPr="007675D6" w:rsidRDefault="00A870AB" w:rsidP="007675D6">
      <w:pPr>
        <w:spacing w:after="160"/>
        <w:ind w:left="0" w:firstLine="0"/>
        <w:jc w:val="left"/>
        <w:rPr>
          <w:rFonts w:cs="Times New Roman"/>
          <w:szCs w:val="24"/>
        </w:rPr>
      </w:pPr>
      <w:r w:rsidRPr="00A870AB">
        <w:t>Phase 4: Acquiring Remaining/Available Infill Parcels</w:t>
      </w:r>
      <w:bookmarkEnd w:id="60"/>
      <w:bookmarkEnd w:id="61"/>
    </w:p>
    <w:p w14:paraId="1476E87E" w14:textId="77777777" w:rsidR="005A354D" w:rsidRDefault="00A870AB" w:rsidP="00CE490E">
      <w:pPr>
        <w:spacing w:after="160"/>
        <w:ind w:left="0" w:firstLine="0"/>
        <w:jc w:val="center"/>
      </w:pPr>
      <w:r w:rsidRPr="00A870AB">
        <w:rPr>
          <w:rFonts w:cs="Times New Roman"/>
          <w:noProof/>
          <w:szCs w:val="24"/>
        </w:rPr>
        <w:drawing>
          <wp:inline distT="0" distB="0" distL="0" distR="0" wp14:anchorId="4F51EBDB" wp14:editId="24883317">
            <wp:extent cx="2997843" cy="2246971"/>
            <wp:effectExtent l="0" t="0" r="0" b="1270"/>
            <wp:docPr id="22" name="Picture 2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Map&#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3040389" cy="2278861"/>
                    </a:xfrm>
                    <a:prstGeom prst="rect">
                      <a:avLst/>
                    </a:prstGeom>
                  </pic:spPr>
                </pic:pic>
              </a:graphicData>
            </a:graphic>
          </wp:inline>
        </w:drawing>
      </w:r>
      <w:bookmarkStart w:id="62" w:name="_Toc127439133"/>
    </w:p>
    <w:p w14:paraId="16112F27" w14:textId="7DFAAAC9" w:rsidR="00A870AB" w:rsidRPr="00CE490E" w:rsidRDefault="00A870AB" w:rsidP="00CE490E">
      <w:pPr>
        <w:spacing w:after="160"/>
        <w:ind w:left="0" w:firstLine="0"/>
        <w:jc w:val="center"/>
        <w:rPr>
          <w:rFonts w:cs="Times New Roman"/>
          <w:szCs w:val="24"/>
        </w:rPr>
      </w:pPr>
      <w:r w:rsidRPr="00A870AB">
        <w:t xml:space="preserve">Figure </w:t>
      </w:r>
      <w:r w:rsidR="007675D6">
        <w:t xml:space="preserve">3.10 </w:t>
      </w:r>
      <w:r w:rsidRPr="00A870AB">
        <w:t>Final Consolidation of Remaining/Available Infill Parcels</w:t>
      </w:r>
      <w:r w:rsidR="007675D6">
        <w:t xml:space="preserve"> </w:t>
      </w:r>
      <w:r w:rsidR="007675D6" w:rsidRPr="00A870AB">
        <w:t>(Phase 4)</w:t>
      </w:r>
      <w:bookmarkEnd w:id="62"/>
    </w:p>
    <w:p w14:paraId="44C09C9B" w14:textId="77777777" w:rsidR="00A870AB" w:rsidRPr="00A870AB" w:rsidRDefault="00A870AB" w:rsidP="00560441">
      <w:pPr>
        <w:spacing w:after="160"/>
        <w:ind w:left="0" w:firstLine="0"/>
        <w:jc w:val="left"/>
        <w:rPr>
          <w:rFonts w:cs="Times New Roman"/>
          <w:szCs w:val="24"/>
        </w:rPr>
      </w:pPr>
      <w:r w:rsidRPr="00A870AB">
        <w:rPr>
          <w:rFonts w:cs="Times New Roman"/>
          <w:szCs w:val="24"/>
        </w:rPr>
        <w:lastRenderedPageBreak/>
        <w:t>The objective of Phase 4 was to fill in the rest of the voids became more expensive and time-consuming, involving mostly small landowners who demanded increasingly exorbitant prices, and whose idiosyncratic valuation of their land often made it impossible to reach a bargain. Likewise, a figure/ground analysis of the final assemblage containing multiple voids resembles a "Swiss Cheese", to show that the Columbia acquisition was far from being a strictly indivisible assembly:</w:t>
      </w:r>
    </w:p>
    <w:p w14:paraId="2C44C4B8" w14:textId="77777777" w:rsidR="00A870AB" w:rsidRPr="00A870AB" w:rsidRDefault="00A870AB" w:rsidP="00560441">
      <w:pPr>
        <w:spacing w:after="200" w:line="240" w:lineRule="auto"/>
        <w:ind w:left="0"/>
        <w:jc w:val="center"/>
        <w:rPr>
          <w:iCs/>
          <w:szCs w:val="24"/>
        </w:rPr>
      </w:pPr>
      <w:r w:rsidRPr="00A870AB">
        <w:rPr>
          <w:rFonts w:cs="Times New Roman"/>
          <w:iCs/>
          <w:noProof/>
          <w:szCs w:val="24"/>
        </w:rPr>
        <w:drawing>
          <wp:inline distT="0" distB="0" distL="0" distR="0" wp14:anchorId="5BB45C65" wp14:editId="31496DA0">
            <wp:extent cx="5395274" cy="3454400"/>
            <wp:effectExtent l="0" t="0" r="0" b="0"/>
            <wp:docPr id="11" name="Picture 11" descr="A picture containing text, snow,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snow, outdoor&#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414946" cy="3466995"/>
                    </a:xfrm>
                    <a:prstGeom prst="rect">
                      <a:avLst/>
                    </a:prstGeom>
                  </pic:spPr>
                </pic:pic>
              </a:graphicData>
            </a:graphic>
          </wp:inline>
        </w:drawing>
      </w:r>
    </w:p>
    <w:p w14:paraId="653B9B96" w14:textId="48F8333B" w:rsidR="00A870AB" w:rsidRPr="00A870AB" w:rsidRDefault="00A870AB" w:rsidP="00C97864">
      <w:pPr>
        <w:pStyle w:val="Figures"/>
      </w:pPr>
      <w:bookmarkStart w:id="63" w:name="_Toc127439134"/>
      <w:r w:rsidRPr="00A870AB">
        <w:t xml:space="preserve">Figure </w:t>
      </w:r>
      <w:r w:rsidR="00750C5C">
        <w:t xml:space="preserve">3.11 </w:t>
      </w:r>
      <w:r w:rsidRPr="00A870AB">
        <w:t>Final “Swiss Cheese” [aka “Spotted Leopard”] Assemblage Pattern</w:t>
      </w:r>
      <w:bookmarkEnd w:id="63"/>
    </w:p>
    <w:p w14:paraId="3ACCB40A" w14:textId="77777777" w:rsidR="00A870AB" w:rsidRPr="00A870AB" w:rsidRDefault="00A870AB" w:rsidP="00560441">
      <w:pPr>
        <w:spacing w:after="200" w:line="240" w:lineRule="auto"/>
        <w:ind w:left="0"/>
        <w:jc w:val="center"/>
        <w:rPr>
          <w:iCs/>
          <w:szCs w:val="24"/>
        </w:rPr>
      </w:pPr>
    </w:p>
    <w:p w14:paraId="5A23C8B6" w14:textId="254F7389" w:rsidR="00A870AB" w:rsidRPr="00A870AB" w:rsidRDefault="00A870AB" w:rsidP="00560441">
      <w:pPr>
        <w:spacing w:after="160"/>
        <w:ind w:left="0" w:firstLine="0"/>
        <w:jc w:val="left"/>
        <w:rPr>
          <w:rFonts w:cs="Times New Roman"/>
          <w:szCs w:val="24"/>
        </w:rPr>
      </w:pPr>
      <w:r w:rsidRPr="00A870AB">
        <w:rPr>
          <w:rFonts w:cs="Times New Roman"/>
          <w:szCs w:val="24"/>
        </w:rPr>
        <w:t xml:space="preserve">In fact, each of these voids represents a landowner holdout that both Rouse (and Moxley) was unable to resolve. The most publicized holdout involved Ms. Nancy Smith.  According to </w:t>
      </w:r>
      <w:r w:rsidR="00077D9B">
        <w:rPr>
          <w:rFonts w:cs="Times New Roman"/>
          <w:szCs w:val="24"/>
        </w:rPr>
        <w:t>Moxley</w:t>
      </w:r>
      <w:r w:rsidRPr="00A870AB">
        <w:rPr>
          <w:rFonts w:cs="Times New Roman"/>
          <w:szCs w:val="24"/>
        </w:rPr>
        <w:t xml:space="preserve">, negotiations had begun for the 300+ acre Smith tract in June 1963, around the same time Rouse purchased the parcel of David Clarke. In a </w:t>
      </w:r>
      <w:r w:rsidRPr="00A870AB">
        <w:rPr>
          <w:rFonts w:cs="Times New Roman"/>
          <w:szCs w:val="24"/>
        </w:rPr>
        <w:lastRenderedPageBreak/>
        <w:t xml:space="preserve">newspaper interview, Clarke would later recall that during negotiations, Rouse maintained a very low profile, making negotiations easier by relying on real estate agents (such as Moxley) to find the properties, reach an agreement, and return with an offer. If the deal was acceptable, they would settle immediately. If not, Rouse would quietly step in and try to construct a compromise. In the case of the Smith property, the owner simply did NOT wish to sell. This map explains Smith's dilemma. </w:t>
      </w:r>
    </w:p>
    <w:p w14:paraId="29D7C93B" w14:textId="77777777" w:rsidR="00A870AB" w:rsidRPr="00A870AB" w:rsidRDefault="00A870AB" w:rsidP="00560441">
      <w:pPr>
        <w:spacing w:after="160"/>
        <w:ind w:left="0" w:firstLine="0"/>
        <w:jc w:val="center"/>
        <w:rPr>
          <w:rFonts w:cs="Times New Roman"/>
          <w:szCs w:val="24"/>
        </w:rPr>
      </w:pPr>
      <w:r w:rsidRPr="00A870AB">
        <w:rPr>
          <w:rFonts w:cs="Times New Roman"/>
          <w:noProof/>
          <w:szCs w:val="24"/>
        </w:rPr>
        <w:drawing>
          <wp:inline distT="0" distB="0" distL="0" distR="0" wp14:anchorId="68FF7248" wp14:editId="2AD02839">
            <wp:extent cx="5394960" cy="3234690"/>
            <wp:effectExtent l="0" t="0" r="0" b="3810"/>
            <wp:docPr id="46" name="Picture 4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Diagra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394960" cy="3234690"/>
                    </a:xfrm>
                    <a:prstGeom prst="rect">
                      <a:avLst/>
                    </a:prstGeom>
                  </pic:spPr>
                </pic:pic>
              </a:graphicData>
            </a:graphic>
          </wp:inline>
        </w:drawing>
      </w:r>
    </w:p>
    <w:p w14:paraId="564FB17A" w14:textId="72A09E8A" w:rsidR="00A870AB" w:rsidRPr="00A870AB" w:rsidRDefault="00A870AB" w:rsidP="00C97864">
      <w:pPr>
        <w:pStyle w:val="Figures"/>
      </w:pPr>
      <w:bookmarkStart w:id="64" w:name="_Toc127439135"/>
      <w:r w:rsidRPr="00A870AB">
        <w:t xml:space="preserve">Figure </w:t>
      </w:r>
      <w:r w:rsidR="00750C5C">
        <w:t>3.12</w:t>
      </w:r>
      <w:r w:rsidRPr="00A870AB">
        <w:t xml:space="preserve"> Smith Holdout Property [Schematic]</w:t>
      </w:r>
      <w:bookmarkEnd w:id="64"/>
    </w:p>
    <w:p w14:paraId="4A587561" w14:textId="77777777" w:rsidR="00A870AB" w:rsidRPr="00A870AB" w:rsidRDefault="00A870AB" w:rsidP="00560441">
      <w:pPr>
        <w:spacing w:after="200" w:line="240" w:lineRule="auto"/>
        <w:ind w:left="0"/>
        <w:jc w:val="center"/>
        <w:rPr>
          <w:rFonts w:cs="Times New Roman"/>
          <w:iCs/>
          <w:szCs w:val="24"/>
        </w:rPr>
      </w:pPr>
    </w:p>
    <w:p w14:paraId="3E9BDED5" w14:textId="77777777" w:rsidR="00A870AB" w:rsidRPr="00A870AB" w:rsidRDefault="00A870AB" w:rsidP="00560441">
      <w:pPr>
        <w:spacing w:after="160"/>
        <w:ind w:left="0" w:firstLine="0"/>
        <w:jc w:val="left"/>
        <w:rPr>
          <w:rFonts w:cs="Times New Roman"/>
          <w:szCs w:val="24"/>
        </w:rPr>
      </w:pPr>
      <w:r w:rsidRPr="00A870AB">
        <w:rPr>
          <w:rFonts w:cs="Times New Roman"/>
          <w:szCs w:val="24"/>
        </w:rPr>
        <w:t xml:space="preserve">Even after most of her neighbors had already sold their farms, Smith continued to hold out. After Rouse had offered her $3,000,000, ten times more than its original price, she still refused to sell. Likewise, even after the state had condemned her land and extended Highway Route 175, she refused to cash her compensation check. Moreover, she explained her recalcitrance to deed over the land to public or private conservation </w:t>
      </w:r>
      <w:r w:rsidRPr="00A870AB">
        <w:rPr>
          <w:rFonts w:cs="Times New Roman"/>
          <w:szCs w:val="24"/>
        </w:rPr>
        <w:lastRenderedPageBreak/>
        <w:t xml:space="preserve">groups by saying that she felt they would have no better chance of preserving it than she did. Finally, she abstained from deeding the farm to the Maryland Environmental Trust upon learning that trust properties were not exempt from condemnation. In the final analysis, Smith simply did NOT wish to sell her land, and no amount of innovative bargaining could change her mind. In fact, it may have served only to harden her position. </w:t>
      </w:r>
    </w:p>
    <w:p w14:paraId="7CC06DFD" w14:textId="77777777" w:rsidR="00A870AB" w:rsidRPr="00A870AB" w:rsidRDefault="00A870AB" w:rsidP="000F3853">
      <w:pPr>
        <w:ind w:left="0" w:firstLine="0"/>
      </w:pPr>
      <w:bookmarkStart w:id="65" w:name="_Toc21516013"/>
      <w:bookmarkStart w:id="66" w:name="_Toc126651379"/>
      <w:r w:rsidRPr="00A870AB">
        <w:t>Concluding Remarks:</w:t>
      </w:r>
      <w:bookmarkEnd w:id="65"/>
      <w:bookmarkEnd w:id="66"/>
      <w:r w:rsidRPr="00A870AB">
        <w:t xml:space="preserve"> </w:t>
      </w:r>
    </w:p>
    <w:p w14:paraId="7D48703A" w14:textId="77777777" w:rsidR="00A870AB" w:rsidRPr="00A870AB" w:rsidRDefault="00A870AB" w:rsidP="00560441">
      <w:pPr>
        <w:spacing w:after="160"/>
        <w:ind w:left="0" w:firstLine="0"/>
        <w:jc w:val="left"/>
        <w:rPr>
          <w:rFonts w:cs="Times New Roman"/>
          <w:szCs w:val="24"/>
        </w:rPr>
      </w:pPr>
      <w:r w:rsidRPr="00A870AB">
        <w:rPr>
          <w:rFonts w:cs="Times New Roman"/>
          <w:szCs w:val="24"/>
        </w:rPr>
        <w:t xml:space="preserve">The Columbia project provides a paradigmatic case study where the developer of a strictly private land assembly project must continually update the configuration of the ongoing aggregate-assemblage in real-time, and thus, simultaneously reevaluate existing alternatives ---allowing the project to be completed-- in spite of the developer's inability to resolve all strategic holdouts. </w:t>
      </w:r>
    </w:p>
    <w:p w14:paraId="5F0661DF" w14:textId="77777777" w:rsidR="00A870AB" w:rsidRPr="00A870AB" w:rsidRDefault="00A870AB" w:rsidP="00560441">
      <w:pPr>
        <w:spacing w:after="160"/>
        <w:ind w:left="0" w:firstLine="0"/>
        <w:jc w:val="center"/>
        <w:rPr>
          <w:rFonts w:cs="Times New Roman"/>
          <w:szCs w:val="24"/>
        </w:rPr>
      </w:pPr>
      <w:r w:rsidRPr="00A870AB">
        <w:rPr>
          <w:rFonts w:cs="Times New Roman"/>
          <w:noProof/>
          <w:szCs w:val="24"/>
        </w:rPr>
        <w:drawing>
          <wp:inline distT="0" distB="0" distL="0" distR="0" wp14:anchorId="0EA3D40C" wp14:editId="5D584252">
            <wp:extent cx="3257352" cy="2723314"/>
            <wp:effectExtent l="0" t="0" r="635" b="1270"/>
            <wp:docPr id="21" name="Picture 2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Map&#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86360" cy="2747566"/>
                    </a:xfrm>
                    <a:prstGeom prst="rect">
                      <a:avLst/>
                    </a:prstGeom>
                    <a:noFill/>
                  </pic:spPr>
                </pic:pic>
              </a:graphicData>
            </a:graphic>
          </wp:inline>
        </w:drawing>
      </w:r>
    </w:p>
    <w:p w14:paraId="12E58B25" w14:textId="5676B59C" w:rsidR="00A870AB" w:rsidRPr="00E54474" w:rsidRDefault="00A870AB" w:rsidP="00E54474">
      <w:pPr>
        <w:pStyle w:val="Figures"/>
      </w:pPr>
      <w:bookmarkStart w:id="67" w:name="_Toc127439136"/>
      <w:r w:rsidRPr="00E54474">
        <w:t xml:space="preserve">Figure </w:t>
      </w:r>
      <w:r w:rsidR="00750C5C" w:rsidRPr="00E54474">
        <w:t xml:space="preserve">3.13 </w:t>
      </w:r>
      <w:r w:rsidRPr="00E54474">
        <w:t>Current Village Pattern Columbia</w:t>
      </w:r>
      <w:r w:rsidR="00E54474" w:rsidRPr="00E54474">
        <w:t>,</w:t>
      </w:r>
      <w:r w:rsidRPr="00E54474">
        <w:t xml:space="preserve"> Maryland (c. 2019)</w:t>
      </w:r>
      <w:bookmarkEnd w:id="67"/>
    </w:p>
    <w:p w14:paraId="11EE1B54" w14:textId="4760899F" w:rsidR="0029654A" w:rsidRPr="00A870AB" w:rsidRDefault="00A870AB" w:rsidP="00EE6A7A">
      <w:pPr>
        <w:pStyle w:val="Heading2"/>
        <w:rPr>
          <w:rFonts w:cs="Times New Roman"/>
          <w:szCs w:val="24"/>
        </w:rPr>
      </w:pPr>
      <w:bookmarkStart w:id="68" w:name="_Toc134346740"/>
      <w:r w:rsidRPr="00EE6A7A">
        <w:lastRenderedPageBreak/>
        <w:t>Case Study #2: Walt Disneyworld, FL (1964-1967)</w:t>
      </w:r>
      <w:r w:rsidRPr="00A870AB">
        <w:t xml:space="preserve"> </w:t>
      </w:r>
      <w:r w:rsidR="0029654A" w:rsidRPr="0029654A">
        <w:rPr>
          <w:rFonts w:cs="Times New Roman"/>
          <w:szCs w:val="24"/>
        </w:rPr>
        <w:t>Walt Disney Developer</w:t>
      </w:r>
      <w:bookmarkEnd w:id="68"/>
    </w:p>
    <w:p w14:paraId="59BFEE00" w14:textId="6C4A0714" w:rsidR="00A870AB" w:rsidRPr="00A870AB" w:rsidRDefault="00A870AB" w:rsidP="00560441">
      <w:pPr>
        <w:spacing w:after="160"/>
        <w:ind w:left="0" w:firstLine="0"/>
        <w:jc w:val="left"/>
        <w:rPr>
          <w:rFonts w:cs="Times New Roman"/>
          <w:szCs w:val="24"/>
        </w:rPr>
      </w:pPr>
      <w:r w:rsidRPr="00A870AB">
        <w:rPr>
          <w:rFonts w:cs="Times New Roman"/>
          <w:szCs w:val="24"/>
        </w:rPr>
        <w:t xml:space="preserve">By November 1965, Walt Disney had secretly assembled a contiguous, though irregularly shaped tract of land -- encompassing 14 sections in both </w:t>
      </w:r>
      <w:bookmarkStart w:id="69" w:name="_Hlk20224819"/>
      <w:bookmarkStart w:id="70" w:name="_Hlk20296193"/>
      <w:r w:rsidRPr="00A870AB">
        <w:rPr>
          <w:rFonts w:cs="Times New Roman"/>
          <w:szCs w:val="24"/>
        </w:rPr>
        <w:t xml:space="preserve">Orange and Osceola </w:t>
      </w:r>
      <w:bookmarkEnd w:id="69"/>
      <w:r w:rsidRPr="00A870AB">
        <w:rPr>
          <w:rFonts w:cs="Times New Roman"/>
          <w:szCs w:val="24"/>
        </w:rPr>
        <w:t xml:space="preserve">Counties </w:t>
      </w:r>
      <w:bookmarkEnd w:id="70"/>
      <w:r w:rsidRPr="00A870AB">
        <w:rPr>
          <w:rFonts w:cs="Times New Roman"/>
          <w:szCs w:val="24"/>
        </w:rPr>
        <w:t>near Orlando, Florida. However, to realize his vision, he would require the intervention of both local and state governments—and the statutory power of eminent domain—to acquire the approximately 45 square miles (28,000+ acres) needed to complete Walt Disney World [WDW], By permitting the Disney Corp to incorporate all its holdings into the Reedy Creek Improvement District [RCID]--a public corporation-- the State of Florida granted Disney exclusive jurisdiction over land use on the resort, with blanket exemption from state zoning laws, as well as statutory eminent domain power to condemn and acquire property outside the initial WDW boundaries "for the public use".</w:t>
      </w:r>
      <w:r w:rsidR="00BA2204">
        <w:rPr>
          <w:rFonts w:cs="Times New Roman"/>
          <w:szCs w:val="24"/>
        </w:rPr>
        <w:t xml:space="preserve"> </w:t>
      </w:r>
      <w:r w:rsidR="0033588C">
        <w:rPr>
          <w:rFonts w:cs="Times New Roman"/>
          <w:szCs w:val="24"/>
        </w:rPr>
        <w:t>[Foldvary 1994</w:t>
      </w:r>
      <w:r w:rsidR="00694F86">
        <w:rPr>
          <w:rFonts w:cs="Times New Roman"/>
          <w:szCs w:val="24"/>
        </w:rPr>
        <w:t>;</w:t>
      </w:r>
      <w:r w:rsidR="00AA5EBF">
        <w:rPr>
          <w:rFonts w:cs="Times New Roman"/>
          <w:szCs w:val="24"/>
        </w:rPr>
        <w:t xml:space="preserve"> </w:t>
      </w:r>
      <w:r w:rsidR="00AA5EBF" w:rsidRPr="00AA5EBF">
        <w:rPr>
          <w:rFonts w:cs="Times New Roman"/>
          <w:szCs w:val="24"/>
        </w:rPr>
        <w:t xml:space="preserve">Bieto, Gordon, </w:t>
      </w:r>
      <w:r w:rsidR="00732ABD">
        <w:rPr>
          <w:rFonts w:cs="Times New Roman"/>
          <w:szCs w:val="24"/>
        </w:rPr>
        <w:t xml:space="preserve">and </w:t>
      </w:r>
      <w:r w:rsidR="00AA5EBF" w:rsidRPr="00AA5EBF">
        <w:rPr>
          <w:rFonts w:cs="Times New Roman"/>
          <w:szCs w:val="24"/>
        </w:rPr>
        <w:t>Tabarrok</w:t>
      </w:r>
      <w:r w:rsidR="00AA5EBF">
        <w:rPr>
          <w:rFonts w:cs="Times New Roman"/>
          <w:szCs w:val="24"/>
        </w:rPr>
        <w:t xml:space="preserve"> 2002</w:t>
      </w:r>
      <w:r w:rsidR="00816B23">
        <w:rPr>
          <w:rFonts w:cs="Times New Roman"/>
          <w:szCs w:val="24"/>
        </w:rPr>
        <w:t>]</w:t>
      </w:r>
    </w:p>
    <w:p w14:paraId="331A596E" w14:textId="77777777" w:rsidR="00A870AB" w:rsidRPr="00A870AB" w:rsidRDefault="00A870AB" w:rsidP="00560441">
      <w:pPr>
        <w:spacing w:after="160"/>
        <w:ind w:left="0" w:firstLine="0"/>
        <w:jc w:val="left"/>
        <w:rPr>
          <w:rFonts w:cs="Times New Roman"/>
          <w:szCs w:val="24"/>
        </w:rPr>
      </w:pPr>
      <w:r w:rsidRPr="00A870AB">
        <w:rPr>
          <w:rFonts w:cs="Times New Roman"/>
          <w:szCs w:val="24"/>
        </w:rPr>
        <w:t>Unlike Rouse’s planned community of Columbia, Maryland-- the propriety community of Walt Disneyworld [WDW] is a quasi-governmental entity-- encompassing a large commercial real estate complex in a territory owned and operated by a private corporation--with little or any significant public-sector funding or control. With the incorporation of RCID—all interview data relating to confidential land assembly negotiations and/or holdout resolution—is proprietary and was therefore unavailable for analysis purposes. Nevertheless, it is still possible to examine key aspects of the overall land assembly process employed during the WDW project.</w:t>
      </w:r>
    </w:p>
    <w:p w14:paraId="14E5AC3A" w14:textId="4A050DB6" w:rsidR="00A870AB" w:rsidRPr="00A870AB" w:rsidRDefault="00A870AB" w:rsidP="00560441">
      <w:pPr>
        <w:spacing w:after="160"/>
        <w:ind w:left="0" w:firstLine="0"/>
        <w:jc w:val="left"/>
        <w:rPr>
          <w:rFonts w:cs="Times New Roman"/>
          <w:szCs w:val="24"/>
        </w:rPr>
      </w:pPr>
      <w:r w:rsidRPr="00A870AB">
        <w:rPr>
          <w:rFonts w:cs="Times New Roman"/>
          <w:szCs w:val="24"/>
        </w:rPr>
        <w:t xml:space="preserve">As verified by records provided by the Florida Secretary of State— six Disney-owned dummy corporations were operating during the initial WDW land acquisition--- and </w:t>
      </w:r>
      <w:r w:rsidRPr="00A870AB">
        <w:rPr>
          <w:rFonts w:cs="Times New Roman"/>
          <w:szCs w:val="24"/>
        </w:rPr>
        <w:lastRenderedPageBreak/>
        <w:t xml:space="preserve">were responsible for acquiring all the land needed for the Walt Disneyworld Resort, Orlando (c.1964-67). </w:t>
      </w:r>
      <w:r w:rsidRPr="00A870AB">
        <w:rPr>
          <w:rFonts w:cs="Times New Roman"/>
          <w:b/>
          <w:szCs w:val="24"/>
        </w:rPr>
        <w:t>Compass East Corporation</w:t>
      </w:r>
      <w:r w:rsidRPr="00A870AB">
        <w:rPr>
          <w:rFonts w:cs="Times New Roman"/>
          <w:szCs w:val="24"/>
        </w:rPr>
        <w:t xml:space="preserve"> was first incorporated in Delaware on December 7, 1964. Subsequently, </w:t>
      </w:r>
      <w:r w:rsidRPr="00A870AB">
        <w:rPr>
          <w:rFonts w:cs="Times New Roman"/>
          <w:b/>
          <w:szCs w:val="24"/>
        </w:rPr>
        <w:t>Latin-American Development and Management Corp, Ayefour Corp. (a pun on Interstate 4), Tomahawk Properties, Inc., Reedy Creek Ranch, Inc., and Bay Lake Properties, Inc,</w:t>
      </w:r>
      <w:r w:rsidRPr="00A870AB">
        <w:rPr>
          <w:rFonts w:cs="Times New Roman"/>
          <w:szCs w:val="24"/>
        </w:rPr>
        <w:t xml:space="preserve"> all Florida-based corporations, phase. On September 30, 1966, these were all merged into the </w:t>
      </w:r>
      <w:r w:rsidRPr="00A870AB">
        <w:rPr>
          <w:rFonts w:cs="Times New Roman"/>
          <w:b/>
          <w:szCs w:val="24"/>
        </w:rPr>
        <w:t>Compass East Corporation</w:t>
      </w:r>
      <w:r w:rsidRPr="00A870AB">
        <w:rPr>
          <w:rFonts w:cs="Times New Roman"/>
          <w:szCs w:val="24"/>
        </w:rPr>
        <w:t xml:space="preserve">. </w:t>
      </w:r>
      <w:r w:rsidRPr="00A870AB">
        <w:rPr>
          <w:rFonts w:cs="Times New Roman"/>
          <w:b/>
          <w:szCs w:val="24"/>
        </w:rPr>
        <w:t>The Reedy Creek Drainage District</w:t>
      </w:r>
      <w:r w:rsidRPr="00A870AB">
        <w:rPr>
          <w:rFonts w:cs="Times New Roman"/>
          <w:szCs w:val="24"/>
        </w:rPr>
        <w:t xml:space="preserve">-- later renamed the </w:t>
      </w:r>
      <w:r w:rsidRPr="00A870AB">
        <w:rPr>
          <w:rFonts w:cs="Times New Roman"/>
          <w:b/>
          <w:szCs w:val="24"/>
        </w:rPr>
        <w:t xml:space="preserve">Reedy Creek Improvement District [RCID]-- </w:t>
      </w:r>
      <w:r w:rsidRPr="00A870AB">
        <w:rPr>
          <w:rFonts w:cs="Times New Roman"/>
          <w:szCs w:val="24"/>
        </w:rPr>
        <w:t xml:space="preserve">was incorporated on May 13, 1966, to manage the land owned by the merged </w:t>
      </w:r>
      <w:r w:rsidRPr="00A870AB">
        <w:rPr>
          <w:rFonts w:cs="Times New Roman"/>
          <w:b/>
          <w:szCs w:val="24"/>
        </w:rPr>
        <w:t>Compass East Corporation</w:t>
      </w:r>
      <w:r w:rsidRPr="00A870AB">
        <w:rPr>
          <w:rFonts w:cs="Times New Roman"/>
          <w:szCs w:val="24"/>
        </w:rPr>
        <w:t xml:space="preserve">. On September 26, 1967, </w:t>
      </w:r>
      <w:r w:rsidRPr="00A870AB">
        <w:rPr>
          <w:rFonts w:cs="Times New Roman"/>
          <w:b/>
          <w:szCs w:val="24"/>
        </w:rPr>
        <w:t>Compass East Corporation</w:t>
      </w:r>
      <w:r w:rsidRPr="00A870AB">
        <w:rPr>
          <w:rFonts w:cs="Times New Roman"/>
          <w:szCs w:val="24"/>
        </w:rPr>
        <w:t xml:space="preserve"> was renamed to </w:t>
      </w:r>
      <w:r w:rsidRPr="00A870AB">
        <w:rPr>
          <w:rFonts w:cs="Times New Roman"/>
          <w:b/>
          <w:szCs w:val="24"/>
        </w:rPr>
        <w:t>Walt Disney World Company</w:t>
      </w:r>
      <w:r w:rsidRPr="00A870AB">
        <w:rPr>
          <w:rFonts w:cs="Times New Roman"/>
          <w:szCs w:val="24"/>
        </w:rPr>
        <w:t xml:space="preserve">. Coincidently, on October 21, 1965, a newspaper article by </w:t>
      </w:r>
      <w:bookmarkStart w:id="71" w:name="_Hlk131945894"/>
      <w:r w:rsidRPr="00A870AB">
        <w:rPr>
          <w:rFonts w:cs="Times New Roman"/>
          <w:szCs w:val="24"/>
        </w:rPr>
        <w:t xml:space="preserve">Emily Bavar appeared in the Orlando Sentinel-Sun, entitled: </w:t>
      </w:r>
      <w:r w:rsidR="00027293">
        <w:rPr>
          <w:rFonts w:cs="Times New Roman"/>
          <w:szCs w:val="24"/>
        </w:rPr>
        <w:t>“</w:t>
      </w:r>
      <w:r w:rsidRPr="00A870AB">
        <w:rPr>
          <w:rFonts w:cs="Times New Roman"/>
          <w:szCs w:val="24"/>
        </w:rPr>
        <w:t>Is Our "Mystery" Industry Disney?</w:t>
      </w:r>
      <w:r w:rsidR="00027293">
        <w:rPr>
          <w:rFonts w:cs="Times New Roman"/>
          <w:szCs w:val="24"/>
        </w:rPr>
        <w:t>”</w:t>
      </w:r>
      <w:r w:rsidRPr="00A870AB">
        <w:rPr>
          <w:rFonts w:cs="Times New Roman"/>
          <w:szCs w:val="24"/>
        </w:rPr>
        <w:t xml:space="preserve"> </w:t>
      </w:r>
      <w:bookmarkEnd w:id="71"/>
      <w:r w:rsidRPr="00A870AB">
        <w:rPr>
          <w:rFonts w:cs="Times New Roman"/>
          <w:szCs w:val="24"/>
        </w:rPr>
        <w:t xml:space="preserve">revealing that it was indeed Walt Disney who had been secretly buying thousands of acres near Orlando. Finally, on November 15, 1965, Walt Disney publicly announced his intention to build Walt Disneyworld, Orlando. </w:t>
      </w:r>
    </w:p>
    <w:p w14:paraId="4A0CE9B0" w14:textId="521C0948" w:rsidR="00A870AB" w:rsidRPr="00A870AB" w:rsidRDefault="00A870AB" w:rsidP="00560441">
      <w:pPr>
        <w:spacing w:after="160"/>
        <w:ind w:left="0" w:firstLine="0"/>
        <w:jc w:val="left"/>
        <w:rPr>
          <w:rFonts w:cs="Times New Roman"/>
          <w:szCs w:val="24"/>
        </w:rPr>
      </w:pPr>
      <w:r w:rsidRPr="00A870AB">
        <w:rPr>
          <w:rFonts w:cs="Times New Roman"/>
          <w:szCs w:val="24"/>
        </w:rPr>
        <w:t>Using the exact match terms of "Ayefour Corp", "Tomahawk Prop Inc", "Compass E Corp", "Bay Lk Prop Inc", "Latin Amer Dev Mgmt Corp", and "Reedy Creek Ranch Inc."—a query of both Orange and Osceola County databases produced a list of 64 transactions conducted during the initial WDW acquisition---citing (1) date of transaction, (2) grantor (landowner),</w:t>
      </w:r>
      <w:r w:rsidR="002B24F2">
        <w:rPr>
          <w:rFonts w:cs="Times New Roman"/>
          <w:szCs w:val="24"/>
        </w:rPr>
        <w:t xml:space="preserve"> </w:t>
      </w:r>
      <w:r w:rsidRPr="00A870AB">
        <w:rPr>
          <w:rFonts w:cs="Times New Roman"/>
          <w:szCs w:val="24"/>
        </w:rPr>
        <w:t xml:space="preserve">(3) grantee (respective dummy corporation), and (4) Parcel Section ID. [See Appendix Table </w:t>
      </w:r>
      <w:r w:rsidR="009C5A6A">
        <w:rPr>
          <w:rFonts w:cs="Times New Roman"/>
          <w:szCs w:val="24"/>
        </w:rPr>
        <w:t>B</w:t>
      </w:r>
      <w:r w:rsidRPr="00A870AB">
        <w:rPr>
          <w:rFonts w:cs="Times New Roman"/>
          <w:szCs w:val="24"/>
        </w:rPr>
        <w:t xml:space="preserve">.2] </w:t>
      </w:r>
    </w:p>
    <w:p w14:paraId="6C6DDCC0" w14:textId="77777777" w:rsidR="00A870AB" w:rsidRPr="00A870AB" w:rsidRDefault="00A870AB" w:rsidP="00560441">
      <w:pPr>
        <w:spacing w:after="160"/>
        <w:ind w:left="0" w:firstLine="0"/>
        <w:jc w:val="left"/>
        <w:rPr>
          <w:rFonts w:cs="Times New Roman"/>
          <w:szCs w:val="24"/>
        </w:rPr>
      </w:pPr>
      <w:r w:rsidRPr="00A870AB">
        <w:rPr>
          <w:rFonts w:cs="Times New Roman"/>
          <w:szCs w:val="24"/>
        </w:rPr>
        <w:lastRenderedPageBreak/>
        <w:t>The following graph shows the chronology of land transactions undertaken via Disney's network of six dummy corporations—including key dates-- during the initial WDW Orlando land assembly project. [Note: no</w:t>
      </w:r>
      <w:r w:rsidRPr="00A870AB">
        <w:rPr>
          <w:rFonts w:asciiTheme="minorHAnsi" w:hAnsiTheme="minorHAnsi" w:cstheme="minorBidi"/>
          <w:sz w:val="22"/>
        </w:rPr>
        <w:t xml:space="preserve"> </w:t>
      </w:r>
      <w:r w:rsidRPr="00A870AB">
        <w:rPr>
          <w:rFonts w:cs="Times New Roman"/>
          <w:szCs w:val="24"/>
        </w:rPr>
        <w:t>transactions records were found for Reedy Creek Ranch, Incorporated, or the Latin-American Development and Management Corporation in the county databases.]</w:t>
      </w:r>
      <w:r w:rsidRPr="00A870AB">
        <w:rPr>
          <w:rFonts w:cs="Times New Roman"/>
          <w:noProof/>
          <w:szCs w:val="24"/>
        </w:rPr>
        <w:drawing>
          <wp:inline distT="0" distB="0" distL="0" distR="0" wp14:anchorId="36AF608D" wp14:editId="3764238C">
            <wp:extent cx="5532699" cy="3100033"/>
            <wp:effectExtent l="0" t="0" r="0" b="5715"/>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27600" cy="3153207"/>
                    </a:xfrm>
                    <a:prstGeom prst="rect">
                      <a:avLst/>
                    </a:prstGeom>
                    <a:noFill/>
                  </pic:spPr>
                </pic:pic>
              </a:graphicData>
            </a:graphic>
          </wp:inline>
        </w:drawing>
      </w:r>
    </w:p>
    <w:p w14:paraId="4DBAAD75" w14:textId="1BC16235" w:rsidR="00A870AB" w:rsidRPr="00A870AB" w:rsidRDefault="00A870AB" w:rsidP="00560441">
      <w:pPr>
        <w:spacing w:after="200" w:line="240" w:lineRule="auto"/>
        <w:ind w:left="0"/>
        <w:jc w:val="center"/>
        <w:rPr>
          <w:iCs/>
          <w:szCs w:val="24"/>
        </w:rPr>
      </w:pPr>
      <w:bookmarkStart w:id="72" w:name="_Toc126654730"/>
      <w:r w:rsidRPr="00A870AB">
        <w:rPr>
          <w:iCs/>
          <w:szCs w:val="24"/>
        </w:rPr>
        <w:t xml:space="preserve">Figure </w:t>
      </w:r>
      <w:r w:rsidR="00285F4C">
        <w:rPr>
          <w:iCs/>
          <w:szCs w:val="24"/>
        </w:rPr>
        <w:t xml:space="preserve">3.14 </w:t>
      </w:r>
      <w:r w:rsidRPr="00A870AB">
        <w:rPr>
          <w:iCs/>
          <w:szCs w:val="24"/>
        </w:rPr>
        <w:t>Timeline of Dummy Corporation Land Purchases for WDW</w:t>
      </w:r>
      <w:bookmarkEnd w:id="72"/>
    </w:p>
    <w:p w14:paraId="0D9D3726" w14:textId="77777777" w:rsidR="00A870AB" w:rsidRPr="00A870AB" w:rsidRDefault="00A870AB" w:rsidP="00560441">
      <w:pPr>
        <w:spacing w:after="200" w:line="240" w:lineRule="auto"/>
        <w:ind w:left="0"/>
        <w:jc w:val="center"/>
        <w:rPr>
          <w:rFonts w:cs="Times New Roman"/>
          <w:iCs/>
          <w:szCs w:val="24"/>
        </w:rPr>
      </w:pPr>
    </w:p>
    <w:p w14:paraId="635977E2" w14:textId="77777777" w:rsidR="00A870AB" w:rsidRPr="00A870AB" w:rsidRDefault="00A870AB" w:rsidP="00560441">
      <w:pPr>
        <w:spacing w:after="160"/>
        <w:ind w:left="0" w:firstLine="0"/>
        <w:jc w:val="left"/>
        <w:rPr>
          <w:rFonts w:cs="Times New Roman"/>
          <w:szCs w:val="24"/>
        </w:rPr>
      </w:pPr>
      <w:r w:rsidRPr="00A870AB">
        <w:rPr>
          <w:rFonts w:cs="Times New Roman"/>
          <w:szCs w:val="24"/>
        </w:rPr>
        <w:t>Using the parcel data provided by both Orange and Osceola County websites, the following map shows the distribution pattern --- following standard Section/Range/Township notation--- of the 64 transactions conducted by 4 dummy corporations -- during the WDW acquisition [note: each grid represents a 1-square mile section—with each interior square representing a single land acquisition within each respective section].</w:t>
      </w:r>
    </w:p>
    <w:p w14:paraId="7A58F316" w14:textId="77777777" w:rsidR="00A870AB" w:rsidRPr="00A870AB" w:rsidRDefault="00A870AB" w:rsidP="00560441">
      <w:pPr>
        <w:spacing w:after="160"/>
        <w:ind w:left="0" w:firstLine="0"/>
        <w:jc w:val="center"/>
        <w:rPr>
          <w:rFonts w:cs="Times New Roman"/>
          <w:szCs w:val="24"/>
        </w:rPr>
      </w:pPr>
      <w:r w:rsidRPr="00A870AB">
        <w:rPr>
          <w:rFonts w:cs="Times New Roman"/>
          <w:noProof/>
          <w:szCs w:val="24"/>
        </w:rPr>
        <w:lastRenderedPageBreak/>
        <w:drawing>
          <wp:inline distT="0" distB="0" distL="0" distR="0" wp14:anchorId="0861A756" wp14:editId="347CB42C">
            <wp:extent cx="5230043" cy="4375230"/>
            <wp:effectExtent l="0" t="0" r="8890" b="6350"/>
            <wp:docPr id="13" name="Picture 13"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calendar&#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63947" cy="4487248"/>
                    </a:xfrm>
                    <a:prstGeom prst="rect">
                      <a:avLst/>
                    </a:prstGeom>
                    <a:noFill/>
                  </pic:spPr>
                </pic:pic>
              </a:graphicData>
            </a:graphic>
          </wp:inline>
        </w:drawing>
      </w:r>
    </w:p>
    <w:p w14:paraId="417298F7" w14:textId="78712E30" w:rsidR="00A870AB" w:rsidRPr="00A870AB" w:rsidRDefault="00A870AB" w:rsidP="00560441">
      <w:pPr>
        <w:spacing w:after="200" w:line="240" w:lineRule="auto"/>
        <w:ind w:left="0"/>
        <w:jc w:val="center"/>
        <w:rPr>
          <w:rFonts w:cs="Times New Roman"/>
          <w:iCs/>
          <w:szCs w:val="24"/>
        </w:rPr>
      </w:pPr>
      <w:bookmarkStart w:id="73" w:name="_Toc126654731"/>
      <w:r w:rsidRPr="00A870AB">
        <w:rPr>
          <w:iCs/>
          <w:szCs w:val="24"/>
        </w:rPr>
        <w:t xml:space="preserve">Figure </w:t>
      </w:r>
      <w:r w:rsidR="00285F4C">
        <w:rPr>
          <w:iCs/>
          <w:szCs w:val="24"/>
        </w:rPr>
        <w:t xml:space="preserve">3.15 </w:t>
      </w:r>
      <w:r w:rsidRPr="00A870AB">
        <w:rPr>
          <w:iCs/>
          <w:szCs w:val="24"/>
        </w:rPr>
        <w:t>Section-Level Map of Initial WDW Land Acquisitions</w:t>
      </w:r>
      <w:bookmarkEnd w:id="73"/>
    </w:p>
    <w:p w14:paraId="64630CE0" w14:textId="77777777" w:rsidR="00A870AB" w:rsidRPr="00A870AB" w:rsidRDefault="00A870AB" w:rsidP="00560441">
      <w:pPr>
        <w:spacing w:after="160"/>
        <w:ind w:left="0" w:firstLine="0"/>
        <w:jc w:val="left"/>
        <w:rPr>
          <w:rFonts w:cs="Times New Roman"/>
          <w:szCs w:val="24"/>
        </w:rPr>
      </w:pPr>
    </w:p>
    <w:p w14:paraId="46F1E2B6" w14:textId="77777777" w:rsidR="00A870AB" w:rsidRPr="00A870AB" w:rsidRDefault="00A870AB" w:rsidP="00560441">
      <w:pPr>
        <w:spacing w:after="160"/>
        <w:ind w:left="0" w:firstLine="0"/>
        <w:jc w:val="left"/>
        <w:rPr>
          <w:rFonts w:cs="Times New Roman"/>
          <w:szCs w:val="24"/>
        </w:rPr>
      </w:pPr>
      <w:r w:rsidRPr="00A870AB">
        <w:rPr>
          <w:rFonts w:eastAsia="Times New Roman" w:cs="Times New Roman"/>
          <w:color w:val="282828"/>
          <w:w w:val="105"/>
          <w:sz w:val="23"/>
          <w:szCs w:val="23"/>
        </w:rPr>
        <w:t xml:space="preserve">The following grid overlay pattern uses the base map </w:t>
      </w:r>
      <w:r w:rsidRPr="00A870AB">
        <w:rPr>
          <w:rFonts w:eastAsia="Times New Roman" w:cs="Times New Roman"/>
          <w:color w:val="363838"/>
          <w:w w:val="105"/>
          <w:sz w:val="23"/>
          <w:szCs w:val="23"/>
        </w:rPr>
        <w:t xml:space="preserve">was </w:t>
      </w:r>
      <w:r w:rsidRPr="00A870AB">
        <w:rPr>
          <w:rFonts w:eastAsia="Times New Roman" w:cs="Times New Roman"/>
          <w:color w:val="282828"/>
          <w:w w:val="105"/>
          <w:sz w:val="23"/>
          <w:szCs w:val="23"/>
        </w:rPr>
        <w:t xml:space="preserve">downloaded from the RCID </w:t>
      </w:r>
      <w:r w:rsidRPr="00A870AB">
        <w:rPr>
          <w:rFonts w:eastAsia="Times New Roman" w:cs="Times New Roman"/>
          <w:color w:val="363838"/>
          <w:w w:val="105"/>
          <w:sz w:val="23"/>
          <w:szCs w:val="23"/>
        </w:rPr>
        <w:t>website---</w:t>
      </w:r>
      <w:r w:rsidRPr="00A870AB">
        <w:rPr>
          <w:rFonts w:eastAsia="Times New Roman" w:cs="Times New Roman"/>
          <w:color w:val="282828"/>
          <w:w w:val="105"/>
          <w:sz w:val="23"/>
          <w:szCs w:val="23"/>
        </w:rPr>
        <w:t xml:space="preserve">showing all properties </w:t>
      </w:r>
      <w:r w:rsidRPr="00A870AB">
        <w:rPr>
          <w:rFonts w:eastAsia="Times New Roman" w:cs="Times New Roman"/>
          <w:color w:val="363838"/>
          <w:w w:val="105"/>
          <w:sz w:val="23"/>
          <w:szCs w:val="23"/>
        </w:rPr>
        <w:t xml:space="preserve">currently </w:t>
      </w:r>
      <w:r w:rsidRPr="00A870AB">
        <w:rPr>
          <w:rFonts w:eastAsia="Times New Roman" w:cs="Times New Roman"/>
          <w:color w:val="282828"/>
          <w:w w:val="105"/>
          <w:sz w:val="23"/>
          <w:szCs w:val="23"/>
        </w:rPr>
        <w:t xml:space="preserve">owned by WDW in Orange and Osceola counties-- </w:t>
      </w:r>
      <w:r w:rsidRPr="00A870AB">
        <w:rPr>
          <w:rFonts w:eastAsia="Times New Roman" w:cs="Times New Roman"/>
          <w:color w:val="363838"/>
          <w:w w:val="105"/>
          <w:sz w:val="23"/>
          <w:szCs w:val="23"/>
        </w:rPr>
        <w:t xml:space="preserve">as well </w:t>
      </w:r>
      <w:r w:rsidRPr="00A870AB">
        <w:rPr>
          <w:rFonts w:eastAsia="Times New Roman" w:cs="Times New Roman"/>
          <w:color w:val="282828"/>
          <w:w w:val="105"/>
          <w:sz w:val="23"/>
          <w:szCs w:val="23"/>
        </w:rPr>
        <w:t xml:space="preserve">as unincorporated </w:t>
      </w:r>
      <w:r w:rsidRPr="00A870AB">
        <w:rPr>
          <w:rFonts w:eastAsia="Times New Roman" w:cs="Times New Roman"/>
          <w:color w:val="363838"/>
          <w:w w:val="105"/>
          <w:sz w:val="23"/>
          <w:szCs w:val="23"/>
        </w:rPr>
        <w:t>and privately</w:t>
      </w:r>
      <w:r w:rsidRPr="00A870AB">
        <w:rPr>
          <w:rFonts w:eastAsia="Times New Roman" w:cs="Times New Roman"/>
          <w:color w:val="111313"/>
          <w:w w:val="105"/>
          <w:sz w:val="23"/>
          <w:szCs w:val="23"/>
        </w:rPr>
        <w:t>-o</w:t>
      </w:r>
      <w:r w:rsidRPr="00A870AB">
        <w:rPr>
          <w:rFonts w:eastAsia="Times New Roman" w:cs="Times New Roman"/>
          <w:color w:val="363838"/>
          <w:w w:val="105"/>
          <w:sz w:val="23"/>
          <w:szCs w:val="23"/>
        </w:rPr>
        <w:t xml:space="preserve">wned </w:t>
      </w:r>
      <w:r w:rsidRPr="00A870AB">
        <w:rPr>
          <w:rFonts w:eastAsia="Times New Roman" w:cs="Times New Roman"/>
          <w:color w:val="282828"/>
          <w:w w:val="105"/>
          <w:sz w:val="23"/>
          <w:szCs w:val="23"/>
        </w:rPr>
        <w:t xml:space="preserve">areas </w:t>
      </w:r>
      <w:r w:rsidRPr="00A870AB">
        <w:rPr>
          <w:rFonts w:eastAsia="Times New Roman" w:cs="Times New Roman"/>
          <w:color w:val="363838"/>
          <w:w w:val="105"/>
          <w:sz w:val="23"/>
          <w:szCs w:val="23"/>
        </w:rPr>
        <w:t xml:space="preserve">yet </w:t>
      </w:r>
      <w:r w:rsidRPr="00A870AB">
        <w:rPr>
          <w:rFonts w:eastAsia="Times New Roman" w:cs="Times New Roman"/>
          <w:color w:val="282828"/>
          <w:w w:val="105"/>
          <w:sz w:val="23"/>
          <w:szCs w:val="23"/>
        </w:rPr>
        <w:t xml:space="preserve">to be absorbed into the territory (c. 2005).  It then overlays the section-level parcel-acquisitions, and finally, the distribution of parcel-acquisitions by respective WDW purchasing corporations. </w:t>
      </w:r>
      <w:r w:rsidRPr="00A870AB">
        <w:rPr>
          <w:rFonts w:cs="Times New Roman"/>
          <w:szCs w:val="24"/>
        </w:rPr>
        <w:t xml:space="preserve">By overlaying all three of these maps--- it demonstrates graphically how the acquisition of each of these parcel-sections were being targeted chronologically--- </w:t>
      </w:r>
      <w:r w:rsidRPr="00A870AB">
        <w:rPr>
          <w:rFonts w:cs="Times New Roman"/>
          <w:szCs w:val="24"/>
        </w:rPr>
        <w:lastRenderedPageBreak/>
        <w:t>establishing viable parcel nuclei--- as the key venues of the WDW Orlando destination resort.</w:t>
      </w:r>
    </w:p>
    <w:p w14:paraId="48934B31" w14:textId="77777777" w:rsidR="00A870AB" w:rsidRPr="00A870AB" w:rsidRDefault="00A870AB" w:rsidP="00560441">
      <w:pPr>
        <w:spacing w:after="160"/>
        <w:ind w:left="0" w:firstLine="0"/>
        <w:jc w:val="center"/>
        <w:rPr>
          <w:rFonts w:cs="Times New Roman"/>
          <w:szCs w:val="24"/>
        </w:rPr>
      </w:pPr>
      <w:r w:rsidRPr="00A870AB">
        <w:rPr>
          <w:rFonts w:cs="Times New Roman"/>
          <w:noProof/>
          <w:szCs w:val="24"/>
        </w:rPr>
        <w:drawing>
          <wp:inline distT="0" distB="0" distL="0" distR="0" wp14:anchorId="07417AEA" wp14:editId="2A3871A5">
            <wp:extent cx="3727048" cy="5590840"/>
            <wp:effectExtent l="0" t="0" r="6985" b="0"/>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37605" cy="5606676"/>
                    </a:xfrm>
                    <a:prstGeom prst="rect">
                      <a:avLst/>
                    </a:prstGeom>
                    <a:noFill/>
                  </pic:spPr>
                </pic:pic>
              </a:graphicData>
            </a:graphic>
          </wp:inline>
        </w:drawing>
      </w:r>
    </w:p>
    <w:p w14:paraId="55B85FEE" w14:textId="7709C4A1" w:rsidR="00A870AB" w:rsidRPr="00A870AB" w:rsidRDefault="00A870AB" w:rsidP="00560441">
      <w:pPr>
        <w:spacing w:after="200" w:line="240" w:lineRule="auto"/>
        <w:ind w:left="0"/>
        <w:jc w:val="center"/>
        <w:rPr>
          <w:rFonts w:cs="Times New Roman"/>
          <w:iCs/>
          <w:szCs w:val="24"/>
        </w:rPr>
      </w:pPr>
      <w:bookmarkStart w:id="74" w:name="_Toc126654732"/>
      <w:r w:rsidRPr="00A870AB">
        <w:rPr>
          <w:iCs/>
          <w:szCs w:val="24"/>
        </w:rPr>
        <w:t xml:space="preserve">Figure </w:t>
      </w:r>
      <w:r w:rsidR="00285F4C">
        <w:rPr>
          <w:iCs/>
          <w:szCs w:val="24"/>
        </w:rPr>
        <w:t>3</w:t>
      </w:r>
      <w:r w:rsidRPr="00A870AB">
        <w:rPr>
          <w:iCs/>
          <w:szCs w:val="24"/>
        </w:rPr>
        <w:t xml:space="preserve">. </w:t>
      </w:r>
      <w:r w:rsidRPr="00A870AB">
        <w:rPr>
          <w:iCs/>
          <w:szCs w:val="24"/>
        </w:rPr>
        <w:fldChar w:fldCharType="begin"/>
      </w:r>
      <w:r w:rsidRPr="00A870AB">
        <w:rPr>
          <w:iCs/>
          <w:szCs w:val="24"/>
        </w:rPr>
        <w:instrText xml:space="preserve"> SEQ Figure_4. \* ARABIC </w:instrText>
      </w:r>
      <w:r w:rsidRPr="00A870AB">
        <w:rPr>
          <w:iCs/>
          <w:szCs w:val="24"/>
        </w:rPr>
        <w:fldChar w:fldCharType="separate"/>
      </w:r>
      <w:r w:rsidR="00E153CE">
        <w:rPr>
          <w:iCs/>
          <w:noProof/>
          <w:szCs w:val="24"/>
        </w:rPr>
        <w:t>1</w:t>
      </w:r>
      <w:r w:rsidRPr="00A870AB">
        <w:rPr>
          <w:iCs/>
          <w:noProof/>
          <w:szCs w:val="24"/>
        </w:rPr>
        <w:fldChar w:fldCharType="end"/>
      </w:r>
      <w:r w:rsidRPr="00A870AB">
        <w:rPr>
          <w:iCs/>
          <w:szCs w:val="24"/>
        </w:rPr>
        <w:t xml:space="preserve"> Grid Overlay Map of Chronological Parcel Nuclei Assemblage</w:t>
      </w:r>
      <w:bookmarkEnd w:id="74"/>
    </w:p>
    <w:p w14:paraId="1D451218" w14:textId="77777777" w:rsidR="00A870AB" w:rsidRPr="00A870AB" w:rsidRDefault="00A870AB" w:rsidP="008A76B5">
      <w:pPr>
        <w:ind w:left="0" w:firstLine="0"/>
      </w:pPr>
      <w:bookmarkStart w:id="75" w:name="_Toc21516014"/>
      <w:bookmarkStart w:id="76" w:name="_Toc126651380"/>
      <w:r w:rsidRPr="00A870AB">
        <w:t>Concluding Remarks:</w:t>
      </w:r>
      <w:bookmarkEnd w:id="75"/>
      <w:bookmarkEnd w:id="76"/>
      <w:r w:rsidRPr="00A870AB">
        <w:t xml:space="preserve"> </w:t>
      </w:r>
    </w:p>
    <w:p w14:paraId="7DD3D405" w14:textId="77777777" w:rsidR="00A870AB" w:rsidRPr="00A870AB" w:rsidRDefault="00A870AB" w:rsidP="00560441">
      <w:pPr>
        <w:spacing w:after="160"/>
        <w:ind w:left="0" w:firstLine="0"/>
        <w:jc w:val="left"/>
        <w:rPr>
          <w:rFonts w:cs="Times New Roman"/>
          <w:szCs w:val="24"/>
        </w:rPr>
      </w:pPr>
      <w:r w:rsidRPr="00A870AB">
        <w:rPr>
          <w:rFonts w:cs="Times New Roman"/>
          <w:szCs w:val="24"/>
        </w:rPr>
        <w:t xml:space="preserve">To acquire all the land needed for the WDW Orlando project, Walt Disney secretly coordinated a network of dummy corporations to negotiate transactions for parcels in </w:t>
      </w:r>
      <w:r w:rsidRPr="00A870AB">
        <w:rPr>
          <w:rFonts w:cs="Times New Roman"/>
          <w:szCs w:val="24"/>
        </w:rPr>
        <w:lastRenderedPageBreak/>
        <w:t xml:space="preserve">specifically targeted areas, and to assemble a viable, contiguous assemblage large enough for use in a large-scale proprietary community. As a strictly private land assembly project, WDW was unique in several respects. While Disney did not have the ability to use eminent domain during the initial acquisition phase, he nevertheless sought (and received) permission to incorporate as a Special District, granting him the ability to condemn land for further development. Given the fact that any original interview data describing the actual negotiations were not available, is impossible to know the extent to which Disney's "middlemen" participated in the negotiation process. Nor can it be discerned how effective a role pure entrepreneurship played during these negotiations. Moreover, without their narrative accounts describing these real-world transactions, it is impossible to determine whether these negotiators encountered significant holdout problems, or to learn about the innovative negotiation mechanisms they used to resolve them. Most importantly, without these original interviews, it is not known whether the WDW Orlando project was ever in danger of being abandoned if the transaction of certain parcels had not been successful. </w:t>
      </w:r>
    </w:p>
    <w:p w14:paraId="4279B196" w14:textId="77777777" w:rsidR="00A870AB" w:rsidRPr="00A870AB" w:rsidRDefault="00A870AB" w:rsidP="00560441">
      <w:pPr>
        <w:spacing w:after="160"/>
        <w:ind w:left="0" w:firstLine="0"/>
        <w:jc w:val="left"/>
        <w:rPr>
          <w:rFonts w:cs="Times New Roman"/>
          <w:szCs w:val="24"/>
        </w:rPr>
      </w:pPr>
      <w:r w:rsidRPr="00A870AB">
        <w:rPr>
          <w:rFonts w:cs="Times New Roman"/>
          <w:szCs w:val="24"/>
        </w:rPr>
        <w:t xml:space="preserve">Nevertheless, given the hybrid nature of WDW's corporate structure, vis-a-vis the RCID- and due to the proprietary status of WDW’s negotiation practices-- it follows that the relative sparseness of the information available for analyzing WDW's secret land assembly negotiation mechanisms are nevertheless a testament to their effectiveness. Likewise, using only the archaeological evidence publicly available, it is still possible to observe the coordinated effort by six dummy corporations to assemble a large, contiguous land parcel--- in an area spanning approximately 12 square miles— </w:t>
      </w:r>
      <w:r w:rsidRPr="00A870AB">
        <w:rPr>
          <w:rFonts w:cs="Times New Roman"/>
          <w:szCs w:val="24"/>
        </w:rPr>
        <w:lastRenderedPageBreak/>
        <w:t xml:space="preserve">specifically targeting key venues of the future WDW Orlando resort. In that respect, these data are </w:t>
      </w:r>
      <w:r w:rsidRPr="00A870AB">
        <w:rPr>
          <w:rFonts w:cs="Times New Roman"/>
          <w:i/>
          <w:szCs w:val="24"/>
        </w:rPr>
        <w:t>pauca sed matura</w:t>
      </w:r>
      <w:r w:rsidRPr="00A870AB">
        <w:rPr>
          <w:rFonts w:cs="Times New Roman"/>
          <w:szCs w:val="24"/>
        </w:rPr>
        <w:t xml:space="preserve">-- “sparse but rich”. </w:t>
      </w:r>
    </w:p>
    <w:p w14:paraId="519EA560" w14:textId="7FD68A6E" w:rsidR="00A870AB" w:rsidRPr="00A870AB" w:rsidRDefault="00A870AB" w:rsidP="00EE6A7A">
      <w:pPr>
        <w:pStyle w:val="Heading2"/>
      </w:pPr>
      <w:bookmarkStart w:id="77" w:name="_Toc126651381"/>
      <w:bookmarkStart w:id="78" w:name="_Toc134346741"/>
      <w:bookmarkStart w:id="79" w:name="_Toc21516015"/>
      <w:r w:rsidRPr="00EE6A7A">
        <w:t>Case Study #3: World Trade Center, N</w:t>
      </w:r>
      <w:r w:rsidR="00ED5076" w:rsidRPr="00EE6A7A">
        <w:t>YC</w:t>
      </w:r>
      <w:r w:rsidRPr="00EE6A7A">
        <w:t xml:space="preserve"> (1961-72)</w:t>
      </w:r>
      <w:bookmarkEnd w:id="77"/>
      <w:r w:rsidRPr="00A870AB">
        <w:t xml:space="preserve"> </w:t>
      </w:r>
      <w:r w:rsidR="00ED5076" w:rsidRPr="00A870AB">
        <w:t>Guy Tozzoli Project Manager</w:t>
      </w:r>
      <w:bookmarkEnd w:id="78"/>
    </w:p>
    <w:bookmarkEnd w:id="79"/>
    <w:p w14:paraId="52C24FB5" w14:textId="77777777" w:rsidR="00A870AB" w:rsidRPr="00A870AB" w:rsidRDefault="00A870AB" w:rsidP="00560441">
      <w:pPr>
        <w:spacing w:after="160" w:line="240" w:lineRule="auto"/>
        <w:ind w:left="0" w:firstLine="0"/>
        <w:jc w:val="left"/>
        <w:rPr>
          <w:rFonts w:cs="Times New Roman"/>
          <w:szCs w:val="24"/>
        </w:rPr>
      </w:pPr>
    </w:p>
    <w:p w14:paraId="0378B537" w14:textId="160B5C00" w:rsidR="00A870AB" w:rsidRPr="00A870AB" w:rsidRDefault="00A870AB" w:rsidP="00560441">
      <w:pPr>
        <w:spacing w:after="160"/>
        <w:ind w:left="0" w:firstLine="0"/>
        <w:jc w:val="left"/>
        <w:rPr>
          <w:rFonts w:cs="Times New Roman"/>
          <w:szCs w:val="24"/>
        </w:rPr>
      </w:pPr>
      <w:r w:rsidRPr="00A870AB">
        <w:rPr>
          <w:rFonts w:cs="Times New Roman"/>
          <w:szCs w:val="24"/>
        </w:rPr>
        <w:t xml:space="preserve">The first idea to build a “World Trade Center” in NYC was proposed by the New York State Legislature in 1943. Fifteen years later--at the height of the Urban Renewal era-- David Rockefeller proposed that Lower Manhattan be transformed into the epicenter of international finance as a “World Center of Trade” arguing that “obsolescence, deterioration, traffic congestion and slow economic strangulation had spread over such sections” -- urging that whole swaths of old markets, rotting piers, and aged buildings in Lower Manhattan be "knocked down and wiped away....”.  Finally, in late December 1961, the Port Authority of New York and New Jersey formally announced its plan to build the World Trade Center [WTC] on the west side of Lower Manhattan next to the Hudson River. Lauded as the “crown jewel” of Urban Renewal projects—the WTC would also be the first in the Urban Renewal era to be “stopped in its tracks” due to a successful holdout--- requiring the powerful New York Port Authority to abandon its use of eminent domain—and reach a reciprocal agreement with a coalition of local merchants, the City of New York, and the Public-at-Large—to fully resolve the </w:t>
      </w:r>
      <w:r w:rsidR="00997655">
        <w:rPr>
          <w:rFonts w:cs="Times New Roman"/>
          <w:szCs w:val="24"/>
        </w:rPr>
        <w:t xml:space="preserve">monopoly </w:t>
      </w:r>
      <w:r w:rsidRPr="00A870AB">
        <w:rPr>
          <w:rFonts w:cs="Times New Roman"/>
          <w:szCs w:val="24"/>
        </w:rPr>
        <w:t>holdout</w:t>
      </w:r>
      <w:r w:rsidR="004F1E66">
        <w:rPr>
          <w:rFonts w:cs="Times New Roman"/>
          <w:szCs w:val="24"/>
        </w:rPr>
        <w:t xml:space="preserve">, i.e., </w:t>
      </w:r>
      <w:r w:rsidR="004F1E66" w:rsidRPr="004F1E66">
        <w:rPr>
          <w:rFonts w:cs="Times New Roman"/>
          <w:i/>
          <w:iCs/>
          <w:szCs w:val="24"/>
        </w:rPr>
        <w:t xml:space="preserve">without </w:t>
      </w:r>
      <w:r w:rsidR="004F1E66">
        <w:rPr>
          <w:rFonts w:cs="Times New Roman"/>
          <w:szCs w:val="24"/>
        </w:rPr>
        <w:t>requiring eminent domain.</w:t>
      </w:r>
      <w:r w:rsidR="003A5F6D">
        <w:rPr>
          <w:rFonts w:cs="Times New Roman"/>
          <w:szCs w:val="24"/>
        </w:rPr>
        <w:t xml:space="preserve"> </w:t>
      </w:r>
      <w:r w:rsidR="0003088E">
        <w:rPr>
          <w:rFonts w:cs="Times New Roman"/>
          <w:szCs w:val="24"/>
        </w:rPr>
        <w:t>[</w:t>
      </w:r>
      <w:r w:rsidR="003A5F6D">
        <w:rPr>
          <w:rFonts w:cs="Times New Roman"/>
          <w:szCs w:val="24"/>
        </w:rPr>
        <w:t>Glanz and Lipton 200</w:t>
      </w:r>
      <w:r w:rsidR="00FF1D47">
        <w:rPr>
          <w:rFonts w:cs="Times New Roman"/>
          <w:szCs w:val="24"/>
        </w:rPr>
        <w:t>2, 2003</w:t>
      </w:r>
      <w:r w:rsidR="0027764B">
        <w:rPr>
          <w:rFonts w:cs="Times New Roman"/>
          <w:szCs w:val="24"/>
        </w:rPr>
        <w:t xml:space="preserve">; Burns </w:t>
      </w:r>
      <w:r w:rsidR="0044762B">
        <w:rPr>
          <w:rFonts w:cs="Times New Roman"/>
          <w:szCs w:val="24"/>
        </w:rPr>
        <w:t>2002</w:t>
      </w:r>
      <w:r w:rsidR="00FF1D47">
        <w:rPr>
          <w:rFonts w:cs="Times New Roman"/>
          <w:szCs w:val="24"/>
        </w:rPr>
        <w:t>]</w:t>
      </w:r>
    </w:p>
    <w:p w14:paraId="48CCA605" w14:textId="3D27D160" w:rsidR="00A870AB" w:rsidRPr="00A870AB" w:rsidRDefault="00A870AB" w:rsidP="00560441">
      <w:pPr>
        <w:spacing w:after="160"/>
        <w:ind w:left="0" w:firstLine="0"/>
        <w:jc w:val="left"/>
        <w:rPr>
          <w:rFonts w:cs="Times New Roman"/>
          <w:szCs w:val="24"/>
        </w:rPr>
      </w:pPr>
      <w:bookmarkStart w:id="80" w:name="_Hlk20474535"/>
      <w:r w:rsidRPr="00A870AB">
        <w:rPr>
          <w:rFonts w:cs="Times New Roman"/>
          <w:szCs w:val="24"/>
        </w:rPr>
        <w:t xml:space="preserve">Early in its conception, Rockefeller’s proposal </w:t>
      </w:r>
      <w:r w:rsidR="000033CB">
        <w:rPr>
          <w:rFonts w:cs="Times New Roman"/>
          <w:szCs w:val="24"/>
        </w:rPr>
        <w:t xml:space="preserve">for the WTC </w:t>
      </w:r>
      <w:r w:rsidRPr="00A870AB">
        <w:rPr>
          <w:rFonts w:cs="Times New Roman"/>
          <w:szCs w:val="24"/>
        </w:rPr>
        <w:t>required the intervention of the Port Authority</w:t>
      </w:r>
      <w:r w:rsidR="0003088E">
        <w:rPr>
          <w:rFonts w:cs="Times New Roman"/>
          <w:szCs w:val="24"/>
        </w:rPr>
        <w:t xml:space="preserve"> of New York and New Jersey [PANYNJ] </w:t>
      </w:r>
      <w:r w:rsidRPr="00A870AB">
        <w:rPr>
          <w:rFonts w:cs="Times New Roman"/>
          <w:szCs w:val="24"/>
        </w:rPr>
        <w:t xml:space="preserve">-- using its vast </w:t>
      </w:r>
      <w:r w:rsidRPr="00A870AB">
        <w:rPr>
          <w:rFonts w:cs="Times New Roman"/>
          <w:szCs w:val="24"/>
        </w:rPr>
        <w:lastRenderedPageBreak/>
        <w:t xml:space="preserve">construction experience—its ability to issue bonds and to secure financing--—and its statutory power of eminent domain—to underwrite the massive project. For its part, the Port Authority likewise envisioned the WTC to be a vertical "Port Without Water” – a bold vehicle for resurrecting the depressed area of Lower Manhattan–--"to attract trade with a resultant stimulus to the economic well-being of the Port of New York”. </w:t>
      </w:r>
    </w:p>
    <w:p w14:paraId="6E09D9A4" w14:textId="77777777" w:rsidR="00A870AB" w:rsidRPr="00A870AB" w:rsidRDefault="00A870AB" w:rsidP="00560441">
      <w:pPr>
        <w:spacing w:after="160"/>
        <w:ind w:left="0" w:firstLine="0"/>
        <w:jc w:val="left"/>
        <w:rPr>
          <w:rFonts w:cs="Times New Roman"/>
          <w:szCs w:val="24"/>
        </w:rPr>
      </w:pPr>
      <w:r w:rsidRPr="00A870AB">
        <w:rPr>
          <w:rFonts w:cs="Times New Roman"/>
          <w:szCs w:val="24"/>
        </w:rPr>
        <w:t>The decision to build the WTC on the west side of Lower Manhattan next to the Hudson River-- arbitrarily displacing hundreds of tenants-- came about through a purely political process. The bi-state Port Authority ultimately located the World Trade Center site on the 16-acre parcel of land –because it was uniquely situated above the Manhattan terminus of a deteriorating New Jersey commuter line--which the Port Authority then agreed to take over, renovate, and rename the PATH-- as part of the joint Port Authority Trans-Hudson/World Trade Center Bill-- approved in spring 1961 by then-governor of New York Nelson Rockefeller.</w:t>
      </w:r>
      <w:r w:rsidRPr="00A870AB">
        <w:rPr>
          <w:rFonts w:cs="Times New Roman"/>
          <w:noProof/>
          <w:szCs w:val="24"/>
        </w:rPr>
        <w:t xml:space="preserve"> </w:t>
      </w:r>
      <w:r w:rsidRPr="00A870AB">
        <w:rPr>
          <w:rFonts w:cs="Times New Roman"/>
          <w:noProof/>
          <w:szCs w:val="24"/>
        </w:rPr>
        <w:drawing>
          <wp:inline distT="0" distB="0" distL="0" distR="0" wp14:anchorId="23F39ECD" wp14:editId="014451B7">
            <wp:extent cx="5198330" cy="2233914"/>
            <wp:effectExtent l="0" t="0" r="2540" b="0"/>
            <wp:docPr id="9" name="Picture 9"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 map&#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39334" cy="2251535"/>
                    </a:xfrm>
                    <a:prstGeom prst="rect">
                      <a:avLst/>
                    </a:prstGeom>
                    <a:noFill/>
                  </pic:spPr>
                </pic:pic>
              </a:graphicData>
            </a:graphic>
          </wp:inline>
        </w:drawing>
      </w:r>
    </w:p>
    <w:p w14:paraId="0AEF61E4" w14:textId="756EDA89" w:rsidR="00A870AB" w:rsidRPr="00A870AB" w:rsidRDefault="00A870AB" w:rsidP="00560441">
      <w:pPr>
        <w:spacing w:after="200" w:line="240" w:lineRule="auto"/>
        <w:ind w:left="0"/>
        <w:jc w:val="center"/>
        <w:rPr>
          <w:rFonts w:cs="Times New Roman"/>
          <w:iCs/>
          <w:szCs w:val="24"/>
        </w:rPr>
      </w:pPr>
      <w:bookmarkStart w:id="81" w:name="_Toc126654733"/>
      <w:r w:rsidRPr="00A870AB">
        <w:rPr>
          <w:iCs/>
          <w:szCs w:val="24"/>
        </w:rPr>
        <w:t xml:space="preserve">Figure </w:t>
      </w:r>
      <w:r w:rsidR="00285F4C">
        <w:rPr>
          <w:iCs/>
          <w:szCs w:val="24"/>
        </w:rPr>
        <w:t>3</w:t>
      </w:r>
      <w:r w:rsidRPr="00A870AB">
        <w:rPr>
          <w:iCs/>
          <w:szCs w:val="24"/>
        </w:rPr>
        <w:t xml:space="preserve">. </w:t>
      </w:r>
      <w:r w:rsidRPr="00A870AB">
        <w:rPr>
          <w:iCs/>
          <w:szCs w:val="24"/>
        </w:rPr>
        <w:fldChar w:fldCharType="begin"/>
      </w:r>
      <w:r w:rsidRPr="00A870AB">
        <w:rPr>
          <w:iCs/>
          <w:szCs w:val="24"/>
        </w:rPr>
        <w:instrText xml:space="preserve"> SEQ Figure_4. \* ARABIC </w:instrText>
      </w:r>
      <w:r w:rsidRPr="00A870AB">
        <w:rPr>
          <w:iCs/>
          <w:szCs w:val="24"/>
        </w:rPr>
        <w:fldChar w:fldCharType="separate"/>
      </w:r>
      <w:r w:rsidR="00E153CE">
        <w:rPr>
          <w:iCs/>
          <w:noProof/>
          <w:szCs w:val="24"/>
        </w:rPr>
        <w:t>2</w:t>
      </w:r>
      <w:r w:rsidRPr="00A870AB">
        <w:rPr>
          <w:iCs/>
          <w:noProof/>
          <w:szCs w:val="24"/>
        </w:rPr>
        <w:fldChar w:fldCharType="end"/>
      </w:r>
      <w:r w:rsidRPr="00A870AB">
        <w:rPr>
          <w:iCs/>
          <w:szCs w:val="24"/>
        </w:rPr>
        <w:t xml:space="preserve"> Port Authority Trans-Hudson [PATH] Reference Map (c. 1991)</w:t>
      </w:r>
      <w:bookmarkEnd w:id="81"/>
    </w:p>
    <w:p w14:paraId="1C8B1E4E" w14:textId="77777777" w:rsidR="00A870AB" w:rsidRPr="00A870AB" w:rsidRDefault="00A870AB" w:rsidP="00560441">
      <w:pPr>
        <w:spacing w:after="160"/>
        <w:ind w:left="0" w:firstLine="0"/>
        <w:jc w:val="left"/>
        <w:rPr>
          <w:rFonts w:cs="Times New Roman"/>
          <w:szCs w:val="24"/>
        </w:rPr>
      </w:pPr>
    </w:p>
    <w:p w14:paraId="20164BD6" w14:textId="77777777" w:rsidR="00A870AB" w:rsidRPr="00A870AB" w:rsidRDefault="00A870AB" w:rsidP="00560441">
      <w:pPr>
        <w:spacing w:after="160"/>
        <w:ind w:left="0" w:firstLine="0"/>
        <w:jc w:val="left"/>
        <w:rPr>
          <w:rFonts w:cs="Times New Roman"/>
          <w:szCs w:val="24"/>
        </w:rPr>
      </w:pPr>
      <w:r w:rsidRPr="00A870AB">
        <w:rPr>
          <w:rFonts w:cs="Times New Roman"/>
          <w:szCs w:val="24"/>
        </w:rPr>
        <w:lastRenderedPageBreak/>
        <w:t>Upon finalizing the WTC project site-- the Port Authority quickly established a target assembly area--- comprising 2 “superblocks”</w:t>
      </w:r>
      <w:r w:rsidRPr="00A870AB">
        <w:rPr>
          <w:rFonts w:asciiTheme="minorHAnsi" w:hAnsiTheme="minorHAnsi" w:cstheme="minorBidi"/>
          <w:sz w:val="22"/>
        </w:rPr>
        <w:t xml:space="preserve"> </w:t>
      </w:r>
      <w:r w:rsidRPr="00A870AB">
        <w:rPr>
          <w:rFonts w:cs="Times New Roman"/>
          <w:szCs w:val="24"/>
        </w:rPr>
        <w:t>in the run-down, yet still vibrant business district known as “Radio Row”.</w:t>
      </w:r>
    </w:p>
    <w:p w14:paraId="12681EBF" w14:textId="77777777" w:rsidR="00A870AB" w:rsidRPr="00A870AB" w:rsidRDefault="00A870AB" w:rsidP="00560441">
      <w:pPr>
        <w:spacing w:after="160"/>
        <w:ind w:left="0" w:firstLine="0"/>
        <w:jc w:val="center"/>
        <w:rPr>
          <w:rFonts w:cs="Times New Roman"/>
          <w:szCs w:val="24"/>
        </w:rPr>
      </w:pPr>
      <w:r w:rsidRPr="00A870AB">
        <w:rPr>
          <w:noProof/>
        </w:rPr>
        <w:drawing>
          <wp:inline distT="0" distB="0" distL="0" distR="0" wp14:anchorId="65641653" wp14:editId="4BB95BEC">
            <wp:extent cx="3021496" cy="3911812"/>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 t="682" r="43407"/>
                    <a:stretch/>
                  </pic:blipFill>
                  <pic:spPr bwMode="auto">
                    <a:xfrm>
                      <a:off x="0" y="0"/>
                      <a:ext cx="3024624" cy="3915862"/>
                    </a:xfrm>
                    <a:prstGeom prst="rect">
                      <a:avLst/>
                    </a:prstGeom>
                    <a:noFill/>
                    <a:ln>
                      <a:noFill/>
                    </a:ln>
                    <a:extLst>
                      <a:ext uri="{53640926-AAD7-44D8-BBD7-CCE9431645EC}">
                        <a14:shadowObscured xmlns:a14="http://schemas.microsoft.com/office/drawing/2010/main"/>
                      </a:ext>
                    </a:extLst>
                  </pic:spPr>
                </pic:pic>
              </a:graphicData>
            </a:graphic>
          </wp:inline>
        </w:drawing>
      </w:r>
    </w:p>
    <w:p w14:paraId="3F703C3C" w14:textId="25CE145A" w:rsidR="00A870AB" w:rsidRPr="00A870AB" w:rsidRDefault="00A870AB" w:rsidP="00560441">
      <w:pPr>
        <w:spacing w:after="200" w:line="240" w:lineRule="auto"/>
        <w:ind w:left="0"/>
        <w:jc w:val="center"/>
        <w:rPr>
          <w:rFonts w:cs="Times New Roman"/>
          <w:iCs/>
          <w:szCs w:val="24"/>
        </w:rPr>
      </w:pPr>
      <w:bookmarkStart w:id="82" w:name="_Toc126654734"/>
      <w:r w:rsidRPr="00A870AB">
        <w:rPr>
          <w:iCs/>
          <w:szCs w:val="24"/>
        </w:rPr>
        <w:t xml:space="preserve">Figure </w:t>
      </w:r>
      <w:r w:rsidR="00285F4C">
        <w:rPr>
          <w:iCs/>
          <w:szCs w:val="24"/>
        </w:rPr>
        <w:t xml:space="preserve">3.18 </w:t>
      </w:r>
      <w:r w:rsidRPr="00A870AB">
        <w:rPr>
          <w:iCs/>
          <w:szCs w:val="24"/>
        </w:rPr>
        <w:t>Initial WTC Target Assessment Area (1962)</w:t>
      </w:r>
      <w:bookmarkEnd w:id="82"/>
    </w:p>
    <w:p w14:paraId="4FC3A223" w14:textId="77777777" w:rsidR="00A870AB" w:rsidRPr="00A870AB" w:rsidRDefault="00A870AB" w:rsidP="00560441">
      <w:pPr>
        <w:spacing w:after="160"/>
        <w:ind w:left="0" w:firstLine="0"/>
        <w:jc w:val="center"/>
        <w:rPr>
          <w:rFonts w:cs="Times New Roman"/>
          <w:szCs w:val="24"/>
        </w:rPr>
      </w:pPr>
    </w:p>
    <w:p w14:paraId="1F2FF87A" w14:textId="77777777" w:rsidR="00A870AB" w:rsidRPr="00A870AB" w:rsidRDefault="00A870AB" w:rsidP="00560441">
      <w:pPr>
        <w:spacing w:after="160"/>
        <w:ind w:left="0" w:firstLine="0"/>
        <w:jc w:val="left"/>
        <w:rPr>
          <w:rFonts w:cs="Times New Roman"/>
          <w:szCs w:val="24"/>
        </w:rPr>
      </w:pPr>
      <w:r w:rsidRPr="00A870AB">
        <w:rPr>
          <w:rFonts w:cs="Times New Roman"/>
          <w:szCs w:val="24"/>
        </w:rPr>
        <w:t xml:space="preserve">Prior to the December 1961 announcement, several sales had already occurred in the eventual target area-- including many in the period from 1959 to early 1962, which were not affected by the WTC announcement. Nevertheless, a group of Radio Row merchants filed a complaint against the project in the New York State courts in November 1962, asking for a temporary injunction to block the condemnations until the </w:t>
      </w:r>
      <w:r w:rsidRPr="00A870AB">
        <w:rPr>
          <w:rFonts w:cs="Times New Roman"/>
          <w:szCs w:val="24"/>
        </w:rPr>
        <w:lastRenderedPageBreak/>
        <w:t>court case had been decided—on grounds that the WTC project would wipe out their livelihoods and that "a private real estate deal" did not qualify as a Public Use under the Fifth Amendment. While the Port Authority had routinely confronted such protests in the past, not until the land assembly of the World Trade Center would a holdout be so effective in stopping an Urban Renewal project.</w:t>
      </w:r>
    </w:p>
    <w:p w14:paraId="0E5C190B" w14:textId="77777777" w:rsidR="00A870AB" w:rsidRPr="00A870AB" w:rsidRDefault="00A870AB" w:rsidP="00560441">
      <w:pPr>
        <w:spacing w:after="160"/>
        <w:ind w:left="0" w:firstLine="0"/>
        <w:jc w:val="left"/>
        <w:rPr>
          <w:rFonts w:cs="Times New Roman"/>
          <w:szCs w:val="24"/>
        </w:rPr>
      </w:pPr>
      <w:r w:rsidRPr="00A870AB">
        <w:rPr>
          <w:rFonts w:cs="Times New Roman"/>
          <w:szCs w:val="24"/>
        </w:rPr>
        <w:t>In 1962, The Court initially ruled that the World Trade Center did not constitute a valid public purpose, and that therefore the legislation authorizing the condemnations was unconstitutional. However, this decision was later reversed</w:t>
      </w:r>
      <w:bookmarkEnd w:id="80"/>
      <w:r w:rsidRPr="00A870AB">
        <w:rPr>
          <w:rFonts w:cs="Times New Roman"/>
          <w:szCs w:val="24"/>
        </w:rPr>
        <w:t>. Finally, in May 1965, the State Supreme Court granted the Port Authority the right to use eminent domain to acquire land for the World Trade Center.</w:t>
      </w:r>
      <w:r w:rsidRPr="00A870AB">
        <w:rPr>
          <w:rFonts w:asciiTheme="minorHAnsi" w:hAnsiTheme="minorHAnsi" w:cstheme="minorBidi"/>
          <w:sz w:val="22"/>
        </w:rPr>
        <w:t xml:space="preserve"> </w:t>
      </w:r>
      <w:r w:rsidRPr="00A870AB">
        <w:rPr>
          <w:rFonts w:cs="Times New Roman"/>
          <w:szCs w:val="24"/>
        </w:rPr>
        <w:t>Given this mandate, the Port Authority proceeded to condemn the land. In a fashion typical of a Robert Moses project, the Port Authority mailed a standard form-letter to each of the affected landowners, informing them that their property was needed for use in the World Trade Center, and that they would be compensated for relocation.</w:t>
      </w:r>
    </w:p>
    <w:p w14:paraId="7E3981BA" w14:textId="77777777" w:rsidR="00A870AB" w:rsidRPr="00A870AB" w:rsidRDefault="00A870AB" w:rsidP="00560441">
      <w:pPr>
        <w:spacing w:after="160"/>
        <w:ind w:left="0" w:firstLine="0"/>
        <w:jc w:val="center"/>
        <w:rPr>
          <w:rFonts w:cs="Times New Roman"/>
          <w:szCs w:val="24"/>
        </w:rPr>
      </w:pPr>
      <w:r w:rsidRPr="00A870AB">
        <w:rPr>
          <w:rFonts w:cs="Times New Roman"/>
          <w:noProof/>
          <w:szCs w:val="24"/>
        </w:rPr>
        <w:lastRenderedPageBreak/>
        <w:drawing>
          <wp:inline distT="0" distB="0" distL="0" distR="0" wp14:anchorId="21084A8C" wp14:editId="5850200C">
            <wp:extent cx="2930077" cy="3923818"/>
            <wp:effectExtent l="0" t="0" r="3810" b="635"/>
            <wp:docPr id="32" name="Picture 32" descr="A picture containing text, receipt, screenshot,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ext, receipt, screenshot, document&#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3018368" cy="4042053"/>
                    </a:xfrm>
                    <a:prstGeom prst="rect">
                      <a:avLst/>
                    </a:prstGeom>
                  </pic:spPr>
                </pic:pic>
              </a:graphicData>
            </a:graphic>
          </wp:inline>
        </w:drawing>
      </w:r>
    </w:p>
    <w:p w14:paraId="7F32A863" w14:textId="01E7FF7F" w:rsidR="00A870AB" w:rsidRPr="00A870AB" w:rsidRDefault="00A870AB" w:rsidP="00560441">
      <w:pPr>
        <w:spacing w:after="200" w:line="240" w:lineRule="auto"/>
        <w:ind w:left="0"/>
        <w:jc w:val="center"/>
        <w:rPr>
          <w:rFonts w:cs="Times New Roman"/>
          <w:iCs/>
          <w:szCs w:val="24"/>
        </w:rPr>
      </w:pPr>
      <w:bookmarkStart w:id="83" w:name="_Toc126654735"/>
      <w:r w:rsidRPr="00A870AB">
        <w:rPr>
          <w:iCs/>
          <w:szCs w:val="24"/>
        </w:rPr>
        <w:t xml:space="preserve">Figure </w:t>
      </w:r>
      <w:r w:rsidR="00285F4C">
        <w:rPr>
          <w:iCs/>
          <w:szCs w:val="24"/>
        </w:rPr>
        <w:t xml:space="preserve">3.19 </w:t>
      </w:r>
      <w:r w:rsidRPr="00A870AB">
        <w:rPr>
          <w:iCs/>
          <w:szCs w:val="24"/>
        </w:rPr>
        <w:t>NYPA Standard Eviction Form Letter</w:t>
      </w:r>
      <w:bookmarkEnd w:id="83"/>
    </w:p>
    <w:p w14:paraId="5572ECDA" w14:textId="7163DF0A" w:rsidR="00A870AB" w:rsidRPr="00A870AB" w:rsidRDefault="00A870AB" w:rsidP="00560441">
      <w:pPr>
        <w:spacing w:after="160"/>
        <w:ind w:left="0" w:firstLine="0"/>
        <w:jc w:val="left"/>
        <w:rPr>
          <w:rFonts w:cs="Times New Roman"/>
          <w:szCs w:val="24"/>
        </w:rPr>
      </w:pPr>
      <w:r w:rsidRPr="00A870AB">
        <w:rPr>
          <w:rFonts w:cs="Times New Roman"/>
          <w:szCs w:val="24"/>
        </w:rPr>
        <w:t xml:space="preserve">According to guidelines set by the NY Supreme Court, the claimants' properties were to be evaluated based on their worth at the time of the taking, and to the extent that relevant and pertinent evidence supported the claimant's contention that these appraised values were not representative of fair market value, the court would consider such evidence in making its determination of fair market value and in fixing units of land value at the title vesting date. The final settlement prices set for each damage parcel, including the price of $1 paid for each of the NYC street beds in the target site. Finally, upon determining the fair market value for each </w:t>
      </w:r>
      <w:r w:rsidR="00712DBF" w:rsidRPr="00A870AB">
        <w:rPr>
          <w:rFonts w:cs="Times New Roman"/>
          <w:szCs w:val="24"/>
        </w:rPr>
        <w:t>damaged</w:t>
      </w:r>
      <w:r w:rsidRPr="00A870AB">
        <w:rPr>
          <w:rFonts w:cs="Times New Roman"/>
          <w:szCs w:val="24"/>
        </w:rPr>
        <w:t xml:space="preserve"> parcel, the Court issued each claimant an eviction notice. The following is a facsimile of the notice received by the claimant of Damage Parcel #117</w:t>
      </w:r>
    </w:p>
    <w:p w14:paraId="34F55005" w14:textId="77777777" w:rsidR="00A870AB" w:rsidRPr="00A870AB" w:rsidRDefault="00A870AB" w:rsidP="00560441">
      <w:pPr>
        <w:spacing w:after="160"/>
        <w:ind w:left="0" w:firstLine="0"/>
        <w:jc w:val="center"/>
        <w:rPr>
          <w:rFonts w:cs="Times New Roman"/>
          <w:szCs w:val="24"/>
        </w:rPr>
      </w:pPr>
      <w:r w:rsidRPr="00A870AB">
        <w:rPr>
          <w:rFonts w:cs="Times New Roman"/>
          <w:noProof/>
          <w:szCs w:val="24"/>
        </w:rPr>
        <w:lastRenderedPageBreak/>
        <w:drawing>
          <wp:inline distT="0" distB="0" distL="0" distR="0" wp14:anchorId="3CAF697F" wp14:editId="52832C38">
            <wp:extent cx="3136739" cy="4012109"/>
            <wp:effectExtent l="0" t="0" r="6985" b="7620"/>
            <wp:docPr id="33" name="Picture 3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ext, letter&#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3136739" cy="4012109"/>
                    </a:xfrm>
                    <a:prstGeom prst="rect">
                      <a:avLst/>
                    </a:prstGeom>
                  </pic:spPr>
                </pic:pic>
              </a:graphicData>
            </a:graphic>
          </wp:inline>
        </w:drawing>
      </w:r>
    </w:p>
    <w:p w14:paraId="420BAE14" w14:textId="2C03EAA2" w:rsidR="00A870AB" w:rsidRPr="00A870AB" w:rsidRDefault="00A870AB" w:rsidP="00560441">
      <w:pPr>
        <w:spacing w:after="200" w:line="240" w:lineRule="auto"/>
        <w:ind w:left="0"/>
        <w:jc w:val="center"/>
        <w:rPr>
          <w:rFonts w:cs="Times New Roman"/>
          <w:iCs/>
          <w:szCs w:val="24"/>
        </w:rPr>
      </w:pPr>
      <w:bookmarkStart w:id="84" w:name="_Toc126654736"/>
      <w:r w:rsidRPr="00A870AB">
        <w:rPr>
          <w:iCs/>
          <w:szCs w:val="24"/>
        </w:rPr>
        <w:t xml:space="preserve">Figure </w:t>
      </w:r>
      <w:r w:rsidR="00285F4C">
        <w:rPr>
          <w:iCs/>
          <w:szCs w:val="24"/>
        </w:rPr>
        <w:t xml:space="preserve">3.20 Standard </w:t>
      </w:r>
      <w:r w:rsidRPr="00A870AB">
        <w:rPr>
          <w:iCs/>
          <w:szCs w:val="24"/>
        </w:rPr>
        <w:t>Claimant Notification Letter --Parcel #117</w:t>
      </w:r>
      <w:bookmarkEnd w:id="84"/>
    </w:p>
    <w:p w14:paraId="5521FC12" w14:textId="77777777" w:rsidR="00A870AB" w:rsidRPr="00A870AB" w:rsidRDefault="00A870AB" w:rsidP="00560441">
      <w:pPr>
        <w:spacing w:after="160"/>
        <w:ind w:left="0" w:firstLine="0"/>
        <w:jc w:val="left"/>
        <w:rPr>
          <w:rFonts w:cs="Times New Roman"/>
          <w:szCs w:val="24"/>
        </w:rPr>
      </w:pPr>
      <w:r w:rsidRPr="00A870AB">
        <w:rPr>
          <w:rFonts w:cs="Times New Roman"/>
          <w:szCs w:val="24"/>
        </w:rPr>
        <w:t xml:space="preserve">As WTC historian James Glanz observed-- a new era of civic protest had dawned in New York City in the early 60's -- inspired by the celebrated urban activist Jane Jacobs--who had recently published “Death and Life of Great American Cities” -- and who spearheaded the civic movement to halt construction on the proposed Lower Manhattan Expressway--effectively ending the 35-year career of Robert Moses. By speaking publicly against the trade center, Jacobs motivated the group of local merchants to oppose the controversial project. In fact, their "David-and-Goliath" struggle would soon become a catalyst, drawing the city's political leaders to join in an unprecedented holdout, "freezing the project in its tracks". </w:t>
      </w:r>
    </w:p>
    <w:p w14:paraId="13D03155" w14:textId="77777777" w:rsidR="00A870AB" w:rsidRPr="00A870AB" w:rsidRDefault="00A870AB" w:rsidP="00560441">
      <w:pPr>
        <w:spacing w:after="160"/>
        <w:ind w:left="0" w:firstLine="0"/>
        <w:jc w:val="left"/>
        <w:rPr>
          <w:rFonts w:cs="Times New Roman"/>
          <w:szCs w:val="24"/>
        </w:rPr>
      </w:pPr>
      <w:r w:rsidRPr="00A870AB">
        <w:rPr>
          <w:rFonts w:cs="Times New Roman"/>
          <w:szCs w:val="24"/>
        </w:rPr>
        <w:lastRenderedPageBreak/>
        <w:t>Described as a "multidimensional exercise in hubris", the World Trade Center project was to be the last and most controversial project undertaken in the Urban Renewal period. According to Glanz, "this was the purest possible vision of the old ram-it-through New York, the pre-Jane Jacobs New York in which the power of eminent domain trumped all, once a great project got moving”. The so-called "power broker" mentality of Robert Moses ultimately triumphed in May 1965—when the State Supreme Court granted the Port Authority the right to use eminent domain to acquire land for the World Trade Center. (Ibid Glanz p.86)</w:t>
      </w:r>
    </w:p>
    <w:p w14:paraId="350147D8" w14:textId="77777777" w:rsidR="00A870AB" w:rsidRPr="00A870AB" w:rsidRDefault="00A870AB" w:rsidP="00560441">
      <w:pPr>
        <w:spacing w:after="160"/>
        <w:ind w:left="0" w:firstLine="0"/>
        <w:jc w:val="left"/>
        <w:rPr>
          <w:rFonts w:cs="Times New Roman"/>
          <w:szCs w:val="24"/>
        </w:rPr>
      </w:pPr>
      <w:r w:rsidRPr="00A870AB">
        <w:rPr>
          <w:rFonts w:cs="Times New Roman"/>
          <w:szCs w:val="24"/>
        </w:rPr>
        <w:t xml:space="preserve">Likewise, after campaigning to "go after unelected "power brokers" like Robert Moses", newly elected Mayor John V. Lindsey sought to reevaluate every aspect of the Port Authority's tax-exempt relationship with the city. He enlisted other opponents of the Trade Center, including powerful real estate interests, to join with the dwindling coalition of Radio Row merchants and implement a cohesive strategy to "stop the World Trade Center in its tracks". Lindsey's part in the holdout was aimed at challenging the Port Authority's tax-tempt status; they would not be granted permits to do any work on city-owned lands, including the WTC site. </w:t>
      </w:r>
    </w:p>
    <w:p w14:paraId="0D2E0BA1" w14:textId="77777777" w:rsidR="00A870AB" w:rsidRPr="00A870AB" w:rsidRDefault="00A870AB" w:rsidP="00560441">
      <w:pPr>
        <w:spacing w:after="160"/>
        <w:ind w:left="0" w:firstLine="0"/>
        <w:jc w:val="center"/>
        <w:rPr>
          <w:rFonts w:cs="Times New Roman"/>
          <w:szCs w:val="24"/>
        </w:rPr>
      </w:pPr>
      <w:r w:rsidRPr="00A870AB">
        <w:rPr>
          <w:rFonts w:cs="Times New Roman"/>
          <w:noProof/>
          <w:szCs w:val="24"/>
        </w:rPr>
        <w:lastRenderedPageBreak/>
        <w:drawing>
          <wp:inline distT="0" distB="0" distL="0" distR="0" wp14:anchorId="2FA7A845" wp14:editId="0336FD47">
            <wp:extent cx="4642083" cy="3667036"/>
            <wp:effectExtent l="0" t="0" r="6350" b="0"/>
            <wp:docPr id="2" name="Picture 2"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alendar&#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54299" cy="3676686"/>
                    </a:xfrm>
                    <a:prstGeom prst="rect">
                      <a:avLst/>
                    </a:prstGeom>
                    <a:noFill/>
                  </pic:spPr>
                </pic:pic>
              </a:graphicData>
            </a:graphic>
          </wp:inline>
        </w:drawing>
      </w:r>
    </w:p>
    <w:p w14:paraId="3A80D104" w14:textId="30195222" w:rsidR="00A870AB" w:rsidRPr="00A870AB" w:rsidRDefault="00A870AB" w:rsidP="00560441">
      <w:pPr>
        <w:spacing w:after="200" w:line="240" w:lineRule="auto"/>
        <w:ind w:left="0"/>
        <w:jc w:val="center"/>
        <w:rPr>
          <w:rFonts w:cs="Times New Roman"/>
          <w:iCs/>
          <w:szCs w:val="24"/>
        </w:rPr>
      </w:pPr>
      <w:bookmarkStart w:id="85" w:name="_Toc126654737"/>
      <w:r w:rsidRPr="00A870AB">
        <w:rPr>
          <w:iCs/>
          <w:szCs w:val="24"/>
        </w:rPr>
        <w:t xml:space="preserve">Figure </w:t>
      </w:r>
      <w:r w:rsidR="00285F4C">
        <w:rPr>
          <w:iCs/>
          <w:szCs w:val="24"/>
        </w:rPr>
        <w:t xml:space="preserve">3.21 </w:t>
      </w:r>
      <w:r w:rsidRPr="00A870AB">
        <w:rPr>
          <w:iCs/>
          <w:szCs w:val="24"/>
        </w:rPr>
        <w:t>Radio Row Holdout Area</w:t>
      </w:r>
      <w:bookmarkEnd w:id="85"/>
    </w:p>
    <w:p w14:paraId="7ADF62C3" w14:textId="77777777" w:rsidR="00A870AB" w:rsidRPr="00A870AB" w:rsidRDefault="00A870AB" w:rsidP="00560441">
      <w:pPr>
        <w:spacing w:after="200" w:line="240" w:lineRule="auto"/>
        <w:ind w:left="0"/>
        <w:jc w:val="center"/>
        <w:rPr>
          <w:rFonts w:cs="Times New Roman"/>
          <w:iCs/>
          <w:szCs w:val="24"/>
        </w:rPr>
      </w:pPr>
    </w:p>
    <w:p w14:paraId="66DCCAA6" w14:textId="77777777" w:rsidR="00A870AB" w:rsidRPr="00A870AB" w:rsidRDefault="00A870AB" w:rsidP="00560441">
      <w:pPr>
        <w:spacing w:after="160"/>
        <w:ind w:left="0" w:firstLine="0"/>
        <w:jc w:val="left"/>
        <w:rPr>
          <w:rFonts w:cs="Times New Roman"/>
          <w:szCs w:val="24"/>
        </w:rPr>
      </w:pPr>
      <w:r w:rsidRPr="00A870AB">
        <w:rPr>
          <w:rFonts w:cs="Times New Roman"/>
          <w:szCs w:val="24"/>
        </w:rPr>
        <w:t xml:space="preserve">While the Port Authority publicly refused to accept the holdouts' demands-- negotiations continued behind-the-scenes. Over the next three years, Port Authority negotiators would slowly induce people to leave their shops. By January 1966, nearly all the other merchants had moved out except for Oscar Nadel --the self-appointed spokesman for the remaining merchants. In their first face-to-face encounter, Mr. Guy Tozzoli--- WTC project manager and lead negotiator for the Port Authority--offered Nadel the unprecedented concession of free retail space in the new trade center. However, Nadel refused, arguing that it would cause him to remain in commercial limbo for possibly five years until the project was complete. Less than a month later, the Port Authority offered new concessions, including a promise to pay all moving costs </w:t>
      </w:r>
      <w:r w:rsidRPr="00A870AB">
        <w:rPr>
          <w:rFonts w:cs="Times New Roman"/>
          <w:szCs w:val="24"/>
        </w:rPr>
        <w:lastRenderedPageBreak/>
        <w:t xml:space="preserve">and even to hire a relocation firm to find spots in Manhattan as a new retail center for the merchants. Nevertheless, the holdouts viewed a maximum cash payment of $3000 as "ludicrous" and rejected the counteroffer. </w:t>
      </w:r>
    </w:p>
    <w:p w14:paraId="3F572D3A" w14:textId="77777777" w:rsidR="00A870AB" w:rsidRPr="00A870AB" w:rsidRDefault="00A870AB" w:rsidP="00560441">
      <w:pPr>
        <w:spacing w:after="160"/>
        <w:ind w:left="0" w:firstLine="0"/>
        <w:jc w:val="left"/>
        <w:rPr>
          <w:rFonts w:cs="Times New Roman"/>
          <w:szCs w:val="24"/>
        </w:rPr>
      </w:pPr>
      <w:r w:rsidRPr="00A870AB">
        <w:rPr>
          <w:rFonts w:cs="Times New Roman"/>
          <w:szCs w:val="24"/>
        </w:rPr>
        <w:t xml:space="preserve">When negotiations had reached a bitter standstill by early 1966, Tozzoli "dreamed up" the idea to dispose the excavated dirt from the World Trade Center's foundations (an estimated 1.2 million cubic yards) and use it as landfill to create prime shoreline property along the Hudson River—leading to the creation of New Battery Park City. </w:t>
      </w:r>
    </w:p>
    <w:p w14:paraId="0E6EEBA1" w14:textId="77777777" w:rsidR="00A870AB" w:rsidRPr="00A870AB" w:rsidRDefault="00A870AB" w:rsidP="00560441">
      <w:pPr>
        <w:spacing w:after="160"/>
        <w:ind w:left="0" w:firstLine="0"/>
        <w:jc w:val="center"/>
        <w:rPr>
          <w:rFonts w:cs="Times New Roman"/>
          <w:szCs w:val="24"/>
        </w:rPr>
      </w:pPr>
      <w:r w:rsidRPr="00A870AB">
        <w:rPr>
          <w:rFonts w:cs="Times New Roman"/>
          <w:noProof/>
          <w:szCs w:val="24"/>
        </w:rPr>
        <w:drawing>
          <wp:inline distT="0" distB="0" distL="0" distR="0" wp14:anchorId="68A424C9" wp14:editId="679E63F9">
            <wp:extent cx="4815781" cy="2685327"/>
            <wp:effectExtent l="0" t="0" r="4445" b="1270"/>
            <wp:docPr id="4" name="Picture 4" descr="A picture containing text, black, white, o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black, white, old&#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46213" cy="2702296"/>
                    </a:xfrm>
                    <a:prstGeom prst="rect">
                      <a:avLst/>
                    </a:prstGeom>
                    <a:noFill/>
                  </pic:spPr>
                </pic:pic>
              </a:graphicData>
            </a:graphic>
          </wp:inline>
        </w:drawing>
      </w:r>
    </w:p>
    <w:p w14:paraId="505245FF" w14:textId="2BC4D961" w:rsidR="00A870AB" w:rsidRPr="00A870AB" w:rsidRDefault="00A870AB" w:rsidP="00560441">
      <w:pPr>
        <w:spacing w:after="200" w:line="240" w:lineRule="auto"/>
        <w:ind w:left="0" w:firstLine="0"/>
        <w:jc w:val="right"/>
        <w:rPr>
          <w:rFonts w:cs="Times New Roman"/>
          <w:iCs/>
          <w:szCs w:val="24"/>
        </w:rPr>
      </w:pPr>
      <w:bookmarkStart w:id="86" w:name="_Toc126654738"/>
      <w:r w:rsidRPr="00A870AB">
        <w:rPr>
          <w:iCs/>
          <w:szCs w:val="24"/>
        </w:rPr>
        <w:t xml:space="preserve">Figure </w:t>
      </w:r>
      <w:r w:rsidR="00285F4C">
        <w:rPr>
          <w:iCs/>
          <w:szCs w:val="24"/>
        </w:rPr>
        <w:t xml:space="preserve">3.22 </w:t>
      </w:r>
      <w:r w:rsidRPr="00A870AB">
        <w:rPr>
          <w:iCs/>
          <w:szCs w:val="24"/>
        </w:rPr>
        <w:t>Proposed</w:t>
      </w:r>
      <w:r w:rsidRPr="00A870AB">
        <w:rPr>
          <w:rFonts w:cs="Times New Roman"/>
          <w:iCs/>
          <w:szCs w:val="24"/>
        </w:rPr>
        <w:t xml:space="preserve"> New Battery Park City Landfill Site “Tozzoli’s Brainchild.”</w:t>
      </w:r>
      <w:bookmarkEnd w:id="86"/>
    </w:p>
    <w:p w14:paraId="7F541E8D" w14:textId="77777777" w:rsidR="00A870AB" w:rsidRPr="00A870AB" w:rsidRDefault="00A870AB" w:rsidP="00560441">
      <w:pPr>
        <w:spacing w:after="160"/>
        <w:ind w:left="0" w:firstLine="0"/>
        <w:jc w:val="left"/>
        <w:rPr>
          <w:rFonts w:cs="Times New Roman"/>
          <w:szCs w:val="24"/>
        </w:rPr>
      </w:pPr>
      <w:r w:rsidRPr="00A870AB">
        <w:rPr>
          <w:rFonts w:cs="Times New Roman"/>
          <w:szCs w:val="24"/>
        </w:rPr>
        <w:t xml:space="preserve">In addition, the Port Authority agreed to increase tax payments to the city from all its future projects—promising also to carry out a range of capital improvements such as widening city streets, renovating sewers, and creating pedestrian underpasses. Finally, the Port Authority was able to reach agreements with the remaining Radio Row merchants, who received an aggregate compensation of $8,183,770, approximately 40% of the total $19.5 million paid in the settlement. </w:t>
      </w:r>
    </w:p>
    <w:p w14:paraId="5924FC09" w14:textId="77777777" w:rsidR="00A870AB" w:rsidRPr="00A870AB" w:rsidRDefault="00A870AB" w:rsidP="00560441">
      <w:pPr>
        <w:spacing w:after="160"/>
        <w:ind w:left="0" w:firstLine="0"/>
        <w:jc w:val="left"/>
        <w:rPr>
          <w:rFonts w:cs="Times New Roman"/>
          <w:szCs w:val="24"/>
        </w:rPr>
      </w:pPr>
      <w:r w:rsidRPr="00A870AB">
        <w:rPr>
          <w:rFonts w:cs="Times New Roman"/>
          <w:szCs w:val="24"/>
        </w:rPr>
        <w:lastRenderedPageBreak/>
        <w:t>In October 2004, this study conducted a formal “Tier 1” IRB Interview with Mr. Guy Tozzoli, Project Manager of the WTC. The purpose of this interview was to ask Mr. Tozzoli to provide a firsthand narrative account--- describing his direct experience in successfully resolving the Radio Row holdout. The following is the (IRB approved) transcription of that interview:</w:t>
      </w:r>
      <w:r w:rsidRPr="00A870AB">
        <w:rPr>
          <w:rFonts w:cs="Times New Roman"/>
          <w:noProof/>
          <w:szCs w:val="24"/>
        </w:rPr>
        <w:t xml:space="preserve"> </w:t>
      </w:r>
      <w:r w:rsidRPr="00A870AB">
        <w:rPr>
          <w:rFonts w:cs="Times New Roman"/>
          <w:noProof/>
          <w:szCs w:val="24"/>
        </w:rPr>
        <w:drawing>
          <wp:inline distT="0" distB="0" distL="0" distR="0" wp14:anchorId="1121C229" wp14:editId="572267A6">
            <wp:extent cx="5404207" cy="3042364"/>
            <wp:effectExtent l="0" t="0" r="6350" b="5715"/>
            <wp:docPr id="16" name="Picture 16" descr="A person smiling at the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erson smiling at the camera&#10;&#10;Description automatically generated with low confiden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11708" cy="3046587"/>
                    </a:xfrm>
                    <a:prstGeom prst="rect">
                      <a:avLst/>
                    </a:prstGeom>
                    <a:noFill/>
                  </pic:spPr>
                </pic:pic>
              </a:graphicData>
            </a:graphic>
          </wp:inline>
        </w:drawing>
      </w:r>
    </w:p>
    <w:p w14:paraId="7AE5C600" w14:textId="42CE70B4" w:rsidR="00A870AB" w:rsidRPr="00A870AB" w:rsidRDefault="00A870AB" w:rsidP="00560441">
      <w:pPr>
        <w:spacing w:after="160"/>
        <w:ind w:left="0" w:firstLine="0"/>
        <w:jc w:val="left"/>
        <w:rPr>
          <w:rFonts w:cs="Times New Roman"/>
          <w:szCs w:val="24"/>
        </w:rPr>
      </w:pPr>
      <w:r w:rsidRPr="00A870AB">
        <w:rPr>
          <w:rFonts w:cs="Times New Roman"/>
          <w:szCs w:val="24"/>
        </w:rPr>
        <w:t xml:space="preserve">Transcript of </w:t>
      </w:r>
      <w:r w:rsidR="006C37DF">
        <w:rPr>
          <w:rFonts w:cs="Times New Roman"/>
          <w:szCs w:val="24"/>
        </w:rPr>
        <w:t xml:space="preserve">“Tier 1” </w:t>
      </w:r>
      <w:r w:rsidRPr="00A870AB">
        <w:rPr>
          <w:rFonts w:cs="Times New Roman"/>
          <w:szCs w:val="24"/>
        </w:rPr>
        <w:t xml:space="preserve">IRB interview with Mr. Guy Tozzoli (Oct. </w:t>
      </w:r>
      <w:r w:rsidR="002B456F">
        <w:rPr>
          <w:rFonts w:cs="Times New Roman"/>
          <w:szCs w:val="24"/>
        </w:rPr>
        <w:t xml:space="preserve">7, </w:t>
      </w:r>
      <w:r w:rsidRPr="00A870AB">
        <w:rPr>
          <w:rFonts w:cs="Times New Roman"/>
          <w:szCs w:val="24"/>
        </w:rPr>
        <w:t>2004):</w:t>
      </w:r>
    </w:p>
    <w:p w14:paraId="5BE9DAF2" w14:textId="77777777" w:rsidR="00A870AB" w:rsidRPr="00A870AB" w:rsidRDefault="00A870AB" w:rsidP="00560441">
      <w:pPr>
        <w:spacing w:after="160"/>
        <w:ind w:left="0" w:firstLine="0"/>
        <w:jc w:val="left"/>
        <w:rPr>
          <w:rFonts w:cs="Times New Roman"/>
          <w:szCs w:val="24"/>
        </w:rPr>
      </w:pPr>
      <w:bookmarkStart w:id="87" w:name="_Hlk21360597"/>
      <w:r w:rsidRPr="00A870AB">
        <w:rPr>
          <w:rFonts w:cs="Times New Roman"/>
          <w:szCs w:val="24"/>
        </w:rPr>
        <w:t>[Interviewer:] I was just curious if you could describe your source of inspiration (for resolving the holdout):</w:t>
      </w:r>
    </w:p>
    <w:p w14:paraId="358153F3" w14:textId="77777777" w:rsidR="00A870AB" w:rsidRPr="00A870AB" w:rsidRDefault="00A870AB" w:rsidP="00560441">
      <w:pPr>
        <w:spacing w:after="160"/>
        <w:ind w:left="0" w:firstLine="0"/>
        <w:jc w:val="left"/>
        <w:rPr>
          <w:rFonts w:cs="Times New Roman"/>
          <w:szCs w:val="24"/>
        </w:rPr>
      </w:pPr>
      <w:r w:rsidRPr="00A870AB">
        <w:rPr>
          <w:rFonts w:cs="Times New Roman"/>
          <w:szCs w:val="24"/>
        </w:rPr>
        <w:t>[Tozzoli:] “Yes, I do remember that when I was shaving the idea just came to me-- “Hey! what if we could do something with all that dirt?!”</w:t>
      </w:r>
    </w:p>
    <w:p w14:paraId="3D7E698B" w14:textId="77777777" w:rsidR="00A870AB" w:rsidRPr="00A870AB" w:rsidRDefault="00A870AB" w:rsidP="00560441">
      <w:pPr>
        <w:spacing w:after="160"/>
        <w:ind w:left="0" w:firstLine="0"/>
        <w:jc w:val="left"/>
        <w:rPr>
          <w:rFonts w:cs="Times New Roman"/>
          <w:szCs w:val="24"/>
        </w:rPr>
      </w:pPr>
      <w:r w:rsidRPr="00A870AB">
        <w:rPr>
          <w:rFonts w:cs="Times New Roman"/>
          <w:szCs w:val="24"/>
        </w:rPr>
        <w:lastRenderedPageBreak/>
        <w:t>[Interviewer:] ‘Well, the thing I was wondering was how you actually came up with the idea, it just seems so original, and the World Trade Center was just such a monumental project.”</w:t>
      </w:r>
    </w:p>
    <w:p w14:paraId="35A3D249" w14:textId="77777777" w:rsidR="00A870AB" w:rsidRPr="00A870AB" w:rsidRDefault="00A870AB" w:rsidP="00560441">
      <w:pPr>
        <w:spacing w:after="160"/>
        <w:ind w:left="0" w:firstLine="0"/>
        <w:jc w:val="left"/>
        <w:rPr>
          <w:rFonts w:cs="Times New Roman"/>
          <w:szCs w:val="24"/>
        </w:rPr>
      </w:pPr>
      <w:r w:rsidRPr="00A870AB">
        <w:rPr>
          <w:rFonts w:cs="Times New Roman"/>
          <w:szCs w:val="24"/>
        </w:rPr>
        <w:t>[Tozzoli;] (Pausing) I see what you are asking; it’s something you might ask someone like (Daniel) Burnham maybe, right?”</w:t>
      </w:r>
    </w:p>
    <w:p w14:paraId="68C71DB9" w14:textId="36EB6502" w:rsidR="00A870AB" w:rsidRPr="00A870AB" w:rsidRDefault="00A870AB" w:rsidP="00560441">
      <w:pPr>
        <w:spacing w:after="160"/>
        <w:ind w:left="0" w:firstLine="0"/>
        <w:jc w:val="left"/>
        <w:rPr>
          <w:rFonts w:cs="Times New Roman"/>
          <w:szCs w:val="24"/>
        </w:rPr>
      </w:pPr>
      <w:r w:rsidRPr="00A870AB">
        <w:rPr>
          <w:rFonts w:cs="Times New Roman"/>
          <w:szCs w:val="24"/>
        </w:rPr>
        <w:t xml:space="preserve">[Interviewer:] Exactly…Now, in one of your interviews, you did mention how the [WTC] plaza reminded you of San Marcos Piazza in Venice. You know, the whole city was built up artificially, wasn’t it? I was just wondering if that might have been part of it, you know subconsciously where the idea came from. I just wanted to ask a guy with a really </w:t>
      </w:r>
      <w:r w:rsidR="00712DBF" w:rsidRPr="00A870AB">
        <w:rPr>
          <w:rFonts w:cs="Times New Roman"/>
          <w:szCs w:val="24"/>
        </w:rPr>
        <w:t>cool</w:t>
      </w:r>
      <w:r w:rsidRPr="00A870AB">
        <w:rPr>
          <w:rFonts w:cs="Times New Roman"/>
          <w:szCs w:val="24"/>
        </w:rPr>
        <w:t xml:space="preserve"> idea where really cool ideas come from.</w:t>
      </w:r>
    </w:p>
    <w:p w14:paraId="39CC2EEE" w14:textId="77777777" w:rsidR="00A870AB" w:rsidRPr="00A870AB" w:rsidRDefault="00A870AB" w:rsidP="00560441">
      <w:pPr>
        <w:spacing w:after="160"/>
        <w:ind w:left="0" w:firstLine="0"/>
        <w:jc w:val="left"/>
        <w:rPr>
          <w:rFonts w:cs="Times New Roman"/>
          <w:szCs w:val="24"/>
        </w:rPr>
      </w:pPr>
      <w:r w:rsidRPr="00A870AB">
        <w:rPr>
          <w:rFonts w:cs="Times New Roman"/>
          <w:szCs w:val="24"/>
        </w:rPr>
        <w:t>[Tozzoli:] “Again, (laughing) in the heat of the moment, it really just came to me. I had the once-in-a-lifetime opportunity to work on one of the greatest architectural projects of our time. Looking back though, I would still like to think that my small brainchild was part of it, too.”</w:t>
      </w:r>
      <w:bookmarkEnd w:id="87"/>
    </w:p>
    <w:p w14:paraId="69312970" w14:textId="0A6080FE" w:rsidR="00A870AB" w:rsidRPr="00A870AB" w:rsidRDefault="00A870AB" w:rsidP="00560441">
      <w:pPr>
        <w:spacing w:after="160"/>
        <w:ind w:left="0" w:firstLine="0"/>
        <w:jc w:val="left"/>
        <w:rPr>
          <w:rFonts w:cs="Times New Roman"/>
          <w:szCs w:val="24"/>
        </w:rPr>
      </w:pPr>
      <w:r w:rsidRPr="00A870AB">
        <w:rPr>
          <w:rFonts w:cs="Times New Roman"/>
          <w:szCs w:val="24"/>
        </w:rPr>
        <w:t>“Tozzoli’s Brainchild” effectively resolved the monopoly holdout, i.e., by reaching a reciprocal, mutually beneficial bargaining agreement with the remaining Radio Row residents, the City of New York, and ultimately the Public-at-Large</w:t>
      </w:r>
      <w:r w:rsidR="00932DBE">
        <w:rPr>
          <w:rFonts w:cs="Times New Roman"/>
          <w:szCs w:val="24"/>
        </w:rPr>
        <w:t>.</w:t>
      </w:r>
      <w:r w:rsidRPr="00A870AB">
        <w:rPr>
          <w:rFonts w:cs="Times New Roman"/>
          <w:szCs w:val="24"/>
        </w:rPr>
        <w:t xml:space="preserve"> As part of the final settlement, the Port Authority also agreed to increase tax payments to the city pegged at what a private developer would pay, promised to carry out a range of capital improvements like widening city streets, renovating sewers, and creating pedestrian underpasses. Furthermore, the Radio Row merchants received total payments that amounted to approximately $16.2 million in the settlement.   In the first year of </w:t>
      </w:r>
      <w:r w:rsidRPr="00A870AB">
        <w:rPr>
          <w:rFonts w:cs="Times New Roman"/>
          <w:szCs w:val="24"/>
        </w:rPr>
        <w:lastRenderedPageBreak/>
        <w:t xml:space="preserve">occupancy in the WTC, the city received a tax payment of approximately $6.2 million, with steady increases as time went on and as more tenants arrived at the Twin Towers. As Gillespie observed, “Tozzoli’s brainchild” to remove solved another problem for the Port Authority, for the expense to dispose of the excavated dirt as landfill elsewhere would have been cost prohibitive.  </w:t>
      </w:r>
    </w:p>
    <w:p w14:paraId="1E0FAABF" w14:textId="77777777" w:rsidR="00A870AB" w:rsidRPr="00A870AB" w:rsidRDefault="00A870AB" w:rsidP="00560441">
      <w:pPr>
        <w:spacing w:after="160"/>
        <w:ind w:left="0" w:firstLine="0"/>
        <w:jc w:val="left"/>
        <w:rPr>
          <w:rFonts w:cs="Times New Roman"/>
          <w:szCs w:val="24"/>
        </w:rPr>
      </w:pPr>
      <w:r w:rsidRPr="00A870AB">
        <w:rPr>
          <w:rFonts w:cs="Times New Roman"/>
          <w:szCs w:val="24"/>
        </w:rPr>
        <w:t xml:space="preserve">Tozzoli was an interesting choice as builder of the World Trade Center. While working at the Port Authority, Tozzoli was temporarily re-assigned to help Robert Moses plan the 1964 World’s Fair. Tozzoli’s role was instrumental in recruiting crucial commercial sponsors for the Fair, including Walt Disney (who was secretly assembling land for Disneyworld at the same time). In fact, as one of his last duties under Moses, he was sent in December 1961 to the Seattle World’s fair to “appropriate ideas” -- where he would meet Minoro Yamasaki-- the eventual architect of the World Trade Center, [Coincidentally, Yamasaki was also the architect of the Pruitt-Igoe Housing project in St. Louis]. That following February, Tozzoli was assigned as Project Manager for the World Trade Center.  </w:t>
      </w:r>
    </w:p>
    <w:p w14:paraId="0B5834CA" w14:textId="068B4259" w:rsidR="00BC62E2" w:rsidRPr="002B456F" w:rsidRDefault="00A870AB" w:rsidP="002B456F">
      <w:pPr>
        <w:spacing w:after="160"/>
        <w:ind w:left="0" w:firstLine="0"/>
        <w:jc w:val="left"/>
        <w:rPr>
          <w:rFonts w:cs="Times New Roman"/>
          <w:szCs w:val="24"/>
        </w:rPr>
      </w:pPr>
      <w:r w:rsidRPr="00A870AB">
        <w:rPr>
          <w:rFonts w:cs="Times New Roman"/>
          <w:szCs w:val="24"/>
        </w:rPr>
        <w:t xml:space="preserve">The original </w:t>
      </w:r>
      <w:r w:rsidR="00712DBF" w:rsidRPr="00A870AB">
        <w:rPr>
          <w:rFonts w:cs="Times New Roman"/>
          <w:szCs w:val="24"/>
        </w:rPr>
        <w:t>idea of</w:t>
      </w:r>
      <w:r w:rsidRPr="00A870AB">
        <w:rPr>
          <w:rFonts w:cs="Times New Roman"/>
          <w:szCs w:val="24"/>
        </w:rPr>
        <w:t xml:space="preserve"> using reclaimed landfill to redevelop the Hudson shoreline—replacing the dilapidated shipping piers rendered obsolete by containerization (Wallace)-- was proposed by private developers in the early 60’s. In 1966, Governor Nelson Rockefeller unveiled the proposal for what would become Battery Park City. It is reasonable to infer that “Tozzoli’s Brainchild” provided the final catalyst—namely by creating the actual source of the landfill material needed to realize this proposal.</w:t>
      </w:r>
    </w:p>
    <w:p w14:paraId="63BBA21A" w14:textId="61182745" w:rsidR="00EA5F6C" w:rsidRPr="0092106A" w:rsidRDefault="00EA5F6C" w:rsidP="00F11372">
      <w:pPr>
        <w:pStyle w:val="Heading1"/>
      </w:pPr>
      <w:bookmarkStart w:id="88" w:name="_Toc126651383"/>
      <w:bookmarkStart w:id="89" w:name="_Toc134346742"/>
      <w:r w:rsidRPr="0092106A">
        <w:lastRenderedPageBreak/>
        <w:t xml:space="preserve">Chapter 4: </w:t>
      </w:r>
      <w:r w:rsidR="00F21225" w:rsidRPr="0092106A">
        <w:t xml:space="preserve">IRB </w:t>
      </w:r>
      <w:r w:rsidR="00C81D34" w:rsidRPr="0092106A">
        <w:t xml:space="preserve">Interview </w:t>
      </w:r>
      <w:r w:rsidR="00401430" w:rsidRPr="0092106A">
        <w:t xml:space="preserve">Study </w:t>
      </w:r>
      <w:r w:rsidRPr="0092106A">
        <w:t>Results</w:t>
      </w:r>
      <w:bookmarkEnd w:id="88"/>
      <w:bookmarkEnd w:id="89"/>
    </w:p>
    <w:p w14:paraId="434707E6" w14:textId="494DF473" w:rsidR="00A3104F" w:rsidRPr="00A3104F" w:rsidRDefault="00A3104F" w:rsidP="00EE6A7A">
      <w:pPr>
        <w:pStyle w:val="Heading2"/>
      </w:pPr>
      <w:bookmarkStart w:id="90" w:name="_Hlk126055441"/>
      <w:bookmarkStart w:id="91" w:name="_Toc134346743"/>
      <w:bookmarkStart w:id="92" w:name="_Toc21516016"/>
      <w:bookmarkEnd w:id="90"/>
      <w:r w:rsidRPr="00A3104F">
        <w:t xml:space="preserve">IRB Research </w:t>
      </w:r>
      <w:r w:rsidR="00F429C6">
        <w:t xml:space="preserve">Interview </w:t>
      </w:r>
      <w:r w:rsidRPr="00A3104F">
        <w:t>Design Methodology:</w:t>
      </w:r>
      <w:bookmarkEnd w:id="91"/>
    </w:p>
    <w:p w14:paraId="1706CE4F" w14:textId="4BCD0996" w:rsidR="00A3104F" w:rsidRPr="00A3104F" w:rsidRDefault="00A3104F" w:rsidP="00A3104F">
      <w:pPr>
        <w:spacing w:after="160"/>
        <w:ind w:left="0" w:firstLine="0"/>
        <w:jc w:val="left"/>
        <w:rPr>
          <w:rFonts w:cs="Times New Roman"/>
          <w:szCs w:val="24"/>
        </w:rPr>
      </w:pPr>
      <w:r w:rsidRPr="00A3104F">
        <w:rPr>
          <w:rFonts w:cs="Times New Roman"/>
          <w:szCs w:val="24"/>
        </w:rPr>
        <w:t xml:space="preserve">In order to collect the original data necessary to complete this qualitative research study, it was required to conduct formal IRB interviews with members of AUREO [Association of University Real Estate Officials], professional real estate administrators at public universities across the US, who were directly involved in managing a wide range of campus expansion projects, and who successfully resolved monopoly holdouts during ongoing land assembly negotiations, </w:t>
      </w:r>
      <w:r w:rsidRPr="00A3104F">
        <w:rPr>
          <w:rFonts w:cs="Times New Roman"/>
          <w:i/>
          <w:iCs/>
          <w:szCs w:val="24"/>
        </w:rPr>
        <w:t>without</w:t>
      </w:r>
      <w:r w:rsidRPr="00A3104F">
        <w:rPr>
          <w:rFonts w:cs="Times New Roman"/>
          <w:szCs w:val="24"/>
        </w:rPr>
        <w:t xml:space="preserve"> requiring eminent domain. This formal interview process took place over a one-year period and was conducted at the peak of the </w:t>
      </w:r>
      <w:r w:rsidRPr="00A3104F">
        <w:rPr>
          <w:rFonts w:cs="Times New Roman"/>
          <w:i/>
          <w:iCs/>
          <w:szCs w:val="24"/>
        </w:rPr>
        <w:t>Kelo</w:t>
      </w:r>
      <w:r w:rsidRPr="00A3104F">
        <w:rPr>
          <w:rFonts w:cs="Times New Roman"/>
          <w:szCs w:val="24"/>
        </w:rPr>
        <w:t xml:space="preserve"> controversy (2004-05). Following strict IRB interview protocols, this study actively recruited willing research participants via the nationwide AUREO email listserv. Upon completing the Informed Consent process, each respondent was first enlisted as a “Tier 2” interviewee. During these 30-minute “Tier 2” interviews, each respondent was asked to briefly describe their direct (or indirect) knowledge with the general land assembly process </w:t>
      </w:r>
      <w:r w:rsidRPr="00A3104F">
        <w:rPr>
          <w:rFonts w:cs="Times New Roman"/>
          <w:i/>
          <w:iCs/>
          <w:szCs w:val="24"/>
        </w:rPr>
        <w:t>in situ</w:t>
      </w:r>
      <w:r w:rsidRPr="00A3104F">
        <w:rPr>
          <w:rFonts w:cs="Times New Roman"/>
          <w:szCs w:val="24"/>
        </w:rPr>
        <w:t xml:space="preserve">. Next, they were asked to describe their general involvement during the land assembly negotiation process, especially concerning any experiences they may have had in resolving monopoly holdouts. At the conclusion of this initial interview, each respondent was asked to </w:t>
      </w:r>
      <w:r w:rsidR="000835C4">
        <w:rPr>
          <w:rFonts w:cs="Times New Roman"/>
          <w:szCs w:val="24"/>
        </w:rPr>
        <w:t xml:space="preserve">provide </w:t>
      </w:r>
      <w:r w:rsidRPr="00A3104F">
        <w:rPr>
          <w:rFonts w:cs="Times New Roman"/>
          <w:szCs w:val="24"/>
        </w:rPr>
        <w:t>refer</w:t>
      </w:r>
      <w:r w:rsidR="000835C4">
        <w:rPr>
          <w:rFonts w:cs="Times New Roman"/>
          <w:szCs w:val="24"/>
        </w:rPr>
        <w:t>rals to</w:t>
      </w:r>
      <w:r w:rsidRPr="00A3104F">
        <w:rPr>
          <w:rFonts w:cs="Times New Roman"/>
          <w:szCs w:val="24"/>
        </w:rPr>
        <w:t xml:space="preserve"> other colleagues who might be willing to participate in the research study. Through this iterative referral process, a sample pool of twenty-seven “Tier 2” interviewees was established. From this larger sample population, a smaller sample size of 6 (six) was then self-selected as “Tier 1” interviewees, who voluntarily agree</w:t>
      </w:r>
      <w:r w:rsidR="00B46242">
        <w:rPr>
          <w:rFonts w:cs="Times New Roman"/>
          <w:szCs w:val="24"/>
        </w:rPr>
        <w:t>d</w:t>
      </w:r>
      <w:r w:rsidRPr="00A3104F">
        <w:rPr>
          <w:rFonts w:cs="Times New Roman"/>
          <w:szCs w:val="24"/>
        </w:rPr>
        <w:t xml:space="preserve"> to discuss their direct involvement, i.e., overseeing ongoing land assembly negotiations at four (4) respective public </w:t>
      </w:r>
      <w:r w:rsidRPr="00A3104F">
        <w:rPr>
          <w:rFonts w:cs="Times New Roman"/>
          <w:szCs w:val="24"/>
        </w:rPr>
        <w:lastRenderedPageBreak/>
        <w:t xml:space="preserve">universities. During these in-depth, 90-minute interviews, each respondent provided their firsthand narrative accounts, i.e., fully describing the innovative bargaining process they implemented during real-world land assembly negotiations, and the innovative bargaining mechanisms they routinely employed, thus, enabling them to systematically resolve a wide variety of monopoly holdouts, </w:t>
      </w:r>
      <w:r w:rsidRPr="00A3104F">
        <w:rPr>
          <w:rFonts w:cs="Times New Roman"/>
          <w:i/>
          <w:iCs/>
          <w:szCs w:val="24"/>
        </w:rPr>
        <w:t>without</w:t>
      </w:r>
      <w:r w:rsidRPr="00A3104F">
        <w:rPr>
          <w:rFonts w:cs="Times New Roman"/>
          <w:szCs w:val="24"/>
        </w:rPr>
        <w:t xml:space="preserve"> requiring eminent domain. </w:t>
      </w:r>
    </w:p>
    <w:p w14:paraId="7B2578AC" w14:textId="1E70959F" w:rsidR="00A3104F" w:rsidRPr="00EE6A7A" w:rsidRDefault="00A3104F" w:rsidP="00EE6A7A">
      <w:pPr>
        <w:pStyle w:val="Heading2"/>
      </w:pPr>
      <w:bookmarkStart w:id="93" w:name="_Toc134346744"/>
      <w:r w:rsidRPr="00EE6A7A">
        <w:t xml:space="preserve">IRB Study #1: Memorial Stadium Expansion </w:t>
      </w:r>
      <w:r w:rsidR="00B91AAA" w:rsidRPr="00EE6A7A">
        <w:t>Project</w:t>
      </w:r>
      <w:r w:rsidRPr="00EE6A7A">
        <w:t xml:space="preserve"> Univ of O</w:t>
      </w:r>
      <w:r w:rsidR="00957D60" w:rsidRPr="00EE6A7A">
        <w:t xml:space="preserve">K </w:t>
      </w:r>
      <w:r w:rsidRPr="00EE6A7A">
        <w:t>-Norman (200</w:t>
      </w:r>
      <w:r w:rsidR="000134D5" w:rsidRPr="00EE6A7A">
        <w:t>5</w:t>
      </w:r>
      <w:r w:rsidRPr="00EE6A7A">
        <w:t>)</w:t>
      </w:r>
      <w:bookmarkEnd w:id="93"/>
    </w:p>
    <w:p w14:paraId="679365BA" w14:textId="74CF2803" w:rsidR="00A3104F" w:rsidRPr="00DA46FC" w:rsidRDefault="00A3104F" w:rsidP="00A3104F">
      <w:pPr>
        <w:spacing w:after="160" w:line="240" w:lineRule="auto"/>
        <w:ind w:left="0" w:firstLine="0"/>
        <w:jc w:val="left"/>
        <w:rPr>
          <w:rFonts w:cs="Times New Roman"/>
          <w:bCs/>
          <w:szCs w:val="24"/>
        </w:rPr>
      </w:pPr>
      <w:r w:rsidRPr="00DA46FC">
        <w:rPr>
          <w:rFonts w:cs="Times New Roman"/>
          <w:bCs/>
          <w:szCs w:val="24"/>
        </w:rPr>
        <w:t xml:space="preserve">“Tier 1” Interviewees: Deborah Wollenberg, Chris Kuwitski </w:t>
      </w:r>
      <w:bookmarkEnd w:id="92"/>
      <w:r w:rsidRPr="00DA46FC">
        <w:rPr>
          <w:rFonts w:cs="Times New Roman"/>
          <w:bCs/>
          <w:szCs w:val="24"/>
        </w:rPr>
        <w:t>[Conducted 6/2/2005]</w:t>
      </w:r>
    </w:p>
    <w:p w14:paraId="1CB28B88" w14:textId="77777777" w:rsidR="00A3104F" w:rsidRPr="00A3104F" w:rsidRDefault="00A3104F" w:rsidP="00A3104F">
      <w:pPr>
        <w:spacing w:after="160" w:line="240" w:lineRule="auto"/>
        <w:ind w:left="0" w:firstLine="0"/>
        <w:jc w:val="left"/>
        <w:rPr>
          <w:rFonts w:cs="Times New Roman"/>
          <w:szCs w:val="24"/>
        </w:rPr>
      </w:pPr>
    </w:p>
    <w:p w14:paraId="089F96A8" w14:textId="77777777" w:rsidR="00A3104F" w:rsidRPr="00A3104F" w:rsidRDefault="00A3104F" w:rsidP="00A3104F">
      <w:pPr>
        <w:spacing w:after="160" w:line="240" w:lineRule="auto"/>
        <w:ind w:left="0" w:firstLine="0"/>
        <w:jc w:val="left"/>
        <w:rPr>
          <w:rFonts w:cs="Times New Roman"/>
          <w:szCs w:val="24"/>
        </w:rPr>
      </w:pPr>
      <w:r w:rsidRPr="00A3104F">
        <w:rPr>
          <w:rFonts w:cs="Times New Roman"/>
          <w:noProof/>
          <w:szCs w:val="24"/>
        </w:rPr>
        <w:drawing>
          <wp:inline distT="0" distB="0" distL="0" distR="0" wp14:anchorId="7E943568" wp14:editId="642945C6">
            <wp:extent cx="4887685" cy="2836711"/>
            <wp:effectExtent l="0" t="0" r="8255" b="1905"/>
            <wp:docPr id="15" name="Picture 15" descr="A map of a c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map of a city&#10;&#10;Description automatically generated with low confidenc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994919" cy="2898948"/>
                    </a:xfrm>
                    <a:prstGeom prst="rect">
                      <a:avLst/>
                    </a:prstGeom>
                    <a:noFill/>
                  </pic:spPr>
                </pic:pic>
              </a:graphicData>
            </a:graphic>
          </wp:inline>
        </w:drawing>
      </w:r>
    </w:p>
    <w:p w14:paraId="6D6371FC" w14:textId="463404CC" w:rsidR="00A3104F" w:rsidRPr="002B419C" w:rsidRDefault="00A3104F" w:rsidP="002B419C">
      <w:pPr>
        <w:pStyle w:val="Figures"/>
      </w:pPr>
      <w:bookmarkStart w:id="94" w:name="_Toc127439137"/>
      <w:bookmarkStart w:id="95" w:name="_Hlk127274346"/>
      <w:r w:rsidRPr="002B419C">
        <w:t xml:space="preserve">Figure 4.1 Faerie Queen Lane Assembly Project </w:t>
      </w:r>
      <w:r w:rsidR="002B419C" w:rsidRPr="002B419C">
        <w:t xml:space="preserve">Univ of Oklahoma, Norman </w:t>
      </w:r>
      <w:r w:rsidRPr="002B419C">
        <w:t>(2002)</w:t>
      </w:r>
      <w:bookmarkEnd w:id="94"/>
    </w:p>
    <w:bookmarkEnd w:id="95"/>
    <w:p w14:paraId="1B18D147" w14:textId="77777777" w:rsidR="00A3104F" w:rsidRPr="00A3104F" w:rsidRDefault="00A3104F" w:rsidP="00A3104F">
      <w:pPr>
        <w:spacing w:after="160"/>
        <w:ind w:left="0" w:firstLine="0"/>
        <w:jc w:val="left"/>
        <w:rPr>
          <w:rFonts w:cs="Times New Roman"/>
          <w:szCs w:val="24"/>
        </w:rPr>
      </w:pPr>
    </w:p>
    <w:p w14:paraId="222146AB" w14:textId="77777777" w:rsidR="00A3104F" w:rsidRPr="00A3104F" w:rsidRDefault="00A3104F" w:rsidP="00A3104F">
      <w:pPr>
        <w:spacing w:after="160"/>
        <w:ind w:left="0" w:firstLine="0"/>
        <w:jc w:val="left"/>
        <w:rPr>
          <w:rFonts w:cs="Times New Roman"/>
          <w:szCs w:val="24"/>
        </w:rPr>
      </w:pPr>
      <w:r w:rsidRPr="00A3104F">
        <w:rPr>
          <w:rFonts w:cs="Times New Roman"/>
          <w:szCs w:val="24"/>
        </w:rPr>
        <w:t xml:space="preserve">In December, 2001, a private contract was awarded to expand Oklahoma Memorial Stadium, to incorporate the east side addition of 27 suites, 2300 new club seats, and an upper deck with 5,000 seats, replacement of all the stadium's existing seats, code </w:t>
      </w:r>
      <w:r w:rsidRPr="00A3104F">
        <w:rPr>
          <w:rFonts w:cs="Times New Roman"/>
          <w:szCs w:val="24"/>
        </w:rPr>
        <w:lastRenderedPageBreak/>
        <w:t>upgrades, renovation of the north end zone academic and administrative center, and a new north end zone concourse expansion, brick facade, entry and site improvements, and with a seating capacity increase from 72,765 to approximately 81,000 upon project completion, prior to the 2003 football season.</w:t>
      </w:r>
    </w:p>
    <w:p w14:paraId="71A0D899" w14:textId="77777777" w:rsidR="00A3104F" w:rsidRPr="00A3104F" w:rsidRDefault="00A3104F" w:rsidP="00A3104F">
      <w:pPr>
        <w:spacing w:after="160"/>
        <w:ind w:left="0" w:firstLine="0"/>
        <w:jc w:val="left"/>
        <w:rPr>
          <w:rFonts w:cs="Times New Roman"/>
          <w:szCs w:val="24"/>
        </w:rPr>
      </w:pPr>
      <w:r w:rsidRPr="00A3104F">
        <w:rPr>
          <w:rFonts w:cs="Times New Roman"/>
          <w:szCs w:val="24"/>
        </w:rPr>
        <w:t>This expansion project required the assembly of seven privately-owned parcels on Fairie Queen Road, a neighborhood of primarily rental properties located immediately east of the existing stadium. It was also necessary for the University to obtain permits from the City of Norman to allow Jenkins Avenue to be rerouted to accommodate the stadium expansion. The seven properties were professionally appraised. Five properties were then acquired through direct negotiations; one rental property owner initially held out, strictly for a monopoly price. During negotiations, the University “played the eminent domain card”, which effectively ended this holdout. The last remaining landowner held out for strictly sentimental reasons.</w:t>
      </w:r>
    </w:p>
    <w:p w14:paraId="42A2548D" w14:textId="77777777" w:rsidR="00A3104F" w:rsidRPr="00A3104F" w:rsidRDefault="00A3104F" w:rsidP="00A3104F">
      <w:pPr>
        <w:spacing w:after="160"/>
        <w:ind w:left="0" w:firstLine="0"/>
        <w:jc w:val="left"/>
        <w:rPr>
          <w:rFonts w:cs="Times New Roman"/>
          <w:b/>
          <w:noProof/>
          <w:szCs w:val="24"/>
        </w:rPr>
      </w:pPr>
      <w:r w:rsidRPr="00A3104F">
        <w:rPr>
          <w:rFonts w:cs="Times New Roman"/>
          <w:szCs w:val="24"/>
        </w:rPr>
        <w:t xml:space="preserve">During the land assembly phase for the 2002 expansion of Oklahoma Memorial Stadium at the University of Oklahoma, it required taking all the adjacent private property in the Faerie Queen Lane neighborhood, i.e., located immediately east of the existing stadium on Jenkins Avenue, in Norman, Oklahoma.  The last remaining monopoly holdout was a long-time Faerie Queen Lane resident, who refused to sell her home for purely sentimental reasons. [IRB interviewee] Ms. Wollenberg asked to meet with her in person at her residence and discuss the possible sale “over coffee”. During this informal meeting, the landowner explained she was an elderly widow and that she and her late husband had moved into the neighborhood as newlyweds, raised a family </w:t>
      </w:r>
      <w:r w:rsidRPr="00A3104F">
        <w:rPr>
          <w:rFonts w:cs="Times New Roman"/>
          <w:szCs w:val="24"/>
        </w:rPr>
        <w:lastRenderedPageBreak/>
        <w:t>(including their prized rosebushes) and eventually retired there. Following their conversation, Ms. Wollenberg made a proposal, offering a voluntary property swap for a nearly identical house three blocks away, and to have “a couple of big fellas from Physical Plant” come by and transplant her prized rosebushes at the new residence. Upon accepting this agreement, the last remaining monopoly holdout was successfully resolved, i.e., allowing the OU stadium expansion project to proceed.</w:t>
      </w:r>
      <w:r w:rsidRPr="00A3104F">
        <w:rPr>
          <w:rFonts w:cs="Times New Roman"/>
          <w:b/>
          <w:noProof/>
          <w:szCs w:val="24"/>
        </w:rPr>
        <w:t xml:space="preserve"> </w:t>
      </w:r>
    </w:p>
    <w:p w14:paraId="5EF53A1A" w14:textId="77777777" w:rsidR="00F53D95" w:rsidRPr="00A3104F" w:rsidRDefault="00F53D95" w:rsidP="00F53D95">
      <w:pPr>
        <w:spacing w:after="160"/>
        <w:ind w:left="0" w:firstLine="0"/>
        <w:jc w:val="center"/>
        <w:rPr>
          <w:rFonts w:cs="Times New Roman"/>
          <w:szCs w:val="24"/>
        </w:rPr>
      </w:pPr>
      <w:r w:rsidRPr="00A3104F">
        <w:rPr>
          <w:rFonts w:cs="Times New Roman"/>
          <w:noProof/>
          <w:szCs w:val="24"/>
        </w:rPr>
        <w:drawing>
          <wp:inline distT="0" distB="0" distL="0" distR="0" wp14:anchorId="0A4E3D70" wp14:editId="621AC3C0">
            <wp:extent cx="4995879" cy="3102015"/>
            <wp:effectExtent l="0" t="0" r="0" b="3175"/>
            <wp:docPr id="603519054" name="Picture 60351905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39849" cy="3129317"/>
                    </a:xfrm>
                    <a:prstGeom prst="rect">
                      <a:avLst/>
                    </a:prstGeom>
                    <a:noFill/>
                  </pic:spPr>
                </pic:pic>
              </a:graphicData>
            </a:graphic>
          </wp:inline>
        </w:drawing>
      </w:r>
    </w:p>
    <w:p w14:paraId="00C2E512" w14:textId="77777777" w:rsidR="00F53D95" w:rsidRPr="00B043F2" w:rsidRDefault="00F53D95" w:rsidP="00F53D95">
      <w:pPr>
        <w:pStyle w:val="Figures"/>
      </w:pPr>
      <w:r w:rsidRPr="00B043F2">
        <w:t xml:space="preserve"> </w:t>
      </w:r>
      <w:bookmarkStart w:id="96" w:name="_Toc127439138"/>
      <w:bookmarkStart w:id="97" w:name="_Hlk125882172"/>
      <w:r w:rsidRPr="00B043F2">
        <w:t>Figure 4.2 “Rosebush” Monopoly Holdout   Faerie Queen Lane (c. 2002)</w:t>
      </w:r>
      <w:bookmarkEnd w:id="96"/>
    </w:p>
    <w:bookmarkEnd w:id="97"/>
    <w:p w14:paraId="4B3F9BC8" w14:textId="77777777" w:rsidR="00A3104F" w:rsidRPr="00A3104F" w:rsidRDefault="00A3104F" w:rsidP="00A3104F">
      <w:pPr>
        <w:spacing w:after="160"/>
        <w:ind w:left="0" w:firstLine="0"/>
        <w:jc w:val="left"/>
        <w:rPr>
          <w:rFonts w:cs="Times New Roman"/>
          <w:szCs w:val="24"/>
        </w:rPr>
      </w:pPr>
    </w:p>
    <w:p w14:paraId="2EEFAD8F" w14:textId="4D76B3C5" w:rsidR="00E563D8" w:rsidRPr="00E563D8" w:rsidRDefault="00A3104F" w:rsidP="00E563D8">
      <w:pPr>
        <w:spacing w:after="160"/>
        <w:ind w:left="0" w:firstLine="0"/>
        <w:jc w:val="left"/>
        <w:rPr>
          <w:rFonts w:cs="Times New Roman"/>
          <w:szCs w:val="24"/>
        </w:rPr>
      </w:pPr>
      <w:r w:rsidRPr="00A3104F">
        <w:rPr>
          <w:rFonts w:cs="Times New Roman"/>
          <w:szCs w:val="24"/>
        </w:rPr>
        <w:t xml:space="preserve">When asked directly about the eminent domain policy used by the University of Oklahoma, respondent(s) explained that the university sees its role in the local community as one of “stewardship and responsibility”.  Furthermore, according to University President David L. Boren, the stated policy of the University of Oklahoma to “avoid whenever possible the use of eminent domain. As we have seen in other </w:t>
      </w:r>
      <w:r w:rsidRPr="00A3104F">
        <w:rPr>
          <w:rFonts w:cs="Times New Roman"/>
          <w:szCs w:val="24"/>
        </w:rPr>
        <w:lastRenderedPageBreak/>
        <w:t>communities, using eminent domain to force people to sell properties, especially personal homes, can be painful for those involved.”  Boren said OU has never used eminent domain to acquire property since he became university president in 199</w:t>
      </w:r>
      <w:r w:rsidR="00165D1C">
        <w:rPr>
          <w:rFonts w:cs="Times New Roman"/>
          <w:szCs w:val="24"/>
        </w:rPr>
        <w:t>5</w:t>
      </w:r>
      <w:r w:rsidR="007F1206">
        <w:rPr>
          <w:rFonts w:cs="Times New Roman"/>
          <w:szCs w:val="24"/>
        </w:rPr>
        <w:t>:</w:t>
      </w:r>
    </w:p>
    <w:p w14:paraId="169CB619" w14:textId="3BE221FD" w:rsidR="00E563D8" w:rsidRDefault="00E563D8" w:rsidP="00E563D8">
      <w:pPr>
        <w:spacing w:after="160" w:line="240" w:lineRule="auto"/>
        <w:ind w:left="720" w:firstLine="0"/>
        <w:jc w:val="left"/>
        <w:rPr>
          <w:rFonts w:cs="Times New Roman"/>
          <w:szCs w:val="24"/>
        </w:rPr>
      </w:pPr>
      <w:r w:rsidRPr="00E563D8">
        <w:rPr>
          <w:rFonts w:cs="Times New Roman"/>
          <w:szCs w:val="24"/>
        </w:rPr>
        <w:t>"One of the reasons we purchase property when it becomes available is to avoid whenever possible the use of eminent domain," he said. "As we have seen in other communities, using eminent domain to force people to sell properties, especially personal homes, can be very painful for those involved. It is always best to use the willing buyer, willing seller approach. We try to think ahead, sometimes several years into the future, to identify the university's needs. The number of properties obtained by OU over the past 12 years is relatively small, especially when compared to other universities of our size including the state's other publicly supported comprehensive university."</w:t>
      </w:r>
    </w:p>
    <w:p w14:paraId="25A0FE6A" w14:textId="3FBF6FC6" w:rsidR="009654C1" w:rsidRPr="00A3104F" w:rsidRDefault="00A916A8" w:rsidP="00165D1C">
      <w:pPr>
        <w:spacing w:after="160"/>
        <w:ind w:left="0" w:firstLine="0"/>
        <w:jc w:val="right"/>
        <w:rPr>
          <w:rFonts w:cs="Times New Roman"/>
          <w:szCs w:val="24"/>
        </w:rPr>
      </w:pPr>
      <w:r>
        <w:rPr>
          <w:rFonts w:cs="Times New Roman"/>
          <w:szCs w:val="24"/>
        </w:rPr>
        <w:t xml:space="preserve">Althea Peterson </w:t>
      </w:r>
      <w:r w:rsidR="00250061">
        <w:rPr>
          <w:rFonts w:cs="Times New Roman"/>
          <w:szCs w:val="24"/>
        </w:rPr>
        <w:t xml:space="preserve">Norman Transcript Feb. </w:t>
      </w:r>
      <w:r>
        <w:rPr>
          <w:rFonts w:cs="Times New Roman"/>
          <w:szCs w:val="24"/>
        </w:rPr>
        <w:t xml:space="preserve">18, 2007 </w:t>
      </w:r>
    </w:p>
    <w:p w14:paraId="02D286FA" w14:textId="7C82B439" w:rsidR="00A3104F" w:rsidRPr="00A3104F" w:rsidRDefault="00A3104F" w:rsidP="00EE6A7A">
      <w:pPr>
        <w:pStyle w:val="Heading2"/>
      </w:pPr>
      <w:bookmarkStart w:id="98" w:name="_Toc134346745"/>
      <w:r w:rsidRPr="00A3104F">
        <w:t xml:space="preserve">IRB Study #2: BLACKLAND Transitional Housing </w:t>
      </w:r>
      <w:r w:rsidR="00B91AAA">
        <w:t xml:space="preserve">Project </w:t>
      </w:r>
      <w:r w:rsidRPr="00A3104F">
        <w:t>UT-Austin (200</w:t>
      </w:r>
      <w:r w:rsidR="00DA46FC">
        <w:t>5</w:t>
      </w:r>
      <w:r w:rsidRPr="00A3104F">
        <w:t>)</w:t>
      </w:r>
      <w:bookmarkEnd w:id="98"/>
      <w:r w:rsidRPr="00A3104F">
        <w:t xml:space="preserve"> </w:t>
      </w:r>
    </w:p>
    <w:p w14:paraId="6190E841" w14:textId="77777777" w:rsidR="00A3104F" w:rsidRPr="00A3104F" w:rsidRDefault="00A3104F" w:rsidP="00DA46FC">
      <w:pPr>
        <w:ind w:left="0" w:firstLine="0"/>
      </w:pPr>
      <w:bookmarkStart w:id="99" w:name="_Toc21516017"/>
      <w:bookmarkStart w:id="100" w:name="_Toc126651384"/>
      <w:r w:rsidRPr="00A3104F">
        <w:t>“Tier 1” Interviewee: James Wilson</w:t>
      </w:r>
      <w:bookmarkEnd w:id="99"/>
      <w:r w:rsidRPr="00A3104F">
        <w:t xml:space="preserve"> [Conducted 6/7/2005]</w:t>
      </w:r>
      <w:bookmarkEnd w:id="100"/>
    </w:p>
    <w:p w14:paraId="0F2AF1BE" w14:textId="77777777" w:rsidR="00A3104F" w:rsidRPr="00A3104F" w:rsidRDefault="00A3104F" w:rsidP="00CF4CE7">
      <w:pPr>
        <w:ind w:left="0"/>
        <w:jc w:val="center"/>
      </w:pPr>
      <w:r w:rsidRPr="00A3104F">
        <w:rPr>
          <w:noProof/>
        </w:rPr>
        <w:drawing>
          <wp:inline distT="0" distB="0" distL="0" distR="0" wp14:anchorId="35628E81" wp14:editId="43DA684F">
            <wp:extent cx="4942390" cy="3218228"/>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3374" r="1064"/>
                    <a:stretch/>
                  </pic:blipFill>
                  <pic:spPr bwMode="auto">
                    <a:xfrm>
                      <a:off x="0" y="0"/>
                      <a:ext cx="5026015" cy="3272680"/>
                    </a:xfrm>
                    <a:prstGeom prst="rect">
                      <a:avLst/>
                    </a:prstGeom>
                    <a:noFill/>
                    <a:ln>
                      <a:noFill/>
                    </a:ln>
                    <a:extLst>
                      <a:ext uri="{53640926-AAD7-44D8-BBD7-CCE9431645EC}">
                        <a14:shadowObscured xmlns:a14="http://schemas.microsoft.com/office/drawing/2010/main"/>
                      </a:ext>
                    </a:extLst>
                  </pic:spPr>
                </pic:pic>
              </a:graphicData>
            </a:graphic>
          </wp:inline>
        </w:drawing>
      </w:r>
    </w:p>
    <w:p w14:paraId="7D88AE42" w14:textId="7E01B7EF" w:rsidR="00A3104F" w:rsidRPr="002A2CA8" w:rsidRDefault="00A3104F" w:rsidP="002A2CA8">
      <w:pPr>
        <w:pStyle w:val="Figures"/>
      </w:pPr>
      <w:bookmarkStart w:id="101" w:name="_Toc126654739"/>
      <w:bookmarkStart w:id="102" w:name="_Toc127439139"/>
      <w:r w:rsidRPr="002A2CA8">
        <w:t>Figure 4.</w:t>
      </w:r>
      <w:r w:rsidR="00455777" w:rsidRPr="002A2CA8">
        <w:t>3</w:t>
      </w:r>
      <w:fldSimple w:instr=" SEQ Figure_4. \* ARABIC ">
        <w:r w:rsidR="00E153CE">
          <w:rPr>
            <w:noProof/>
          </w:rPr>
          <w:t>3</w:t>
        </w:r>
      </w:fldSimple>
      <w:r w:rsidRPr="002A2CA8">
        <w:t xml:space="preserve"> B</w:t>
      </w:r>
      <w:r w:rsidR="0019281B" w:rsidRPr="002A2CA8">
        <w:t>LACKLAND</w:t>
      </w:r>
      <w:r w:rsidRPr="002A2CA8">
        <w:t xml:space="preserve"> Neighborhood Center Project </w:t>
      </w:r>
      <w:r w:rsidR="00BC65CA" w:rsidRPr="002A2CA8">
        <w:t>U</w:t>
      </w:r>
      <w:r w:rsidR="002A2CA8" w:rsidRPr="002A2CA8">
        <w:t xml:space="preserve">niv </w:t>
      </w:r>
      <w:r w:rsidR="00BC65CA" w:rsidRPr="002A2CA8">
        <w:t>T</w:t>
      </w:r>
      <w:r w:rsidR="00267572" w:rsidRPr="002A2CA8">
        <w:t xml:space="preserve">exas-Austin </w:t>
      </w:r>
      <w:r w:rsidRPr="002A2CA8">
        <w:t>(2004)</w:t>
      </w:r>
      <w:bookmarkEnd w:id="101"/>
      <w:bookmarkEnd w:id="102"/>
    </w:p>
    <w:p w14:paraId="7F920891" w14:textId="77777777" w:rsidR="00A3104F" w:rsidRPr="00A3104F" w:rsidRDefault="00A3104F" w:rsidP="00A3104F">
      <w:pPr>
        <w:spacing w:after="160"/>
        <w:ind w:left="0" w:firstLine="0"/>
        <w:jc w:val="left"/>
        <w:rPr>
          <w:rFonts w:cs="Times New Roman"/>
          <w:szCs w:val="24"/>
        </w:rPr>
      </w:pPr>
    </w:p>
    <w:p w14:paraId="03DEC8BF" w14:textId="5CF03A9A" w:rsidR="00030C2E" w:rsidRPr="00A3104F" w:rsidRDefault="00A3104F" w:rsidP="00A3104F">
      <w:pPr>
        <w:spacing w:after="160"/>
        <w:ind w:left="0" w:firstLine="0"/>
        <w:jc w:val="left"/>
        <w:rPr>
          <w:rFonts w:cs="Times New Roman"/>
          <w:szCs w:val="24"/>
        </w:rPr>
      </w:pPr>
      <w:r w:rsidRPr="00A3104F">
        <w:rPr>
          <w:rFonts w:cs="Times New Roman"/>
          <w:szCs w:val="24"/>
        </w:rPr>
        <w:lastRenderedPageBreak/>
        <w:t>As part of a plan to acquire one half of Blackland, a vital and well-maintained African American neighborhood, involving the acquisition of a total of 180 parcels for investment purposes, the University of Texas in Austin (U.T.) also bought the houses in this 1 ½ block area. The community opposed the plan and started its own acquisition program for housing development. A homeless advocacy group proposed to use several university-owned buildings to house homeless people, a plan which community residents were initially hesitant about but eventually adopted. The university donated the houses and moving costs and leased a new site to the community for 30 years at a dollar per year. However, rehabilitation of the houses was delayed for four years due to opposition from city of Austin planning and development staff.</w:t>
      </w:r>
    </w:p>
    <w:p w14:paraId="108DDCC3" w14:textId="77777777" w:rsidR="00A3104F" w:rsidRPr="00A3104F" w:rsidRDefault="00A3104F" w:rsidP="00971FBF">
      <w:pPr>
        <w:ind w:left="0" w:firstLine="0"/>
      </w:pPr>
      <w:bookmarkStart w:id="103" w:name="_Toc21516018"/>
      <w:bookmarkStart w:id="104" w:name="_Toc126651385"/>
      <w:r w:rsidRPr="00A3104F">
        <w:t>IRB Interviewee Professional Background:</w:t>
      </w:r>
      <w:bookmarkEnd w:id="103"/>
      <w:bookmarkEnd w:id="104"/>
      <w:r w:rsidRPr="00A3104F">
        <w:t xml:space="preserve"> </w:t>
      </w:r>
    </w:p>
    <w:p w14:paraId="2D5AEEB8" w14:textId="7F7BF7EA" w:rsidR="00A3104F" w:rsidRPr="00A3104F" w:rsidRDefault="00A3104F" w:rsidP="00A3104F">
      <w:pPr>
        <w:spacing w:after="160"/>
        <w:ind w:left="0" w:firstLine="0"/>
        <w:jc w:val="left"/>
        <w:rPr>
          <w:rFonts w:cs="Times New Roman"/>
          <w:szCs w:val="24"/>
        </w:rPr>
      </w:pPr>
      <w:r w:rsidRPr="00A3104F">
        <w:rPr>
          <w:rFonts w:cs="Times New Roman"/>
          <w:szCs w:val="24"/>
        </w:rPr>
        <w:t xml:space="preserve">As part of the University of Texas Real Estate System which is composed of 12 campus units across the state of Texas, the Campus Director of Real Estate has been directly involved with 10-12 expansions over the past 15 years at the University of Texas Austin [UTA]. In an initial statement concerning the approach to land assembly at UTA, the respondent asserted that there is no standard template that university real estate agents follow while conducting land assembly negotiations. </w:t>
      </w:r>
      <w:r w:rsidR="0083485E" w:rsidRPr="00A3104F">
        <w:rPr>
          <w:rFonts w:cs="Times New Roman"/>
          <w:szCs w:val="24"/>
        </w:rPr>
        <w:t>Furthermore,</w:t>
      </w:r>
      <w:r w:rsidRPr="00A3104F">
        <w:rPr>
          <w:rFonts w:cs="Times New Roman"/>
          <w:szCs w:val="24"/>
        </w:rPr>
        <w:t xml:space="preserve"> it would be a “big mistake” to assume that a standardized plan of procedure might work for all universities or all land assembly projects. It may also be possible to share/exchange experiences between universities, but only tangentially because all land assembly projects are special cases. There is no discernable template, but only common general procedures for conducting land assembly projects.</w:t>
      </w:r>
    </w:p>
    <w:p w14:paraId="1484E66F" w14:textId="533D1FB9" w:rsidR="00A3104F" w:rsidRPr="00A3104F" w:rsidRDefault="00A3104F" w:rsidP="00A3104F">
      <w:pPr>
        <w:spacing w:after="160"/>
        <w:ind w:left="0" w:firstLine="0"/>
        <w:jc w:val="left"/>
        <w:rPr>
          <w:rFonts w:cs="Times New Roman"/>
          <w:szCs w:val="24"/>
        </w:rPr>
      </w:pPr>
      <w:r w:rsidRPr="00A3104F">
        <w:rPr>
          <w:rFonts w:cs="Times New Roman"/>
          <w:szCs w:val="24"/>
        </w:rPr>
        <w:lastRenderedPageBreak/>
        <w:t xml:space="preserve">When initiating a project, the first responsibility of the university real estate official is to be aware of the local culture, including the local market conditions, the state laws governing university acquisitions, and the approval process. Also, there must be knowledge of prior agreements made to previous/current landowners, especially with regard to any prior use of eminent domain, because “communities have a very long memory.” Depending on whether the project is a rural vs. urban setting, each has different price structures and different relationships toward the institution. </w:t>
      </w:r>
      <w:r w:rsidR="0055090C" w:rsidRPr="00A3104F">
        <w:rPr>
          <w:rFonts w:cs="Times New Roman"/>
          <w:szCs w:val="24"/>
        </w:rPr>
        <w:t>The</w:t>
      </w:r>
      <w:r w:rsidRPr="00A3104F">
        <w:rPr>
          <w:rFonts w:cs="Times New Roman"/>
          <w:szCs w:val="24"/>
        </w:rPr>
        <w:t xml:space="preserve"> university real estate official must understand the institutional framework within which the land assembly process is to operate. Furthermore, because every institution has its own culture, e.g., Board of Regents, and the rules governing the university structure make all the difference when initiating a project. Finally, it is paramount to find areas of commonality when considering the possible use of eminent domain. Some fear it or hate it, but it can be fair if used properly. Therefore, know the local eminent domain statutes and </w:t>
      </w:r>
      <w:r w:rsidR="0055090C" w:rsidRPr="00A3104F">
        <w:rPr>
          <w:rFonts w:cs="Times New Roman"/>
          <w:szCs w:val="24"/>
        </w:rPr>
        <w:t>their</w:t>
      </w:r>
      <w:r w:rsidRPr="00A3104F">
        <w:rPr>
          <w:rFonts w:cs="Times New Roman"/>
          <w:szCs w:val="24"/>
        </w:rPr>
        <w:t xml:space="preserve"> historical uses in the respective community.</w:t>
      </w:r>
    </w:p>
    <w:p w14:paraId="4988DEC8" w14:textId="77777777" w:rsidR="00A3104F" w:rsidRDefault="00A3104F" w:rsidP="00A3104F">
      <w:pPr>
        <w:spacing w:after="160"/>
        <w:ind w:left="0" w:firstLine="0"/>
        <w:jc w:val="left"/>
        <w:rPr>
          <w:rFonts w:cs="Times New Roman"/>
          <w:szCs w:val="24"/>
        </w:rPr>
      </w:pPr>
      <w:r w:rsidRPr="00A3104F">
        <w:rPr>
          <w:rFonts w:cs="Times New Roman"/>
          <w:szCs w:val="24"/>
        </w:rPr>
        <w:t xml:space="preserve">As a contribution to Perry and Wiewel’s study of the role of the university in urban real estate development (2004), the following guidelines were recommended independently by the interviewee concerning the organization and application of community development principles in the university-community real estate development relationship: </w:t>
      </w:r>
    </w:p>
    <w:p w14:paraId="38FA793D" w14:textId="77777777" w:rsidR="00CF4CE7" w:rsidRDefault="00CF4CE7" w:rsidP="00A3104F">
      <w:pPr>
        <w:spacing w:after="160"/>
        <w:ind w:left="0" w:firstLine="0"/>
        <w:jc w:val="left"/>
        <w:rPr>
          <w:rFonts w:cs="Times New Roman"/>
          <w:szCs w:val="24"/>
        </w:rPr>
      </w:pPr>
    </w:p>
    <w:p w14:paraId="6E715E08" w14:textId="77777777" w:rsidR="00136720" w:rsidRDefault="00136720" w:rsidP="00A3104F">
      <w:pPr>
        <w:spacing w:after="160"/>
        <w:ind w:left="0" w:firstLine="0"/>
        <w:jc w:val="left"/>
        <w:rPr>
          <w:rFonts w:cs="Times New Roman"/>
          <w:szCs w:val="24"/>
        </w:rPr>
      </w:pPr>
    </w:p>
    <w:p w14:paraId="140F518C" w14:textId="77777777" w:rsidR="00136720" w:rsidRPr="00A3104F" w:rsidRDefault="00136720" w:rsidP="00A3104F">
      <w:pPr>
        <w:spacing w:after="160"/>
        <w:ind w:left="0" w:firstLine="0"/>
        <w:jc w:val="left"/>
        <w:rPr>
          <w:rFonts w:cs="Times New Roman"/>
          <w:szCs w:val="24"/>
        </w:rPr>
      </w:pPr>
    </w:p>
    <w:p w14:paraId="22D769D0" w14:textId="77777777" w:rsidR="00A3104F" w:rsidRPr="00A3104F" w:rsidRDefault="00A3104F" w:rsidP="00971FBF">
      <w:pPr>
        <w:ind w:left="0" w:firstLine="0"/>
      </w:pPr>
      <w:bookmarkStart w:id="105" w:name="_Toc21516019"/>
      <w:bookmarkStart w:id="106" w:name="_Toc126651386"/>
      <w:r w:rsidRPr="00A3104F">
        <w:lastRenderedPageBreak/>
        <w:t>1. Institutional Framework/Culture</w:t>
      </w:r>
      <w:bookmarkEnd w:id="105"/>
      <w:bookmarkEnd w:id="106"/>
    </w:p>
    <w:p w14:paraId="3D030B28" w14:textId="53217C05" w:rsidR="00A3104F" w:rsidRPr="00A3104F" w:rsidRDefault="00A3104F" w:rsidP="00A3104F">
      <w:pPr>
        <w:spacing w:after="160"/>
        <w:ind w:left="0" w:firstLine="0"/>
        <w:jc w:val="left"/>
        <w:rPr>
          <w:rFonts w:cs="Times New Roman"/>
          <w:szCs w:val="24"/>
        </w:rPr>
      </w:pPr>
      <w:r w:rsidRPr="00A3104F">
        <w:rPr>
          <w:rFonts w:cs="Times New Roman"/>
          <w:szCs w:val="24"/>
        </w:rPr>
        <w:t xml:space="preserve">It is necessary to first recognize that every university has its own unique institutional culture and is equally a product of its state and local economy.  The university structure is governed by the State Board of Regents, which sets rules and regulations regarding real estate transactions, and which in turn determines whether the university is aggressive or cautious in its real estate transactions. Furthermore, depending on whether the university is public or private, the public sector enabling legislation governs how the university real estate transaction process is organized. The distinct feature between public and private institutions is Eminent Domain. Private Institutions do not have access to eminent domain, but they do have “other freedoms”. For example, private universities are not subject to open records restrictions, which allow them to acquire land through </w:t>
      </w:r>
      <w:r w:rsidR="0055090C">
        <w:rPr>
          <w:rFonts w:cs="Times New Roman"/>
          <w:szCs w:val="24"/>
        </w:rPr>
        <w:t>straw purchasing/</w:t>
      </w:r>
      <w:r w:rsidRPr="00A3104F">
        <w:rPr>
          <w:rFonts w:cs="Times New Roman"/>
          <w:szCs w:val="24"/>
        </w:rPr>
        <w:t>blind agency.</w:t>
      </w:r>
    </w:p>
    <w:p w14:paraId="38CFD905" w14:textId="77777777" w:rsidR="00A3104F" w:rsidRPr="00A3104F" w:rsidRDefault="00A3104F" w:rsidP="00971FBF">
      <w:pPr>
        <w:ind w:left="0" w:firstLine="0"/>
      </w:pPr>
      <w:bookmarkStart w:id="107" w:name="_Toc21516020"/>
      <w:bookmarkStart w:id="108" w:name="_Toc126651387"/>
      <w:r w:rsidRPr="00A3104F">
        <w:t>2. Negotiation Procedures and Ethics</w:t>
      </w:r>
      <w:bookmarkEnd w:id="107"/>
      <w:bookmarkEnd w:id="108"/>
    </w:p>
    <w:p w14:paraId="18C56657" w14:textId="771F10D7" w:rsidR="00A3104F" w:rsidRPr="00A3104F" w:rsidRDefault="00A3104F" w:rsidP="00A3104F">
      <w:pPr>
        <w:spacing w:after="160"/>
        <w:ind w:left="0" w:firstLine="0"/>
        <w:jc w:val="left"/>
        <w:rPr>
          <w:rFonts w:cs="Times New Roman"/>
          <w:szCs w:val="24"/>
        </w:rPr>
      </w:pPr>
      <w:r w:rsidRPr="00A3104F">
        <w:rPr>
          <w:rFonts w:cs="Times New Roman"/>
          <w:szCs w:val="24"/>
        </w:rPr>
        <w:t xml:space="preserve">The first rule in negotiating is to “be upfront and be honest”; tell them what your process/project is. For example, if by using eminent domain it allows landowners tax-free reinvestment of proceeds; inform them of these tax advantages. On the other hand, if you have no intention to use ED, should you mention the possible advantages of ED? The university representative should “build bridges to make the transactions work.” Therefore, familiarize both yourself and </w:t>
      </w:r>
      <w:r w:rsidR="0055090C" w:rsidRPr="00A3104F">
        <w:rPr>
          <w:rFonts w:cs="Times New Roman"/>
          <w:szCs w:val="24"/>
        </w:rPr>
        <w:t>the landowner</w:t>
      </w:r>
      <w:r w:rsidRPr="00A3104F">
        <w:rPr>
          <w:rFonts w:cs="Times New Roman"/>
          <w:szCs w:val="24"/>
        </w:rPr>
        <w:t xml:space="preserve"> with local ED rules.</w:t>
      </w:r>
    </w:p>
    <w:p w14:paraId="67F3E30E" w14:textId="77777777" w:rsidR="00A3104F" w:rsidRPr="00A3104F" w:rsidRDefault="00A3104F" w:rsidP="00971FBF">
      <w:pPr>
        <w:ind w:left="0" w:firstLine="0"/>
      </w:pPr>
      <w:bookmarkStart w:id="109" w:name="_Toc21516021"/>
      <w:bookmarkStart w:id="110" w:name="_Toc126651388"/>
      <w:r w:rsidRPr="00A3104F">
        <w:t>3. Land Assembly Site Selection/Preparation</w:t>
      </w:r>
      <w:bookmarkEnd w:id="109"/>
      <w:bookmarkEnd w:id="110"/>
    </w:p>
    <w:p w14:paraId="125A8CEB" w14:textId="1A3B2407" w:rsidR="00A3104F" w:rsidRPr="00A3104F" w:rsidRDefault="00A3104F" w:rsidP="00A3104F">
      <w:pPr>
        <w:spacing w:after="160"/>
        <w:ind w:left="0" w:firstLine="0"/>
        <w:jc w:val="left"/>
        <w:rPr>
          <w:rFonts w:cs="Times New Roman"/>
          <w:szCs w:val="24"/>
        </w:rPr>
      </w:pPr>
      <w:r w:rsidRPr="00A3104F">
        <w:rPr>
          <w:rFonts w:cs="Times New Roman"/>
          <w:szCs w:val="24"/>
        </w:rPr>
        <w:t xml:space="preserve">Begin with a completed/authorized Master Plan to declare the long horizon “Target Acquisition Zone”. Buy properties as they become available. Buy openly as the </w:t>
      </w:r>
      <w:r w:rsidRPr="00A3104F">
        <w:rPr>
          <w:rFonts w:cs="Times New Roman"/>
          <w:szCs w:val="24"/>
        </w:rPr>
        <w:lastRenderedPageBreak/>
        <w:t>University, not as a blind agent</w:t>
      </w:r>
      <w:r w:rsidR="006844CF">
        <w:rPr>
          <w:rFonts w:cs="Times New Roman"/>
          <w:szCs w:val="24"/>
        </w:rPr>
        <w:t xml:space="preserve">, which </w:t>
      </w:r>
      <w:r w:rsidRPr="00A3104F">
        <w:rPr>
          <w:rFonts w:cs="Times New Roman"/>
          <w:szCs w:val="24"/>
        </w:rPr>
        <w:t>creates mistrust. The private sector, including private universities</w:t>
      </w:r>
      <w:r w:rsidR="001C62CD">
        <w:rPr>
          <w:rFonts w:cs="Times New Roman"/>
          <w:szCs w:val="24"/>
        </w:rPr>
        <w:t>,</w:t>
      </w:r>
      <w:r w:rsidRPr="00A3104F">
        <w:rPr>
          <w:rFonts w:cs="Times New Roman"/>
          <w:szCs w:val="24"/>
        </w:rPr>
        <w:t xml:space="preserve"> uses blind agen</w:t>
      </w:r>
      <w:r w:rsidR="006844CF">
        <w:rPr>
          <w:rFonts w:cs="Times New Roman"/>
          <w:szCs w:val="24"/>
        </w:rPr>
        <w:t>ts</w:t>
      </w:r>
      <w:r w:rsidRPr="00A3104F">
        <w:rPr>
          <w:rFonts w:cs="Times New Roman"/>
          <w:szCs w:val="24"/>
        </w:rPr>
        <w:t xml:space="preserve"> all the time</w:t>
      </w:r>
      <w:r w:rsidR="006844CF">
        <w:rPr>
          <w:rFonts w:cs="Times New Roman"/>
          <w:szCs w:val="24"/>
        </w:rPr>
        <w:t>,</w:t>
      </w:r>
      <w:r w:rsidRPr="00A3104F">
        <w:rPr>
          <w:rFonts w:cs="Times New Roman"/>
          <w:szCs w:val="24"/>
        </w:rPr>
        <w:t xml:space="preserve"> since they are not subject to open record</w:t>
      </w:r>
      <w:r w:rsidR="001C62CD">
        <w:rPr>
          <w:rFonts w:cs="Times New Roman"/>
          <w:szCs w:val="24"/>
        </w:rPr>
        <w:t>s regulations</w:t>
      </w:r>
      <w:r w:rsidRPr="00A3104F">
        <w:rPr>
          <w:rFonts w:cs="Times New Roman"/>
          <w:szCs w:val="24"/>
        </w:rPr>
        <w:t>. Because land purchases can become time-sensitive, urgency vs. longer time-horizon buying strategies lead to a bigger problem, namely market volatility can increase fair market value.</w:t>
      </w:r>
    </w:p>
    <w:p w14:paraId="36DCDE60" w14:textId="77777777" w:rsidR="00A3104F" w:rsidRPr="00A3104F" w:rsidRDefault="00A3104F" w:rsidP="001933C0">
      <w:pPr>
        <w:ind w:left="0" w:firstLine="0"/>
      </w:pPr>
      <w:bookmarkStart w:id="111" w:name="_Toc21516022"/>
      <w:bookmarkStart w:id="112" w:name="_Toc126651389"/>
      <w:r w:rsidRPr="00A3104F">
        <w:t>4. “University Use” as “Public Use” Determination:</w:t>
      </w:r>
      <w:bookmarkEnd w:id="111"/>
      <w:bookmarkEnd w:id="112"/>
    </w:p>
    <w:p w14:paraId="524BDBE5" w14:textId="77777777" w:rsidR="00A3104F" w:rsidRPr="00A3104F" w:rsidRDefault="00A3104F" w:rsidP="00A3104F">
      <w:pPr>
        <w:spacing w:after="160"/>
        <w:ind w:left="0" w:firstLine="0"/>
        <w:jc w:val="left"/>
        <w:rPr>
          <w:rFonts w:cs="Times New Roman"/>
          <w:szCs w:val="24"/>
        </w:rPr>
      </w:pPr>
      <w:r w:rsidRPr="00A3104F">
        <w:rPr>
          <w:rFonts w:cs="Times New Roman"/>
          <w:szCs w:val="24"/>
        </w:rPr>
        <w:t>While most state (and especially federal) statutes are similar, it is important to observe that every institution has its own culture, namely concerning public acceptance or rejection of the use of eminent domain by a university. An interesting innovation in university land assembly involves “cross-over use” by private University Foundation, namely where land is condemned through ED and then turned over to a private University Foundation. One example of such a cross-over use involved the development of a Hotel Conference Center on University of Texas grounds transferred through ED to a private University Foundation.</w:t>
      </w:r>
    </w:p>
    <w:p w14:paraId="433FC3EC" w14:textId="77777777" w:rsidR="00A3104F" w:rsidRPr="00A3104F" w:rsidRDefault="00A3104F" w:rsidP="001933C0">
      <w:pPr>
        <w:ind w:left="0" w:firstLine="0"/>
      </w:pPr>
      <w:bookmarkStart w:id="113" w:name="_Toc21516023"/>
      <w:bookmarkStart w:id="114" w:name="_Toc126651390"/>
      <w:r w:rsidRPr="00A3104F">
        <w:t>5. Innovative Negotiation/Agreement Strategies:</w:t>
      </w:r>
      <w:bookmarkEnd w:id="113"/>
      <w:bookmarkEnd w:id="114"/>
      <w:r w:rsidRPr="00A3104F">
        <w:t xml:space="preserve"> </w:t>
      </w:r>
    </w:p>
    <w:p w14:paraId="004C0583" w14:textId="5D5AD52C" w:rsidR="00A3104F" w:rsidRPr="00A3104F" w:rsidRDefault="00A3104F" w:rsidP="00A3104F">
      <w:pPr>
        <w:spacing w:after="160"/>
        <w:ind w:left="0" w:firstLine="0"/>
        <w:jc w:val="left"/>
        <w:rPr>
          <w:rFonts w:cs="Times New Roman"/>
          <w:szCs w:val="24"/>
        </w:rPr>
      </w:pPr>
      <w:r w:rsidRPr="00A3104F">
        <w:rPr>
          <w:rFonts w:cs="Times New Roman"/>
          <w:szCs w:val="24"/>
        </w:rPr>
        <w:t xml:space="preserve">Strive to exercise open, “good faith” negotiations with landowners. Try to find a mutually agreeable value constrained by fair market value. In certain cases, you may structure an agreement that allows landowners to generate revenue by strategically delaying/extending the closing dates. Use ED as bargaining device, for example, where the owner of the condemned property may receive tax credits.  Propose a swap for comparable university property or in-trade for other non-domicile assets. Provide house-moving services free-of-charge to help current </w:t>
      </w:r>
      <w:r w:rsidR="001C62CD" w:rsidRPr="00A3104F">
        <w:rPr>
          <w:rFonts w:cs="Times New Roman"/>
          <w:szCs w:val="24"/>
        </w:rPr>
        <w:t>owners</w:t>
      </w:r>
      <w:r w:rsidRPr="00A3104F">
        <w:rPr>
          <w:rFonts w:cs="Times New Roman"/>
          <w:szCs w:val="24"/>
        </w:rPr>
        <w:t xml:space="preserve"> relocate their existing </w:t>
      </w:r>
      <w:r w:rsidRPr="00A3104F">
        <w:rPr>
          <w:rFonts w:cs="Times New Roman"/>
          <w:szCs w:val="24"/>
        </w:rPr>
        <w:lastRenderedPageBreak/>
        <w:t xml:space="preserve">home </w:t>
      </w:r>
      <w:r w:rsidR="00F652F1" w:rsidRPr="00A3104F">
        <w:rPr>
          <w:rFonts w:cs="Times New Roman"/>
          <w:szCs w:val="24"/>
        </w:rPr>
        <w:t>to</w:t>
      </w:r>
      <w:r w:rsidRPr="00A3104F">
        <w:rPr>
          <w:rFonts w:cs="Times New Roman"/>
          <w:szCs w:val="24"/>
        </w:rPr>
        <w:t xml:space="preserve"> new premises. Finally, encourage landowners to show “community spirit” and donate property in open transactions to the university in exchange for tax credits and public recognition, e.g., getting their name on a donor plaque. </w:t>
      </w:r>
    </w:p>
    <w:p w14:paraId="7F7C1EB8" w14:textId="77777777" w:rsidR="00A3104F" w:rsidRPr="00A3104F" w:rsidRDefault="00A3104F" w:rsidP="001933C0">
      <w:pPr>
        <w:ind w:left="0" w:firstLine="0"/>
      </w:pPr>
      <w:bookmarkStart w:id="115" w:name="_Toc21516024"/>
      <w:bookmarkStart w:id="116" w:name="_Toc126651391"/>
      <w:r w:rsidRPr="00A3104F">
        <w:t>6. Landowner Hold Out Motives/Alleviation Strategies:</w:t>
      </w:r>
      <w:bookmarkEnd w:id="115"/>
      <w:bookmarkEnd w:id="116"/>
      <w:r w:rsidRPr="00A3104F">
        <w:t xml:space="preserve">  </w:t>
      </w:r>
    </w:p>
    <w:p w14:paraId="57B37886" w14:textId="77777777" w:rsidR="00A3104F" w:rsidRPr="00A3104F" w:rsidRDefault="00A3104F" w:rsidP="00A3104F">
      <w:pPr>
        <w:spacing w:after="160"/>
        <w:ind w:left="0" w:firstLine="0"/>
        <w:jc w:val="left"/>
        <w:rPr>
          <w:rFonts w:cs="Times New Roman"/>
          <w:szCs w:val="24"/>
        </w:rPr>
      </w:pPr>
      <w:r w:rsidRPr="00A3104F">
        <w:rPr>
          <w:rFonts w:cs="Times New Roman"/>
          <w:szCs w:val="24"/>
        </w:rPr>
        <w:t>Landowners often hold out the sale of their home for purely sentimental reasons, leading them to form an unrealistic or irrational valuation of their property. The University may simply exercise patience and wait for a change in ownership due to economic hardship or natural causes. There are two potential bargaining scenarios where landowners will hold out for an exorbitant price. Given that open records restrictions require universities to declare their target areas of land acquisition, some landowners will be motivated to “buy in front of the University” and then hold out. Secondly, the landowner of the last needed property may also hold out. While it is sometimes possible to “design around” holdouts, alternative sites are not available in most cases, hence forcing the University to consider “playing the ED card”.</w:t>
      </w:r>
    </w:p>
    <w:p w14:paraId="1B238253" w14:textId="77777777" w:rsidR="00A3104F" w:rsidRPr="00A3104F" w:rsidRDefault="00A3104F" w:rsidP="001933C0">
      <w:pPr>
        <w:ind w:left="0" w:firstLine="0"/>
      </w:pPr>
      <w:bookmarkStart w:id="117" w:name="_Toc21516025"/>
      <w:bookmarkStart w:id="118" w:name="_Toc126651392"/>
      <w:r w:rsidRPr="00A3104F">
        <w:t>7. Standardized Negotiation/Transaction Procedures:</w:t>
      </w:r>
      <w:bookmarkEnd w:id="117"/>
      <w:bookmarkEnd w:id="118"/>
    </w:p>
    <w:p w14:paraId="3C4B753B" w14:textId="77777777" w:rsidR="00A3104F" w:rsidRPr="00A3104F" w:rsidRDefault="00A3104F" w:rsidP="00A3104F">
      <w:pPr>
        <w:spacing w:after="160"/>
        <w:ind w:left="0" w:firstLine="0"/>
        <w:jc w:val="left"/>
        <w:rPr>
          <w:rFonts w:cs="Times New Roman"/>
          <w:szCs w:val="24"/>
        </w:rPr>
      </w:pPr>
      <w:r w:rsidRPr="00A3104F">
        <w:rPr>
          <w:rFonts w:cs="Times New Roman"/>
          <w:szCs w:val="24"/>
        </w:rPr>
        <w:t>It is a standard practice in the State of Texas to require an authorized, independent real estate appraisal of full, fair market value for each property. Landowners must provide clear title, all applicable environmental/regulatory standards must be met, and the University is constrained by law to buy at lowest cost.</w:t>
      </w:r>
    </w:p>
    <w:p w14:paraId="35DD326C" w14:textId="77777777" w:rsidR="00A3104F" w:rsidRPr="00A3104F" w:rsidRDefault="00A3104F" w:rsidP="001933C0">
      <w:pPr>
        <w:ind w:left="0" w:firstLine="0"/>
      </w:pPr>
      <w:r w:rsidRPr="00A3104F">
        <w:t xml:space="preserve">8. Incomplete Bargaining Information: </w:t>
      </w:r>
    </w:p>
    <w:p w14:paraId="01E438D9" w14:textId="77777777" w:rsidR="00A3104F" w:rsidRPr="00A3104F" w:rsidRDefault="00A3104F" w:rsidP="00A3104F">
      <w:pPr>
        <w:spacing w:after="160"/>
        <w:ind w:left="0" w:firstLine="0"/>
        <w:jc w:val="left"/>
        <w:rPr>
          <w:rFonts w:cs="Times New Roman"/>
          <w:szCs w:val="24"/>
        </w:rPr>
      </w:pPr>
      <w:r w:rsidRPr="00A3104F">
        <w:rPr>
          <w:rFonts w:cs="Times New Roman"/>
          <w:szCs w:val="24"/>
        </w:rPr>
        <w:t xml:space="preserve">Landowners may not always know or understand appraisal theory/methods, making them uninformed or naïve during negotiations, but information is readily available to </w:t>
      </w:r>
      <w:r w:rsidRPr="00A3104F">
        <w:rPr>
          <w:rFonts w:cs="Times New Roman"/>
          <w:szCs w:val="24"/>
        </w:rPr>
        <w:lastRenderedPageBreak/>
        <w:t>the novice landowner. Nevertheless, if for example a landowner wants $50K for a property when the University knows it’s worth $75K, the university real estate agent is not constrained “to give full information” during negotiations. In fact, they have a fiduciary responsibility to save money for the University.</w:t>
      </w:r>
    </w:p>
    <w:p w14:paraId="2B65879E" w14:textId="5055947D" w:rsidR="00A3104F" w:rsidRPr="00A3104F" w:rsidRDefault="00A3104F" w:rsidP="000D3799">
      <w:pPr>
        <w:ind w:left="0" w:firstLine="0"/>
      </w:pPr>
      <w:bookmarkStart w:id="119" w:name="_Toc21516026"/>
      <w:bookmarkStart w:id="120" w:name="_Toc126651393"/>
      <w:r w:rsidRPr="00A3104F">
        <w:t>9. Concluding Remarks:</w:t>
      </w:r>
      <w:bookmarkEnd w:id="119"/>
      <w:bookmarkEnd w:id="120"/>
    </w:p>
    <w:p w14:paraId="7110875F" w14:textId="77777777" w:rsidR="00A3104F" w:rsidRPr="00A3104F" w:rsidRDefault="00A3104F" w:rsidP="00A3104F">
      <w:pPr>
        <w:spacing w:after="160"/>
        <w:ind w:left="0" w:firstLine="0"/>
        <w:jc w:val="left"/>
        <w:rPr>
          <w:rFonts w:cs="Times New Roman"/>
          <w:szCs w:val="24"/>
        </w:rPr>
      </w:pPr>
      <w:r w:rsidRPr="00A3104F">
        <w:rPr>
          <w:rFonts w:cs="Times New Roman"/>
          <w:szCs w:val="24"/>
        </w:rPr>
        <w:t>In conclusion, the simple maxim to be observed during all university land assembly negotiations should be: “Always deal so you can deal with next guy”.</w:t>
      </w:r>
    </w:p>
    <w:p w14:paraId="22264997" w14:textId="576ACEAF" w:rsidR="00A3104F" w:rsidRPr="00A3104F" w:rsidRDefault="00A3104F" w:rsidP="00EE6A7A">
      <w:pPr>
        <w:pStyle w:val="Heading2"/>
      </w:pPr>
      <w:bookmarkStart w:id="121" w:name="_Toc126651394"/>
      <w:bookmarkStart w:id="122" w:name="_Toc134346746"/>
      <w:bookmarkStart w:id="123" w:name="_Toc21516027"/>
      <w:r w:rsidRPr="00A3104F">
        <w:t>IRB Study #</w:t>
      </w:r>
      <w:r w:rsidR="000D3799">
        <w:t>3</w:t>
      </w:r>
      <w:r w:rsidRPr="00A3104F">
        <w:t xml:space="preserve">: South Campus Expansion </w:t>
      </w:r>
      <w:r w:rsidR="00B91AAA">
        <w:t xml:space="preserve">Project </w:t>
      </w:r>
      <w:r w:rsidRPr="00A3104F">
        <w:t>U</w:t>
      </w:r>
      <w:r w:rsidR="00B91AAA">
        <w:t>I</w:t>
      </w:r>
      <w:r w:rsidR="00323716">
        <w:t>-</w:t>
      </w:r>
      <w:r w:rsidRPr="00A3104F">
        <w:t>Urbana-Champaign (200</w:t>
      </w:r>
      <w:r w:rsidR="00DB495D">
        <w:t>6</w:t>
      </w:r>
      <w:r w:rsidRPr="00A3104F">
        <w:t>)</w:t>
      </w:r>
      <w:bookmarkEnd w:id="121"/>
      <w:bookmarkEnd w:id="122"/>
      <w:r w:rsidRPr="00A3104F">
        <w:t xml:space="preserve"> </w:t>
      </w:r>
    </w:p>
    <w:p w14:paraId="31E1E5EC" w14:textId="77777777" w:rsidR="00A3104F" w:rsidRPr="00A3104F" w:rsidRDefault="00A3104F" w:rsidP="000D3799">
      <w:pPr>
        <w:ind w:left="0" w:firstLine="0"/>
      </w:pPr>
      <w:bookmarkStart w:id="124" w:name="_Toc126651395"/>
      <w:r w:rsidRPr="00A3104F">
        <w:t>“Tier 1” Interviewee: Dan Crawmer</w:t>
      </w:r>
      <w:bookmarkEnd w:id="123"/>
      <w:r w:rsidRPr="00A3104F">
        <w:t xml:space="preserve"> [Conducted 2/17/2006]</w:t>
      </w:r>
      <w:bookmarkEnd w:id="124"/>
    </w:p>
    <w:p w14:paraId="423E4DD3" w14:textId="77777777" w:rsidR="00A3104F" w:rsidRPr="00A3104F" w:rsidRDefault="00A3104F" w:rsidP="00F6781F">
      <w:bookmarkStart w:id="125" w:name="_Toc126651396"/>
      <w:r w:rsidRPr="00A3104F">
        <w:rPr>
          <w:noProof/>
        </w:rPr>
        <w:drawing>
          <wp:inline distT="0" distB="0" distL="0" distR="0" wp14:anchorId="5B3D4690" wp14:editId="58C8E48B">
            <wp:extent cx="5225143" cy="2939108"/>
            <wp:effectExtent l="0" t="0" r="0" b="0"/>
            <wp:docPr id="24" name="Picture 2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Map&#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72411" cy="2965696"/>
                    </a:xfrm>
                    <a:prstGeom prst="rect">
                      <a:avLst/>
                    </a:prstGeom>
                    <a:noFill/>
                  </pic:spPr>
                </pic:pic>
              </a:graphicData>
            </a:graphic>
          </wp:inline>
        </w:drawing>
      </w:r>
      <w:bookmarkEnd w:id="125"/>
    </w:p>
    <w:p w14:paraId="6B3C6F3E" w14:textId="2D16E945" w:rsidR="00A3104F" w:rsidRPr="009834DB" w:rsidRDefault="00455777" w:rsidP="009834DB">
      <w:pPr>
        <w:pStyle w:val="Figures"/>
      </w:pPr>
      <w:bookmarkStart w:id="126" w:name="_Toc127439140"/>
      <w:r w:rsidRPr="009834DB">
        <w:t xml:space="preserve">Figure 4.4 </w:t>
      </w:r>
      <w:r w:rsidR="00C34C5D" w:rsidRPr="009834DB">
        <w:t xml:space="preserve">South Campus Expansion </w:t>
      </w:r>
      <w:r w:rsidR="00267572" w:rsidRPr="009834DB">
        <w:t>Project U</w:t>
      </w:r>
      <w:r w:rsidR="00826386" w:rsidRPr="009834DB">
        <w:t>niv</w:t>
      </w:r>
      <w:r w:rsidR="007C7A95" w:rsidRPr="009834DB">
        <w:t xml:space="preserve"> Ill -U</w:t>
      </w:r>
      <w:r w:rsidR="00E710AD" w:rsidRPr="009834DB">
        <w:t>rbana-</w:t>
      </w:r>
      <w:r w:rsidR="007C7A95" w:rsidRPr="009834DB">
        <w:t>C</w:t>
      </w:r>
      <w:r w:rsidR="00E710AD" w:rsidRPr="009834DB">
        <w:t>hampaign</w:t>
      </w:r>
      <w:r w:rsidR="00C34C5D" w:rsidRPr="009834DB">
        <w:t xml:space="preserve"> (200</w:t>
      </w:r>
      <w:r w:rsidR="00826386" w:rsidRPr="009834DB">
        <w:t>4</w:t>
      </w:r>
      <w:r w:rsidR="00C34C5D" w:rsidRPr="009834DB">
        <w:t>)</w:t>
      </w:r>
      <w:bookmarkEnd w:id="126"/>
    </w:p>
    <w:p w14:paraId="08848454" w14:textId="77777777" w:rsidR="00A3104F" w:rsidRPr="00A3104F" w:rsidRDefault="00A3104F" w:rsidP="00A3104F">
      <w:pPr>
        <w:spacing w:after="160"/>
        <w:ind w:left="0" w:firstLine="0"/>
        <w:jc w:val="left"/>
        <w:rPr>
          <w:rFonts w:cs="Times New Roman"/>
          <w:szCs w:val="24"/>
        </w:rPr>
      </w:pPr>
      <w:r w:rsidRPr="00A3104F">
        <w:rPr>
          <w:rFonts w:cs="Times New Roman"/>
          <w:szCs w:val="24"/>
        </w:rPr>
        <w:t xml:space="preserve">According to the Master Plan of the University of Illinois at Urbana-Champaign, during the first decades of the twenty-first century, the South Campus will be required to increase in land area by fifty percent and nearly 1.9 million square feet of new buildings </w:t>
      </w:r>
      <w:r w:rsidRPr="00A3104F">
        <w:rPr>
          <w:rFonts w:cs="Times New Roman"/>
          <w:szCs w:val="24"/>
        </w:rPr>
        <w:lastRenderedPageBreak/>
        <w:t>will need to be added. The purpose of the South Campus Master Plan was to guide future change on the South Campus by defining the organization of land uses, patterns of vehicle and pedestrian circulation, and the structure of campus open space. The South Campus is a university-owned land area of approximately 3,400 acres (five square miles). The College of Agriculture, Consumer and Environmental Sciences (ACES) is presently assigned 2,727 acres, or 79 percent of the South Campus. The South Campus is surrounded on the north, east and west by land that is largely developed in institutional, residential, and commercial uses. The south and southeast boundaries abut agricultural land.</w:t>
      </w:r>
    </w:p>
    <w:p w14:paraId="5ED54615" w14:textId="00B0D959" w:rsidR="00A3104F" w:rsidRPr="00A3104F" w:rsidRDefault="00A3104F" w:rsidP="00A3104F">
      <w:pPr>
        <w:spacing w:after="160"/>
        <w:ind w:left="0" w:firstLine="0"/>
        <w:jc w:val="left"/>
        <w:rPr>
          <w:rFonts w:cs="Times New Roman"/>
          <w:szCs w:val="24"/>
        </w:rPr>
      </w:pPr>
      <w:r w:rsidRPr="00A3104F">
        <w:rPr>
          <w:rFonts w:cs="Times New Roman"/>
          <w:szCs w:val="24"/>
        </w:rPr>
        <w:t>The objectives of the South Campus Master Plan are: (1) To accommodate the long-term research land replacement and growth needs of the College of ACES in a way that fosters interdisciplinary relationships, efficiency of operation, matches program needs to the characteristics of the land and maintains close proximity to the main campus. (2) To accommodate the land and building requirements of other University units on the South Campus and develop land use patterns that consolidate related uses, encourage land conservation, and create useful open space and natural areas for research, recreational and educational purposes. (3) To improve pedestrian and bicycle systems on the South Campus and enhance the landscape quality along pedestrian, bicycle, and vehicular corridors. (4) To avoid circumstances where public roads compromise the safety and efficient operation of the South Campus research facilities. (5) To identify land for acquisition and possible sale or exchange.</w:t>
      </w:r>
    </w:p>
    <w:p w14:paraId="36EE7CFB" w14:textId="77777777" w:rsidR="00A3104F" w:rsidRPr="00A3104F" w:rsidRDefault="00A3104F" w:rsidP="00A3104F">
      <w:pPr>
        <w:spacing w:after="160"/>
        <w:ind w:left="0" w:firstLine="0"/>
        <w:jc w:val="center"/>
        <w:rPr>
          <w:rFonts w:cs="Times New Roman"/>
          <w:szCs w:val="24"/>
        </w:rPr>
      </w:pPr>
      <w:r w:rsidRPr="00A3104F">
        <w:rPr>
          <w:rFonts w:cs="Times New Roman"/>
          <w:noProof/>
          <w:szCs w:val="24"/>
        </w:rPr>
        <w:lastRenderedPageBreak/>
        <w:drawing>
          <wp:inline distT="0" distB="0" distL="0" distR="0" wp14:anchorId="2DF4875B" wp14:editId="18F98640">
            <wp:extent cx="4375618" cy="2590800"/>
            <wp:effectExtent l="0" t="0" r="6350" b="0"/>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08369" cy="2610192"/>
                    </a:xfrm>
                    <a:prstGeom prst="rect">
                      <a:avLst/>
                    </a:prstGeom>
                    <a:noFill/>
                  </pic:spPr>
                </pic:pic>
              </a:graphicData>
            </a:graphic>
          </wp:inline>
        </w:drawing>
      </w:r>
    </w:p>
    <w:p w14:paraId="763D6B7E" w14:textId="2A6D98D1" w:rsidR="00A3104F" w:rsidRPr="00101336" w:rsidRDefault="00A3104F" w:rsidP="00101336">
      <w:pPr>
        <w:pStyle w:val="Figures"/>
      </w:pPr>
      <w:bookmarkStart w:id="127" w:name="_Toc127439141"/>
      <w:r w:rsidRPr="00101336">
        <w:t>Figure 4.</w:t>
      </w:r>
      <w:r w:rsidR="00455777" w:rsidRPr="00101336">
        <w:t>5</w:t>
      </w:r>
      <w:r w:rsidRPr="00101336">
        <w:t xml:space="preserve"> South Campus </w:t>
      </w:r>
      <w:r w:rsidR="007D03BC" w:rsidRPr="00101336">
        <w:t xml:space="preserve">Expansion Project Target </w:t>
      </w:r>
      <w:r w:rsidRPr="00101336">
        <w:t xml:space="preserve">Assembly Area </w:t>
      </w:r>
      <w:r w:rsidR="007D03BC" w:rsidRPr="00101336">
        <w:t>(200</w:t>
      </w:r>
      <w:r w:rsidR="00101336" w:rsidRPr="00101336">
        <w:t>4</w:t>
      </w:r>
      <w:r w:rsidR="007D03BC" w:rsidRPr="00101336">
        <w:t>)</w:t>
      </w:r>
      <w:bookmarkEnd w:id="127"/>
    </w:p>
    <w:p w14:paraId="2D51B776" w14:textId="4AA434DA" w:rsidR="00A3104F" w:rsidRPr="00A3104F" w:rsidRDefault="00A3104F" w:rsidP="00A3104F">
      <w:pPr>
        <w:spacing w:after="160"/>
        <w:ind w:left="0" w:firstLine="0"/>
        <w:jc w:val="left"/>
        <w:rPr>
          <w:rFonts w:cs="Times New Roman"/>
          <w:szCs w:val="24"/>
        </w:rPr>
      </w:pPr>
      <w:r w:rsidRPr="00A3104F">
        <w:rPr>
          <w:rFonts w:cs="Times New Roman"/>
          <w:szCs w:val="24"/>
        </w:rPr>
        <w:t xml:space="preserve">By the spring of 2007, the University had purchased approximately 2500 acres, or roughly 40% of the targeted acquisition area in the South Campus Master Plan. To acquire the land, the standard procedure of the University was to initially contact landowners by mail, to explain the University’s academic need for their land, and to inform them that the University wished to purchase their property if they would be willing to sell.  Of all those contacted, a small percentage (roughly 10%) sold right away, mostly selling large properties. Over time, some sales offers “trickled in”, but these eventually stopped altogether. The University Real Estate Office then identified an order of priority the properties by which they would purchase selected properties and these landowners would then be approached by university negotiators and offered the appraised value for their property. At this point, many of the landowners have hired their own appraisers. However, the State of Illinois places university negotiators under the restrictions that an offer or even the negotiated price cannot be above an acceptable appraised value. At this point, the problem is that a property owner may (and usually </w:t>
      </w:r>
      <w:r w:rsidRPr="00A3104F">
        <w:rPr>
          <w:rFonts w:cs="Times New Roman"/>
          <w:szCs w:val="24"/>
        </w:rPr>
        <w:lastRenderedPageBreak/>
        <w:t>does) hire an appraiser that does not do a proper level of due diligence and writes an unacceptable appraisal with an inflated value. The University cannot and will not accept an appraised value based on faulty assumptions. Consequently, the negotiations always end up in court, and the value is determined by a jury that usually just averages the appraised values. Hence, this bargaining restriction creates long and costly delays in the negotiation process. The interviewee recommends that this restriction be modified so that the university has the ability to negotiate more freely with the holdouts. Specifically, the university negotiator should be permitted unilaterally to average the competing appraisal prices and allow the parties to “split the difference”.  The respondent asserts that by introducing this modification, the standard bargaining procedure would be more efficient</w:t>
      </w:r>
      <w:bookmarkStart w:id="128" w:name="_Toc21516028"/>
      <w:r w:rsidRPr="00A3104F">
        <w:rPr>
          <w:rFonts w:cs="Times New Roman"/>
          <w:szCs w:val="24"/>
        </w:rPr>
        <w:t>.</w:t>
      </w:r>
    </w:p>
    <w:p w14:paraId="32F7F8EB" w14:textId="786ED299" w:rsidR="00A3104F" w:rsidRPr="00A3104F" w:rsidRDefault="00A3104F" w:rsidP="00EE6A7A">
      <w:pPr>
        <w:pStyle w:val="Heading2"/>
      </w:pPr>
      <w:bookmarkStart w:id="129" w:name="_Toc134346747"/>
      <w:r w:rsidRPr="00A3104F">
        <w:t>IRB Study #</w:t>
      </w:r>
      <w:r w:rsidR="00752824">
        <w:t>4</w:t>
      </w:r>
      <w:r w:rsidRPr="00A3104F">
        <w:t xml:space="preserve">: Clifton Heights </w:t>
      </w:r>
      <w:r w:rsidR="00323716">
        <w:t>Revitalization Project</w:t>
      </w:r>
      <w:r w:rsidRPr="00A3104F">
        <w:t xml:space="preserve">   Univ of Cincinnati</w:t>
      </w:r>
      <w:bookmarkEnd w:id="128"/>
      <w:r w:rsidRPr="00A3104F">
        <w:t xml:space="preserve"> (200</w:t>
      </w:r>
      <w:r w:rsidR="00DB495D">
        <w:t>6</w:t>
      </w:r>
      <w:r w:rsidRPr="00A3104F">
        <w:t>)</w:t>
      </w:r>
      <w:bookmarkEnd w:id="129"/>
      <w:r w:rsidRPr="00A3104F">
        <w:t xml:space="preserve"> </w:t>
      </w:r>
      <w:bookmarkStart w:id="130" w:name="_Toc21516029"/>
    </w:p>
    <w:p w14:paraId="6E151B0C" w14:textId="77777777" w:rsidR="00A3104F" w:rsidRPr="00A3104F" w:rsidRDefault="00A3104F" w:rsidP="000612C2">
      <w:pPr>
        <w:spacing w:after="160" w:line="240" w:lineRule="auto"/>
        <w:ind w:left="0" w:firstLine="0"/>
        <w:jc w:val="left"/>
        <w:rPr>
          <w:rFonts w:eastAsiaTheme="majorEastAsia" w:cstheme="majorBidi"/>
          <w:color w:val="000000" w:themeColor="text1"/>
          <w:szCs w:val="26"/>
        </w:rPr>
      </w:pPr>
      <w:r w:rsidRPr="000612C2">
        <w:rPr>
          <w:rFonts w:eastAsiaTheme="majorEastAsia" w:cstheme="majorBidi"/>
          <w:bCs/>
          <w:color w:val="000000" w:themeColor="text1"/>
          <w:szCs w:val="26"/>
        </w:rPr>
        <w:t>“Tier 1” Interviewees</w:t>
      </w:r>
      <w:r w:rsidRPr="00A3104F">
        <w:rPr>
          <w:rFonts w:eastAsiaTheme="majorEastAsia" w:cstheme="majorBidi"/>
          <w:b/>
          <w:color w:val="000000" w:themeColor="text1"/>
          <w:szCs w:val="26"/>
        </w:rPr>
        <w:t xml:space="preserve">: </w:t>
      </w:r>
      <w:r w:rsidRPr="00A3104F">
        <w:rPr>
          <w:rFonts w:eastAsiaTheme="majorEastAsia" w:cstheme="majorBidi"/>
          <w:color w:val="000000" w:themeColor="text1"/>
          <w:szCs w:val="26"/>
        </w:rPr>
        <w:t>Bill Plagge, Univ of Cincinnati; [Conducted 1/23/2006].</w:t>
      </w:r>
    </w:p>
    <w:p w14:paraId="3ABB86BB" w14:textId="77777777" w:rsidR="00A3104F" w:rsidRPr="00A3104F" w:rsidRDefault="00A3104F" w:rsidP="000612C2">
      <w:pPr>
        <w:spacing w:after="160" w:line="240" w:lineRule="auto"/>
        <w:ind w:left="0" w:firstLine="0"/>
        <w:jc w:val="left"/>
        <w:rPr>
          <w:rFonts w:eastAsiaTheme="majorEastAsia" w:cstheme="majorBidi"/>
          <w:b/>
          <w:color w:val="000000" w:themeColor="text1"/>
          <w:szCs w:val="26"/>
        </w:rPr>
      </w:pPr>
      <w:r w:rsidRPr="00A3104F">
        <w:rPr>
          <w:rFonts w:eastAsiaTheme="majorEastAsia" w:cstheme="majorBidi"/>
          <w:color w:val="000000" w:themeColor="text1"/>
          <w:szCs w:val="26"/>
        </w:rPr>
        <w:t>Tom Klumb, City of Cincinnati</w:t>
      </w:r>
      <w:bookmarkEnd w:id="130"/>
      <w:r w:rsidRPr="00A3104F">
        <w:rPr>
          <w:rFonts w:eastAsiaTheme="majorEastAsia" w:cstheme="majorBidi"/>
          <w:color w:val="000000" w:themeColor="text1"/>
          <w:szCs w:val="26"/>
        </w:rPr>
        <w:t xml:space="preserve"> [Conducted 2/17/2006]</w:t>
      </w:r>
    </w:p>
    <w:p w14:paraId="472C9903" w14:textId="77777777" w:rsidR="00A3104F" w:rsidRDefault="00A3104F" w:rsidP="001521F5">
      <w:pPr>
        <w:spacing w:line="240" w:lineRule="auto"/>
        <w:jc w:val="center"/>
      </w:pPr>
      <w:r w:rsidRPr="00A3104F">
        <w:rPr>
          <w:noProof/>
        </w:rPr>
        <w:drawing>
          <wp:inline distT="0" distB="0" distL="0" distR="0" wp14:anchorId="37A01713" wp14:editId="46C357B6">
            <wp:extent cx="4256314" cy="2371230"/>
            <wp:effectExtent l="0" t="0" r="0" b="0"/>
            <wp:docPr id="26" name="Picture 26" descr="A picture containing text, map,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text, map, newspaper&#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93657" cy="2392034"/>
                    </a:xfrm>
                    <a:prstGeom prst="rect">
                      <a:avLst/>
                    </a:prstGeom>
                    <a:noFill/>
                  </pic:spPr>
                </pic:pic>
              </a:graphicData>
            </a:graphic>
          </wp:inline>
        </w:drawing>
      </w:r>
    </w:p>
    <w:p w14:paraId="4D3A3AF3" w14:textId="77777777" w:rsidR="001521F5" w:rsidRDefault="00086564" w:rsidP="00F27B11">
      <w:pPr>
        <w:spacing w:line="240" w:lineRule="auto"/>
      </w:pPr>
      <w:r>
        <w:t xml:space="preserve"> </w:t>
      </w:r>
    </w:p>
    <w:p w14:paraId="4E8AE016" w14:textId="4AF39ACE" w:rsidR="00E65C08" w:rsidRPr="00B043F2" w:rsidRDefault="00E65C08" w:rsidP="00B043F2">
      <w:pPr>
        <w:pStyle w:val="Figures"/>
      </w:pPr>
      <w:bookmarkStart w:id="131" w:name="_Toc127439142"/>
      <w:r w:rsidRPr="00B043F2">
        <w:t>Figure 4.</w:t>
      </w:r>
      <w:r w:rsidR="00E02AAA" w:rsidRPr="00B043F2">
        <w:t>6</w:t>
      </w:r>
      <w:r w:rsidRPr="00B043F2">
        <w:t xml:space="preserve"> </w:t>
      </w:r>
      <w:r w:rsidR="001521F5" w:rsidRPr="00B043F2">
        <w:t>Clifton Heights Re</w:t>
      </w:r>
      <w:r w:rsidR="00492F43" w:rsidRPr="00B043F2">
        <w:t>vitalization</w:t>
      </w:r>
      <w:r w:rsidR="001521F5" w:rsidRPr="00B043F2">
        <w:t xml:space="preserve"> Project </w:t>
      </w:r>
      <w:r w:rsidR="00BB7984" w:rsidRPr="00B043F2">
        <w:t xml:space="preserve">Univ of Cincinnati </w:t>
      </w:r>
      <w:r w:rsidR="001521F5" w:rsidRPr="00B043F2">
        <w:t>(2004)</w:t>
      </w:r>
      <w:bookmarkEnd w:id="131"/>
    </w:p>
    <w:p w14:paraId="19B7AEE3" w14:textId="48604497" w:rsidR="00A3104F" w:rsidRPr="00A3104F" w:rsidRDefault="00A3104F" w:rsidP="00A3104F">
      <w:pPr>
        <w:spacing w:after="160"/>
        <w:ind w:left="0" w:firstLine="0"/>
        <w:jc w:val="left"/>
        <w:rPr>
          <w:rFonts w:cs="Times New Roman"/>
          <w:szCs w:val="24"/>
        </w:rPr>
      </w:pPr>
      <w:r w:rsidRPr="00A3104F">
        <w:rPr>
          <w:rFonts w:cs="Times New Roman"/>
          <w:szCs w:val="24"/>
        </w:rPr>
        <w:lastRenderedPageBreak/>
        <w:t>In April 1998, the City of Cincinnati, the University of Cincinnati, the Clifton Heights Business Association and the CUF [Clifton Heights, University Heights, and Fairview] Neighborhood Association jointly proposed a revitalization plan for the Clifton Heights business district, a six-block area dominated by fast food restaurants, parking garages, and deteriorated housing stock. Lacking in green space, cultural amenities, and generators of night activity such as hotel, cinema and entertainment, planners were given three primary goals, namely promoting home ownership, revitalizing the local retail market, and creating a pedestrian-friendly business district in close proximity to the main campus. Their combined mission statement proposed “restoring vigor and diversity through reworking of the Calhoun Street environment and the increased mix of retail, housing, and offices space. The ultimate effect of this plan should be to knit together the University and residential community into something even more significant -- an identifiable uptown business neighborhood of memorable spirit and urbanity.”</w:t>
      </w:r>
    </w:p>
    <w:p w14:paraId="36BCE8B2" w14:textId="77777777" w:rsidR="00A3104F" w:rsidRPr="00A3104F" w:rsidRDefault="00A3104F" w:rsidP="00A3104F">
      <w:pPr>
        <w:spacing w:after="160"/>
        <w:ind w:left="0" w:firstLine="0"/>
        <w:jc w:val="center"/>
        <w:rPr>
          <w:rFonts w:cs="Times New Roman"/>
          <w:szCs w:val="24"/>
        </w:rPr>
      </w:pPr>
      <w:r w:rsidRPr="00A3104F">
        <w:rPr>
          <w:rFonts w:cs="Times New Roman"/>
          <w:noProof/>
          <w:szCs w:val="24"/>
        </w:rPr>
        <w:drawing>
          <wp:inline distT="0" distB="0" distL="0" distR="0" wp14:anchorId="473BAEA2" wp14:editId="30D693C9">
            <wp:extent cx="5162718" cy="2677885"/>
            <wp:effectExtent l="0" t="0" r="0" b="8255"/>
            <wp:docPr id="39" name="Picture 39" descr="A picture containing text,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 newspaper&#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97470" cy="2747780"/>
                    </a:xfrm>
                    <a:prstGeom prst="rect">
                      <a:avLst/>
                    </a:prstGeom>
                    <a:noFill/>
                  </pic:spPr>
                </pic:pic>
              </a:graphicData>
            </a:graphic>
          </wp:inline>
        </w:drawing>
      </w:r>
    </w:p>
    <w:p w14:paraId="0837D147" w14:textId="4F6D12F9" w:rsidR="00A3104F" w:rsidRPr="00B043F2" w:rsidRDefault="00A3104F" w:rsidP="00B043F2">
      <w:pPr>
        <w:pStyle w:val="Figures"/>
      </w:pPr>
      <w:bookmarkStart w:id="132" w:name="_Toc126654740"/>
      <w:bookmarkStart w:id="133" w:name="_Toc127439143"/>
      <w:r w:rsidRPr="00B043F2">
        <w:t>Figure 4.</w:t>
      </w:r>
      <w:r w:rsidR="00E02AAA" w:rsidRPr="00B043F2">
        <w:t>7</w:t>
      </w:r>
      <w:r w:rsidR="00E65C08" w:rsidRPr="00B043F2">
        <w:t xml:space="preserve"> </w:t>
      </w:r>
      <w:r w:rsidRPr="00B043F2">
        <w:t xml:space="preserve">Clifton Heights </w:t>
      </w:r>
      <w:r w:rsidR="00AB49AD" w:rsidRPr="00B043F2">
        <w:t xml:space="preserve">Project Target Assembly Area Univ of </w:t>
      </w:r>
      <w:r w:rsidRPr="00B043F2">
        <w:t>Cincinnati (2004)</w:t>
      </w:r>
      <w:bookmarkEnd w:id="132"/>
      <w:bookmarkEnd w:id="133"/>
    </w:p>
    <w:p w14:paraId="606457C0" w14:textId="0CA929AD" w:rsidR="00A3104F" w:rsidRPr="00A3104F" w:rsidRDefault="00A3104F" w:rsidP="00A3104F">
      <w:pPr>
        <w:spacing w:after="160"/>
        <w:ind w:left="0" w:firstLine="0"/>
        <w:jc w:val="left"/>
        <w:rPr>
          <w:rFonts w:cs="Times New Roman"/>
          <w:szCs w:val="24"/>
        </w:rPr>
      </w:pPr>
      <w:r w:rsidRPr="00A3104F">
        <w:rPr>
          <w:rFonts w:cs="Times New Roman"/>
          <w:szCs w:val="24"/>
        </w:rPr>
        <w:lastRenderedPageBreak/>
        <w:t xml:space="preserve">The Calhoun Street District [The District] was defined by two major axes, Calhoun Street and McMillan Avenue, connecting the commercial spine that provides the skeletal structure for substantial redevelopment. Bovis Lend Lease managed the construction of a mixed-use development bringing </w:t>
      </w:r>
      <w:r w:rsidR="001C62CD" w:rsidRPr="00A3104F">
        <w:rPr>
          <w:rFonts w:cs="Times New Roman"/>
          <w:szCs w:val="24"/>
        </w:rPr>
        <w:t>residential</w:t>
      </w:r>
      <w:r w:rsidR="00CB0997">
        <w:rPr>
          <w:rFonts w:cs="Times New Roman"/>
          <w:szCs w:val="24"/>
        </w:rPr>
        <w:t xml:space="preserve"> units</w:t>
      </w:r>
      <w:r w:rsidR="001C62CD" w:rsidRPr="00A3104F">
        <w:rPr>
          <w:rFonts w:cs="Times New Roman"/>
          <w:szCs w:val="24"/>
        </w:rPr>
        <w:t>,</w:t>
      </w:r>
      <w:r w:rsidRPr="00A3104F">
        <w:rPr>
          <w:rFonts w:cs="Times New Roman"/>
          <w:szCs w:val="24"/>
        </w:rPr>
        <w:t xml:space="preserve"> including student housing and retail into one central location. Key to the redevelopment is the central market square, which features a centrally located park, retail including major retail specialties, restaurants/bistros, recreational and seating complemented by friendly lighting, signage, roadway, and streetscape, as well as residential, student housing alternatives and university facilities. The project encompasses both </w:t>
      </w:r>
      <w:r w:rsidR="00CB0997" w:rsidRPr="00A3104F">
        <w:rPr>
          <w:rFonts w:cs="Times New Roman"/>
          <w:szCs w:val="24"/>
        </w:rPr>
        <w:t>the north</w:t>
      </w:r>
      <w:r w:rsidRPr="00A3104F">
        <w:rPr>
          <w:rFonts w:cs="Times New Roman"/>
          <w:szCs w:val="24"/>
        </w:rPr>
        <w:t xml:space="preserve"> and south sides of Calhoun Street in Clifton Heights. Phase I, blocks 3 and 3A consists of 289 state-of-the-art student housing units accommodating 758 beds and 46,000 square feet of retail within the six-story and eight-story, two building facility atop a 1,000-vehicle parking garage. Additionally, the redevelopment project includes 56,000 square feet of retail space, 70,000 square feet of institutional space for the University of Cincinnati and 150 residential units. Higgins Development Partners, LLC, master developer for the project, along with the University of Cincinnati and the Clifton Heights Community Urban Redevelopment Corporation partnered (public/private partnership) to create this residential/retail community. </w:t>
      </w:r>
    </w:p>
    <w:p w14:paraId="04873B1E" w14:textId="77777777" w:rsidR="00A3104F" w:rsidRPr="00A3104F" w:rsidRDefault="00A3104F" w:rsidP="00A3104F">
      <w:pPr>
        <w:spacing w:after="160"/>
        <w:ind w:left="0" w:firstLine="0"/>
        <w:jc w:val="left"/>
        <w:rPr>
          <w:rFonts w:cs="Times New Roman"/>
          <w:szCs w:val="24"/>
        </w:rPr>
      </w:pPr>
      <w:r w:rsidRPr="00A3104F">
        <w:rPr>
          <w:rFonts w:cs="Times New Roman"/>
          <w:szCs w:val="24"/>
        </w:rPr>
        <w:t xml:space="preserve">Because of its policy not to use eminent domain, the University of Cincinnati reached an unusual, yet innovative arrangement where the City of Cincinnati would use its power eminent domain to condemn property needed for land assembly, which would then be turned over to local non-profit Neighborhood Development Corporations [NDC’s] for the Calhoun Street revitalization project. As part of its Master Plan to </w:t>
      </w:r>
      <w:r w:rsidRPr="00A3104F">
        <w:rPr>
          <w:rFonts w:cs="Times New Roman"/>
          <w:szCs w:val="24"/>
        </w:rPr>
        <w:lastRenderedPageBreak/>
        <w:t xml:space="preserve">develop the southern edge of campus along Calhoun Street, the University also agreed to use endowment funds as start-up capital for the NDC’s, which would be repaid to the University after the properties were fully developed. </w:t>
      </w:r>
    </w:p>
    <w:p w14:paraId="52F3A39F" w14:textId="77777777" w:rsidR="00A3104F" w:rsidRDefault="00A3104F" w:rsidP="00A3104F">
      <w:pPr>
        <w:spacing w:after="160"/>
        <w:ind w:left="0" w:firstLine="0"/>
        <w:jc w:val="left"/>
        <w:rPr>
          <w:rFonts w:cs="Times New Roman"/>
          <w:szCs w:val="24"/>
        </w:rPr>
      </w:pPr>
      <w:r w:rsidRPr="00A3104F">
        <w:rPr>
          <w:rFonts w:cs="Times New Roman"/>
          <w:szCs w:val="24"/>
        </w:rPr>
        <w:t>In 1972, the federal Uniform Relocation and Acquisition Act [URAA] was enacted to protect naïve and unsophisticated landowners from eminent domain abuse by government agencies. According to University of Cincinnati Real Estate Director Bill Plagge, before this landmark legislation all that would be required in a condemnation proceeding was for the landowner to be given a “take it or leave it” offer.  During the land acquisition phase for the Calhoun Street project, URAA guidelines required that each landowner receive two (2) appraisals that were subject to independent review and report.  As part of the negotiations, the city was also required to find the landowners comparable housing. According to public records, 19 property owners sold their land willingly, but the city filed an eminent domain action against others in 2003. While two holdout property owners eventually settled with the city, a strategic holdout by the owners of four restaurants on Calhoun Street caused the delay of a 360-unit condominium project just south of the University of Cincinnati. However, as of April 2007, local newspapers reported that a settlement was forthcoming.</w:t>
      </w:r>
    </w:p>
    <w:p w14:paraId="43362EBF" w14:textId="77777777" w:rsidR="0038675C" w:rsidRDefault="0038675C" w:rsidP="00A3104F">
      <w:pPr>
        <w:spacing w:after="160"/>
        <w:ind w:left="0" w:firstLine="0"/>
        <w:jc w:val="left"/>
        <w:rPr>
          <w:rFonts w:cs="Times New Roman"/>
          <w:szCs w:val="24"/>
        </w:rPr>
      </w:pPr>
    </w:p>
    <w:p w14:paraId="3A1244EE" w14:textId="77777777" w:rsidR="0038675C" w:rsidRDefault="0038675C" w:rsidP="00A3104F">
      <w:pPr>
        <w:spacing w:after="160"/>
        <w:ind w:left="0" w:firstLine="0"/>
        <w:jc w:val="left"/>
        <w:rPr>
          <w:rFonts w:cs="Times New Roman"/>
          <w:szCs w:val="24"/>
        </w:rPr>
      </w:pPr>
    </w:p>
    <w:p w14:paraId="56CC3F9C" w14:textId="77777777" w:rsidR="0038675C" w:rsidRPr="00A3104F" w:rsidRDefault="0038675C" w:rsidP="00A3104F">
      <w:pPr>
        <w:spacing w:after="160"/>
        <w:ind w:left="0" w:firstLine="0"/>
        <w:jc w:val="left"/>
        <w:rPr>
          <w:rFonts w:cs="Times New Roman"/>
          <w:szCs w:val="24"/>
        </w:rPr>
      </w:pPr>
    </w:p>
    <w:p w14:paraId="67D8EDAA" w14:textId="3FF2D54D" w:rsidR="00A3104F" w:rsidRPr="00A3104F" w:rsidRDefault="00A3104F" w:rsidP="00EE6A7A">
      <w:pPr>
        <w:pStyle w:val="Heading2"/>
      </w:pPr>
      <w:bookmarkStart w:id="134" w:name="_Toc126651398"/>
      <w:bookmarkStart w:id="135" w:name="_Toc134346748"/>
      <w:bookmarkStart w:id="136" w:name="_Toc21516030"/>
      <w:r w:rsidRPr="00A3104F">
        <w:lastRenderedPageBreak/>
        <w:t>IRB Study #</w:t>
      </w:r>
      <w:r w:rsidR="00752824">
        <w:t>5</w:t>
      </w:r>
      <w:r w:rsidRPr="00A3104F">
        <w:t>: (Counterexample) Rookwood Exchange</w:t>
      </w:r>
      <w:r w:rsidR="00E4732D">
        <w:t>,</w:t>
      </w:r>
      <w:r w:rsidRPr="00A3104F">
        <w:t xml:space="preserve"> Norwood, O</w:t>
      </w:r>
      <w:r w:rsidR="00323716">
        <w:t>H</w:t>
      </w:r>
      <w:r w:rsidRPr="00A3104F">
        <w:t xml:space="preserve"> (200</w:t>
      </w:r>
      <w:r w:rsidR="00ED5CB6">
        <w:t>6</w:t>
      </w:r>
      <w:r w:rsidRPr="00A3104F">
        <w:t>)</w:t>
      </w:r>
      <w:bookmarkEnd w:id="134"/>
      <w:bookmarkEnd w:id="135"/>
    </w:p>
    <w:p w14:paraId="082289F9" w14:textId="77777777" w:rsidR="00A3104F" w:rsidRPr="00B72BC9" w:rsidRDefault="00A3104F" w:rsidP="009A6018">
      <w:pPr>
        <w:ind w:left="0" w:firstLine="0"/>
      </w:pPr>
      <w:bookmarkStart w:id="137" w:name="_Toc126651399"/>
      <w:r w:rsidRPr="00B72BC9">
        <w:t>“Tier 1” Interviewee: JR Anderson</w:t>
      </w:r>
      <w:bookmarkEnd w:id="136"/>
      <w:r w:rsidRPr="00B72BC9">
        <w:t xml:space="preserve"> Private Developer [Conducted 4/2006]</w:t>
      </w:r>
      <w:bookmarkEnd w:id="137"/>
    </w:p>
    <w:p w14:paraId="3013C88F" w14:textId="77777777" w:rsidR="00A3104F" w:rsidRPr="00A3104F" w:rsidRDefault="00A3104F" w:rsidP="00B72BC9">
      <w:bookmarkStart w:id="138" w:name="_Toc126651400"/>
      <w:r w:rsidRPr="00A3104F">
        <w:rPr>
          <w:noProof/>
        </w:rPr>
        <w:drawing>
          <wp:inline distT="0" distB="0" distL="0" distR="0" wp14:anchorId="47B5ECFE" wp14:editId="5EAAFF62">
            <wp:extent cx="4800600" cy="2851560"/>
            <wp:effectExtent l="0" t="0" r="0" b="6350"/>
            <wp:docPr id="1" name="Picture 1" descr="A map of a c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a city&#10;&#10;Description automatically generated with low confidenc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870841" cy="2893283"/>
                    </a:xfrm>
                    <a:prstGeom prst="rect">
                      <a:avLst/>
                    </a:prstGeom>
                    <a:noFill/>
                  </pic:spPr>
                </pic:pic>
              </a:graphicData>
            </a:graphic>
          </wp:inline>
        </w:drawing>
      </w:r>
      <w:bookmarkEnd w:id="138"/>
    </w:p>
    <w:p w14:paraId="0201EB26" w14:textId="077090C9" w:rsidR="00A3104F" w:rsidRPr="00B043F2" w:rsidRDefault="00A3104F" w:rsidP="00B043F2">
      <w:pPr>
        <w:pStyle w:val="Figures"/>
      </w:pPr>
      <w:bookmarkStart w:id="139" w:name="_Toc126654741"/>
      <w:bookmarkStart w:id="140" w:name="_Toc127439144"/>
      <w:r w:rsidRPr="00B043F2">
        <w:t>Figure 4.</w:t>
      </w:r>
      <w:r w:rsidR="00724368" w:rsidRPr="00B043F2">
        <w:t xml:space="preserve">8 </w:t>
      </w:r>
      <w:r w:rsidRPr="00B043F2">
        <w:t xml:space="preserve">Rookwood Exchange </w:t>
      </w:r>
      <w:r w:rsidR="00B043F2" w:rsidRPr="00B043F2">
        <w:t>Project Norwood, Ohio</w:t>
      </w:r>
      <w:r w:rsidRPr="00B043F2">
        <w:t xml:space="preserve"> (2002)</w:t>
      </w:r>
      <w:bookmarkEnd w:id="139"/>
      <w:bookmarkEnd w:id="140"/>
    </w:p>
    <w:p w14:paraId="1EA6B213" w14:textId="77777777" w:rsidR="00A3104F" w:rsidRPr="00A3104F" w:rsidRDefault="00A3104F" w:rsidP="00A3104F">
      <w:pPr>
        <w:spacing w:after="160"/>
        <w:ind w:left="0" w:firstLine="0"/>
        <w:jc w:val="left"/>
        <w:rPr>
          <w:rFonts w:cs="Times New Roman"/>
          <w:szCs w:val="24"/>
        </w:rPr>
      </w:pPr>
      <w:r w:rsidRPr="00A3104F">
        <w:rPr>
          <w:rFonts w:cs="Times New Roman"/>
          <w:szCs w:val="24"/>
        </w:rPr>
        <w:t xml:space="preserve">At the conclusion of the interview with Mr. Plagge, he personally referred the private developer Mr. J.R. Anderson, who agreed to participate as a Tier 1 interviewee and fully discuss the public domain aspects of land assembly phase of the Rookwood Exchange project, which was involved in an ongoing, and highly publicized eminent domain proceeding. Early in 2002, the private development firm of Jeffrey R. Anderson Real Estate, Inc. began the planning and design of the $125 million Rookwood Exchange project, which was to be built in an area already occupied by a small 11-acre neighborhood. After reaching agreements with all but three of the landowners, Mr. Anderson approached the City of Norwood, Ohio, to ask that the neighborhood of about 70 homes and businesses be declared "blighted", and in September 2003, the city voted </w:t>
      </w:r>
      <w:r w:rsidRPr="00A3104F">
        <w:rPr>
          <w:rFonts w:cs="Times New Roman"/>
          <w:szCs w:val="24"/>
        </w:rPr>
        <w:lastRenderedPageBreak/>
        <w:t>to use its eminent domain power to obtain the land from three remaining holdouts, who adamantly refused to reduce their asking prices.</w:t>
      </w:r>
    </w:p>
    <w:p w14:paraId="7C0A4F41" w14:textId="1E7ED842" w:rsidR="00A3104F" w:rsidRPr="00A3104F" w:rsidRDefault="00A3104F" w:rsidP="00A3104F">
      <w:pPr>
        <w:spacing w:after="160"/>
        <w:ind w:left="0" w:firstLine="0"/>
        <w:jc w:val="left"/>
        <w:rPr>
          <w:rFonts w:cs="Times New Roman"/>
          <w:szCs w:val="24"/>
        </w:rPr>
      </w:pPr>
      <w:r w:rsidRPr="00A3104F">
        <w:rPr>
          <w:rFonts w:cs="Times New Roman"/>
          <w:szCs w:val="24"/>
        </w:rPr>
        <w:t xml:space="preserve">Over the next three years, the Norwood case proceeded to the Court of Appeals and would finally reach the Ohio Supreme Court in December 2005. In the wake of the controversial </w:t>
      </w:r>
      <w:r w:rsidRPr="00A3104F">
        <w:rPr>
          <w:rFonts w:cs="Times New Roman"/>
          <w:i/>
          <w:szCs w:val="24"/>
        </w:rPr>
        <w:t>Kelo</w:t>
      </w:r>
      <w:r w:rsidRPr="00A3104F">
        <w:rPr>
          <w:rFonts w:cs="Times New Roman"/>
          <w:szCs w:val="24"/>
        </w:rPr>
        <w:t xml:space="preserve"> decision earlier that summer, this dispute eventually made national headlines when it was brought before the Ohio Supreme Court in Norwood, </w:t>
      </w:r>
      <w:r w:rsidRPr="00A3104F">
        <w:rPr>
          <w:rFonts w:cs="Times New Roman"/>
          <w:i/>
          <w:iCs/>
          <w:szCs w:val="24"/>
        </w:rPr>
        <w:t>Ohio v Horney</w:t>
      </w:r>
      <w:r w:rsidRPr="00A3104F">
        <w:rPr>
          <w:rFonts w:cs="Times New Roman"/>
          <w:szCs w:val="24"/>
        </w:rPr>
        <w:t xml:space="preserve">. Finally, in July 2006, the court ruled unanimously for the homeowners, and the City was forced to return ownership of the three properties to the homeowners. As of 2007, the site </w:t>
      </w:r>
      <w:r w:rsidR="00CB0997" w:rsidRPr="00A3104F">
        <w:rPr>
          <w:rFonts w:cs="Times New Roman"/>
          <w:szCs w:val="24"/>
        </w:rPr>
        <w:t>is</w:t>
      </w:r>
      <w:r w:rsidRPr="00A3104F">
        <w:rPr>
          <w:rFonts w:cs="Times New Roman"/>
          <w:szCs w:val="24"/>
        </w:rPr>
        <w:t xml:space="preserve"> vacant and there are no future plans for development.</w:t>
      </w:r>
    </w:p>
    <w:p w14:paraId="328F64FA" w14:textId="77777777" w:rsidR="00A3104F" w:rsidRPr="00A3104F" w:rsidRDefault="00A3104F" w:rsidP="00A3104F">
      <w:pPr>
        <w:spacing w:after="160"/>
        <w:ind w:left="0" w:firstLine="0"/>
        <w:jc w:val="left"/>
        <w:rPr>
          <w:rFonts w:cs="Times New Roman"/>
          <w:szCs w:val="24"/>
        </w:rPr>
      </w:pPr>
      <w:r w:rsidRPr="00A3104F">
        <w:rPr>
          <w:rFonts w:cs="Times New Roman"/>
          <w:szCs w:val="24"/>
        </w:rPr>
        <w:t>During the Tier 1 interviews with Mr. Anderson in April 2006, he explained that he made sincere efforts to resolve the holdouts through negotiations, rather than seeking eminent domain. His initial bargaining strategy had been to approach all the landowners simultaneously, and to reach mutually beneficial agreements with them as a group. According to his narrative account, he met with the landowners in open discussions and initially offered a price 25% above appraisal. He reached tentative agreements with 70 individual landowners, 90% of whom were "ecstatic" at the prospect of selling their properties to Anderson.</w:t>
      </w:r>
    </w:p>
    <w:p w14:paraId="4221A81B" w14:textId="77777777" w:rsidR="00A3104F" w:rsidRPr="00A3104F" w:rsidRDefault="00A3104F" w:rsidP="00A3104F">
      <w:pPr>
        <w:spacing w:after="160"/>
        <w:ind w:left="0" w:firstLine="0"/>
        <w:jc w:val="left"/>
        <w:rPr>
          <w:rFonts w:cs="Times New Roman"/>
          <w:noProof/>
          <w:szCs w:val="24"/>
        </w:rPr>
      </w:pPr>
      <w:r w:rsidRPr="00A3104F">
        <w:rPr>
          <w:rFonts w:cs="Times New Roman"/>
          <w:szCs w:val="24"/>
        </w:rPr>
        <w:t xml:space="preserve">Anderson then expressed his frustration at being unable to persuade the two remaining owners of small rental properties, neither of whom were permanent residents in the target neighborhood, to lower their asking price. In Anderson's own words, "these (two) holdouts created a problem that put a two-year hold" on the full assembly of the project. Indeed, the decision of the two landowners to persist their holdout created 'lost </w:t>
      </w:r>
      <w:r w:rsidRPr="00A3104F">
        <w:rPr>
          <w:rFonts w:cs="Times New Roman"/>
          <w:szCs w:val="24"/>
        </w:rPr>
        <w:lastRenderedPageBreak/>
        <w:t>opportunities for everybody'. Upon losing the Norwood case, Anderson was forced to abandon the project. His main criticism of the decision was that, by siding with the landowners, the Court was simply validating their right to demand an exorbitant price, regardless of its true market value, or of its negative impact on the other landowners.</w:t>
      </w:r>
      <w:r w:rsidRPr="00A3104F">
        <w:rPr>
          <w:rFonts w:cs="Times New Roman"/>
          <w:noProof/>
          <w:szCs w:val="24"/>
        </w:rPr>
        <w:t xml:space="preserve"> </w:t>
      </w:r>
    </w:p>
    <w:p w14:paraId="203AF31F" w14:textId="77777777" w:rsidR="00A3104F" w:rsidRPr="00A3104F" w:rsidRDefault="00A3104F" w:rsidP="00A3104F">
      <w:pPr>
        <w:spacing w:after="160"/>
        <w:ind w:left="0" w:firstLine="0"/>
        <w:jc w:val="center"/>
        <w:rPr>
          <w:rFonts w:cs="Times New Roman"/>
          <w:szCs w:val="24"/>
        </w:rPr>
      </w:pPr>
      <w:r w:rsidRPr="00A3104F">
        <w:rPr>
          <w:rFonts w:cs="Times New Roman"/>
          <w:noProof/>
          <w:szCs w:val="24"/>
        </w:rPr>
        <w:drawing>
          <wp:inline distT="0" distB="0" distL="0" distR="0" wp14:anchorId="3CFF70F7" wp14:editId="2E9D8C86">
            <wp:extent cx="4855028" cy="2750528"/>
            <wp:effectExtent l="0" t="0" r="3175"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a:picLocks noChangeAspect="1" noChangeArrowheads="1"/>
                    </pic:cNvPicPr>
                  </pic:nvPicPr>
                  <pic:blipFill rotWithShape="1">
                    <a:blip r:embed="rId41">
                      <a:extLst>
                        <a:ext uri="{28A0092B-C50C-407E-A947-70E740481C1C}">
                          <a14:useLocalDpi xmlns:a14="http://schemas.microsoft.com/office/drawing/2010/main" val="0"/>
                        </a:ext>
                      </a:extLst>
                    </a:blip>
                    <a:srcRect l="3956" t="4468" r="2627" b="5855"/>
                    <a:stretch/>
                  </pic:blipFill>
                  <pic:spPr bwMode="auto">
                    <a:xfrm>
                      <a:off x="0" y="0"/>
                      <a:ext cx="4875660" cy="2762216"/>
                    </a:xfrm>
                    <a:prstGeom prst="rect">
                      <a:avLst/>
                    </a:prstGeom>
                    <a:noFill/>
                    <a:ln>
                      <a:noFill/>
                    </a:ln>
                    <a:extLst>
                      <a:ext uri="{53640926-AAD7-44D8-BBD7-CCE9431645EC}">
                        <a14:shadowObscured xmlns:a14="http://schemas.microsoft.com/office/drawing/2010/main"/>
                      </a:ext>
                    </a:extLst>
                  </pic:spPr>
                </pic:pic>
              </a:graphicData>
            </a:graphic>
          </wp:inline>
        </w:drawing>
      </w:r>
    </w:p>
    <w:p w14:paraId="108DA18A" w14:textId="033B22A3" w:rsidR="00A3104F" w:rsidRPr="00724368" w:rsidRDefault="00A3104F" w:rsidP="00724368">
      <w:pPr>
        <w:pStyle w:val="Figures"/>
      </w:pPr>
      <w:bookmarkStart w:id="141" w:name="_Hlk126055414"/>
      <w:bookmarkStart w:id="142" w:name="_Toc126654742"/>
      <w:bookmarkStart w:id="143" w:name="_Toc127439145"/>
      <w:r w:rsidRPr="00724368">
        <w:t>Figure 4.</w:t>
      </w:r>
      <w:r w:rsidR="00724368" w:rsidRPr="00724368">
        <w:t xml:space="preserve">9 </w:t>
      </w:r>
      <w:r w:rsidRPr="00724368">
        <w:t xml:space="preserve">Rookwood Exchange Project </w:t>
      </w:r>
      <w:r w:rsidR="00B043F2">
        <w:t xml:space="preserve">Target Assembly Area </w:t>
      </w:r>
      <w:r w:rsidRPr="00724368">
        <w:t>(200</w:t>
      </w:r>
      <w:bookmarkEnd w:id="141"/>
      <w:r w:rsidRPr="00724368">
        <w:t>2)</w:t>
      </w:r>
      <w:bookmarkEnd w:id="142"/>
      <w:bookmarkEnd w:id="143"/>
    </w:p>
    <w:p w14:paraId="247AE43B" w14:textId="77777777" w:rsidR="00A3104F" w:rsidRPr="00A3104F" w:rsidRDefault="00A3104F" w:rsidP="00A3104F">
      <w:pPr>
        <w:spacing w:after="160"/>
        <w:ind w:left="0" w:firstLine="0"/>
        <w:jc w:val="left"/>
        <w:rPr>
          <w:rFonts w:cs="Times New Roman"/>
          <w:szCs w:val="24"/>
        </w:rPr>
      </w:pPr>
      <w:r w:rsidRPr="00A3104F">
        <w:rPr>
          <w:rFonts w:cs="Times New Roman"/>
          <w:szCs w:val="24"/>
        </w:rPr>
        <w:t xml:space="preserve">By 2005, the developer JR Anderson had privately assembled all but three properties for the Rookwood Exchange Retail Development [“Norwood”] project in the City of Norwood, a suburb of Cincinnati, Ohio. Upon providing clear and convincing evidence that the expected tax revenues from the project would exceed $2 million dollars, the amount necessary to correct their current budget deficit, Anderson convinced city officials to intervene and use eminent domain to help him overcome the remaining monopoly holdouts.  However, following the controversial Kelo decision, the Norwood project received national attention and was portrayed as a bellwether case of eminent domain abuse. The holdouts hired attorneys from the Washington-based Institute of </w:t>
      </w:r>
      <w:r w:rsidRPr="00A3104F">
        <w:rPr>
          <w:rFonts w:cs="Times New Roman"/>
          <w:szCs w:val="24"/>
        </w:rPr>
        <w:lastRenderedPageBreak/>
        <w:t xml:space="preserve">Justice, who then appealed to the Ohio Supreme Court, who eventually declared the condemnations unconstitutional, leaving the project in a standstill. The Norwood/Rookwood Exchange project provides a paradigmatic counterexample in private land assembly, namely where the failure to successfully alleviate a holdout problem led a private developer to seek eminent domain power. Furthermore, it is a real-world example to illustrate the negative externalities that a monopoly holdout imposes on the developer, the city, and the other landowners. Summary statistics provided by JR Anderson show a detailed list of (currently) negotiated settlements </w:t>
      </w:r>
      <w:proofErr w:type="gramStart"/>
      <w:r w:rsidRPr="00A3104F">
        <w:rPr>
          <w:rFonts w:cs="Times New Roman"/>
          <w:szCs w:val="24"/>
        </w:rPr>
        <w:t>per</w:t>
      </w:r>
      <w:proofErr w:type="gramEnd"/>
      <w:r w:rsidRPr="00A3104F">
        <w:rPr>
          <w:rFonts w:cs="Times New Roman"/>
          <w:szCs w:val="24"/>
        </w:rPr>
        <w:t xml:space="preserve"> each individual parcel, with data on the remaining holdouts kept confidential pending further legal action.</w:t>
      </w:r>
      <w:bookmarkStart w:id="144" w:name="_Toc21516031"/>
    </w:p>
    <w:p w14:paraId="19926EA6" w14:textId="55EDA2A6" w:rsidR="00A3104F" w:rsidRPr="00B81A97" w:rsidRDefault="00B81A97" w:rsidP="00EE6A7A">
      <w:pPr>
        <w:pStyle w:val="Heading2"/>
      </w:pPr>
      <w:bookmarkStart w:id="145" w:name="_Toc134346749"/>
      <w:r w:rsidRPr="00B81A97">
        <w:t xml:space="preserve">IRB Study </w:t>
      </w:r>
      <w:r w:rsidR="00A3104F" w:rsidRPr="00B81A97">
        <w:t>Conclusions:</w:t>
      </w:r>
      <w:bookmarkEnd w:id="145"/>
    </w:p>
    <w:p w14:paraId="21AB8729" w14:textId="3B5D1632" w:rsidR="00A3104F" w:rsidRDefault="00A3104F" w:rsidP="003F4EAC">
      <w:pPr>
        <w:pStyle w:val="reference"/>
        <w:ind w:left="14"/>
        <w:jc w:val="left"/>
      </w:pPr>
      <w:r w:rsidRPr="00A3104F">
        <w:t xml:space="preserve">The purpose of this study was to </w:t>
      </w:r>
      <w:r w:rsidR="00CB0997">
        <w:t xml:space="preserve">explore </w:t>
      </w:r>
      <w:r w:rsidRPr="00A3104F">
        <w:t>practical</w:t>
      </w:r>
      <w:r w:rsidR="00CB0997">
        <w:t xml:space="preserve">, real-world </w:t>
      </w:r>
      <w:r w:rsidRPr="00A3104F">
        <w:t>alternative</w:t>
      </w:r>
      <w:r w:rsidR="00CB0997">
        <w:t>s</w:t>
      </w:r>
      <w:r w:rsidRPr="00A3104F">
        <w:t xml:space="preserve"> for resolving monopoly holdouts, i.e., without requiring eminent domain. </w:t>
      </w:r>
      <w:r w:rsidRPr="00A3104F">
        <w:rPr>
          <w:i/>
          <w:iCs/>
        </w:rPr>
        <w:t xml:space="preserve">Berman v Parker </w:t>
      </w:r>
      <w:r w:rsidRPr="00A3104F">
        <w:t xml:space="preserve">(1954) set formal precedent by allowing eminent domain to be used for taking strictly non-blighted property. </w:t>
      </w:r>
      <w:r w:rsidRPr="00A3104F">
        <w:rPr>
          <w:i/>
          <w:iCs/>
        </w:rPr>
        <w:t>Kelo v City of New London</w:t>
      </w:r>
      <w:r w:rsidRPr="00A3104F">
        <w:t xml:space="preserve"> (2005) simply reaffirmed </w:t>
      </w:r>
      <w:r w:rsidRPr="00A3104F">
        <w:rPr>
          <w:i/>
          <w:iCs/>
        </w:rPr>
        <w:t>Berman</w:t>
      </w:r>
      <w:r w:rsidRPr="00A3104F">
        <w:t xml:space="preserve">, authorizing the use of eminent domain to overcome seven monopoly holdouts, including that of Ms. Susette Kelo, for a new Pfizer Corporation headquarters, on grounds that creating new jobs and tax revenues constituted “Public Benefits” under the Takings Clause. Heller (1998) argued that using direct government intervention in this manner simply transfers monopoly ownership rights between private individuals, i.e., while leaving scarce public resources persistently underutilized as “anticommons” property… a classic market failure </w:t>
      </w:r>
      <w:r w:rsidR="00A85D43">
        <w:t>[Heller 1998</w:t>
      </w:r>
      <w:r w:rsidR="00826D70">
        <w:t>,</w:t>
      </w:r>
      <w:r w:rsidR="009B06C8">
        <w:t xml:space="preserve"> </w:t>
      </w:r>
      <w:r w:rsidR="00826D70">
        <w:t>2008</w:t>
      </w:r>
      <w:r w:rsidR="00F834F1">
        <w:t xml:space="preserve">]. </w:t>
      </w:r>
      <w:r w:rsidRPr="00A3104F">
        <w:t>Following Coase’s landmark research on free riders</w:t>
      </w:r>
      <w:r w:rsidR="007916DF">
        <w:t xml:space="preserve"> [Coase</w:t>
      </w:r>
      <w:r w:rsidRPr="00A3104F">
        <w:t xml:space="preserve">, this study conducted formal IRB interviews with </w:t>
      </w:r>
      <w:r w:rsidRPr="00A3104F">
        <w:lastRenderedPageBreak/>
        <w:t xml:space="preserve">AUREO [Association of University Real Estate Officials] who willingly discussed their direct participation, i.e., during ongoing campus expansion projects at four respective public universities across the US. Chapters 3 and 4 fully document the firsthand narrative accounts provided by these real-world practitioners, who described the host of innovative bargaining mechanisms they routinely employed, i.e., enabling them to successfully resolve monopoly holdouts </w:t>
      </w:r>
      <w:r w:rsidRPr="00A3104F">
        <w:rPr>
          <w:i/>
          <w:iCs/>
        </w:rPr>
        <w:t>without</w:t>
      </w:r>
      <w:r w:rsidRPr="00A3104F">
        <w:t xml:space="preserve"> requiring eminent domain. </w:t>
      </w:r>
    </w:p>
    <w:p w14:paraId="4E6DDEEB" w14:textId="77777777" w:rsidR="00F02353" w:rsidRPr="00A3104F" w:rsidRDefault="00F02353" w:rsidP="003F4EAC">
      <w:pPr>
        <w:pStyle w:val="reference"/>
        <w:ind w:left="14"/>
        <w:jc w:val="left"/>
      </w:pPr>
    </w:p>
    <w:p w14:paraId="4C6CF3DB" w14:textId="40830F59" w:rsidR="00A3104F" w:rsidRPr="00A3104F" w:rsidRDefault="00A3104F" w:rsidP="00A3104F">
      <w:pPr>
        <w:spacing w:after="160"/>
        <w:ind w:left="0" w:firstLine="0"/>
        <w:jc w:val="left"/>
        <w:rPr>
          <w:rFonts w:cs="Times New Roman"/>
          <w:szCs w:val="24"/>
        </w:rPr>
      </w:pPr>
      <w:r w:rsidRPr="00A3104F">
        <w:rPr>
          <w:rFonts w:cs="Times New Roman"/>
          <w:szCs w:val="24"/>
        </w:rPr>
        <w:t xml:space="preserve">As a practical alternative to longstanding policy orthodoxy, this study finds that by systematically negotiating reciprocal, mutually beneficial [Coasean] bargaining agreements with recalcitrant landowners, it is possible to successfully resolve monopoly holdouts </w:t>
      </w:r>
      <w:r w:rsidRPr="00A3104F">
        <w:rPr>
          <w:rFonts w:cs="Times New Roman"/>
          <w:i/>
          <w:iCs/>
          <w:szCs w:val="24"/>
        </w:rPr>
        <w:t xml:space="preserve">without </w:t>
      </w:r>
      <w:r w:rsidRPr="00A3104F">
        <w:rPr>
          <w:rFonts w:cs="Times New Roman"/>
          <w:szCs w:val="24"/>
        </w:rPr>
        <w:t xml:space="preserve">requiring eminent domain. </w:t>
      </w:r>
      <w:r w:rsidR="001A6321" w:rsidRPr="001A6321">
        <w:rPr>
          <w:rFonts w:cs="Times New Roman"/>
          <w:szCs w:val="24"/>
        </w:rPr>
        <w:t>While these results may seem pedestrian to the layperson, their practical implications for the practice of Regional/City Planning are profound</w:t>
      </w:r>
      <w:r w:rsidRPr="00A3104F">
        <w:rPr>
          <w:rFonts w:cs="Times New Roman"/>
          <w:szCs w:val="24"/>
        </w:rPr>
        <w:t>. By employing these same innovative bargaining mechanisms, it enables urban planners/designers/administrators to continually seek out local innovators (of all stripes), partner them with youthful entrepreneurs, and create new economic, social, and political synergies, i.e., enabling any local municipality to achieve the same urban growth/redevelopment/revitalization renaissance pioneered in so-called “College Towns”.</w:t>
      </w:r>
    </w:p>
    <w:bookmarkEnd w:id="144"/>
    <w:p w14:paraId="0AD3E8BC" w14:textId="77777777" w:rsidR="00A3104F" w:rsidRPr="00A3104F" w:rsidRDefault="00A3104F" w:rsidP="00A3104F">
      <w:pPr>
        <w:spacing w:after="160"/>
        <w:ind w:left="864" w:firstLine="0"/>
        <w:jc w:val="left"/>
        <w:rPr>
          <w:rFonts w:cs="Times New Roman"/>
          <w:szCs w:val="24"/>
        </w:rPr>
      </w:pPr>
    </w:p>
    <w:p w14:paraId="20627BA4" w14:textId="77777777" w:rsidR="00EB3C69" w:rsidRPr="00EB3C69" w:rsidRDefault="00EB3C69" w:rsidP="00EB3C69">
      <w:pPr>
        <w:ind w:left="14"/>
        <w:jc w:val="left"/>
      </w:pPr>
    </w:p>
    <w:p w14:paraId="400D91DE" w14:textId="4810FD55" w:rsidR="001642FE" w:rsidRPr="00447DA1" w:rsidRDefault="00734D3D" w:rsidP="00EE6A7A">
      <w:pPr>
        <w:pStyle w:val="Heading2"/>
      </w:pPr>
      <w:r>
        <w:br w:type="page"/>
      </w:r>
    </w:p>
    <w:p w14:paraId="00E498F5" w14:textId="77777777" w:rsidR="00A952BF" w:rsidRPr="00A952BF" w:rsidRDefault="00A952BF" w:rsidP="00C84690">
      <w:pPr>
        <w:pStyle w:val="Heading1"/>
      </w:pPr>
      <w:bookmarkStart w:id="146" w:name="_Toc134346750"/>
      <w:bookmarkStart w:id="147" w:name="_Toc126651401"/>
      <w:r w:rsidRPr="00A952BF">
        <w:lastRenderedPageBreak/>
        <w:t>Chapter 5: Discussion</w:t>
      </w:r>
      <w:bookmarkEnd w:id="146"/>
    </w:p>
    <w:p w14:paraId="5CCC979D" w14:textId="59A29DF6" w:rsidR="00A952BF" w:rsidRPr="004870E2" w:rsidRDefault="00A952BF" w:rsidP="00EE6A7A">
      <w:pPr>
        <w:pStyle w:val="Heading2"/>
      </w:pPr>
      <w:bookmarkStart w:id="148" w:name="_Toc134346751"/>
      <w:r w:rsidRPr="004870E2">
        <w:t>Inspiration</w:t>
      </w:r>
      <w:r w:rsidR="004870E2">
        <w:t xml:space="preserve"> for </w:t>
      </w:r>
      <w:r w:rsidR="00F26B80">
        <w:t xml:space="preserve">the </w:t>
      </w:r>
      <w:r w:rsidR="00EE37AF">
        <w:t>Study</w:t>
      </w:r>
      <w:r w:rsidRPr="004870E2">
        <w:t>:</w:t>
      </w:r>
      <w:bookmarkEnd w:id="148"/>
    </w:p>
    <w:p w14:paraId="2FE14D1C" w14:textId="77777777" w:rsidR="00A952BF" w:rsidRPr="00A952BF" w:rsidRDefault="00A952BF" w:rsidP="00A952BF">
      <w:pPr>
        <w:spacing w:after="160"/>
        <w:ind w:left="0" w:firstLine="0"/>
        <w:jc w:val="left"/>
        <w:rPr>
          <w:rFonts w:cs="Times New Roman"/>
          <w:szCs w:val="24"/>
        </w:rPr>
      </w:pPr>
      <w:r w:rsidRPr="00A952BF">
        <w:rPr>
          <w:rFonts w:cs="Times New Roman"/>
          <w:szCs w:val="24"/>
        </w:rPr>
        <w:t xml:space="preserve">The inspiration for this study came from a simple classroom exercise, i.e., using a popular marketing promotion from the mid-1950’s to discuss the seemingly intractable Holdout Problem. In 1955, the Quaker Oats Corporation launched the “Klondike Big Inch Land Promotion” --- buying 20 acres of Klondike wilderness in the Canadian Yukon --- distributing over 21 million deeds for one square inch of free land apiece—in boxes of Quaker Oats oatmeal. As a simple thought experiment, students were challenged to consider just how difficult--- if not truly impossible—it would be to manage/control all the costs of conducting over a million separate (and far-flung) land transactions--- not to mention centrally coordinating such a complex negotiation process---while resolving over a million potential holdouts--- just to assemble one acre of usable Klondike wilderness. The Holdout Problem is likewise perceived as a seemingly intractable transactions cost externality---unique to the land assembly process--- leading inevitably to market failure--- and thus, assumed to be corrected </w:t>
      </w:r>
      <w:r w:rsidRPr="00A952BF">
        <w:rPr>
          <w:rFonts w:cs="Times New Roman"/>
          <w:i/>
          <w:szCs w:val="24"/>
        </w:rPr>
        <w:t>only</w:t>
      </w:r>
      <w:r w:rsidRPr="00A952BF">
        <w:rPr>
          <w:rFonts w:cs="Times New Roman"/>
          <w:szCs w:val="24"/>
        </w:rPr>
        <w:t xml:space="preserve"> via eminent domain. The purpose of this study was to challenge this orthodox assertion--- i.e., by asking the primary research question: “How do you resolve holdouts---</w:t>
      </w:r>
      <w:r w:rsidRPr="00A952BF">
        <w:rPr>
          <w:rFonts w:cs="Times New Roman"/>
          <w:i/>
          <w:szCs w:val="24"/>
        </w:rPr>
        <w:t>without</w:t>
      </w:r>
      <w:r w:rsidRPr="00A952BF">
        <w:rPr>
          <w:rFonts w:cs="Times New Roman"/>
          <w:szCs w:val="24"/>
        </w:rPr>
        <w:t xml:space="preserve"> requiring eminent domain?” The most gratifying result of this study was discovering that real-world planners/developers routinely </w:t>
      </w:r>
      <w:r w:rsidRPr="00A952BF">
        <w:rPr>
          <w:rFonts w:cs="Times New Roman"/>
          <w:iCs/>
          <w:szCs w:val="24"/>
        </w:rPr>
        <w:t>resolve monopoly holdouts</w:t>
      </w:r>
      <w:r w:rsidRPr="00A952BF">
        <w:rPr>
          <w:rFonts w:cs="Times New Roman"/>
          <w:i/>
          <w:szCs w:val="24"/>
        </w:rPr>
        <w:t xml:space="preserve"> without</w:t>
      </w:r>
      <w:r w:rsidRPr="00A952BF">
        <w:rPr>
          <w:rFonts w:cs="Times New Roman"/>
          <w:szCs w:val="24"/>
        </w:rPr>
        <w:t xml:space="preserve"> requiring eminent domain, i.e., by employing a host of innovative bargaining mechanisms in a wide range of both public and private projects--- by efficiently managing/controlling holdout-related transactions costs--- by centrally coordinating all ongoing land assembly negotiations simultaneously ---and by employing strategic </w:t>
      </w:r>
      <w:r w:rsidRPr="00A952BF">
        <w:rPr>
          <w:rFonts w:cs="Times New Roman"/>
          <w:szCs w:val="24"/>
        </w:rPr>
        <w:lastRenderedPageBreak/>
        <w:t>game-theoretical bargaining techniques--- i.e., enabling them to  voluntarily reach reciprocal, mutually-beneficial  bargaining agreements with recalcitrant landowners, i.e., without requiring government intervention</w:t>
      </w:r>
      <w:r w:rsidRPr="00A952BF">
        <w:rPr>
          <w:rFonts w:cs="Times New Roman"/>
          <w:iCs/>
          <w:szCs w:val="24"/>
        </w:rPr>
        <w:t xml:space="preserve"> </w:t>
      </w:r>
      <w:r w:rsidRPr="00A952BF">
        <w:rPr>
          <w:rFonts w:cs="Times New Roman"/>
          <w:szCs w:val="24"/>
        </w:rPr>
        <w:t xml:space="preserve">---as predicted by Coase, Cheung, Nash, et al. </w:t>
      </w:r>
    </w:p>
    <w:p w14:paraId="7157FFC3" w14:textId="75104BFB" w:rsidR="00A952BF" w:rsidRPr="00A952BF" w:rsidRDefault="00A952BF" w:rsidP="00EE6A7A">
      <w:pPr>
        <w:pStyle w:val="Heading2"/>
      </w:pPr>
      <w:bookmarkStart w:id="149" w:name="_Toc134346752"/>
      <w:r w:rsidRPr="00A952BF">
        <w:t xml:space="preserve">Summary of the </w:t>
      </w:r>
      <w:r w:rsidR="008954DB">
        <w:t xml:space="preserve">IRB </w:t>
      </w:r>
      <w:r w:rsidRPr="00A952BF">
        <w:t>Study Results:</w:t>
      </w:r>
      <w:bookmarkEnd w:id="149"/>
    </w:p>
    <w:p w14:paraId="57FBDED0" w14:textId="77777777" w:rsidR="00A952BF" w:rsidRPr="00A952BF" w:rsidRDefault="00A952BF" w:rsidP="00A952BF">
      <w:pPr>
        <w:spacing w:after="160"/>
        <w:ind w:left="0" w:firstLine="0"/>
        <w:jc w:val="left"/>
        <w:rPr>
          <w:rFonts w:cs="Times New Roman"/>
          <w:szCs w:val="24"/>
        </w:rPr>
      </w:pPr>
      <w:r w:rsidRPr="00A952BF">
        <w:rPr>
          <w:rFonts w:cs="Times New Roman"/>
          <w:szCs w:val="24"/>
        </w:rPr>
        <w:t>A summary of the results provides clear and convincing evidence that multiple holdout problems have been successfully resolved---in a wide variety of both public and private land assembly projects --- without requiring eminent domain.  Moreover, a cursory analysis of the narrative accounts provided by the IRB interviewees--- describes the common use of a well-coordinated process--- routinely employed during a typical land assembly project--- enabling planners/developers to estimate/manage/control all holdout-related transactions costs--- target acquisitions of specific parcels from specific landowners during specific stages of parcel-acquisition--- reach reciprocal, mutually-beneficial bargaining agreements with recalcitrant landowners--- without requiring eminent domain.  Because this well-coordinated process effectively internalizes a seemingly-intractable transaction cost externality – it is inherently Coasean.</w:t>
      </w:r>
    </w:p>
    <w:p w14:paraId="749FBEE1" w14:textId="77777777" w:rsidR="00A952BF" w:rsidRPr="00A952BF" w:rsidRDefault="00A952BF" w:rsidP="00A952BF">
      <w:pPr>
        <w:spacing w:after="160"/>
        <w:ind w:left="0" w:firstLine="0"/>
        <w:jc w:val="left"/>
        <w:rPr>
          <w:rFonts w:cs="Times New Roman"/>
          <w:szCs w:val="24"/>
        </w:rPr>
      </w:pPr>
      <w:r w:rsidRPr="00A952BF">
        <w:rPr>
          <w:rFonts w:cs="Times New Roman"/>
          <w:szCs w:val="24"/>
        </w:rPr>
        <w:t xml:space="preserve">A synopsis of the “Tier 2” IRB interview data--- begins with a description of the innovative mechanisms designed to control/manage holdout-related transactions costs in the typical land assembly project--- following a standard and logical four-stage parcel-acquisition process: (1) determining a suitable target area for land assembly (2) establishing a viable nucleus of parcels to justify continuation of the project (3) assembling adjacent outparcels from the nucleus to establish the boundaries of the target </w:t>
      </w:r>
      <w:r w:rsidRPr="00A952BF">
        <w:rPr>
          <w:rFonts w:cs="Times New Roman"/>
          <w:szCs w:val="24"/>
        </w:rPr>
        <w:lastRenderedPageBreak/>
        <w:t xml:space="preserve">area, and (4) acquiring any remaining infill parcels---including off-site parcels to be used for barter--- to complete the parcel-assemblage. Given practical foreknowledge of these acquisition stages--- planners/developers target/initiate negotiations with specific landowners for specific parcels--- collecting all the information necessary for conducting these negotiations --- anticipating/resolving any potential bargaining problems that may arise---during each successive stage of parcel-acquisition. Upon establishing the initial target assembly area--- planners/developers immediately narrow the scale and scope of the project --- restricting complex negotiations to a manageable level – reducing total transactions costs---and minimizing both the total number of potential holdouts and the bargaining costs required to resolve them--- simplifying the overall land assembly negotiation process, per se.  Indeed, the more accurately planners/developers can initially determine the suitability of the target assembly area--- the more likely the landowners will be to sell immediately—and the less likely they will hold out. Moreover, planners/developers can then purchase properties in the target area as soon as they become available —averting future holdout problems--- while building a substantial “land bank” of desirable parcels for future land assembly project(s).  </w:t>
      </w:r>
    </w:p>
    <w:p w14:paraId="2F6ABE77" w14:textId="77777777" w:rsidR="00A952BF" w:rsidRPr="00A952BF" w:rsidRDefault="00A952BF" w:rsidP="00A952BF">
      <w:pPr>
        <w:spacing w:after="160"/>
        <w:ind w:left="0" w:firstLine="0"/>
        <w:jc w:val="left"/>
        <w:rPr>
          <w:rFonts w:cs="Times New Roman"/>
          <w:szCs w:val="24"/>
        </w:rPr>
      </w:pPr>
      <w:r w:rsidRPr="00A952BF">
        <w:rPr>
          <w:rFonts w:cs="Times New Roman"/>
          <w:szCs w:val="24"/>
        </w:rPr>
        <w:t xml:space="preserve">From a logistical standpoint---the most important stage of the entire land assembly process is establishing a viable parcel-nucleus. During this stage--- it is critical to acquire each of these essential parcels --- or the project must be abandoned. In each of the 7 annotated case studies--- a unique entrepreneurial opportunity arose in the target assembly area--- triggering the initial acquisition of a select group of essential parcels—necessary to establish a viable nucleus. During the initial negotiations for the proposed New Town of Columbia, MD (1965) -- as well as the proposed Memorial Stadium </w:t>
      </w:r>
      <w:r w:rsidRPr="00A952BF">
        <w:rPr>
          <w:rFonts w:cs="Times New Roman"/>
          <w:szCs w:val="24"/>
        </w:rPr>
        <w:lastRenderedPageBreak/>
        <w:t xml:space="preserve">Expansion at the University of Oklahoma, Norman (2001) --- each planner/developer encountered a significant holdout— threatening the abandonment of the project. Because the Columbia project was conducted under complete secrecy --- the use of eminent domain was never considered as a bargaining mechanism. Because the University of Oklahoma self-prohibited its use of eminent domain out of moral hazard--- all holdouts were required to be resolved through internal bargaining--- rather than seeking external (governmental) intervention. </w:t>
      </w:r>
    </w:p>
    <w:p w14:paraId="2D19B778" w14:textId="77777777" w:rsidR="00A952BF" w:rsidRPr="00A952BF" w:rsidRDefault="00A952BF" w:rsidP="00A952BF">
      <w:pPr>
        <w:spacing w:after="160"/>
        <w:ind w:left="0" w:firstLine="0"/>
        <w:jc w:val="left"/>
        <w:rPr>
          <w:rFonts w:cs="Times New Roman"/>
          <w:szCs w:val="24"/>
        </w:rPr>
      </w:pPr>
      <w:r w:rsidRPr="00A952BF">
        <w:rPr>
          <w:rFonts w:cs="Times New Roman"/>
          <w:szCs w:val="24"/>
        </w:rPr>
        <w:t xml:space="preserve">Upon successfully completing this second critical acquisition stage--- the project passes a significant milestone. By ensuring the viability of the critical parcel-nucleus--- the core feasibility of the land assembly project is verified--- justifying the continuation of negotiations/acquisitions--- setting the timeline for completing the master project. In the third stage—the acquisition of the adjacent outparcels consolidates the parcel-nucleus with the outer boundaries of the target assembly area. Typically, these outparcels are not immediately available during initial negotiations---implying either that they are premium-value properties--- or they hold an exorbitant sentimental value to recalcitrant landowners. It is incumbent upon the planner/developer to employ a full complement of innovative bargaining mechanisms—to successfully resolve either type of potential holdout problems. The objective of the fourth (and final) stage is to acquire as many infill parcels as possible—to eliminate voids--- while consolidating the target assembly area as a single unified tract. Given the obvious time and resources constraints --- it may not be practicable for the planner/developer to purchase all the remaining parcels during this terminal stage. Indeed, many were not able to acquire some of these last remaining infill properties--- leaving a “Swiss Cheese” or “spotted leopard” pattern--- unable to </w:t>
      </w:r>
      <w:r w:rsidRPr="00A952BF">
        <w:rPr>
          <w:rFonts w:cs="Times New Roman"/>
          <w:szCs w:val="24"/>
        </w:rPr>
        <w:lastRenderedPageBreak/>
        <w:t>overcome contrarian landowners--- or simply because they ran out of time and/or money. Nevertheless, the respondents described an innovative bargaining strategy during these final stages— purchasing comparable high-value properties outside the target boundaries--- and bartering them as “swap properties”—further consolidating voids in the target assembly area.</w:t>
      </w:r>
    </w:p>
    <w:p w14:paraId="4EA04112" w14:textId="77777777" w:rsidR="00A952BF" w:rsidRPr="00A952BF" w:rsidRDefault="00A952BF" w:rsidP="00A952BF">
      <w:pPr>
        <w:spacing w:after="160"/>
        <w:ind w:left="0" w:firstLine="0"/>
        <w:jc w:val="left"/>
        <w:rPr>
          <w:rFonts w:cs="Times New Roman"/>
          <w:szCs w:val="24"/>
        </w:rPr>
      </w:pPr>
      <w:r w:rsidRPr="00A952BF">
        <w:rPr>
          <w:rFonts w:cs="Times New Roman"/>
          <w:szCs w:val="24"/>
        </w:rPr>
        <w:t>In the relevant empirical literature -- the Holdout Problem has been generally described as a labyrinth of “uncompensated interdependencies” (Cornes and Sandler). Where the inordinately high cost of coordinating and marketing holdout-related transactions ---writing contracts, finding key bargaining parties, enforcing contracts— and the bargaining/negotiating costs to resolve difficult holdout problems--- act interdependently to constitute a formal transactions cost externality—leading inevitably to a classic Market Failure (Cowen, Meade, Samuelson). Nevertheless, this study shows that real-world planners/developers routinely manage/control holdout-related transactions costs--- fully coordinate complex land assembly negotiations—and resolve actual holdout problems internally --- i.e., without requiring “external” intervention via eminent domain. These results also clearly demonstrate that the innovative mechanisms employed by these real-world planners/developers--- effectively internalizes a commonly perceived transactions cost externality--- without seeking external government intervention---making it inherently Coasean.</w:t>
      </w:r>
    </w:p>
    <w:p w14:paraId="702CEA37" w14:textId="77777777" w:rsidR="008954DB" w:rsidRDefault="008954DB" w:rsidP="00A952BF">
      <w:pPr>
        <w:spacing w:after="160" w:line="259" w:lineRule="auto"/>
        <w:ind w:left="0" w:firstLine="0"/>
        <w:jc w:val="left"/>
        <w:rPr>
          <w:rFonts w:cs="Times New Roman"/>
          <w:kern w:val="2"/>
          <w:szCs w:val="24"/>
          <w14:ligatures w14:val="standardContextual"/>
        </w:rPr>
      </w:pPr>
    </w:p>
    <w:p w14:paraId="711302C2" w14:textId="77777777" w:rsidR="00B8155C" w:rsidRDefault="00B8155C" w:rsidP="00A952BF">
      <w:pPr>
        <w:spacing w:after="160" w:line="259" w:lineRule="auto"/>
        <w:ind w:left="0" w:firstLine="0"/>
        <w:jc w:val="left"/>
        <w:rPr>
          <w:rFonts w:cs="Times New Roman"/>
          <w:kern w:val="2"/>
          <w:szCs w:val="24"/>
          <w14:ligatures w14:val="standardContextual"/>
        </w:rPr>
      </w:pPr>
    </w:p>
    <w:p w14:paraId="06AD1F19" w14:textId="77777777" w:rsidR="00B8155C" w:rsidRDefault="00B8155C" w:rsidP="00A952BF">
      <w:pPr>
        <w:spacing w:after="160" w:line="259" w:lineRule="auto"/>
        <w:ind w:left="0" w:firstLine="0"/>
        <w:jc w:val="left"/>
        <w:rPr>
          <w:rFonts w:cs="Times New Roman"/>
          <w:kern w:val="2"/>
          <w:szCs w:val="24"/>
          <w14:ligatures w14:val="standardContextual"/>
        </w:rPr>
      </w:pPr>
    </w:p>
    <w:p w14:paraId="0E59BD54" w14:textId="77777777" w:rsidR="00B8155C" w:rsidRDefault="00B8155C" w:rsidP="00A952BF">
      <w:pPr>
        <w:spacing w:after="160" w:line="259" w:lineRule="auto"/>
        <w:ind w:left="0" w:firstLine="0"/>
        <w:jc w:val="left"/>
        <w:rPr>
          <w:rFonts w:cs="Times New Roman"/>
          <w:kern w:val="2"/>
          <w:szCs w:val="24"/>
          <w14:ligatures w14:val="standardContextual"/>
        </w:rPr>
      </w:pPr>
    </w:p>
    <w:p w14:paraId="74ED3E81" w14:textId="5409F033" w:rsidR="00A952BF" w:rsidRPr="00A952BF" w:rsidRDefault="00A952BF" w:rsidP="00EE6A7A">
      <w:pPr>
        <w:pStyle w:val="Heading2"/>
      </w:pPr>
      <w:bookmarkStart w:id="150" w:name="_Toc134346753"/>
      <w:r w:rsidRPr="00A952BF">
        <w:lastRenderedPageBreak/>
        <w:t>Key</w:t>
      </w:r>
      <w:r w:rsidR="00DF01A5">
        <w:t xml:space="preserve"> Research</w:t>
      </w:r>
      <w:r w:rsidR="004369DB">
        <w:t xml:space="preserve"> </w:t>
      </w:r>
      <w:r w:rsidRPr="00A952BF">
        <w:t>Findings:</w:t>
      </w:r>
      <w:bookmarkEnd w:id="150"/>
    </w:p>
    <w:p w14:paraId="491DD011" w14:textId="4F26EDD7" w:rsidR="00C50598" w:rsidRDefault="00A952BF" w:rsidP="007A49FB">
      <w:pPr>
        <w:spacing w:after="160"/>
        <w:ind w:left="0" w:firstLine="0"/>
        <w:jc w:val="left"/>
        <w:rPr>
          <w:rFonts w:cs="Times New Roman"/>
          <w:kern w:val="2"/>
          <w:szCs w:val="24"/>
          <w14:ligatures w14:val="standardContextual"/>
        </w:rPr>
      </w:pPr>
      <w:r w:rsidRPr="00A952BF">
        <w:rPr>
          <w:rFonts w:cs="Times New Roman"/>
          <w:kern w:val="2"/>
          <w:szCs w:val="24"/>
          <w14:ligatures w14:val="standardContextual"/>
        </w:rPr>
        <w:t>The following are the key findings from th</w:t>
      </w:r>
      <w:r w:rsidR="00C50598">
        <w:rPr>
          <w:rFonts w:cs="Times New Roman"/>
          <w:kern w:val="2"/>
          <w:szCs w:val="24"/>
          <w14:ligatures w14:val="standardContextual"/>
        </w:rPr>
        <w:t>e</w:t>
      </w:r>
      <w:r w:rsidRPr="00A952BF">
        <w:rPr>
          <w:rFonts w:cs="Times New Roman"/>
          <w:kern w:val="2"/>
          <w:szCs w:val="24"/>
          <w14:ligatures w14:val="standardContextual"/>
        </w:rPr>
        <w:t xml:space="preserve"> </w:t>
      </w:r>
      <w:r w:rsidR="00C50598">
        <w:rPr>
          <w:rFonts w:cs="Times New Roman"/>
          <w:kern w:val="2"/>
          <w:szCs w:val="24"/>
          <w14:ligatures w14:val="standardContextual"/>
        </w:rPr>
        <w:t>historical</w:t>
      </w:r>
      <w:r w:rsidRPr="00A952BF">
        <w:rPr>
          <w:rFonts w:cs="Times New Roman"/>
          <w:kern w:val="2"/>
          <w:szCs w:val="24"/>
          <w14:ligatures w14:val="standardContextual"/>
        </w:rPr>
        <w:t xml:space="preserve"> </w:t>
      </w:r>
      <w:r w:rsidR="001213C1">
        <w:rPr>
          <w:rFonts w:cs="Times New Roman"/>
          <w:kern w:val="2"/>
          <w:szCs w:val="24"/>
          <w14:ligatures w14:val="standardContextual"/>
        </w:rPr>
        <w:t xml:space="preserve">case </w:t>
      </w:r>
      <w:r w:rsidRPr="00A952BF">
        <w:rPr>
          <w:rFonts w:cs="Times New Roman"/>
          <w:kern w:val="2"/>
          <w:szCs w:val="24"/>
          <w14:ligatures w14:val="standardContextual"/>
        </w:rPr>
        <w:t>stud</w:t>
      </w:r>
      <w:r w:rsidR="00C50598">
        <w:rPr>
          <w:rFonts w:cs="Times New Roman"/>
          <w:kern w:val="2"/>
          <w:szCs w:val="24"/>
          <w14:ligatures w14:val="standardContextual"/>
        </w:rPr>
        <w:t>ies</w:t>
      </w:r>
      <w:r w:rsidRPr="00A952BF">
        <w:rPr>
          <w:rFonts w:cs="Times New Roman"/>
          <w:kern w:val="2"/>
          <w:szCs w:val="24"/>
          <w14:ligatures w14:val="standardContextual"/>
        </w:rPr>
        <w:t xml:space="preserve">: </w:t>
      </w:r>
    </w:p>
    <w:p w14:paraId="79864C33" w14:textId="60AF88BE" w:rsidR="00A952BF" w:rsidRPr="00A952BF" w:rsidRDefault="00A952BF" w:rsidP="007A49FB">
      <w:pPr>
        <w:spacing w:after="160"/>
        <w:ind w:left="0" w:firstLine="0"/>
        <w:jc w:val="left"/>
        <w:rPr>
          <w:rFonts w:cs="Times New Roman"/>
          <w:kern w:val="2"/>
          <w:szCs w:val="24"/>
          <w:u w:val="single"/>
          <w14:ligatures w14:val="standardContextual"/>
        </w:rPr>
      </w:pPr>
      <w:r w:rsidRPr="00A952BF">
        <w:rPr>
          <w:rFonts w:cs="Times New Roman"/>
          <w:kern w:val="2"/>
          <w:szCs w:val="24"/>
          <w:u w:val="single"/>
          <w14:ligatures w14:val="standardContextual"/>
        </w:rPr>
        <w:t>Columbia, MD</w:t>
      </w:r>
    </w:p>
    <w:p w14:paraId="30262BAD" w14:textId="77777777" w:rsidR="00A952BF" w:rsidRPr="00A952BF" w:rsidRDefault="00A952BF" w:rsidP="007A49FB">
      <w:pPr>
        <w:numPr>
          <w:ilvl w:val="0"/>
          <w:numId w:val="16"/>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Described the employment of a logical, 4-phase land assembly planning/</w:t>
      </w:r>
      <w:r w:rsidRPr="00A952BF">
        <w:rPr>
          <w:rFonts w:asciiTheme="minorHAnsi" w:hAnsiTheme="minorHAnsi" w:cstheme="minorBidi"/>
          <w:sz w:val="22"/>
        </w:rPr>
        <w:t xml:space="preserve"> </w:t>
      </w:r>
      <w:r w:rsidRPr="00A952BF">
        <w:rPr>
          <w:rFonts w:cs="Times New Roman"/>
          <w:kern w:val="2"/>
          <w:szCs w:val="24"/>
          <w14:ligatures w14:val="standardContextual"/>
        </w:rPr>
        <w:t>acquisition/negotiation/bargaining process.</w:t>
      </w:r>
    </w:p>
    <w:p w14:paraId="43665C19" w14:textId="77777777" w:rsidR="00A952BF" w:rsidRPr="00A952BF" w:rsidRDefault="00A952BF" w:rsidP="007A49FB">
      <w:pPr>
        <w:numPr>
          <w:ilvl w:val="0"/>
          <w:numId w:val="16"/>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 xml:space="preserve">Provided County-level mapping data (enabling a time-lapse study of the complete land assembly process </w:t>
      </w:r>
      <w:r w:rsidRPr="00A952BF">
        <w:rPr>
          <w:rFonts w:cs="Times New Roman"/>
          <w:i/>
          <w:iCs/>
          <w:kern w:val="2"/>
          <w:szCs w:val="24"/>
          <w14:ligatures w14:val="standardContextual"/>
        </w:rPr>
        <w:t>in situ</w:t>
      </w:r>
      <w:r w:rsidRPr="00A952BF">
        <w:rPr>
          <w:rFonts w:cs="Times New Roman"/>
          <w:kern w:val="2"/>
          <w:szCs w:val="24"/>
          <w14:ligatures w14:val="standardContextual"/>
        </w:rPr>
        <w:t>)</w:t>
      </w:r>
    </w:p>
    <w:p w14:paraId="48E7F32A" w14:textId="77777777" w:rsidR="00A952BF" w:rsidRPr="00A952BF" w:rsidRDefault="00A952BF" w:rsidP="007A49FB">
      <w:pPr>
        <w:numPr>
          <w:ilvl w:val="0"/>
          <w:numId w:val="16"/>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Employed a network of Dummy Corp/Straw Purchasers/Blind Agency (Secret Bargaining)</w:t>
      </w:r>
    </w:p>
    <w:p w14:paraId="0568620F" w14:textId="77777777" w:rsidR="00A952BF" w:rsidRPr="00A952BF" w:rsidRDefault="00A952BF" w:rsidP="007A49FB">
      <w:pPr>
        <w:numPr>
          <w:ilvl w:val="0"/>
          <w:numId w:val="16"/>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Described 3 strategic bargaining holdout resolution scenarios (w/o ED)</w:t>
      </w:r>
    </w:p>
    <w:p w14:paraId="10869E16" w14:textId="77777777" w:rsidR="00A952BF" w:rsidRPr="00A952BF" w:rsidRDefault="00A952BF" w:rsidP="007A49FB">
      <w:pPr>
        <w:numPr>
          <w:ilvl w:val="1"/>
          <w:numId w:val="16"/>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“Dasher Holdout” was resolved with “coalition bargaining” [Eckart]</w:t>
      </w:r>
    </w:p>
    <w:p w14:paraId="176B7428" w14:textId="77777777" w:rsidR="00A952BF" w:rsidRPr="00A952BF" w:rsidRDefault="00A952BF" w:rsidP="007A49FB">
      <w:pPr>
        <w:numPr>
          <w:ilvl w:val="1"/>
          <w:numId w:val="16"/>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“Gould-Gudelesky Holdout” was resolved with a “Price-Leadership” gambit [Strange]</w:t>
      </w:r>
    </w:p>
    <w:p w14:paraId="7D81E2A9" w14:textId="68697F24" w:rsidR="00A952BF" w:rsidRPr="00A952BF" w:rsidRDefault="00A952BF" w:rsidP="000A32BC">
      <w:pPr>
        <w:numPr>
          <w:ilvl w:val="1"/>
          <w:numId w:val="16"/>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“Goldsmith Holdout” was resolved with “off-site” property swap [Miceli and Segerson]</w:t>
      </w:r>
    </w:p>
    <w:p w14:paraId="7AE15EAF" w14:textId="77777777" w:rsidR="00A952BF" w:rsidRPr="00A952BF" w:rsidRDefault="00A952BF" w:rsidP="007A49FB">
      <w:pPr>
        <w:spacing w:after="160"/>
        <w:ind w:left="0" w:firstLine="0"/>
        <w:jc w:val="left"/>
        <w:rPr>
          <w:rFonts w:cs="Times New Roman"/>
          <w:kern w:val="2"/>
          <w:szCs w:val="24"/>
          <w:u w:val="single"/>
          <w14:ligatures w14:val="standardContextual"/>
        </w:rPr>
      </w:pPr>
      <w:r w:rsidRPr="00A952BF">
        <w:rPr>
          <w:rFonts w:cs="Times New Roman"/>
          <w:kern w:val="2"/>
          <w:szCs w:val="24"/>
          <w:u w:val="single"/>
          <w14:ligatures w14:val="standardContextual"/>
        </w:rPr>
        <w:t>Walt Disneyworld, FL</w:t>
      </w:r>
    </w:p>
    <w:p w14:paraId="32FA51FE" w14:textId="77777777" w:rsidR="00A952BF" w:rsidRPr="00A952BF" w:rsidRDefault="00A952BF" w:rsidP="007A49FB">
      <w:pPr>
        <w:numPr>
          <w:ilvl w:val="0"/>
          <w:numId w:val="16"/>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Provided evidence employing a generic, 4-phase land assembly planning/acquisition/negotiation/bargaining process.</w:t>
      </w:r>
    </w:p>
    <w:p w14:paraId="48283ED6" w14:textId="77777777" w:rsidR="00A952BF" w:rsidRPr="00A952BF" w:rsidRDefault="00A952BF" w:rsidP="007A49FB">
      <w:pPr>
        <w:numPr>
          <w:ilvl w:val="0"/>
          <w:numId w:val="16"/>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Providing County-level mapping/acquisitions data (enabling a time-lapse study of the initial land acquisitions)</w:t>
      </w:r>
    </w:p>
    <w:p w14:paraId="4AFF6F1C" w14:textId="77777777" w:rsidR="00A952BF" w:rsidRPr="00A952BF" w:rsidRDefault="00A952BF" w:rsidP="007A49FB">
      <w:pPr>
        <w:numPr>
          <w:ilvl w:val="0"/>
          <w:numId w:val="16"/>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Employed a network of Dummy Corp/Straw Purchasers/Blind Agency (Secret Bargaining)</w:t>
      </w:r>
    </w:p>
    <w:p w14:paraId="44565712" w14:textId="77777777" w:rsidR="00A952BF" w:rsidRPr="00A952BF" w:rsidRDefault="00A952BF" w:rsidP="007A49FB">
      <w:pPr>
        <w:numPr>
          <w:ilvl w:val="0"/>
          <w:numId w:val="16"/>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lastRenderedPageBreak/>
        <w:t xml:space="preserve">Upon (secretly) establishing “project viability” for all parcel nuclei </w:t>
      </w:r>
    </w:p>
    <w:p w14:paraId="3BF7392B" w14:textId="7E3DDEB7" w:rsidR="00A952BF" w:rsidRPr="00A952BF" w:rsidRDefault="00A952BF" w:rsidP="000A32BC">
      <w:pPr>
        <w:numPr>
          <w:ilvl w:val="0"/>
          <w:numId w:val="16"/>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the destination resort, WDW self-incorporated as RCID with full statutory ED powers.</w:t>
      </w:r>
    </w:p>
    <w:p w14:paraId="1658E809" w14:textId="77777777" w:rsidR="00A952BF" w:rsidRPr="00A952BF" w:rsidRDefault="00A952BF" w:rsidP="007A49FB">
      <w:pPr>
        <w:spacing w:after="160"/>
        <w:ind w:left="0" w:firstLine="0"/>
        <w:jc w:val="left"/>
        <w:rPr>
          <w:rFonts w:cs="Times New Roman"/>
          <w:kern w:val="2"/>
          <w:szCs w:val="24"/>
          <w:u w:val="single"/>
          <w14:ligatures w14:val="standardContextual"/>
        </w:rPr>
      </w:pPr>
      <w:r w:rsidRPr="00A952BF">
        <w:rPr>
          <w:rFonts w:cs="Times New Roman"/>
          <w:kern w:val="2"/>
          <w:szCs w:val="24"/>
          <w:u w:val="single"/>
          <w14:ligatures w14:val="standardContextual"/>
        </w:rPr>
        <w:t>World Trade Center, NYC</w:t>
      </w:r>
    </w:p>
    <w:p w14:paraId="6BCA6AB2" w14:textId="77777777" w:rsidR="00A952BF" w:rsidRPr="00A952BF" w:rsidRDefault="00A952BF" w:rsidP="007A49FB">
      <w:pPr>
        <w:numPr>
          <w:ilvl w:val="0"/>
          <w:numId w:val="17"/>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1</w:t>
      </w:r>
      <w:r w:rsidRPr="00A952BF">
        <w:rPr>
          <w:rFonts w:cs="Times New Roman"/>
          <w:kern w:val="2"/>
          <w:szCs w:val="24"/>
          <w:vertAlign w:val="superscript"/>
          <w14:ligatures w14:val="standardContextual"/>
        </w:rPr>
        <w:t>st</w:t>
      </w:r>
      <w:r w:rsidRPr="00A952BF">
        <w:rPr>
          <w:rFonts w:cs="Times New Roman"/>
          <w:kern w:val="2"/>
          <w:szCs w:val="24"/>
          <w14:ligatures w14:val="standardContextual"/>
        </w:rPr>
        <w:t xml:space="preserve"> durable holdout in Urban Renewal era (Radio Row/Jane Jacobs-led protest)</w:t>
      </w:r>
    </w:p>
    <w:p w14:paraId="4F6C2F2A" w14:textId="77777777" w:rsidR="00A952BF" w:rsidRPr="00A952BF" w:rsidRDefault="00A952BF" w:rsidP="007A49FB">
      <w:pPr>
        <w:numPr>
          <w:ilvl w:val="0"/>
          <w:numId w:val="17"/>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1</w:t>
      </w:r>
      <w:r w:rsidRPr="00A952BF">
        <w:rPr>
          <w:rFonts w:cs="Times New Roman"/>
          <w:kern w:val="2"/>
          <w:szCs w:val="24"/>
          <w:vertAlign w:val="superscript"/>
          <w14:ligatures w14:val="standardContextual"/>
        </w:rPr>
        <w:t>st</w:t>
      </w:r>
      <w:r w:rsidRPr="00A952BF">
        <w:rPr>
          <w:rFonts w:cs="Times New Roman"/>
          <w:kern w:val="2"/>
          <w:szCs w:val="24"/>
          <w14:ligatures w14:val="standardContextual"/>
        </w:rPr>
        <w:t xml:space="preserve"> time in the (Robert Moses/ UR era) to reach a 4-party Voluntary, Mutually Beneficial Reciprocal, N-Party (Coasean) Bargaining Agreement, i.e., resolving monopoly holdout w/o requiring ED.</w:t>
      </w:r>
    </w:p>
    <w:p w14:paraId="045A4BE2" w14:textId="77777777" w:rsidR="00A952BF" w:rsidRPr="00A952BF" w:rsidRDefault="00A952BF" w:rsidP="007A49FB">
      <w:pPr>
        <w:numPr>
          <w:ilvl w:val="0"/>
          <w:numId w:val="17"/>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Tozzoli’s (intuitive) Landfill solution was designed to fully “internalize” 4 unique bargaining externalities.</w:t>
      </w:r>
    </w:p>
    <w:p w14:paraId="171DC69D" w14:textId="77777777" w:rsidR="00A952BF" w:rsidRPr="00A952BF" w:rsidRDefault="00A952BF" w:rsidP="007A49FB">
      <w:pPr>
        <w:numPr>
          <w:ilvl w:val="1"/>
          <w:numId w:val="17"/>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Providing the City of New York with tax revenues and new job opportunities</w:t>
      </w:r>
    </w:p>
    <w:p w14:paraId="6C5940A3" w14:textId="77777777" w:rsidR="00A952BF" w:rsidRPr="00A952BF" w:rsidRDefault="00A952BF" w:rsidP="007A49FB">
      <w:pPr>
        <w:numPr>
          <w:ilvl w:val="1"/>
          <w:numId w:val="17"/>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Providing Radio Row holdouts with reduced rent and other incentives.</w:t>
      </w:r>
    </w:p>
    <w:p w14:paraId="3711919F" w14:textId="77777777" w:rsidR="00A952BF" w:rsidRPr="00A952BF" w:rsidRDefault="00A952BF" w:rsidP="007A49FB">
      <w:pPr>
        <w:numPr>
          <w:ilvl w:val="1"/>
          <w:numId w:val="17"/>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Providing local businesses with prime new real estate.</w:t>
      </w:r>
    </w:p>
    <w:p w14:paraId="49873F73" w14:textId="4BB76BD5" w:rsidR="00A952BF" w:rsidRPr="00A952BF" w:rsidRDefault="00A952BF" w:rsidP="000A32BC">
      <w:pPr>
        <w:numPr>
          <w:ilvl w:val="1"/>
          <w:numId w:val="17"/>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Providing WTC with viable parcel nucleus for completing project.</w:t>
      </w:r>
    </w:p>
    <w:p w14:paraId="6499FB76" w14:textId="77777777" w:rsidR="00A952BF" w:rsidRPr="00A952BF" w:rsidRDefault="00A952BF" w:rsidP="007A49FB">
      <w:pPr>
        <w:spacing w:after="160"/>
        <w:ind w:left="0" w:firstLine="0"/>
        <w:jc w:val="left"/>
        <w:rPr>
          <w:rFonts w:cs="Times New Roman"/>
          <w:kern w:val="2"/>
          <w:szCs w:val="24"/>
          <w:u w:val="single"/>
          <w14:ligatures w14:val="standardContextual"/>
        </w:rPr>
      </w:pPr>
      <w:r w:rsidRPr="00A952BF">
        <w:rPr>
          <w:rFonts w:cs="Times New Roman"/>
          <w:kern w:val="2"/>
          <w:szCs w:val="24"/>
          <w:u w:val="single"/>
          <w14:ligatures w14:val="standardContextual"/>
        </w:rPr>
        <w:t>University of Oklahoma Norman</w:t>
      </w:r>
    </w:p>
    <w:p w14:paraId="0250D229" w14:textId="77777777" w:rsidR="00A952BF" w:rsidRPr="00A952BF" w:rsidRDefault="00A952BF" w:rsidP="007A49FB">
      <w:pPr>
        <w:numPr>
          <w:ilvl w:val="0"/>
          <w:numId w:val="18"/>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Standard university policy not to use ED.</w:t>
      </w:r>
    </w:p>
    <w:p w14:paraId="719B1EC5" w14:textId="77777777" w:rsidR="00A952BF" w:rsidRPr="00A952BF" w:rsidRDefault="00A952BF" w:rsidP="007A49FB">
      <w:pPr>
        <w:numPr>
          <w:ilvl w:val="0"/>
          <w:numId w:val="18"/>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Make strategic land purchases (in target assembly area) to purposely avoid ED.</w:t>
      </w:r>
    </w:p>
    <w:p w14:paraId="66F86E64" w14:textId="77777777" w:rsidR="00A952BF" w:rsidRPr="00A952BF" w:rsidRDefault="00A952BF" w:rsidP="007A49FB">
      <w:pPr>
        <w:numPr>
          <w:ilvl w:val="0"/>
          <w:numId w:val="18"/>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 xml:space="preserve">Described holdout resolution scenario w/o ED (voluntary Property swap/transplant rosebushes) </w:t>
      </w:r>
    </w:p>
    <w:p w14:paraId="014EBB33" w14:textId="77777777" w:rsidR="000A32BC" w:rsidRDefault="00A952BF" w:rsidP="000A32BC">
      <w:pPr>
        <w:numPr>
          <w:ilvl w:val="0"/>
          <w:numId w:val="18"/>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Use Network of Non-Profit Foundations/Land Trusts/Land Grants to strategically acquire land.</w:t>
      </w:r>
    </w:p>
    <w:p w14:paraId="1CBE9BDF" w14:textId="1FEDCFEF" w:rsidR="00A952BF" w:rsidRPr="00A952BF" w:rsidRDefault="00A952BF" w:rsidP="000A32BC">
      <w:pPr>
        <w:spacing w:after="160"/>
        <w:ind w:left="0" w:firstLine="0"/>
        <w:contextualSpacing/>
        <w:jc w:val="left"/>
        <w:rPr>
          <w:rFonts w:cs="Times New Roman"/>
          <w:kern w:val="2"/>
          <w:szCs w:val="24"/>
          <w:u w:val="single"/>
          <w14:ligatures w14:val="standardContextual"/>
        </w:rPr>
      </w:pPr>
      <w:r w:rsidRPr="00A952BF">
        <w:rPr>
          <w:rFonts w:cs="Times New Roman"/>
          <w:kern w:val="2"/>
          <w:szCs w:val="24"/>
          <w:u w:val="single"/>
          <w14:ligatures w14:val="standardContextual"/>
        </w:rPr>
        <w:lastRenderedPageBreak/>
        <w:t>University of Texas Austin</w:t>
      </w:r>
    </w:p>
    <w:p w14:paraId="576E7DF8" w14:textId="77777777" w:rsidR="00A952BF" w:rsidRPr="00A952BF" w:rsidRDefault="00A952BF" w:rsidP="007A49FB">
      <w:pPr>
        <w:numPr>
          <w:ilvl w:val="0"/>
          <w:numId w:val="19"/>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Declare a long horizon “Target Acquisition Zone”.</w:t>
      </w:r>
    </w:p>
    <w:p w14:paraId="44E389A1" w14:textId="77777777" w:rsidR="00A952BF" w:rsidRPr="00A952BF" w:rsidRDefault="00A952BF" w:rsidP="007A49FB">
      <w:pPr>
        <w:numPr>
          <w:ilvl w:val="0"/>
          <w:numId w:val="19"/>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Buy properties as they become available (to avoid holdouts)</w:t>
      </w:r>
    </w:p>
    <w:p w14:paraId="6823CCF6" w14:textId="77777777" w:rsidR="00A952BF" w:rsidRPr="00A952BF" w:rsidRDefault="00A952BF" w:rsidP="007A49FB">
      <w:pPr>
        <w:numPr>
          <w:ilvl w:val="0"/>
          <w:numId w:val="19"/>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Buy openly as the University, not as a blind agent (which creates mistrust)</w:t>
      </w:r>
    </w:p>
    <w:p w14:paraId="407AF3A7" w14:textId="77777777" w:rsidR="00A952BF" w:rsidRPr="00A952BF" w:rsidRDefault="00A952BF" w:rsidP="007A49FB">
      <w:pPr>
        <w:numPr>
          <w:ilvl w:val="0"/>
          <w:numId w:val="19"/>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Innovative Negotiation/Bargaining Agreements</w:t>
      </w:r>
    </w:p>
    <w:p w14:paraId="47E211ED" w14:textId="77777777" w:rsidR="00A952BF" w:rsidRPr="00A952BF" w:rsidRDefault="00A952BF" w:rsidP="007A49FB">
      <w:pPr>
        <w:numPr>
          <w:ilvl w:val="1"/>
          <w:numId w:val="19"/>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In-trade property swaps of comparable university property/services</w:t>
      </w:r>
    </w:p>
    <w:p w14:paraId="46D69D25" w14:textId="77777777" w:rsidR="00A952BF" w:rsidRPr="00A952BF" w:rsidRDefault="00A952BF" w:rsidP="007A49FB">
      <w:pPr>
        <w:numPr>
          <w:ilvl w:val="1"/>
          <w:numId w:val="19"/>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Free-of-charge relocation fees and/or house-moving services</w:t>
      </w:r>
    </w:p>
    <w:p w14:paraId="3A299390" w14:textId="5812B536" w:rsidR="00A952BF" w:rsidRPr="00A952BF" w:rsidRDefault="00A952BF" w:rsidP="000A32BC">
      <w:pPr>
        <w:numPr>
          <w:ilvl w:val="1"/>
          <w:numId w:val="19"/>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Encourage property donations in exchange for tax credits and public recognition.</w:t>
      </w:r>
    </w:p>
    <w:p w14:paraId="680EBB4D" w14:textId="77777777" w:rsidR="00A952BF" w:rsidRPr="00A952BF" w:rsidRDefault="00A952BF" w:rsidP="007A49FB">
      <w:pPr>
        <w:spacing w:after="160"/>
        <w:ind w:left="0" w:firstLine="0"/>
        <w:jc w:val="left"/>
        <w:rPr>
          <w:rFonts w:cs="Times New Roman"/>
          <w:kern w:val="2"/>
          <w:szCs w:val="24"/>
          <w:u w:val="single"/>
          <w14:ligatures w14:val="standardContextual"/>
        </w:rPr>
      </w:pPr>
      <w:r w:rsidRPr="00A952BF">
        <w:rPr>
          <w:rFonts w:cs="Times New Roman"/>
          <w:kern w:val="2"/>
          <w:szCs w:val="24"/>
          <w:u w:val="single"/>
          <w14:ligatures w14:val="standardContextual"/>
        </w:rPr>
        <w:t>University of Illinois Champaign-Urbana</w:t>
      </w:r>
    </w:p>
    <w:p w14:paraId="18345776" w14:textId="77777777" w:rsidR="00A952BF" w:rsidRPr="00A952BF" w:rsidRDefault="00A952BF" w:rsidP="007A49FB">
      <w:pPr>
        <w:numPr>
          <w:ilvl w:val="0"/>
          <w:numId w:val="20"/>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 xml:space="preserve">Established “South Campus Expansion Plan” as Target Assembly Area </w:t>
      </w:r>
    </w:p>
    <w:p w14:paraId="2B0BFF38" w14:textId="77777777" w:rsidR="00A952BF" w:rsidRPr="00A952BF" w:rsidRDefault="00A952BF" w:rsidP="007A49FB">
      <w:pPr>
        <w:numPr>
          <w:ilvl w:val="0"/>
          <w:numId w:val="20"/>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University initially contacts all landowners by mail.</w:t>
      </w:r>
    </w:p>
    <w:p w14:paraId="064AC769" w14:textId="77777777" w:rsidR="00A952BF" w:rsidRPr="00A952BF" w:rsidRDefault="00A952BF" w:rsidP="007A49FB">
      <w:pPr>
        <w:numPr>
          <w:ilvl w:val="0"/>
          <w:numId w:val="20"/>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University is restricted by policy to settle appraisal disputes in Court.</w:t>
      </w:r>
    </w:p>
    <w:p w14:paraId="7DD0C63B" w14:textId="77777777" w:rsidR="00A952BF" w:rsidRPr="00A952BF" w:rsidRDefault="00A952BF" w:rsidP="007A49FB">
      <w:pPr>
        <w:numPr>
          <w:ilvl w:val="0"/>
          <w:numId w:val="20"/>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Recommends the university be “unrestricted”, i.e., to reach voluntary, mutually beneficial bargaining agreements with recalcitrant holdouts, rather than going to Court.</w:t>
      </w:r>
    </w:p>
    <w:p w14:paraId="54C193D7" w14:textId="77777777" w:rsidR="00A952BF" w:rsidRPr="00A952BF" w:rsidRDefault="00A952BF" w:rsidP="007A49FB">
      <w:pPr>
        <w:spacing w:after="160"/>
        <w:ind w:left="0" w:firstLine="0"/>
        <w:jc w:val="left"/>
        <w:rPr>
          <w:rFonts w:cs="Times New Roman"/>
          <w:kern w:val="2"/>
          <w:szCs w:val="24"/>
          <w:u w:val="single"/>
          <w14:ligatures w14:val="standardContextual"/>
        </w:rPr>
      </w:pPr>
      <w:r w:rsidRPr="00A952BF">
        <w:rPr>
          <w:rFonts w:cs="Times New Roman"/>
          <w:kern w:val="2"/>
          <w:szCs w:val="24"/>
          <w:u w:val="single"/>
          <w14:ligatures w14:val="standardContextual"/>
        </w:rPr>
        <w:t>University of Cincinnati</w:t>
      </w:r>
    </w:p>
    <w:p w14:paraId="21518802" w14:textId="77777777" w:rsidR="00A952BF" w:rsidRPr="00A952BF" w:rsidRDefault="00A952BF" w:rsidP="007A49FB">
      <w:pPr>
        <w:numPr>
          <w:ilvl w:val="0"/>
          <w:numId w:val="21"/>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 xml:space="preserve">Established “Clifton Heights Revitalization Project” as Target Assembly Area </w:t>
      </w:r>
    </w:p>
    <w:p w14:paraId="4FDB7397" w14:textId="77777777" w:rsidR="00A952BF" w:rsidRPr="00A952BF" w:rsidRDefault="00A952BF" w:rsidP="007A49FB">
      <w:pPr>
        <w:numPr>
          <w:ilvl w:val="0"/>
          <w:numId w:val="21"/>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Standard university policy not to use ED.</w:t>
      </w:r>
    </w:p>
    <w:p w14:paraId="30EE50E8" w14:textId="77777777" w:rsidR="00A952BF" w:rsidRPr="00A952BF" w:rsidRDefault="00A952BF" w:rsidP="007A49FB">
      <w:pPr>
        <w:numPr>
          <w:ilvl w:val="0"/>
          <w:numId w:val="21"/>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 xml:space="preserve">Established an Innovative Bargaining Network with City of Cincinnati, local realtors, and local non-profit Neighborhood Development Corporations [NDCs] </w:t>
      </w:r>
    </w:p>
    <w:p w14:paraId="170A8370" w14:textId="10A8FA2E" w:rsidR="00A952BF" w:rsidRPr="00A952BF" w:rsidRDefault="00A952BF" w:rsidP="000A32BC">
      <w:pPr>
        <w:numPr>
          <w:ilvl w:val="0"/>
          <w:numId w:val="21"/>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centrally coordinating all land acquisitions/negotiations simultaneously</w:t>
      </w:r>
      <w:r w:rsidR="000A32BC">
        <w:rPr>
          <w:rFonts w:cs="Times New Roman"/>
          <w:kern w:val="2"/>
          <w:szCs w:val="24"/>
          <w14:ligatures w14:val="standardContextual"/>
        </w:rPr>
        <w:t>.</w:t>
      </w:r>
    </w:p>
    <w:p w14:paraId="09612D3E" w14:textId="77777777" w:rsidR="00A952BF" w:rsidRPr="00A952BF" w:rsidRDefault="00A952BF" w:rsidP="007A49FB">
      <w:pPr>
        <w:spacing w:after="160"/>
        <w:ind w:left="0" w:firstLine="0"/>
        <w:jc w:val="left"/>
        <w:rPr>
          <w:rFonts w:cs="Times New Roman"/>
          <w:kern w:val="2"/>
          <w:szCs w:val="24"/>
          <w:u w:val="single"/>
          <w14:ligatures w14:val="standardContextual"/>
        </w:rPr>
      </w:pPr>
      <w:r w:rsidRPr="00A952BF">
        <w:rPr>
          <w:rFonts w:cs="Times New Roman"/>
          <w:kern w:val="2"/>
          <w:szCs w:val="24"/>
          <w:u w:val="single"/>
          <w14:ligatures w14:val="standardContextual"/>
        </w:rPr>
        <w:lastRenderedPageBreak/>
        <w:t>Norwood, OH (Counter Example)</w:t>
      </w:r>
    </w:p>
    <w:p w14:paraId="701156EC" w14:textId="77777777" w:rsidR="00A952BF" w:rsidRPr="00A952BF" w:rsidRDefault="00A952BF" w:rsidP="007A49FB">
      <w:pPr>
        <w:numPr>
          <w:ilvl w:val="0"/>
          <w:numId w:val="22"/>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A strictly private land assembly/development project</w:t>
      </w:r>
    </w:p>
    <w:p w14:paraId="64408CCD" w14:textId="77777777" w:rsidR="00A952BF" w:rsidRPr="00A952BF" w:rsidRDefault="00A952BF" w:rsidP="007A49FB">
      <w:pPr>
        <w:numPr>
          <w:ilvl w:val="0"/>
          <w:numId w:val="22"/>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Private developer Established Rookwood Exchange Project Target Assembly Area</w:t>
      </w:r>
    </w:p>
    <w:p w14:paraId="1B667210" w14:textId="77777777" w:rsidR="00A952BF" w:rsidRPr="00A952BF" w:rsidRDefault="00A952BF" w:rsidP="007A49FB">
      <w:pPr>
        <w:numPr>
          <w:ilvl w:val="0"/>
          <w:numId w:val="22"/>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Private developer successfully acquired all but three monopoly holdout properties.</w:t>
      </w:r>
    </w:p>
    <w:p w14:paraId="44327E45" w14:textId="77777777" w:rsidR="00A952BF" w:rsidRPr="00A952BF" w:rsidRDefault="00A952BF" w:rsidP="007A49FB">
      <w:pPr>
        <w:numPr>
          <w:ilvl w:val="0"/>
          <w:numId w:val="22"/>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Private developer sought ED powers from City of Norwood to overcome 3 (last remaining) monopoly holdouts.</w:t>
      </w:r>
    </w:p>
    <w:p w14:paraId="6022E838" w14:textId="77777777" w:rsidR="00A952BF" w:rsidRPr="00A952BF" w:rsidRDefault="00A952BF" w:rsidP="007A49FB">
      <w:pPr>
        <w:numPr>
          <w:ilvl w:val="0"/>
          <w:numId w:val="22"/>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 xml:space="preserve">The Ohio Supreme Court ruled unanimously in favor of the 3 landowners (post </w:t>
      </w:r>
      <w:r w:rsidRPr="00A952BF">
        <w:rPr>
          <w:rFonts w:cs="Times New Roman"/>
          <w:i/>
          <w:iCs/>
          <w:kern w:val="2"/>
          <w:szCs w:val="24"/>
          <w14:ligatures w14:val="standardContextual"/>
        </w:rPr>
        <w:t xml:space="preserve">Kelo </w:t>
      </w:r>
      <w:r w:rsidRPr="00A952BF">
        <w:rPr>
          <w:rFonts w:cs="Times New Roman"/>
          <w:kern w:val="2"/>
          <w:szCs w:val="24"/>
          <w14:ligatures w14:val="standardContextual"/>
        </w:rPr>
        <w:t>controversy).</w:t>
      </w:r>
    </w:p>
    <w:p w14:paraId="36338D4D" w14:textId="77777777" w:rsidR="00A952BF" w:rsidRPr="00A952BF" w:rsidRDefault="00A952BF" w:rsidP="007A49FB">
      <w:pPr>
        <w:numPr>
          <w:ilvl w:val="0"/>
          <w:numId w:val="22"/>
        </w:numPr>
        <w:spacing w:after="160"/>
        <w:contextualSpacing/>
        <w:jc w:val="left"/>
        <w:rPr>
          <w:rFonts w:cs="Times New Roman"/>
          <w:kern w:val="2"/>
          <w:szCs w:val="24"/>
          <w14:ligatures w14:val="standardContextual"/>
        </w:rPr>
      </w:pPr>
      <w:r w:rsidRPr="00A952BF">
        <w:rPr>
          <w:rFonts w:cs="Times New Roman"/>
          <w:kern w:val="2"/>
          <w:szCs w:val="24"/>
          <w14:ligatures w14:val="standardContextual"/>
        </w:rPr>
        <w:t>The developer abandoned the project.</w:t>
      </w:r>
    </w:p>
    <w:p w14:paraId="628BE663" w14:textId="77777777" w:rsidR="00A952BF" w:rsidRPr="00A952BF" w:rsidRDefault="00A952BF" w:rsidP="00A952BF">
      <w:pPr>
        <w:spacing w:after="160" w:line="259" w:lineRule="auto"/>
        <w:ind w:left="0" w:firstLine="0"/>
        <w:contextualSpacing/>
        <w:jc w:val="left"/>
        <w:rPr>
          <w:rFonts w:cs="Times New Roman"/>
          <w:kern w:val="2"/>
          <w:szCs w:val="24"/>
          <w14:ligatures w14:val="standardContextual"/>
        </w:rPr>
      </w:pPr>
    </w:p>
    <w:p w14:paraId="2C1255C8" w14:textId="6A977AFA" w:rsidR="00A952BF" w:rsidRPr="00A952BF" w:rsidRDefault="007A78EE" w:rsidP="00EE6A7A">
      <w:pPr>
        <w:pStyle w:val="Heading2"/>
      </w:pPr>
      <w:bookmarkStart w:id="151" w:name="_Toc134346754"/>
      <w:r>
        <w:t xml:space="preserve">Synthesis of </w:t>
      </w:r>
      <w:r w:rsidR="0053133F">
        <w:t>Research</w:t>
      </w:r>
      <w:r w:rsidR="00AA6F62">
        <w:t xml:space="preserve"> </w:t>
      </w:r>
      <w:r w:rsidR="00662B84">
        <w:t>Findings:</w:t>
      </w:r>
      <w:bookmarkEnd w:id="151"/>
    </w:p>
    <w:p w14:paraId="5671B01F" w14:textId="0AD87531" w:rsidR="00A952BF" w:rsidRPr="00A952BF" w:rsidRDefault="00A952BF" w:rsidP="00A952BF">
      <w:pPr>
        <w:spacing w:after="160"/>
        <w:ind w:left="0" w:firstLine="0"/>
        <w:jc w:val="left"/>
        <w:rPr>
          <w:rFonts w:cs="Times New Roman"/>
          <w:szCs w:val="24"/>
        </w:rPr>
      </w:pPr>
      <w:r w:rsidRPr="00A952BF">
        <w:rPr>
          <w:rFonts w:cs="Times New Roman"/>
          <w:szCs w:val="24"/>
        </w:rPr>
        <w:t xml:space="preserve">A synthesis of the </w:t>
      </w:r>
      <w:r w:rsidR="00931470">
        <w:rPr>
          <w:rFonts w:cs="Times New Roman"/>
          <w:szCs w:val="24"/>
        </w:rPr>
        <w:t xml:space="preserve">key </w:t>
      </w:r>
      <w:r w:rsidR="001213C1">
        <w:rPr>
          <w:rFonts w:cs="Times New Roman"/>
          <w:szCs w:val="24"/>
        </w:rPr>
        <w:t xml:space="preserve">IRB </w:t>
      </w:r>
      <w:r w:rsidR="00AA6F62">
        <w:rPr>
          <w:rFonts w:cs="Times New Roman"/>
          <w:szCs w:val="24"/>
        </w:rPr>
        <w:t>study</w:t>
      </w:r>
      <w:r w:rsidRPr="00A952BF">
        <w:rPr>
          <w:rFonts w:cs="Times New Roman"/>
          <w:szCs w:val="24"/>
        </w:rPr>
        <w:t xml:space="preserve"> findings clearly demonstrates </w:t>
      </w:r>
      <w:r w:rsidR="00AA6F62">
        <w:rPr>
          <w:rFonts w:cs="Times New Roman"/>
          <w:szCs w:val="24"/>
        </w:rPr>
        <w:t xml:space="preserve">the </w:t>
      </w:r>
      <w:r w:rsidR="00F00704">
        <w:rPr>
          <w:rFonts w:cs="Times New Roman"/>
          <w:szCs w:val="24"/>
        </w:rPr>
        <w:t xml:space="preserve">real-world </w:t>
      </w:r>
      <w:r w:rsidRPr="00A952BF">
        <w:rPr>
          <w:rFonts w:cs="Times New Roman"/>
          <w:szCs w:val="24"/>
        </w:rPr>
        <w:t>employment of a complete and comprehensive methodology</w:t>
      </w:r>
      <w:r w:rsidR="00F00704" w:rsidRPr="00A952BF">
        <w:rPr>
          <w:rFonts w:cs="Times New Roman"/>
          <w:szCs w:val="24"/>
        </w:rPr>
        <w:t xml:space="preserve">, i.e., </w:t>
      </w:r>
      <w:r w:rsidRPr="00A952BF">
        <w:rPr>
          <w:rFonts w:cs="Times New Roman"/>
          <w:szCs w:val="24"/>
        </w:rPr>
        <w:t>enabl</w:t>
      </w:r>
      <w:r w:rsidR="00F00704">
        <w:rPr>
          <w:rFonts w:cs="Times New Roman"/>
          <w:szCs w:val="24"/>
        </w:rPr>
        <w:t>ing</w:t>
      </w:r>
      <w:r w:rsidRPr="00A952BF">
        <w:rPr>
          <w:rFonts w:cs="Times New Roman"/>
          <w:szCs w:val="24"/>
        </w:rPr>
        <w:t xml:space="preserve"> street-level practitioners </w:t>
      </w:r>
      <w:r w:rsidR="007D4DB9" w:rsidRPr="00A952BF">
        <w:rPr>
          <w:rFonts w:cs="Times New Roman"/>
          <w:szCs w:val="24"/>
        </w:rPr>
        <w:t xml:space="preserve">(in all types of land assembly projects) </w:t>
      </w:r>
      <w:r w:rsidRPr="00A952BF">
        <w:rPr>
          <w:rFonts w:cs="Times New Roman"/>
          <w:szCs w:val="24"/>
        </w:rPr>
        <w:t xml:space="preserve">to systematically resolve monopoly holdouts without requiring eminent domain. </w:t>
      </w:r>
    </w:p>
    <w:p w14:paraId="627E86A0" w14:textId="6CEDD10D" w:rsidR="00A952BF" w:rsidRPr="00A952BF" w:rsidRDefault="009E0027" w:rsidP="00A952BF">
      <w:pPr>
        <w:spacing w:after="160"/>
        <w:ind w:left="0" w:firstLine="0"/>
        <w:jc w:val="left"/>
        <w:rPr>
          <w:rFonts w:cs="Times New Roman"/>
          <w:szCs w:val="24"/>
        </w:rPr>
      </w:pPr>
      <w:r>
        <w:rPr>
          <w:rFonts w:cs="Times New Roman"/>
          <w:szCs w:val="24"/>
        </w:rPr>
        <w:t>By f</w:t>
      </w:r>
      <w:r w:rsidR="00A952BF" w:rsidRPr="00A952BF">
        <w:rPr>
          <w:rFonts w:cs="Times New Roman"/>
          <w:szCs w:val="24"/>
        </w:rPr>
        <w:t xml:space="preserve">ollowing this methodology, real-world practitioners routinely employ a four-phase targeted parcel-acquisition process, i.e., designed to </w:t>
      </w:r>
      <w:r w:rsidR="007D4DB9">
        <w:rPr>
          <w:rFonts w:cs="Times New Roman"/>
          <w:szCs w:val="24"/>
        </w:rPr>
        <w:t xml:space="preserve">simultaneously </w:t>
      </w:r>
      <w:r w:rsidR="00A952BF" w:rsidRPr="00A952BF">
        <w:rPr>
          <w:rFonts w:cs="Times New Roman"/>
          <w:szCs w:val="24"/>
        </w:rPr>
        <w:t xml:space="preserve">resolve the four types of monopoly holdouts arising uniquely during each sequential acquisition phase. They then employ four unique (game-theoretical) bargaining strategies, </w:t>
      </w:r>
      <w:r w:rsidRPr="00A952BF">
        <w:rPr>
          <w:rFonts w:cs="Times New Roman"/>
          <w:szCs w:val="24"/>
        </w:rPr>
        <w:t xml:space="preserve">i.e., </w:t>
      </w:r>
      <w:r w:rsidR="00A952BF" w:rsidRPr="00A952BF">
        <w:rPr>
          <w:rFonts w:cs="Times New Roman"/>
          <w:szCs w:val="24"/>
        </w:rPr>
        <w:t xml:space="preserve">enabling </w:t>
      </w:r>
      <w:r w:rsidR="00A952BF" w:rsidRPr="00A952BF">
        <w:rPr>
          <w:rFonts w:cs="Times New Roman"/>
          <w:szCs w:val="24"/>
        </w:rPr>
        <w:lastRenderedPageBreak/>
        <w:t>them to systematically resolve each type of monopoly holdout, during each successive acquisition phase</w:t>
      </w:r>
      <w:r>
        <w:rPr>
          <w:rFonts w:cs="Times New Roman"/>
          <w:szCs w:val="24"/>
        </w:rPr>
        <w:t xml:space="preserve">, </w:t>
      </w:r>
      <w:r w:rsidR="00A952BF" w:rsidRPr="00A952BF">
        <w:rPr>
          <w:rFonts w:cs="Times New Roman"/>
          <w:szCs w:val="24"/>
        </w:rPr>
        <w:t xml:space="preserve">without requiring eminent domain. </w:t>
      </w:r>
    </w:p>
    <w:p w14:paraId="2AFFA183" w14:textId="77777777" w:rsidR="00A952BF" w:rsidRPr="00A952BF" w:rsidRDefault="00A952BF" w:rsidP="00815C79">
      <w:pPr>
        <w:spacing w:after="160"/>
        <w:ind w:left="0" w:firstLine="0"/>
        <w:jc w:val="left"/>
        <w:rPr>
          <w:rFonts w:cs="Times New Roman"/>
          <w:szCs w:val="24"/>
          <w:u w:val="single"/>
        </w:rPr>
      </w:pPr>
      <w:r w:rsidRPr="00A952BF">
        <w:rPr>
          <w:rFonts w:cs="Times New Roman"/>
          <w:szCs w:val="24"/>
          <w:u w:val="single"/>
        </w:rPr>
        <w:t>Phase A: Establishing a Suitable Target Assembly Area:</w:t>
      </w:r>
    </w:p>
    <w:p w14:paraId="2BE3DBF5" w14:textId="77777777" w:rsidR="00A952BF" w:rsidRPr="00A952BF" w:rsidRDefault="00A952BF" w:rsidP="00815C79">
      <w:pPr>
        <w:numPr>
          <w:ilvl w:val="0"/>
          <w:numId w:val="26"/>
        </w:numPr>
        <w:spacing w:after="160"/>
        <w:contextualSpacing/>
        <w:jc w:val="left"/>
        <w:rPr>
          <w:rFonts w:cs="Times New Roman"/>
          <w:szCs w:val="24"/>
        </w:rPr>
      </w:pPr>
      <w:r w:rsidRPr="00A952BF">
        <w:rPr>
          <w:rFonts w:cs="Times New Roman"/>
          <w:szCs w:val="24"/>
        </w:rPr>
        <w:t>Prior to initial-parcel-acquisition, it is necessary to pre-determinatively establish a suitable target assembly area, i.e., one that is “most suitable” for redevelopment/ revitalization/ “efficient economic re-allocation”, i.e., via the land assembly process.</w:t>
      </w:r>
    </w:p>
    <w:p w14:paraId="5F7A16C6" w14:textId="77777777" w:rsidR="00A952BF" w:rsidRPr="00A952BF" w:rsidRDefault="00A952BF" w:rsidP="00815C79">
      <w:pPr>
        <w:numPr>
          <w:ilvl w:val="0"/>
          <w:numId w:val="26"/>
        </w:numPr>
        <w:spacing w:after="160"/>
        <w:contextualSpacing/>
        <w:jc w:val="left"/>
        <w:rPr>
          <w:rFonts w:cs="Times New Roman"/>
          <w:szCs w:val="24"/>
        </w:rPr>
      </w:pPr>
      <w:r w:rsidRPr="00A952BF">
        <w:rPr>
          <w:rFonts w:cs="Times New Roman"/>
          <w:szCs w:val="24"/>
        </w:rPr>
        <w:t>The more “suitable” the target assembly area, the more readily landowners will sell their properties immediately.</w:t>
      </w:r>
    </w:p>
    <w:p w14:paraId="69C8A2C9" w14:textId="77777777" w:rsidR="00A952BF" w:rsidRPr="00A952BF" w:rsidRDefault="00A952BF" w:rsidP="00815C79">
      <w:pPr>
        <w:numPr>
          <w:ilvl w:val="0"/>
          <w:numId w:val="26"/>
        </w:numPr>
        <w:spacing w:after="160"/>
        <w:contextualSpacing/>
        <w:jc w:val="left"/>
        <w:rPr>
          <w:rFonts w:cs="Times New Roman"/>
          <w:szCs w:val="24"/>
        </w:rPr>
      </w:pPr>
      <w:r w:rsidRPr="00A952BF">
        <w:rPr>
          <w:rFonts w:cs="Times New Roman"/>
          <w:szCs w:val="24"/>
        </w:rPr>
        <w:t>By strategically purchasing parcels as they become available for sale in the target assembly area, this avoids any potential for resolving monopoly holdouts.</w:t>
      </w:r>
    </w:p>
    <w:p w14:paraId="5119F8B2" w14:textId="77777777" w:rsidR="00A952BF" w:rsidRDefault="00A952BF" w:rsidP="00815C79">
      <w:pPr>
        <w:numPr>
          <w:ilvl w:val="0"/>
          <w:numId w:val="26"/>
        </w:numPr>
        <w:spacing w:after="160"/>
        <w:contextualSpacing/>
        <w:jc w:val="left"/>
        <w:rPr>
          <w:rFonts w:cs="Times New Roman"/>
          <w:szCs w:val="24"/>
        </w:rPr>
      </w:pPr>
      <w:r w:rsidRPr="00A952BF">
        <w:rPr>
          <w:rFonts w:cs="Times New Roman"/>
          <w:szCs w:val="24"/>
        </w:rPr>
        <w:t>The strategic purchase of parcels in the target area effectively minimizes/eliminates all holdout-related transactions costs, i.e., without requiring eminent domain.</w:t>
      </w:r>
    </w:p>
    <w:p w14:paraId="6C66B248" w14:textId="77777777" w:rsidR="00A952BF" w:rsidRPr="00A952BF" w:rsidRDefault="00A952BF" w:rsidP="00815C79">
      <w:pPr>
        <w:spacing w:after="160"/>
        <w:ind w:left="0" w:firstLine="0"/>
        <w:jc w:val="left"/>
        <w:rPr>
          <w:rFonts w:cs="Times New Roman"/>
          <w:szCs w:val="24"/>
          <w:u w:val="single"/>
        </w:rPr>
      </w:pPr>
      <w:r w:rsidRPr="00A952BF">
        <w:rPr>
          <w:rFonts w:cs="Times New Roman"/>
          <w:szCs w:val="24"/>
          <w:u w:val="single"/>
        </w:rPr>
        <w:t>Phase B: Establishing a Viable Parcel-Nucleus:</w:t>
      </w:r>
    </w:p>
    <w:p w14:paraId="3AD26A65" w14:textId="77777777" w:rsidR="00A952BF" w:rsidRPr="00A952BF" w:rsidRDefault="00A952BF" w:rsidP="00815C79">
      <w:pPr>
        <w:numPr>
          <w:ilvl w:val="0"/>
          <w:numId w:val="27"/>
        </w:numPr>
        <w:spacing w:after="160"/>
        <w:contextualSpacing/>
        <w:jc w:val="left"/>
        <w:rPr>
          <w:rFonts w:cs="Times New Roman"/>
          <w:szCs w:val="24"/>
          <w:u w:val="single"/>
        </w:rPr>
      </w:pPr>
      <w:r w:rsidRPr="00A952BF">
        <w:rPr>
          <w:rFonts w:cs="Times New Roman"/>
          <w:szCs w:val="24"/>
        </w:rPr>
        <w:t xml:space="preserve">The objective in establishing a Viable Parcel Nucleus is to create an indivisible parcel assemblage, i.e., sufficient in size to initiate (at least part of) the overall </w:t>
      </w:r>
      <w:bookmarkStart w:id="152" w:name="_Hlk133926972"/>
      <w:r w:rsidRPr="00A952BF">
        <w:rPr>
          <w:rFonts w:cs="Times New Roman"/>
          <w:szCs w:val="24"/>
        </w:rPr>
        <w:t xml:space="preserve">redevelopment/revitalization </w:t>
      </w:r>
      <w:bookmarkEnd w:id="152"/>
      <w:r w:rsidRPr="00A952BF">
        <w:rPr>
          <w:rFonts w:cs="Times New Roman"/>
          <w:szCs w:val="24"/>
        </w:rPr>
        <w:t>project.</w:t>
      </w:r>
    </w:p>
    <w:p w14:paraId="35487072" w14:textId="77777777" w:rsidR="00A952BF" w:rsidRPr="00A952BF" w:rsidRDefault="00A952BF" w:rsidP="00815C79">
      <w:pPr>
        <w:numPr>
          <w:ilvl w:val="0"/>
          <w:numId w:val="27"/>
        </w:numPr>
        <w:spacing w:after="160"/>
        <w:contextualSpacing/>
        <w:jc w:val="left"/>
        <w:rPr>
          <w:rFonts w:cs="Times New Roman"/>
          <w:szCs w:val="24"/>
          <w:u w:val="single"/>
        </w:rPr>
      </w:pPr>
      <w:r w:rsidRPr="00A952BF">
        <w:rPr>
          <w:rFonts w:cs="Times New Roman"/>
          <w:szCs w:val="24"/>
        </w:rPr>
        <w:t xml:space="preserve">During this phase, it is most critical to resolve all monopoly holdouts, otherwise, the redevelopment/revitalization project will ultimately be forfeited. </w:t>
      </w:r>
    </w:p>
    <w:p w14:paraId="370E9164" w14:textId="77777777" w:rsidR="00A952BF" w:rsidRPr="00A952BF" w:rsidRDefault="00A952BF" w:rsidP="00815C79">
      <w:pPr>
        <w:numPr>
          <w:ilvl w:val="0"/>
          <w:numId w:val="27"/>
        </w:numPr>
        <w:spacing w:after="160"/>
        <w:contextualSpacing/>
        <w:jc w:val="left"/>
        <w:rPr>
          <w:rFonts w:cs="Times New Roman"/>
          <w:szCs w:val="24"/>
        </w:rPr>
      </w:pPr>
      <w:r w:rsidRPr="00A952BF">
        <w:rPr>
          <w:rFonts w:cs="Times New Roman"/>
          <w:szCs w:val="24"/>
        </w:rPr>
        <w:t xml:space="preserve">The specific type of monopoly holdout that arises uniquely during this acquisition phase, comes from the group of landowners (i.e., who know their </w:t>
      </w:r>
      <w:r w:rsidRPr="00A952BF">
        <w:rPr>
          <w:rFonts w:cs="Times New Roman"/>
          <w:szCs w:val="24"/>
        </w:rPr>
        <w:lastRenderedPageBreak/>
        <w:t>neighbors have already “sold out”), but who are still uncertain about the potential benefits they may receive from voluntarily selling their property.</w:t>
      </w:r>
    </w:p>
    <w:p w14:paraId="44EC8A36" w14:textId="77777777" w:rsidR="00A952BF" w:rsidRPr="00A952BF" w:rsidRDefault="00A952BF" w:rsidP="00815C79">
      <w:pPr>
        <w:numPr>
          <w:ilvl w:val="0"/>
          <w:numId w:val="27"/>
        </w:numPr>
        <w:spacing w:after="160"/>
        <w:contextualSpacing/>
        <w:jc w:val="left"/>
        <w:rPr>
          <w:rFonts w:cs="Times New Roman"/>
          <w:szCs w:val="24"/>
        </w:rPr>
      </w:pPr>
      <w:r w:rsidRPr="00A952BF">
        <w:rPr>
          <w:rFonts w:cs="Times New Roman"/>
          <w:szCs w:val="24"/>
        </w:rPr>
        <w:t>To successfully overcome this monopoly holdout behavior, it is necessary to conduct simultaneous negotiations with all these landowners, i.e., as a bargaining coalition, explaining all their potential benefits.</w:t>
      </w:r>
    </w:p>
    <w:p w14:paraId="0A0D43AC" w14:textId="5898FCC2" w:rsidR="00815C79" w:rsidRPr="00A952BF" w:rsidRDefault="00A952BF" w:rsidP="009E0027">
      <w:pPr>
        <w:numPr>
          <w:ilvl w:val="0"/>
          <w:numId w:val="27"/>
        </w:numPr>
        <w:spacing w:after="160"/>
        <w:contextualSpacing/>
        <w:jc w:val="left"/>
        <w:rPr>
          <w:rFonts w:cs="Times New Roman"/>
          <w:szCs w:val="24"/>
        </w:rPr>
      </w:pPr>
      <w:r w:rsidRPr="00A952BF">
        <w:rPr>
          <w:rFonts w:cs="Times New Roman"/>
          <w:szCs w:val="24"/>
        </w:rPr>
        <w:t>Upon discovering that each individual landowner has agreed to bargain as part of a coalition, each will be “induced” to voluntarily moderate their own monopoly price, rather than jeopardize the profitable sale for the entire coalition.</w:t>
      </w:r>
    </w:p>
    <w:p w14:paraId="424E2A5C" w14:textId="77777777" w:rsidR="00A952BF" w:rsidRPr="00A952BF" w:rsidRDefault="00A952BF" w:rsidP="00815C79">
      <w:pPr>
        <w:spacing w:after="160"/>
        <w:ind w:left="0" w:firstLine="0"/>
        <w:jc w:val="left"/>
        <w:rPr>
          <w:rFonts w:cs="Times New Roman"/>
          <w:szCs w:val="24"/>
          <w:u w:val="single"/>
        </w:rPr>
      </w:pPr>
      <w:r w:rsidRPr="00A952BF">
        <w:rPr>
          <w:rFonts w:cs="Times New Roman"/>
          <w:szCs w:val="24"/>
          <w:u w:val="single"/>
        </w:rPr>
        <w:t>Phase C: Assembly of Adjacent Out-Parcels:</w:t>
      </w:r>
    </w:p>
    <w:p w14:paraId="4BBBD680" w14:textId="77777777" w:rsidR="00A952BF" w:rsidRPr="00A952BF" w:rsidRDefault="00A952BF" w:rsidP="00815C79">
      <w:pPr>
        <w:numPr>
          <w:ilvl w:val="0"/>
          <w:numId w:val="29"/>
        </w:numPr>
        <w:spacing w:after="160"/>
        <w:contextualSpacing/>
        <w:jc w:val="left"/>
        <w:rPr>
          <w:rFonts w:cs="Times New Roman"/>
          <w:szCs w:val="24"/>
        </w:rPr>
      </w:pPr>
      <w:r w:rsidRPr="00A952BF">
        <w:rPr>
          <w:rFonts w:cs="Times New Roman"/>
          <w:szCs w:val="24"/>
        </w:rPr>
        <w:t>The Out-parcels are properties immediately adjacent to the core parcel-assembly, having longstanding owners with well-established property evaluations and well-defined property rights.</w:t>
      </w:r>
    </w:p>
    <w:p w14:paraId="0020C67E" w14:textId="77777777" w:rsidR="00A952BF" w:rsidRPr="00A952BF" w:rsidRDefault="00A952BF" w:rsidP="00815C79">
      <w:pPr>
        <w:numPr>
          <w:ilvl w:val="0"/>
          <w:numId w:val="29"/>
        </w:numPr>
        <w:spacing w:after="160"/>
        <w:contextualSpacing/>
        <w:jc w:val="left"/>
        <w:rPr>
          <w:rFonts w:cs="Times New Roman"/>
          <w:szCs w:val="24"/>
        </w:rPr>
      </w:pPr>
      <w:r w:rsidRPr="00A952BF">
        <w:rPr>
          <w:rFonts w:cs="Times New Roman"/>
          <w:szCs w:val="24"/>
        </w:rPr>
        <w:t>The owners of Out-parcel are typically business savvy, operating as monopolistic competitors, viewing their properties as strategic complements, i.e., during ongoing land assembly negotiations.</w:t>
      </w:r>
    </w:p>
    <w:p w14:paraId="5A5B5B07" w14:textId="6D1C2149" w:rsidR="00815C79" w:rsidRPr="00A952BF" w:rsidRDefault="00A952BF" w:rsidP="009E0027">
      <w:pPr>
        <w:numPr>
          <w:ilvl w:val="0"/>
          <w:numId w:val="29"/>
        </w:numPr>
        <w:spacing w:after="160"/>
        <w:contextualSpacing/>
        <w:jc w:val="left"/>
        <w:rPr>
          <w:rFonts w:cs="Times New Roman"/>
          <w:szCs w:val="24"/>
        </w:rPr>
      </w:pPr>
      <w:r w:rsidRPr="00A952BF">
        <w:rPr>
          <w:rFonts w:cs="Times New Roman"/>
          <w:szCs w:val="24"/>
        </w:rPr>
        <w:t>By purposefully approaching the owner of the highest-value out-parcel property, they can be “induced” to voluntarily lower their monopoly price and become the Price-Leader and setting the (Cournot/Bertrand) market price, i.e., “forcing” all the remaining owners to suspend their monopoly holdouts.</w:t>
      </w:r>
    </w:p>
    <w:p w14:paraId="2C7455F7" w14:textId="77777777" w:rsidR="00A952BF" w:rsidRPr="00A952BF" w:rsidRDefault="00A952BF" w:rsidP="00815C79">
      <w:pPr>
        <w:spacing w:after="160"/>
        <w:ind w:left="0" w:firstLine="0"/>
        <w:jc w:val="left"/>
        <w:rPr>
          <w:rFonts w:cs="Times New Roman"/>
          <w:szCs w:val="24"/>
          <w:u w:val="single"/>
        </w:rPr>
      </w:pPr>
      <w:r w:rsidRPr="00A952BF">
        <w:rPr>
          <w:rFonts w:cs="Times New Roman"/>
          <w:szCs w:val="24"/>
          <w:u w:val="single"/>
        </w:rPr>
        <w:t>Phase D: Acquiring Last Remaining In-Fill (and Off-site) Land Parcels:</w:t>
      </w:r>
    </w:p>
    <w:p w14:paraId="0612C215" w14:textId="77777777" w:rsidR="00A952BF" w:rsidRPr="00A952BF" w:rsidRDefault="00A952BF" w:rsidP="00815C79">
      <w:pPr>
        <w:numPr>
          <w:ilvl w:val="0"/>
          <w:numId w:val="32"/>
        </w:numPr>
        <w:spacing w:after="160"/>
        <w:contextualSpacing/>
        <w:jc w:val="left"/>
        <w:rPr>
          <w:rFonts w:cs="Times New Roman"/>
          <w:szCs w:val="24"/>
        </w:rPr>
      </w:pPr>
      <w:r w:rsidRPr="00A952BF">
        <w:rPr>
          <w:rFonts w:cs="Times New Roman"/>
          <w:szCs w:val="24"/>
        </w:rPr>
        <w:t>The last -remaining in-fill parcels represent properties of recalcitrant landowners, i.e., refusing to sell “for whatever reason.”</w:t>
      </w:r>
    </w:p>
    <w:p w14:paraId="18AC48A8" w14:textId="77777777" w:rsidR="00A952BF" w:rsidRPr="00A952BF" w:rsidRDefault="00A952BF" w:rsidP="00815C79">
      <w:pPr>
        <w:numPr>
          <w:ilvl w:val="0"/>
          <w:numId w:val="32"/>
        </w:numPr>
        <w:spacing w:after="160"/>
        <w:contextualSpacing/>
        <w:jc w:val="left"/>
        <w:rPr>
          <w:rFonts w:cs="Times New Roman"/>
          <w:szCs w:val="24"/>
        </w:rPr>
      </w:pPr>
      <w:r w:rsidRPr="00A952BF">
        <w:rPr>
          <w:rFonts w:cs="Times New Roman"/>
          <w:szCs w:val="24"/>
        </w:rPr>
        <w:lastRenderedPageBreak/>
        <w:t>The acquisition of in-fill parcels are desirable, i.e., for assemblage efficiency.</w:t>
      </w:r>
    </w:p>
    <w:p w14:paraId="246C0686" w14:textId="77777777" w:rsidR="00A952BF" w:rsidRPr="00A952BF" w:rsidRDefault="00A952BF" w:rsidP="00815C79">
      <w:pPr>
        <w:numPr>
          <w:ilvl w:val="0"/>
          <w:numId w:val="32"/>
        </w:numPr>
        <w:spacing w:after="160"/>
        <w:contextualSpacing/>
        <w:jc w:val="left"/>
        <w:rPr>
          <w:rFonts w:cs="Times New Roman"/>
          <w:szCs w:val="24"/>
        </w:rPr>
      </w:pPr>
      <w:r w:rsidRPr="00A952BF">
        <w:rPr>
          <w:rFonts w:cs="Times New Roman"/>
          <w:szCs w:val="24"/>
        </w:rPr>
        <w:t>Acquisition of (last-remaining) in-fill parcels is both “costly and time consuming.”</w:t>
      </w:r>
    </w:p>
    <w:p w14:paraId="5F430853" w14:textId="77777777" w:rsidR="00A952BF" w:rsidRDefault="00A952BF" w:rsidP="00815C79">
      <w:pPr>
        <w:numPr>
          <w:ilvl w:val="0"/>
          <w:numId w:val="32"/>
        </w:numPr>
        <w:spacing w:after="160"/>
        <w:contextualSpacing/>
        <w:jc w:val="left"/>
        <w:rPr>
          <w:rFonts w:cs="Times New Roman"/>
          <w:szCs w:val="24"/>
        </w:rPr>
      </w:pPr>
      <w:r w:rsidRPr="00A952BF">
        <w:rPr>
          <w:rFonts w:cs="Times New Roman"/>
          <w:szCs w:val="24"/>
        </w:rPr>
        <w:t>By purchasing off-site parcels (i.e., outside the target assembly area) that are suitable as “voluntary property swaps”, as well as providing incentives such as relocation costs, recalcitrant landowners can be strategically “induced” to voluntary moderate their monopoly price, thus, effectively resolving the monopoly holdout.</w:t>
      </w:r>
    </w:p>
    <w:p w14:paraId="6BD4F0CC" w14:textId="77777777" w:rsidR="008B243B" w:rsidRDefault="008B243B" w:rsidP="008B243B">
      <w:pPr>
        <w:spacing w:after="160"/>
        <w:ind w:left="0" w:firstLine="0"/>
        <w:contextualSpacing/>
        <w:jc w:val="left"/>
        <w:rPr>
          <w:rFonts w:cs="Times New Roman"/>
          <w:szCs w:val="24"/>
        </w:rPr>
      </w:pPr>
    </w:p>
    <w:p w14:paraId="37A664D4" w14:textId="3D1DF999" w:rsidR="008B243B" w:rsidRPr="008B243B" w:rsidRDefault="008B243B" w:rsidP="00EE6A7A">
      <w:pPr>
        <w:pStyle w:val="Heading2"/>
      </w:pPr>
      <w:bookmarkStart w:id="153" w:name="_Toc134346755"/>
      <w:r w:rsidRPr="008B243B">
        <w:t>Conclusion</w:t>
      </w:r>
      <w:r w:rsidR="00ED4886">
        <w:t>s</w:t>
      </w:r>
      <w:r w:rsidRPr="008B243B">
        <w:t>:</w:t>
      </w:r>
      <w:bookmarkEnd w:id="153"/>
    </w:p>
    <w:p w14:paraId="0B339981" w14:textId="296CF01B" w:rsidR="008B243B" w:rsidRPr="00A952BF" w:rsidRDefault="008B243B" w:rsidP="008B243B">
      <w:pPr>
        <w:spacing w:after="160"/>
        <w:ind w:left="0" w:firstLine="0"/>
        <w:contextualSpacing/>
        <w:jc w:val="left"/>
        <w:rPr>
          <w:rFonts w:cs="Times New Roman"/>
          <w:szCs w:val="24"/>
        </w:rPr>
      </w:pPr>
      <w:r>
        <w:rPr>
          <w:rFonts w:cs="Times New Roman"/>
          <w:szCs w:val="24"/>
        </w:rPr>
        <w:t>In t</w:t>
      </w:r>
      <w:r w:rsidRPr="008B243B">
        <w:rPr>
          <w:rFonts w:cs="Times New Roman"/>
          <w:szCs w:val="24"/>
        </w:rPr>
        <w:t>his grounded theory research study</w:t>
      </w:r>
      <w:r>
        <w:rPr>
          <w:rFonts w:cs="Times New Roman"/>
          <w:szCs w:val="24"/>
        </w:rPr>
        <w:t>,</w:t>
      </w:r>
      <w:r w:rsidR="00452D63">
        <w:rPr>
          <w:rFonts w:cs="Times New Roman"/>
          <w:szCs w:val="24"/>
        </w:rPr>
        <w:t xml:space="preserve"> it first </w:t>
      </w:r>
      <w:r w:rsidR="00452D63" w:rsidRPr="008B243B">
        <w:rPr>
          <w:rFonts w:cs="Times New Roman"/>
          <w:szCs w:val="24"/>
        </w:rPr>
        <w:t xml:space="preserve">conducted </w:t>
      </w:r>
      <w:r w:rsidRPr="008B243B">
        <w:rPr>
          <w:rFonts w:cs="Times New Roman"/>
          <w:szCs w:val="24"/>
        </w:rPr>
        <w:t>a formal qualitative analysis of historical case studie</w:t>
      </w:r>
      <w:r w:rsidR="00452D63">
        <w:rPr>
          <w:rFonts w:cs="Times New Roman"/>
          <w:szCs w:val="24"/>
        </w:rPr>
        <w:t>s</w:t>
      </w:r>
      <w:r w:rsidRPr="008B243B">
        <w:rPr>
          <w:rFonts w:cs="Times New Roman"/>
          <w:szCs w:val="24"/>
        </w:rPr>
        <w:t xml:space="preserve">, i.e., examining the complete operation of the land assembly planning/acquisition/negotiation/bargaining process </w:t>
      </w:r>
      <w:r w:rsidRPr="00CF691E">
        <w:rPr>
          <w:rFonts w:cs="Times New Roman"/>
          <w:i/>
          <w:iCs/>
          <w:szCs w:val="24"/>
        </w:rPr>
        <w:t>in situ</w:t>
      </w:r>
      <w:r w:rsidRPr="008B243B">
        <w:rPr>
          <w:rFonts w:cs="Times New Roman"/>
          <w:szCs w:val="24"/>
        </w:rPr>
        <w:t xml:space="preserve">. Following strict IRB protocols, this study </w:t>
      </w:r>
      <w:r w:rsidR="00CF691E">
        <w:rPr>
          <w:rFonts w:cs="Times New Roman"/>
          <w:szCs w:val="24"/>
        </w:rPr>
        <w:t xml:space="preserve">then </w:t>
      </w:r>
      <w:r w:rsidRPr="008B243B">
        <w:rPr>
          <w:rFonts w:cs="Times New Roman"/>
          <w:szCs w:val="24"/>
        </w:rPr>
        <w:t xml:space="preserve">conducted </w:t>
      </w:r>
      <w:r w:rsidR="00F94D38">
        <w:rPr>
          <w:rFonts w:cs="Times New Roman"/>
          <w:szCs w:val="24"/>
        </w:rPr>
        <w:t xml:space="preserve">Tier 2 </w:t>
      </w:r>
      <w:r w:rsidRPr="008B243B">
        <w:rPr>
          <w:rFonts w:cs="Times New Roman"/>
          <w:szCs w:val="24"/>
        </w:rPr>
        <w:t>interviews with real-world practitioners, fully discuss</w:t>
      </w:r>
      <w:r w:rsidR="00231162">
        <w:rPr>
          <w:rFonts w:cs="Times New Roman"/>
          <w:szCs w:val="24"/>
        </w:rPr>
        <w:t>ing</w:t>
      </w:r>
      <w:r w:rsidRPr="008B243B">
        <w:rPr>
          <w:rFonts w:cs="Times New Roman"/>
          <w:szCs w:val="24"/>
        </w:rPr>
        <w:t xml:space="preserve"> their </w:t>
      </w:r>
      <w:r w:rsidR="00F94D38">
        <w:rPr>
          <w:rFonts w:cs="Times New Roman"/>
          <w:szCs w:val="24"/>
        </w:rPr>
        <w:t>general</w:t>
      </w:r>
      <w:r w:rsidRPr="008B243B">
        <w:rPr>
          <w:rFonts w:cs="Times New Roman"/>
          <w:szCs w:val="24"/>
        </w:rPr>
        <w:t xml:space="preserve"> involvement in </w:t>
      </w:r>
      <w:r w:rsidR="00231162">
        <w:rPr>
          <w:rFonts w:cs="Times New Roman"/>
          <w:szCs w:val="24"/>
        </w:rPr>
        <w:t xml:space="preserve">monopoly </w:t>
      </w:r>
      <w:r w:rsidR="00231162" w:rsidRPr="008B243B">
        <w:rPr>
          <w:rFonts w:cs="Times New Roman"/>
          <w:szCs w:val="24"/>
        </w:rPr>
        <w:t xml:space="preserve">holdout </w:t>
      </w:r>
      <w:r w:rsidRPr="008B243B">
        <w:rPr>
          <w:rFonts w:cs="Times New Roman"/>
          <w:szCs w:val="24"/>
        </w:rPr>
        <w:t>resol</w:t>
      </w:r>
      <w:r w:rsidR="00231162">
        <w:rPr>
          <w:rFonts w:cs="Times New Roman"/>
          <w:szCs w:val="24"/>
        </w:rPr>
        <w:t>ution</w:t>
      </w:r>
      <w:r w:rsidRPr="008B243B">
        <w:rPr>
          <w:rFonts w:cs="Times New Roman"/>
          <w:szCs w:val="24"/>
        </w:rPr>
        <w:t xml:space="preserve">, i.e., during </w:t>
      </w:r>
      <w:r w:rsidR="00231162">
        <w:rPr>
          <w:rFonts w:cs="Times New Roman"/>
          <w:szCs w:val="24"/>
        </w:rPr>
        <w:t>actual</w:t>
      </w:r>
      <w:r w:rsidR="006E2828">
        <w:rPr>
          <w:rFonts w:cs="Times New Roman"/>
          <w:szCs w:val="24"/>
        </w:rPr>
        <w:t xml:space="preserve"> </w:t>
      </w:r>
      <w:r w:rsidRPr="008B243B">
        <w:rPr>
          <w:rFonts w:cs="Times New Roman"/>
          <w:szCs w:val="24"/>
        </w:rPr>
        <w:t>ongoing land assembly negotiations. Finally, this study conducted in-depth Tier 1</w:t>
      </w:r>
      <w:r w:rsidR="00BC6666">
        <w:rPr>
          <w:rFonts w:cs="Times New Roman"/>
          <w:szCs w:val="24"/>
        </w:rPr>
        <w:t xml:space="preserve"> </w:t>
      </w:r>
      <w:r w:rsidRPr="008B243B">
        <w:rPr>
          <w:rFonts w:cs="Times New Roman"/>
          <w:szCs w:val="24"/>
        </w:rPr>
        <w:t xml:space="preserve">interviews with professional practitioners, who were intimately involved with the entire acquisition/negotiation process, providing their firsthand narrative accounts describing the innovative bargaining mechanisms they routinely employed in a wide range of ongoing land assembly projects, i.e., enabling them to systematically resolve monopoly holdouts. </w:t>
      </w:r>
      <w:r w:rsidR="007460C1">
        <w:rPr>
          <w:rFonts w:cs="Times New Roman"/>
          <w:szCs w:val="24"/>
        </w:rPr>
        <w:t>By r</w:t>
      </w:r>
      <w:r w:rsidRPr="008B243B">
        <w:rPr>
          <w:rFonts w:cs="Times New Roman"/>
          <w:szCs w:val="24"/>
        </w:rPr>
        <w:t xml:space="preserve">eplicating the same research design methods pioneered by Coase, </w:t>
      </w:r>
      <w:r w:rsidRPr="008B243B">
        <w:rPr>
          <w:rFonts w:cs="Times New Roman"/>
          <w:szCs w:val="24"/>
        </w:rPr>
        <w:lastRenderedPageBreak/>
        <w:t xml:space="preserve">Cheung, Nash, et al., </w:t>
      </w:r>
      <w:r w:rsidR="007460C1">
        <w:rPr>
          <w:rFonts w:cs="Times New Roman"/>
          <w:szCs w:val="24"/>
        </w:rPr>
        <w:t xml:space="preserve">the </w:t>
      </w:r>
      <w:r w:rsidRPr="008B243B">
        <w:rPr>
          <w:rFonts w:cs="Times New Roman"/>
          <w:szCs w:val="24"/>
        </w:rPr>
        <w:t>research</w:t>
      </w:r>
      <w:r w:rsidR="006257EF">
        <w:rPr>
          <w:rFonts w:cs="Times New Roman"/>
          <w:szCs w:val="24"/>
        </w:rPr>
        <w:t xml:space="preserve"> </w:t>
      </w:r>
      <w:r w:rsidR="007460C1">
        <w:rPr>
          <w:rFonts w:cs="Times New Roman"/>
          <w:szCs w:val="24"/>
        </w:rPr>
        <w:t xml:space="preserve">outcomes of </w:t>
      </w:r>
      <w:r w:rsidR="006257EF">
        <w:rPr>
          <w:rFonts w:cs="Times New Roman"/>
          <w:szCs w:val="24"/>
        </w:rPr>
        <w:t xml:space="preserve">study </w:t>
      </w:r>
      <w:r w:rsidRPr="008B243B">
        <w:rPr>
          <w:rFonts w:cs="Times New Roman"/>
          <w:szCs w:val="24"/>
        </w:rPr>
        <w:t>clearly demonstrate how to successfully resolve monopoly holdouts, i.e., without requiring eminent domain. QED</w:t>
      </w:r>
    </w:p>
    <w:p w14:paraId="77790CC7" w14:textId="05807C4E" w:rsidR="00A952BF" w:rsidRPr="00A952BF" w:rsidRDefault="00D86278" w:rsidP="00EE6A7A">
      <w:pPr>
        <w:pStyle w:val="Heading2"/>
      </w:pPr>
      <w:bookmarkStart w:id="154" w:name="_Toc134346756"/>
      <w:r>
        <w:t xml:space="preserve">Final </w:t>
      </w:r>
      <w:r w:rsidR="000E659B">
        <w:t>Observations</w:t>
      </w:r>
      <w:r w:rsidR="00A952BF" w:rsidRPr="00A952BF">
        <w:t>:</w:t>
      </w:r>
      <w:bookmarkEnd w:id="154"/>
    </w:p>
    <w:p w14:paraId="79EC3144" w14:textId="526B2644" w:rsidR="00A952BF" w:rsidRPr="00A952BF" w:rsidRDefault="007133B8" w:rsidP="00A952BF">
      <w:pPr>
        <w:spacing w:after="160"/>
        <w:ind w:left="0" w:firstLine="0"/>
        <w:jc w:val="left"/>
        <w:rPr>
          <w:rFonts w:cs="Times New Roman"/>
          <w:szCs w:val="24"/>
        </w:rPr>
      </w:pPr>
      <w:r>
        <w:rPr>
          <w:rFonts w:cs="Times New Roman"/>
          <w:szCs w:val="24"/>
        </w:rPr>
        <w:t>Given t</w:t>
      </w:r>
      <w:r w:rsidR="00A952BF" w:rsidRPr="00A952BF">
        <w:rPr>
          <w:rFonts w:cs="Times New Roman"/>
          <w:szCs w:val="24"/>
        </w:rPr>
        <w:t>he availability of novel methodology for resolving monopoly holdouts</w:t>
      </w:r>
      <w:r>
        <w:rPr>
          <w:rFonts w:cs="Times New Roman"/>
          <w:szCs w:val="24"/>
        </w:rPr>
        <w:t xml:space="preserve">, this research </w:t>
      </w:r>
      <w:r w:rsidR="00D86278">
        <w:rPr>
          <w:rFonts w:cs="Times New Roman"/>
          <w:szCs w:val="24"/>
        </w:rPr>
        <w:t xml:space="preserve">has </w:t>
      </w:r>
      <w:r w:rsidR="00A952BF" w:rsidRPr="00A952BF">
        <w:rPr>
          <w:rFonts w:cs="Times New Roman"/>
          <w:szCs w:val="24"/>
        </w:rPr>
        <w:t>the following real-world implications for Regional/City Planning [RCPL]:</w:t>
      </w:r>
    </w:p>
    <w:p w14:paraId="752AEB05" w14:textId="065AEA63" w:rsidR="00A952BF" w:rsidRPr="00A952BF" w:rsidRDefault="00A952BF" w:rsidP="00A952BF">
      <w:pPr>
        <w:spacing w:after="160"/>
        <w:ind w:left="0" w:firstLine="0"/>
        <w:jc w:val="left"/>
        <w:rPr>
          <w:rFonts w:cs="Times New Roman"/>
          <w:szCs w:val="24"/>
        </w:rPr>
      </w:pPr>
      <w:r w:rsidRPr="00A952BF">
        <w:rPr>
          <w:rFonts w:cs="Times New Roman"/>
          <w:szCs w:val="24"/>
        </w:rPr>
        <w:t>Completeness and Comprehensivity of Novel Methodology:</w:t>
      </w:r>
    </w:p>
    <w:p w14:paraId="0A871F9F" w14:textId="77777777" w:rsidR="00A952BF" w:rsidRPr="00A952BF" w:rsidRDefault="00A952BF" w:rsidP="00A952BF">
      <w:pPr>
        <w:spacing w:after="160"/>
        <w:ind w:left="0" w:firstLine="0"/>
        <w:jc w:val="left"/>
        <w:rPr>
          <w:rFonts w:cs="Times New Roman"/>
          <w:szCs w:val="24"/>
        </w:rPr>
      </w:pPr>
      <w:r w:rsidRPr="00A952BF">
        <w:rPr>
          <w:rFonts w:cs="Times New Roman"/>
          <w:szCs w:val="24"/>
        </w:rPr>
        <w:t>Following the formal IRB research protocols approved for this study, the IRB interview data are confirmed and validated as authentic. Following the search parameters prescribed in this protocol, the case study data collected for this research were verified as necessary and sufficient, i.e., providing a complete and comprehensive analysis of this novel methodology.  Because this study purposefully examined a full range of land assembly project types (i.e., strictly private, quasi-governmental, and strictly public) this ensures that the novel methodology described herein is both; (1) universally applicable, and (2) independent of planning scale (i.e., local; municipal, regional, state, nations, etc.).</w:t>
      </w:r>
    </w:p>
    <w:p w14:paraId="7CD4D386" w14:textId="23BF7D6F" w:rsidR="00A952BF" w:rsidRPr="00A952BF" w:rsidRDefault="00A952BF" w:rsidP="00A952BF">
      <w:pPr>
        <w:spacing w:after="160"/>
        <w:ind w:left="0" w:firstLine="0"/>
        <w:jc w:val="left"/>
        <w:rPr>
          <w:rFonts w:cs="Times New Roman"/>
          <w:szCs w:val="24"/>
        </w:rPr>
      </w:pPr>
      <w:r w:rsidRPr="00A952BF">
        <w:rPr>
          <w:rFonts w:cs="Times New Roman"/>
          <w:szCs w:val="24"/>
        </w:rPr>
        <w:t>Hypothetical Application: Conservation Land Assembly [Nature Conservancy]:</w:t>
      </w:r>
    </w:p>
    <w:p w14:paraId="0BC3C7CD" w14:textId="77777777" w:rsidR="00A952BF" w:rsidRPr="00A952BF" w:rsidRDefault="00A952BF" w:rsidP="00A952BF">
      <w:pPr>
        <w:spacing w:after="160"/>
        <w:ind w:left="0" w:firstLine="0"/>
        <w:jc w:val="left"/>
        <w:rPr>
          <w:rFonts w:cs="Times New Roman"/>
          <w:szCs w:val="24"/>
        </w:rPr>
      </w:pPr>
      <w:r w:rsidRPr="00A952BF">
        <w:rPr>
          <w:rFonts w:cs="Times New Roman"/>
          <w:szCs w:val="24"/>
        </w:rPr>
        <w:t xml:space="preserve">Given a working knowledge of this novel holdout-resolution methodology, real-world practitioners of large scale Conservation land assembly projects, e.g., the Nature Conservancy, will know to organize their projects in four basic Phases; pre-establish a network of professional mediators/facilitators, enabling the entire land assembly process to be centrally coordinated, allowing ongoing  negotiations to be conducted </w:t>
      </w:r>
      <w:r w:rsidRPr="00A952BF">
        <w:rPr>
          <w:rFonts w:cs="Times New Roman"/>
          <w:szCs w:val="24"/>
        </w:rPr>
        <w:lastRenderedPageBreak/>
        <w:t xml:space="preserve">simultaneously with all the principal stakeholders, i.e., during each successive acquisition phase; seek out existing interdependencies (such as between ranchers and conservationists) to reach voluntary, mutually beneficial bargaining agreements; and employ four (game-theoretical) bargaining strategies, designed to resolve four unique types of holdout, arising uniquely during each acquisition phase. </w:t>
      </w:r>
    </w:p>
    <w:p w14:paraId="29986FAD" w14:textId="1056EBAA" w:rsidR="00A952BF" w:rsidRPr="00A952BF" w:rsidRDefault="00A952BF" w:rsidP="00A952BF">
      <w:pPr>
        <w:spacing w:after="160"/>
        <w:ind w:left="0" w:firstLine="0"/>
        <w:jc w:val="left"/>
        <w:rPr>
          <w:rFonts w:cs="Times New Roman"/>
          <w:szCs w:val="24"/>
        </w:rPr>
      </w:pPr>
      <w:r w:rsidRPr="00A952BF">
        <w:rPr>
          <w:rFonts w:cs="Times New Roman"/>
          <w:szCs w:val="24"/>
        </w:rPr>
        <w:t>Real-World Application: Community Benefits Agreements Process [CBA</w:t>
      </w:r>
      <w:r w:rsidR="00143404">
        <w:rPr>
          <w:rFonts w:cs="Times New Roman"/>
          <w:szCs w:val="24"/>
        </w:rPr>
        <w:t>P</w:t>
      </w:r>
      <w:r w:rsidRPr="00A952BF">
        <w:rPr>
          <w:rFonts w:cs="Times New Roman"/>
          <w:szCs w:val="24"/>
        </w:rPr>
        <w:t>]</w:t>
      </w:r>
    </w:p>
    <w:p w14:paraId="58011B2F" w14:textId="77777777" w:rsidR="00A952BF" w:rsidRPr="00A952BF" w:rsidRDefault="00A952BF" w:rsidP="00A952BF">
      <w:pPr>
        <w:spacing w:after="160"/>
        <w:ind w:left="0" w:firstLine="0"/>
        <w:jc w:val="left"/>
        <w:rPr>
          <w:rFonts w:cs="Times New Roman"/>
          <w:szCs w:val="24"/>
        </w:rPr>
      </w:pPr>
      <w:r w:rsidRPr="00A952BF">
        <w:rPr>
          <w:rFonts w:cs="Times New Roman"/>
          <w:szCs w:val="24"/>
        </w:rPr>
        <w:t>Using applying the same practical methodology, real-world practitioners can facilitate the CBA process, i.e., they will be able to anticipate holdout problems as they arise uniquely during each progressive acquisition/negotiation/bargaining phases, and they will know the appropriate negotiation/bargaining strategies needed to resolve. The availability of the novel methodology may provide an alternative approach, namely for resolving the problem of NIMBY-ism, which actually takes the form of a strategic monopoly holdout.</w:t>
      </w:r>
    </w:p>
    <w:p w14:paraId="3D7CC406" w14:textId="77777777" w:rsidR="00A952BF" w:rsidRPr="00A952BF" w:rsidRDefault="00A952BF" w:rsidP="00A952BF">
      <w:pPr>
        <w:spacing w:after="160"/>
        <w:ind w:left="0" w:firstLine="0"/>
        <w:jc w:val="left"/>
        <w:rPr>
          <w:rFonts w:cs="Times New Roman"/>
          <w:szCs w:val="24"/>
        </w:rPr>
      </w:pPr>
      <w:r w:rsidRPr="00A952BF">
        <w:rPr>
          <w:rFonts w:cs="Times New Roman"/>
          <w:szCs w:val="24"/>
        </w:rPr>
        <w:t>Research Applications: Exploring New Avenues for Continued Academic Study:</w:t>
      </w:r>
    </w:p>
    <w:p w14:paraId="5E157238" w14:textId="77777777" w:rsidR="005A1DEB" w:rsidRDefault="00A952BF" w:rsidP="005A1DEB">
      <w:pPr>
        <w:spacing w:after="160"/>
        <w:ind w:left="0" w:firstLine="0"/>
        <w:jc w:val="left"/>
        <w:rPr>
          <w:rFonts w:cs="Times New Roman"/>
          <w:szCs w:val="24"/>
        </w:rPr>
      </w:pPr>
      <w:r w:rsidRPr="00A952BF">
        <w:rPr>
          <w:rFonts w:cs="Times New Roman"/>
          <w:szCs w:val="24"/>
        </w:rPr>
        <w:t xml:space="preserve"> Given knowledge that the four unique planning/acquisition/negotiation/bargaining phases identified in this research study are both universally applicable and independent of planning scale, this novel methodology has practically applicability to all types of ongoing land assembly/redevelopment/revitalization projects. Moreover, because each of these stages corresponds directly to a standard RCPL planning practice, it follows that significant research can be conducted in: (1) Participatory Planning; (2) Capacity-Building: Community Development Corporations; and (4) Community Benefits Agreements. By employing the same research design methodology as prescribed in this </w:t>
      </w:r>
      <w:r w:rsidRPr="00A952BF">
        <w:rPr>
          <w:rFonts w:cs="Times New Roman"/>
          <w:szCs w:val="24"/>
        </w:rPr>
        <w:lastRenderedPageBreak/>
        <w:t xml:space="preserve">study, and by using the same original data sources (e.g., AUREO) it follows that there are substantial new avenues of practical research to be explored through continued academic study. </w:t>
      </w:r>
    </w:p>
    <w:p w14:paraId="026800C1" w14:textId="4B82B25E" w:rsidR="00933137" w:rsidRDefault="00933137" w:rsidP="005A1DEB">
      <w:pPr>
        <w:spacing w:after="160"/>
        <w:ind w:left="0" w:firstLine="0"/>
        <w:jc w:val="left"/>
        <w:rPr>
          <w:rFonts w:cs="Times New Roman"/>
          <w:szCs w:val="24"/>
        </w:rPr>
      </w:pPr>
    </w:p>
    <w:p w14:paraId="0DA75393" w14:textId="0EC6075F" w:rsidR="00902210" w:rsidRPr="005A1DEB" w:rsidRDefault="000E1B46" w:rsidP="005A1DEB">
      <w:pPr>
        <w:pStyle w:val="Heading1"/>
        <w:rPr>
          <w:rFonts w:cs="Times New Roman"/>
          <w:szCs w:val="24"/>
        </w:rPr>
      </w:pPr>
      <w:bookmarkStart w:id="155" w:name="_Toc134346757"/>
      <w:r w:rsidRPr="000E1B46">
        <w:t>References</w:t>
      </w:r>
      <w:bookmarkEnd w:id="147"/>
      <w:r w:rsidR="00423B6B">
        <w:t>:</w:t>
      </w:r>
      <w:bookmarkEnd w:id="155"/>
    </w:p>
    <w:p w14:paraId="673DE9F8" w14:textId="77777777" w:rsidR="00902210" w:rsidRPr="00902210" w:rsidRDefault="00902210" w:rsidP="00902210">
      <w:pPr>
        <w:spacing w:after="160" w:line="259" w:lineRule="auto"/>
        <w:ind w:left="270" w:firstLine="0"/>
        <w:contextualSpacing/>
        <w:jc w:val="left"/>
        <w:rPr>
          <w:rFonts w:cs="Times New Roman"/>
          <w:szCs w:val="24"/>
          <w:lang w:val="en"/>
        </w:rPr>
      </w:pPr>
    </w:p>
    <w:p w14:paraId="4D45B871"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 xml:space="preserve">Banerjee, T., Loukaitou-Sideris, A., “Corporate Production of Downtown Space” in </w:t>
      </w:r>
      <w:r w:rsidRPr="00902210">
        <w:rPr>
          <w:rFonts w:cs="Times New Roman"/>
          <w:i/>
          <w:iCs/>
          <w:szCs w:val="24"/>
          <w:lang w:val="en"/>
        </w:rPr>
        <w:t>Urban Design Downtown: The poetics and politics of form”</w:t>
      </w:r>
      <w:r w:rsidRPr="00902210">
        <w:rPr>
          <w:rFonts w:cs="Times New Roman"/>
          <w:szCs w:val="24"/>
          <w:lang w:val="en"/>
        </w:rPr>
        <w:t xml:space="preserve"> Berkeley: University of California Press. 73-99. (1998)</w:t>
      </w:r>
    </w:p>
    <w:p w14:paraId="06C1AFBB" w14:textId="77777777" w:rsidR="00902210" w:rsidRPr="00902210" w:rsidRDefault="00902210" w:rsidP="00226714">
      <w:pPr>
        <w:spacing w:after="160" w:line="259" w:lineRule="auto"/>
        <w:ind w:left="-288" w:firstLine="0"/>
        <w:contextualSpacing/>
        <w:jc w:val="left"/>
        <w:rPr>
          <w:rFonts w:cs="Times New Roman"/>
          <w:szCs w:val="24"/>
          <w:lang w:val="en"/>
        </w:rPr>
      </w:pPr>
    </w:p>
    <w:p w14:paraId="4F7F42E5"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Bator, F., “The Anatomy of a Market Failure.” Quarterly Journal of Economics 72 (August): 351-79. (1958)</w:t>
      </w:r>
    </w:p>
    <w:p w14:paraId="60361A3D" w14:textId="77777777" w:rsidR="00902210" w:rsidRPr="00902210" w:rsidRDefault="00902210" w:rsidP="00226714">
      <w:pPr>
        <w:spacing w:after="160" w:line="259" w:lineRule="auto"/>
        <w:ind w:left="-288" w:firstLine="0"/>
        <w:contextualSpacing/>
        <w:jc w:val="left"/>
        <w:rPr>
          <w:rFonts w:cs="Times New Roman"/>
          <w:szCs w:val="24"/>
          <w:lang w:val="en"/>
        </w:rPr>
      </w:pPr>
    </w:p>
    <w:p w14:paraId="16998834"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Bavar, E. " Is Our "Mystery" Industry Disney?" Orlando Sentinel-Sun. Oct. 26, (1965)</w:t>
      </w:r>
    </w:p>
    <w:p w14:paraId="1B0AF7E7" w14:textId="77777777" w:rsidR="00902210" w:rsidRPr="00902210" w:rsidRDefault="00902210" w:rsidP="00226714">
      <w:pPr>
        <w:spacing w:after="160" w:line="259" w:lineRule="auto"/>
        <w:ind w:left="-288" w:firstLine="0"/>
        <w:contextualSpacing/>
        <w:jc w:val="left"/>
        <w:rPr>
          <w:rFonts w:cs="Times New Roman"/>
          <w:szCs w:val="24"/>
          <w:lang w:val="en"/>
        </w:rPr>
      </w:pPr>
    </w:p>
    <w:p w14:paraId="0ED51790" w14:textId="77777777" w:rsidR="00902210" w:rsidRPr="00902210" w:rsidRDefault="00902210" w:rsidP="00226714">
      <w:pPr>
        <w:spacing w:after="160" w:line="259" w:lineRule="auto"/>
        <w:ind w:left="-288"/>
        <w:contextualSpacing/>
        <w:jc w:val="left"/>
        <w:rPr>
          <w:rFonts w:cs="Times New Roman"/>
          <w:szCs w:val="24"/>
          <w:lang w:val="en"/>
        </w:rPr>
      </w:pPr>
      <w:r w:rsidRPr="00902210">
        <w:rPr>
          <w:rFonts w:cs="Times New Roman"/>
          <w:szCs w:val="24"/>
          <w:lang w:val="en"/>
        </w:rPr>
        <w:t>Berliner, D., “Public Power, Private Gain: A Five-Year, State-By-State Report Examining the Abuse of Eminent Domain.” Institute of Justice Report Document, February 14, (2005).</w:t>
      </w:r>
    </w:p>
    <w:p w14:paraId="1FF59D19" w14:textId="77777777" w:rsidR="00902210" w:rsidRPr="00902210" w:rsidRDefault="00902210" w:rsidP="00226714">
      <w:pPr>
        <w:spacing w:after="160" w:line="259" w:lineRule="auto"/>
        <w:ind w:left="-288"/>
        <w:contextualSpacing/>
        <w:jc w:val="left"/>
        <w:rPr>
          <w:rFonts w:cs="Times New Roman"/>
          <w:szCs w:val="24"/>
          <w:lang w:val="en"/>
        </w:rPr>
      </w:pPr>
    </w:p>
    <w:p w14:paraId="2C987AE3" w14:textId="77777777" w:rsidR="00902210" w:rsidRPr="00902210" w:rsidRDefault="00902210" w:rsidP="00226714">
      <w:pPr>
        <w:spacing w:after="160" w:line="259" w:lineRule="auto"/>
        <w:ind w:left="-288"/>
        <w:contextualSpacing/>
        <w:jc w:val="left"/>
        <w:rPr>
          <w:rFonts w:cs="Times New Roman"/>
          <w:szCs w:val="24"/>
          <w:lang w:val="en"/>
        </w:rPr>
      </w:pPr>
      <w:r w:rsidRPr="00902210">
        <w:rPr>
          <w:rFonts w:cs="Times New Roman"/>
          <w:i/>
          <w:iCs/>
          <w:szCs w:val="24"/>
          <w:lang w:val="en"/>
        </w:rPr>
        <w:t>Berman v. Parker</w:t>
      </w:r>
      <w:r w:rsidRPr="00902210">
        <w:rPr>
          <w:rFonts w:cs="Times New Roman"/>
          <w:szCs w:val="24"/>
          <w:lang w:val="en"/>
        </w:rPr>
        <w:t>, 348 U.S. 26 (1954)</w:t>
      </w:r>
    </w:p>
    <w:p w14:paraId="70AF0FC8" w14:textId="77777777" w:rsidR="00902210" w:rsidRPr="00902210" w:rsidRDefault="00902210" w:rsidP="00226714">
      <w:pPr>
        <w:spacing w:after="160" w:line="259" w:lineRule="auto"/>
        <w:ind w:left="-288"/>
        <w:contextualSpacing/>
        <w:jc w:val="left"/>
        <w:rPr>
          <w:rFonts w:cs="Times New Roman"/>
          <w:szCs w:val="24"/>
          <w:lang w:val="en"/>
        </w:rPr>
      </w:pPr>
    </w:p>
    <w:p w14:paraId="06FD6A24" w14:textId="77777777" w:rsidR="00902210" w:rsidRPr="00902210" w:rsidRDefault="00902210" w:rsidP="00226714">
      <w:pPr>
        <w:spacing w:after="160" w:line="259" w:lineRule="auto"/>
        <w:ind w:left="-288"/>
        <w:contextualSpacing/>
        <w:jc w:val="left"/>
        <w:rPr>
          <w:rFonts w:cs="Times New Roman"/>
          <w:szCs w:val="24"/>
          <w:lang w:val="en"/>
        </w:rPr>
      </w:pPr>
      <w:r w:rsidRPr="00902210">
        <w:rPr>
          <w:rFonts w:cs="Times New Roman"/>
          <w:szCs w:val="24"/>
          <w:lang w:val="en"/>
        </w:rPr>
        <w:t xml:space="preserve">Bieto, D., Gordon, P., Tabarrok, A., </w:t>
      </w:r>
      <w:r w:rsidRPr="00902210">
        <w:rPr>
          <w:rFonts w:cs="Times New Roman"/>
          <w:i/>
          <w:iCs/>
          <w:szCs w:val="24"/>
          <w:lang w:val="en"/>
        </w:rPr>
        <w:t>The Voluntary City</w:t>
      </w:r>
      <w:r w:rsidRPr="00902210">
        <w:rPr>
          <w:rFonts w:cs="Times New Roman"/>
          <w:szCs w:val="24"/>
          <w:lang w:val="en"/>
        </w:rPr>
        <w:t>. Ann Arbor, Michigan: University of Michigan Press, (2002)</w:t>
      </w:r>
    </w:p>
    <w:p w14:paraId="42DD8B92" w14:textId="77777777" w:rsidR="00902210" w:rsidRPr="00902210" w:rsidRDefault="00902210" w:rsidP="00226714">
      <w:pPr>
        <w:spacing w:after="160" w:line="259" w:lineRule="auto"/>
        <w:ind w:left="-288"/>
        <w:contextualSpacing/>
        <w:jc w:val="left"/>
        <w:rPr>
          <w:rFonts w:cs="Times New Roman"/>
          <w:szCs w:val="24"/>
          <w:lang w:val="en"/>
        </w:rPr>
      </w:pPr>
    </w:p>
    <w:p w14:paraId="4840251F"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Bloom, N. D., “Merchant of Illusion: James Rouse, America’s Salesman of the Businessman’s Utopia,” Ohio State University Press. (2004)</w:t>
      </w:r>
    </w:p>
    <w:p w14:paraId="5FDD023B" w14:textId="77777777" w:rsidR="00902210" w:rsidRPr="00902210" w:rsidRDefault="00902210" w:rsidP="00226714">
      <w:pPr>
        <w:spacing w:after="160" w:line="259" w:lineRule="auto"/>
        <w:ind w:left="-288" w:firstLine="0"/>
        <w:contextualSpacing/>
        <w:jc w:val="left"/>
        <w:rPr>
          <w:rFonts w:cs="Times New Roman"/>
          <w:szCs w:val="24"/>
          <w:lang w:val="en"/>
        </w:rPr>
      </w:pPr>
    </w:p>
    <w:p w14:paraId="3CAB87D2" w14:textId="77777777" w:rsidR="00902210" w:rsidRPr="00902210" w:rsidRDefault="00902210" w:rsidP="00226714">
      <w:pPr>
        <w:spacing w:after="160" w:line="259" w:lineRule="auto"/>
        <w:ind w:left="-288" w:firstLine="0"/>
        <w:contextualSpacing/>
        <w:jc w:val="left"/>
        <w:rPr>
          <w:rFonts w:cs="Times New Roman"/>
          <w:szCs w:val="24"/>
          <w:lang w:val="en"/>
        </w:rPr>
      </w:pPr>
      <w:bookmarkStart w:id="156" w:name="_Hlk126993001"/>
      <w:r w:rsidRPr="00902210">
        <w:rPr>
          <w:rFonts w:cs="Times New Roman"/>
          <w:szCs w:val="24"/>
          <w:lang w:val="en"/>
        </w:rPr>
        <w:t>Buchanon, J. S., Yoon, Y. J., “Symmetric Tragedies: Commons and Anticommons”, Journal of Law and Economics, vol.  XLIII April (2000)</w:t>
      </w:r>
    </w:p>
    <w:p w14:paraId="1B865CD5" w14:textId="77777777" w:rsidR="00902210" w:rsidRPr="00902210" w:rsidRDefault="00902210" w:rsidP="00226714">
      <w:pPr>
        <w:spacing w:after="160" w:line="259" w:lineRule="auto"/>
        <w:ind w:left="-288" w:firstLine="0"/>
        <w:contextualSpacing/>
        <w:jc w:val="left"/>
        <w:rPr>
          <w:rFonts w:cs="Times New Roman"/>
          <w:szCs w:val="24"/>
          <w:lang w:val="en"/>
        </w:rPr>
      </w:pPr>
    </w:p>
    <w:p w14:paraId="0CA40D2E"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Burns, R., “</w:t>
      </w:r>
      <w:r w:rsidRPr="00902210">
        <w:rPr>
          <w:rFonts w:cs="Times New Roman"/>
          <w:i/>
          <w:iCs/>
          <w:szCs w:val="24"/>
          <w:lang w:val="en"/>
        </w:rPr>
        <w:t>American Experience: New York: A Documentary Film</w:t>
      </w:r>
      <w:r w:rsidRPr="00902210">
        <w:rPr>
          <w:rFonts w:cs="Times New Roman"/>
          <w:szCs w:val="24"/>
          <w:lang w:val="en"/>
        </w:rPr>
        <w:t xml:space="preserve">. </w:t>
      </w:r>
      <w:r w:rsidRPr="00902210">
        <w:rPr>
          <w:rFonts w:cs="Times New Roman"/>
          <w:i/>
          <w:iCs/>
          <w:szCs w:val="24"/>
          <w:lang w:val="en"/>
        </w:rPr>
        <w:t>City and the World</w:t>
      </w:r>
      <w:r w:rsidRPr="00902210">
        <w:rPr>
          <w:rFonts w:cs="Times New Roman"/>
          <w:szCs w:val="24"/>
          <w:lang w:val="en"/>
        </w:rPr>
        <w:t>” [contributors: Wallace, Suarez, Jackson, Caro, et al] (2002)</w:t>
      </w:r>
    </w:p>
    <w:p w14:paraId="0C9A613A" w14:textId="77777777" w:rsidR="00902210" w:rsidRPr="00902210" w:rsidRDefault="00902210" w:rsidP="00226714">
      <w:pPr>
        <w:spacing w:after="160" w:line="259" w:lineRule="auto"/>
        <w:ind w:left="-288" w:firstLine="0"/>
        <w:contextualSpacing/>
        <w:jc w:val="left"/>
        <w:rPr>
          <w:rFonts w:cs="Times New Roman"/>
          <w:szCs w:val="24"/>
          <w:lang w:val="en"/>
        </w:rPr>
      </w:pPr>
    </w:p>
    <w:p w14:paraId="19909470"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Callies, Freilich, and Roberts</w:t>
      </w:r>
      <w:bookmarkEnd w:id="156"/>
      <w:r w:rsidRPr="00902210">
        <w:rPr>
          <w:rFonts w:cs="Times New Roman"/>
          <w:szCs w:val="24"/>
          <w:lang w:val="en"/>
        </w:rPr>
        <w:t xml:space="preserve">, “Cases and Materials on Land Use” American Casebook Series 2nd Ed. (1994) </w:t>
      </w:r>
    </w:p>
    <w:p w14:paraId="5A9B4029" w14:textId="77777777" w:rsidR="00902210" w:rsidRPr="00902210" w:rsidRDefault="00902210" w:rsidP="00226714">
      <w:pPr>
        <w:spacing w:after="160" w:line="259" w:lineRule="auto"/>
        <w:ind w:left="-288" w:firstLine="0"/>
        <w:contextualSpacing/>
        <w:jc w:val="left"/>
        <w:rPr>
          <w:rFonts w:cs="Times New Roman"/>
          <w:szCs w:val="24"/>
          <w:lang w:val="en"/>
        </w:rPr>
      </w:pPr>
    </w:p>
    <w:p w14:paraId="10F95CEF"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lastRenderedPageBreak/>
        <w:t>Cheung, S. C. "The Fable of the Bees: An Economic Investigation." Journal of Law and Economics April (1973)</w:t>
      </w:r>
    </w:p>
    <w:p w14:paraId="496EEFDA" w14:textId="77777777" w:rsidR="00902210" w:rsidRPr="00902210" w:rsidRDefault="00902210" w:rsidP="00226714">
      <w:pPr>
        <w:spacing w:after="160" w:line="259" w:lineRule="auto"/>
        <w:ind w:left="-288" w:firstLine="0"/>
        <w:contextualSpacing/>
        <w:jc w:val="left"/>
        <w:rPr>
          <w:rFonts w:cs="Times New Roman"/>
          <w:szCs w:val="24"/>
          <w:lang w:val="en"/>
        </w:rPr>
      </w:pPr>
    </w:p>
    <w:p w14:paraId="3FF44C6C"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Coase, R. H., "The Problem of Social Cost." Journal of Law and Economics (Vol 3): 1-44. (1960)</w:t>
      </w:r>
    </w:p>
    <w:p w14:paraId="1A2496FD" w14:textId="77777777" w:rsidR="00902210" w:rsidRPr="00902210" w:rsidRDefault="00902210" w:rsidP="00226714">
      <w:pPr>
        <w:spacing w:after="160" w:line="259" w:lineRule="auto"/>
        <w:ind w:left="-288" w:firstLine="0"/>
        <w:contextualSpacing/>
        <w:jc w:val="left"/>
        <w:rPr>
          <w:rFonts w:cs="Times New Roman"/>
          <w:szCs w:val="24"/>
          <w:lang w:val="en"/>
        </w:rPr>
      </w:pPr>
    </w:p>
    <w:p w14:paraId="08C133E4"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Coase, R. H. “The Lighthouse in Economics.” Journal of Law and Economics 17, no. 2 (October): 357-76. (1974)</w:t>
      </w:r>
    </w:p>
    <w:p w14:paraId="76F06C58" w14:textId="77777777" w:rsidR="00902210" w:rsidRPr="00902210" w:rsidRDefault="00902210" w:rsidP="00226714">
      <w:pPr>
        <w:spacing w:after="160" w:line="259" w:lineRule="auto"/>
        <w:ind w:left="-288" w:firstLine="0"/>
        <w:contextualSpacing/>
        <w:jc w:val="left"/>
        <w:rPr>
          <w:rFonts w:cs="Times New Roman"/>
          <w:szCs w:val="24"/>
          <w:lang w:val="en"/>
        </w:rPr>
      </w:pPr>
    </w:p>
    <w:p w14:paraId="007966DB"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Cornes, T.  Sandler, R., “The Theory of Externalities, Public Goods, and Club Goods”. Cambridge University Press. p 98-102. (1996)</w:t>
      </w:r>
    </w:p>
    <w:p w14:paraId="4C6B8ED7" w14:textId="77777777" w:rsidR="00902210" w:rsidRPr="00902210" w:rsidRDefault="00902210" w:rsidP="00226714">
      <w:pPr>
        <w:spacing w:after="160" w:line="259" w:lineRule="auto"/>
        <w:ind w:left="-288" w:firstLine="0"/>
        <w:contextualSpacing/>
        <w:jc w:val="left"/>
        <w:rPr>
          <w:rFonts w:cs="Times New Roman"/>
          <w:szCs w:val="24"/>
          <w:lang w:val="en"/>
        </w:rPr>
      </w:pPr>
    </w:p>
    <w:p w14:paraId="5553992F"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Cooter and Ulen, Law and Economics, Fourth Edition, Scott-Foresman, (2004)</w:t>
      </w:r>
    </w:p>
    <w:p w14:paraId="03288588" w14:textId="77777777" w:rsidR="00902210" w:rsidRPr="00902210" w:rsidRDefault="00902210" w:rsidP="00226714">
      <w:pPr>
        <w:spacing w:after="160" w:line="259" w:lineRule="auto"/>
        <w:ind w:left="-288" w:firstLine="0"/>
        <w:contextualSpacing/>
        <w:jc w:val="left"/>
        <w:rPr>
          <w:rFonts w:cs="Times New Roman"/>
          <w:szCs w:val="24"/>
          <w:lang w:val="en"/>
        </w:rPr>
      </w:pPr>
    </w:p>
    <w:p w14:paraId="449763A2"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 xml:space="preserve">Cowen, T., “Public Goods and Externalities: Old and New Perspectives, “The Theory of Market Failure: A Critical Examination”. Ch. 1. The Cato Institute, George Mason University Press. (1988) </w:t>
      </w:r>
    </w:p>
    <w:p w14:paraId="7ED624A7" w14:textId="77777777" w:rsidR="00902210" w:rsidRPr="00902210" w:rsidRDefault="00902210" w:rsidP="00226714">
      <w:pPr>
        <w:spacing w:after="160" w:line="259" w:lineRule="auto"/>
        <w:ind w:left="-288" w:firstLine="0"/>
        <w:contextualSpacing/>
        <w:jc w:val="left"/>
        <w:rPr>
          <w:rFonts w:cs="Times New Roman"/>
          <w:szCs w:val="24"/>
          <w:lang w:val="en"/>
        </w:rPr>
      </w:pPr>
    </w:p>
    <w:p w14:paraId="78491399"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Dresser, C. P., "Vanderbilt in the West" New York Times (October 9, 1882) [Cornelius Vanderbilt Quotation] (1882)</w:t>
      </w:r>
    </w:p>
    <w:p w14:paraId="2681DB61" w14:textId="77777777" w:rsidR="00902210" w:rsidRPr="00902210" w:rsidRDefault="00902210" w:rsidP="00226714">
      <w:pPr>
        <w:spacing w:after="160" w:line="259" w:lineRule="auto"/>
        <w:ind w:left="-288" w:firstLine="0"/>
        <w:contextualSpacing/>
        <w:jc w:val="left"/>
        <w:rPr>
          <w:rFonts w:cs="Times New Roman"/>
          <w:szCs w:val="24"/>
          <w:lang w:val="en"/>
        </w:rPr>
      </w:pPr>
    </w:p>
    <w:p w14:paraId="5EC9E962"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Eckart, W., "On the Land Assembly Problem." Journal of Urban Economics 364-378. Vol 18 (1985)</w:t>
      </w:r>
    </w:p>
    <w:p w14:paraId="030B49F1" w14:textId="77777777" w:rsidR="00902210" w:rsidRPr="00902210" w:rsidRDefault="00902210" w:rsidP="00226714">
      <w:pPr>
        <w:spacing w:after="160" w:line="259" w:lineRule="auto"/>
        <w:ind w:left="-288" w:firstLine="0"/>
        <w:contextualSpacing/>
        <w:jc w:val="left"/>
        <w:rPr>
          <w:rFonts w:cs="Times New Roman"/>
          <w:szCs w:val="24"/>
          <w:lang w:val="en"/>
        </w:rPr>
      </w:pPr>
    </w:p>
    <w:p w14:paraId="63206742"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Foldvary, F., “Public Goods and Private Communities. Aldershot, U.K.”, Edward Elgar Publishing. [Re: Walt Disneyworld Land Assembly] (1994)</w:t>
      </w:r>
    </w:p>
    <w:p w14:paraId="6D263E78" w14:textId="77777777" w:rsidR="00902210" w:rsidRPr="00902210" w:rsidRDefault="00902210" w:rsidP="00226714">
      <w:pPr>
        <w:spacing w:after="160" w:line="259" w:lineRule="auto"/>
        <w:ind w:left="-288" w:firstLine="0"/>
        <w:contextualSpacing/>
        <w:jc w:val="left"/>
        <w:rPr>
          <w:rFonts w:cs="Times New Roman"/>
          <w:szCs w:val="24"/>
          <w:lang w:val="en"/>
        </w:rPr>
      </w:pPr>
    </w:p>
    <w:p w14:paraId="6F377D39"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 xml:space="preserve">Glanz, E., Lipton, J. "The Height of Ambition "Tozzoli's Brainchild"." New York Times Magazine 8, Part 2. September (2002) </w:t>
      </w:r>
    </w:p>
    <w:p w14:paraId="3ECBE8D2" w14:textId="77777777" w:rsidR="00902210" w:rsidRPr="00902210" w:rsidRDefault="00902210" w:rsidP="00226714">
      <w:pPr>
        <w:spacing w:after="160" w:line="259" w:lineRule="auto"/>
        <w:ind w:left="-288" w:firstLine="0"/>
        <w:contextualSpacing/>
        <w:jc w:val="left"/>
        <w:rPr>
          <w:rFonts w:cs="Times New Roman"/>
          <w:szCs w:val="24"/>
          <w:lang w:val="en"/>
        </w:rPr>
      </w:pPr>
    </w:p>
    <w:p w14:paraId="2FAF9688"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Glanz, E., Lipton, J., “City in the Sky: The Rise and Fall of the World Trade Center.”  Times Books, New York, (2003)</w:t>
      </w:r>
    </w:p>
    <w:p w14:paraId="7E2EBBDD" w14:textId="77777777" w:rsidR="00902210" w:rsidRPr="00902210" w:rsidRDefault="00902210" w:rsidP="00226714">
      <w:pPr>
        <w:spacing w:after="160" w:line="259" w:lineRule="auto"/>
        <w:ind w:left="-288" w:firstLine="0"/>
        <w:contextualSpacing/>
        <w:jc w:val="left"/>
        <w:rPr>
          <w:rFonts w:cs="Times New Roman"/>
          <w:szCs w:val="24"/>
          <w:lang w:val="en"/>
        </w:rPr>
      </w:pPr>
    </w:p>
    <w:p w14:paraId="61EA1308"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Greenhut, S. “Abuse of Power: How the Government Misuses Eminent Domain” Seven Locks Press. (2004)</w:t>
      </w:r>
    </w:p>
    <w:p w14:paraId="6BE8FC96" w14:textId="77777777" w:rsidR="00902210" w:rsidRPr="00902210" w:rsidRDefault="00902210" w:rsidP="00226714">
      <w:pPr>
        <w:spacing w:after="160" w:line="259" w:lineRule="auto"/>
        <w:ind w:left="-288" w:firstLine="0"/>
        <w:contextualSpacing/>
        <w:jc w:val="left"/>
        <w:rPr>
          <w:rFonts w:cs="Times New Roman"/>
          <w:szCs w:val="24"/>
          <w:lang w:val="en"/>
        </w:rPr>
      </w:pPr>
    </w:p>
    <w:p w14:paraId="642EE8CC"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Hardin, G., "The Tragedy of the Commons." Science 1243-1248. vol 162. (1968)</w:t>
      </w:r>
    </w:p>
    <w:p w14:paraId="76A5BFEF" w14:textId="77777777" w:rsidR="00902210" w:rsidRPr="00902210" w:rsidRDefault="00902210" w:rsidP="00226714">
      <w:pPr>
        <w:spacing w:after="160" w:line="259" w:lineRule="auto"/>
        <w:ind w:left="-288" w:firstLine="0"/>
        <w:contextualSpacing/>
        <w:jc w:val="left"/>
        <w:rPr>
          <w:rFonts w:cs="Times New Roman"/>
          <w:szCs w:val="24"/>
          <w:lang w:val="en"/>
        </w:rPr>
      </w:pPr>
    </w:p>
    <w:p w14:paraId="4FC12E42" w14:textId="77777777" w:rsidR="00902210" w:rsidRPr="00902210" w:rsidRDefault="00902210" w:rsidP="00226714">
      <w:pPr>
        <w:spacing w:line="240" w:lineRule="auto"/>
        <w:ind w:left="-288"/>
        <w:rPr>
          <w:rFonts w:cs="Times New Roman"/>
          <w:szCs w:val="24"/>
          <w:lang w:val="en"/>
        </w:rPr>
      </w:pPr>
      <w:r w:rsidRPr="00902210">
        <w:rPr>
          <w:rFonts w:cs="Times New Roman"/>
          <w:szCs w:val="24"/>
          <w:lang w:val="en"/>
        </w:rPr>
        <w:t>Heller, M. “The Tragedy of the Anticommons: Property in Transition from Marx to Markets,” Harvard Law Review 111: 621-688. (1998)</w:t>
      </w:r>
    </w:p>
    <w:p w14:paraId="41186C53" w14:textId="77777777" w:rsidR="00902210" w:rsidRPr="00902210" w:rsidRDefault="00902210" w:rsidP="00226714">
      <w:pPr>
        <w:spacing w:after="160" w:line="259" w:lineRule="auto"/>
        <w:ind w:left="-288" w:firstLine="0"/>
        <w:contextualSpacing/>
        <w:jc w:val="left"/>
        <w:rPr>
          <w:rFonts w:cs="Times New Roman"/>
          <w:szCs w:val="24"/>
          <w:lang w:val="en"/>
        </w:rPr>
      </w:pPr>
      <w:bookmarkStart w:id="157" w:name="_Hlk526242443"/>
    </w:p>
    <w:p w14:paraId="61007787"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lastRenderedPageBreak/>
        <w:t xml:space="preserve">Heller, M. </w:t>
      </w:r>
      <w:bookmarkEnd w:id="157"/>
      <w:r w:rsidRPr="00902210">
        <w:rPr>
          <w:rFonts w:cs="Times New Roman"/>
          <w:szCs w:val="24"/>
          <w:lang w:val="en"/>
        </w:rPr>
        <w:t>The Gridlock Economy: How Too Much Ownership Wrecks Markets, Stops Innovation, and Costs Lives, New York: Basic Books. (2008)</w:t>
      </w:r>
    </w:p>
    <w:p w14:paraId="69F66BE7" w14:textId="77777777" w:rsidR="00902210" w:rsidRPr="00902210" w:rsidRDefault="00902210" w:rsidP="00226714">
      <w:pPr>
        <w:spacing w:after="160" w:line="259" w:lineRule="auto"/>
        <w:ind w:left="-288" w:firstLine="0"/>
        <w:contextualSpacing/>
        <w:jc w:val="left"/>
        <w:rPr>
          <w:rFonts w:cs="Times New Roman"/>
          <w:szCs w:val="24"/>
          <w:lang w:val="en"/>
        </w:rPr>
      </w:pPr>
    </w:p>
    <w:p w14:paraId="2D967268"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Hornaday, A., “Imminently Eminent: A Game Theoretic Analysis of Takings Since Kelo v. City of New London”, 64 WASH. &amp; LEE L. REV. 1619, 1640–41 (2007)</w:t>
      </w:r>
    </w:p>
    <w:p w14:paraId="7FAFD26C" w14:textId="77777777" w:rsidR="00902210" w:rsidRPr="00902210" w:rsidRDefault="00902210" w:rsidP="00226714">
      <w:pPr>
        <w:spacing w:after="160" w:line="259" w:lineRule="auto"/>
        <w:ind w:left="-288" w:firstLine="0"/>
        <w:contextualSpacing/>
        <w:jc w:val="left"/>
        <w:rPr>
          <w:rFonts w:cs="Times New Roman"/>
          <w:szCs w:val="24"/>
          <w:lang w:val="en"/>
        </w:rPr>
      </w:pPr>
    </w:p>
    <w:p w14:paraId="172886DA"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Hubbard, T. E., “For the Public’s Use? Eminent Domain in Stadium Construction”, 15 SPORTS LAW. J. 173, 177 (2008).</w:t>
      </w:r>
    </w:p>
    <w:p w14:paraId="08CA185D" w14:textId="77777777" w:rsidR="00902210" w:rsidRPr="00902210" w:rsidRDefault="00902210" w:rsidP="00226714">
      <w:pPr>
        <w:spacing w:after="160" w:line="259" w:lineRule="auto"/>
        <w:ind w:left="-288" w:firstLine="0"/>
        <w:contextualSpacing/>
        <w:jc w:val="left"/>
        <w:rPr>
          <w:rFonts w:cs="Times New Roman"/>
          <w:szCs w:val="24"/>
          <w:lang w:val="en"/>
        </w:rPr>
      </w:pPr>
    </w:p>
    <w:p w14:paraId="4C155FFB"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 xml:space="preserve">Hume, D. </w:t>
      </w:r>
      <w:r w:rsidRPr="00902210">
        <w:rPr>
          <w:rFonts w:cs="Times New Roman"/>
          <w:i/>
          <w:iCs/>
          <w:szCs w:val="24"/>
          <w:lang w:val="en"/>
        </w:rPr>
        <w:t>A Treatise of Human Nature</w:t>
      </w:r>
      <w:r w:rsidRPr="00902210">
        <w:rPr>
          <w:rFonts w:cs="Times New Roman"/>
          <w:szCs w:val="24"/>
          <w:lang w:val="en"/>
        </w:rPr>
        <w:t xml:space="preserve">, (1739) edited by Selby-Bigge, L.A., revised by Nidditch, P., Oxford University Press (Oxford). p. 538 (1976) </w:t>
      </w:r>
    </w:p>
    <w:p w14:paraId="6B1002DD" w14:textId="77777777" w:rsidR="00902210" w:rsidRPr="00902210" w:rsidRDefault="00902210" w:rsidP="00226714">
      <w:pPr>
        <w:spacing w:after="160" w:line="259" w:lineRule="auto"/>
        <w:ind w:left="-288" w:firstLine="0"/>
        <w:contextualSpacing/>
        <w:jc w:val="left"/>
        <w:rPr>
          <w:rFonts w:cs="Times New Roman"/>
          <w:szCs w:val="24"/>
          <w:lang w:val="en"/>
        </w:rPr>
      </w:pPr>
    </w:p>
    <w:p w14:paraId="604ABA97"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Inman, R. P., and Rubinfeld, D. L., “The Political Economy of Federalism,” Perspectives on Public Choice: A Handbook. Dennis C. Mueller, ed., New York: Cambridge University Press, 73-110. (1997)</w:t>
      </w:r>
    </w:p>
    <w:p w14:paraId="2DE518AF" w14:textId="77777777" w:rsidR="00902210" w:rsidRPr="00902210" w:rsidRDefault="00902210" w:rsidP="00226714">
      <w:pPr>
        <w:spacing w:after="160" w:line="259" w:lineRule="auto"/>
        <w:ind w:left="-288" w:firstLine="0"/>
        <w:contextualSpacing/>
        <w:jc w:val="left"/>
        <w:rPr>
          <w:rFonts w:cs="Times New Roman"/>
          <w:szCs w:val="24"/>
          <w:lang w:val="en"/>
        </w:rPr>
      </w:pPr>
    </w:p>
    <w:p w14:paraId="48F0C5A5"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Jacobs, H., Bassett, H. "After Kelo: Political Rhetoric and Policy Responses." Lincoln Institute of Land Policy. 14-21 April: (2010)</w:t>
      </w:r>
    </w:p>
    <w:p w14:paraId="57DB1D23" w14:textId="77777777" w:rsidR="00902210" w:rsidRPr="00902210" w:rsidRDefault="00902210" w:rsidP="00226714">
      <w:pPr>
        <w:spacing w:after="160" w:line="259" w:lineRule="auto"/>
        <w:ind w:left="-288" w:firstLine="0"/>
        <w:contextualSpacing/>
        <w:jc w:val="left"/>
        <w:rPr>
          <w:rFonts w:cs="Times New Roman"/>
          <w:szCs w:val="24"/>
          <w:lang w:val="en"/>
        </w:rPr>
      </w:pPr>
    </w:p>
    <w:p w14:paraId="0BF9AB86" w14:textId="0A5B40F1"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Keynes, J.M., “</w:t>
      </w:r>
      <w:r w:rsidRPr="00902210">
        <w:rPr>
          <w:rFonts w:cs="Times New Roman"/>
          <w:i/>
          <w:iCs/>
          <w:szCs w:val="24"/>
          <w:lang w:val="en"/>
        </w:rPr>
        <w:t>The General Theory of Employment, Interest and Money</w:t>
      </w:r>
      <w:r w:rsidRPr="00902210">
        <w:rPr>
          <w:rFonts w:cs="Times New Roman"/>
          <w:szCs w:val="24"/>
          <w:lang w:val="en"/>
        </w:rPr>
        <w:t>” (1936)</w:t>
      </w:r>
    </w:p>
    <w:p w14:paraId="0435E510" w14:textId="77777777" w:rsidR="00902210" w:rsidRPr="00902210" w:rsidRDefault="00902210" w:rsidP="00226714">
      <w:pPr>
        <w:spacing w:after="160" w:line="259" w:lineRule="auto"/>
        <w:ind w:left="-288" w:firstLine="0"/>
        <w:contextualSpacing/>
        <w:jc w:val="left"/>
        <w:rPr>
          <w:rFonts w:cs="Times New Roman"/>
          <w:szCs w:val="24"/>
          <w:lang w:val="en"/>
        </w:rPr>
      </w:pPr>
    </w:p>
    <w:p w14:paraId="22A13ED4"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Kelly, D. “The Public Use” Requirement in Eminent Domain Law: A Rationale Based on Secret Purchases and Private Influence,” Cornell Law Review 92: 1-65. (2006)</w:t>
      </w:r>
    </w:p>
    <w:p w14:paraId="1EF3FE58" w14:textId="77777777" w:rsidR="00902210" w:rsidRPr="00902210" w:rsidRDefault="00902210" w:rsidP="00226714">
      <w:pPr>
        <w:spacing w:after="160" w:line="259" w:lineRule="auto"/>
        <w:ind w:left="-288" w:firstLine="0"/>
        <w:contextualSpacing/>
        <w:jc w:val="left"/>
        <w:rPr>
          <w:rFonts w:cs="Times New Roman"/>
          <w:szCs w:val="24"/>
          <w:lang w:val="en"/>
        </w:rPr>
      </w:pPr>
    </w:p>
    <w:p w14:paraId="117139B5"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i/>
          <w:iCs/>
          <w:szCs w:val="24"/>
          <w:lang w:val="en"/>
        </w:rPr>
        <w:t>Kelo v. City of New London</w:t>
      </w:r>
      <w:r w:rsidRPr="00902210">
        <w:rPr>
          <w:rFonts w:cs="Times New Roman"/>
          <w:szCs w:val="24"/>
          <w:lang w:val="en"/>
        </w:rPr>
        <w:t>, 545 U.S. 469 (2005)</w:t>
      </w:r>
    </w:p>
    <w:p w14:paraId="3FBF9006" w14:textId="77777777" w:rsidR="00902210" w:rsidRPr="00902210" w:rsidRDefault="00902210" w:rsidP="00226714">
      <w:pPr>
        <w:spacing w:after="160" w:line="259" w:lineRule="auto"/>
        <w:ind w:left="-288" w:firstLine="0"/>
        <w:contextualSpacing/>
        <w:jc w:val="left"/>
        <w:rPr>
          <w:rFonts w:cs="Times New Roman"/>
          <w:szCs w:val="24"/>
          <w:lang w:val="en"/>
        </w:rPr>
      </w:pPr>
    </w:p>
    <w:p w14:paraId="330503A8"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Keynes, J. M., “The General Theory of Employment, Interest and Money” (1936)</w:t>
      </w:r>
    </w:p>
    <w:p w14:paraId="626A16D3" w14:textId="77777777" w:rsidR="00902210" w:rsidRPr="00902210" w:rsidRDefault="00902210" w:rsidP="00226714">
      <w:pPr>
        <w:spacing w:after="160" w:line="259" w:lineRule="auto"/>
        <w:ind w:left="-288" w:firstLine="0"/>
        <w:contextualSpacing/>
        <w:jc w:val="left"/>
        <w:rPr>
          <w:rFonts w:cs="Times New Roman"/>
          <w:szCs w:val="24"/>
          <w:lang w:val="en"/>
        </w:rPr>
      </w:pPr>
    </w:p>
    <w:p w14:paraId="1AFA91D8"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Klein, B., Crawford, R., and Alchian, A., “Vertical Integration, Appropriable Rents, and the Competitive Contracting Process,” Journal of Law and Economics 21: 297-326. (1978)</w:t>
      </w:r>
    </w:p>
    <w:p w14:paraId="19B9C23E" w14:textId="77777777" w:rsidR="00902210" w:rsidRPr="00902210" w:rsidRDefault="00902210" w:rsidP="00226714">
      <w:pPr>
        <w:spacing w:after="160" w:line="259" w:lineRule="auto"/>
        <w:ind w:left="-288" w:firstLine="0"/>
        <w:contextualSpacing/>
        <w:jc w:val="left"/>
        <w:rPr>
          <w:rFonts w:cs="Times New Roman"/>
          <w:szCs w:val="24"/>
          <w:lang w:val="en"/>
        </w:rPr>
      </w:pPr>
    </w:p>
    <w:p w14:paraId="065D95E6"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Klein, D., Majewski, J., “Privatization, Regulation, and Public Repossession: The Turnpike Companies of Early America”, University of California Irvine, (1988)</w:t>
      </w:r>
    </w:p>
    <w:p w14:paraId="4F4C5612" w14:textId="77777777" w:rsidR="00902210" w:rsidRPr="00902210" w:rsidRDefault="00902210" w:rsidP="00226714">
      <w:pPr>
        <w:spacing w:after="160" w:line="259" w:lineRule="auto"/>
        <w:ind w:left="-288" w:firstLine="0"/>
        <w:contextualSpacing/>
        <w:jc w:val="left"/>
        <w:rPr>
          <w:rFonts w:cs="Times New Roman"/>
          <w:szCs w:val="24"/>
          <w:lang w:val="en"/>
        </w:rPr>
      </w:pPr>
    </w:p>
    <w:p w14:paraId="3E8ECF40" w14:textId="458680B3"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i/>
          <w:iCs/>
          <w:szCs w:val="24"/>
          <w:lang w:val="en"/>
        </w:rPr>
        <w:t>Kohl v. United States,</w:t>
      </w:r>
      <w:r w:rsidRPr="00902210">
        <w:rPr>
          <w:rFonts w:cs="Times New Roman"/>
          <w:szCs w:val="24"/>
          <w:lang w:val="en"/>
        </w:rPr>
        <w:t xml:space="preserve"> 91 U.S. 367 (1875)</w:t>
      </w:r>
    </w:p>
    <w:p w14:paraId="6F26B2D6" w14:textId="77777777" w:rsidR="002B58BE" w:rsidRDefault="002B58BE" w:rsidP="00226714">
      <w:pPr>
        <w:spacing w:after="160" w:line="259" w:lineRule="auto"/>
        <w:ind w:left="-288" w:firstLine="0"/>
        <w:contextualSpacing/>
        <w:jc w:val="left"/>
        <w:rPr>
          <w:rFonts w:cs="Times New Roman"/>
          <w:szCs w:val="24"/>
          <w:lang w:val="en"/>
        </w:rPr>
      </w:pPr>
    </w:p>
    <w:p w14:paraId="429AF2ED" w14:textId="3AA7B6DA" w:rsidR="00902210" w:rsidRPr="00902210" w:rsidRDefault="00902210" w:rsidP="00226714">
      <w:pPr>
        <w:spacing w:after="160" w:line="259" w:lineRule="auto"/>
        <w:ind w:left="-288"/>
        <w:contextualSpacing/>
        <w:jc w:val="left"/>
        <w:rPr>
          <w:rFonts w:cs="Times New Roman"/>
          <w:szCs w:val="24"/>
          <w:lang w:val="en"/>
        </w:rPr>
      </w:pPr>
      <w:r w:rsidRPr="00902210">
        <w:rPr>
          <w:rFonts w:cs="Times New Roman"/>
          <w:szCs w:val="24"/>
          <w:lang w:val="en"/>
        </w:rPr>
        <w:t>Liebowitz, S., and Margolis, S.,</w:t>
      </w:r>
      <w:r w:rsidR="00C804A9">
        <w:rPr>
          <w:rFonts w:cs="Times New Roman"/>
          <w:szCs w:val="24"/>
          <w:lang w:val="en"/>
        </w:rPr>
        <w:t xml:space="preserve"> </w:t>
      </w:r>
      <w:r w:rsidRPr="00902210">
        <w:rPr>
          <w:rFonts w:cs="Times New Roman"/>
          <w:szCs w:val="24"/>
          <w:lang w:val="en"/>
        </w:rPr>
        <w:t xml:space="preserve">“The Fable of the Keys” Journal of Law &amp; </w:t>
      </w:r>
      <w:r w:rsidR="00C804A9">
        <w:rPr>
          <w:rFonts w:cs="Times New Roman"/>
          <w:szCs w:val="24"/>
          <w:lang w:val="en"/>
        </w:rPr>
        <w:t xml:space="preserve">  </w:t>
      </w:r>
      <w:r w:rsidRPr="00902210">
        <w:rPr>
          <w:rFonts w:cs="Times New Roman"/>
          <w:szCs w:val="24"/>
          <w:lang w:val="en"/>
        </w:rPr>
        <w:t>Economics. (1994)</w:t>
      </w:r>
    </w:p>
    <w:p w14:paraId="4D6654AD" w14:textId="77777777" w:rsidR="00902210" w:rsidRPr="00902210" w:rsidRDefault="00902210" w:rsidP="00226714">
      <w:pPr>
        <w:spacing w:after="160" w:line="259" w:lineRule="auto"/>
        <w:ind w:left="-288" w:firstLine="0"/>
        <w:contextualSpacing/>
        <w:jc w:val="left"/>
        <w:rPr>
          <w:rFonts w:cs="Times New Roman"/>
          <w:szCs w:val="24"/>
          <w:lang w:val="en"/>
        </w:rPr>
      </w:pPr>
    </w:p>
    <w:p w14:paraId="69CB3DDF"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 xml:space="preserve">Malamut, M., Esq., “The Power to Take: The Use of Eminent Domain in Massachusetts.” Pioneer Institute for Public Policy Research, White Paper No. 15, December (2000). </w:t>
      </w:r>
    </w:p>
    <w:p w14:paraId="351189BA" w14:textId="77777777" w:rsidR="00902210" w:rsidRPr="00902210" w:rsidRDefault="00902210" w:rsidP="00226714">
      <w:pPr>
        <w:spacing w:after="160" w:line="259" w:lineRule="auto"/>
        <w:ind w:left="-288"/>
        <w:contextualSpacing/>
        <w:jc w:val="left"/>
        <w:rPr>
          <w:rFonts w:cs="Times New Roman"/>
          <w:szCs w:val="24"/>
          <w:lang w:val="en"/>
        </w:rPr>
      </w:pPr>
    </w:p>
    <w:p w14:paraId="7CDD65C1" w14:textId="77777777" w:rsidR="00902210" w:rsidRPr="00902210" w:rsidRDefault="00902210" w:rsidP="00226714">
      <w:pPr>
        <w:spacing w:after="160" w:line="259" w:lineRule="auto"/>
        <w:ind w:left="-288"/>
        <w:contextualSpacing/>
        <w:jc w:val="left"/>
        <w:rPr>
          <w:rFonts w:cs="Times New Roman"/>
          <w:szCs w:val="24"/>
          <w:lang w:val="en"/>
        </w:rPr>
      </w:pPr>
      <w:r w:rsidRPr="00902210">
        <w:rPr>
          <w:rFonts w:cs="Times New Roman"/>
          <w:szCs w:val="24"/>
          <w:lang w:val="en"/>
        </w:rPr>
        <w:lastRenderedPageBreak/>
        <w:t>Meade, J.E.” External Economies and Diseconomies in a Competitive Situation.” Economic Journal 52:54-67. (1958)</w:t>
      </w:r>
    </w:p>
    <w:p w14:paraId="54959E5D" w14:textId="77777777" w:rsidR="00902210" w:rsidRPr="00902210" w:rsidRDefault="00902210" w:rsidP="00226714">
      <w:pPr>
        <w:spacing w:after="160" w:line="259" w:lineRule="auto"/>
        <w:ind w:left="-288" w:firstLine="0"/>
        <w:contextualSpacing/>
        <w:jc w:val="left"/>
        <w:rPr>
          <w:rFonts w:cs="Times New Roman"/>
          <w:szCs w:val="24"/>
          <w:lang w:val="en"/>
        </w:rPr>
      </w:pPr>
    </w:p>
    <w:p w14:paraId="0AE93C5E"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Menezes, F., "The Land Assembly Problem Revisited" (with R. Pitchford), Regional Sciences and Urban Economics 34(2), 155-163, (2004)</w:t>
      </w:r>
    </w:p>
    <w:p w14:paraId="30BD88D0" w14:textId="77777777" w:rsidR="00902210" w:rsidRPr="00902210" w:rsidRDefault="00902210" w:rsidP="00226714">
      <w:pPr>
        <w:spacing w:after="160" w:line="259" w:lineRule="auto"/>
        <w:ind w:left="-288" w:firstLine="0"/>
        <w:contextualSpacing/>
        <w:jc w:val="left"/>
        <w:rPr>
          <w:rFonts w:cs="Times New Roman"/>
          <w:szCs w:val="24"/>
          <w:lang w:val="en"/>
        </w:rPr>
      </w:pPr>
    </w:p>
    <w:p w14:paraId="723662E9"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Menezes, F., Pitchford, R. “A Model of Seller Holdout,” Economic Theory 24: 231253. (2004)</w:t>
      </w:r>
    </w:p>
    <w:p w14:paraId="2B7D6C32" w14:textId="77777777" w:rsidR="00902210" w:rsidRPr="00902210" w:rsidRDefault="00902210" w:rsidP="00226714">
      <w:pPr>
        <w:spacing w:after="160" w:line="259" w:lineRule="auto"/>
        <w:ind w:left="-288" w:firstLine="0"/>
        <w:contextualSpacing/>
        <w:jc w:val="left"/>
        <w:rPr>
          <w:rFonts w:cs="Times New Roman"/>
          <w:szCs w:val="24"/>
          <w:lang w:val="en"/>
        </w:rPr>
      </w:pPr>
    </w:p>
    <w:p w14:paraId="48E4B9F7" w14:textId="549DBDC6" w:rsid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Miceli, T., Segerson K., “Sequential Bargaining and Land Assembly: A New Theory of the Holdout Problem” U Conn Department of Economics Working Paper (2011)</w:t>
      </w:r>
      <w:r w:rsidRPr="00902210">
        <w:rPr>
          <w:rFonts w:cs="Times New Roman"/>
          <w:szCs w:val="24"/>
          <w:lang w:val="en"/>
        </w:rPr>
        <w:tab/>
      </w:r>
    </w:p>
    <w:p w14:paraId="55838E6D" w14:textId="77777777" w:rsidR="0067067A" w:rsidRPr="00902210" w:rsidRDefault="0067067A" w:rsidP="00226714">
      <w:pPr>
        <w:spacing w:after="160" w:line="259" w:lineRule="auto"/>
        <w:ind w:left="-288" w:firstLine="0"/>
        <w:contextualSpacing/>
        <w:jc w:val="left"/>
        <w:rPr>
          <w:rFonts w:cs="Times New Roman"/>
          <w:szCs w:val="24"/>
          <w:lang w:val="en"/>
        </w:rPr>
      </w:pPr>
    </w:p>
    <w:p w14:paraId="09BF1CEA"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Miceli, T., Segerson K., "Voluntary Environmental Agreements: Good or Bad News for Environmental Protection?" Journal of Environmental Economics and Management, 109-130. Vol 36 Issue 2. (1998)</w:t>
      </w:r>
    </w:p>
    <w:p w14:paraId="03C4EADE" w14:textId="77777777" w:rsidR="00902210" w:rsidRPr="00902210" w:rsidRDefault="00902210" w:rsidP="00226714">
      <w:pPr>
        <w:spacing w:after="160" w:line="259" w:lineRule="auto"/>
        <w:ind w:left="-288" w:firstLine="0"/>
        <w:contextualSpacing/>
        <w:jc w:val="left"/>
        <w:rPr>
          <w:rFonts w:cs="Times New Roman"/>
          <w:szCs w:val="24"/>
          <w:lang w:val="en"/>
        </w:rPr>
      </w:pPr>
    </w:p>
    <w:p w14:paraId="3473006B"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Miceli, T., Segerson K., “Public Use Limitations on Takings: A Synthesis of Recent Economic Theories” Comments on Law &amp; Economics: (1997)</w:t>
      </w:r>
    </w:p>
    <w:p w14:paraId="3AE3E46F" w14:textId="77777777" w:rsidR="00902210" w:rsidRPr="00902210" w:rsidRDefault="00902210" w:rsidP="00226714">
      <w:pPr>
        <w:spacing w:after="160" w:line="259" w:lineRule="auto"/>
        <w:ind w:left="-288" w:firstLine="0"/>
        <w:contextualSpacing/>
        <w:jc w:val="left"/>
        <w:rPr>
          <w:rFonts w:cs="Times New Roman"/>
          <w:szCs w:val="24"/>
          <w:lang w:val="en"/>
        </w:rPr>
      </w:pPr>
    </w:p>
    <w:p w14:paraId="53BF4ED0"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Miceli, T., Segerson K., “A Bargaining Model of Holdouts and Takings,” American Law and Economics Review 9: 160-174. (2007)</w:t>
      </w:r>
    </w:p>
    <w:p w14:paraId="6D3F6F41" w14:textId="77777777" w:rsidR="00902210" w:rsidRPr="00902210" w:rsidRDefault="00902210" w:rsidP="00226714">
      <w:pPr>
        <w:spacing w:after="160" w:line="259" w:lineRule="auto"/>
        <w:ind w:left="-288" w:firstLine="0"/>
        <w:contextualSpacing/>
        <w:jc w:val="left"/>
        <w:rPr>
          <w:rFonts w:cs="Times New Roman"/>
          <w:szCs w:val="24"/>
          <w:lang w:val="en"/>
        </w:rPr>
      </w:pPr>
    </w:p>
    <w:p w14:paraId="359C0DD2"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Mill, J.S., “Principles of Political Economy: Of the Grounds and Limits of the Laissez-Faire or Non-Interference Principle” (1848)</w:t>
      </w:r>
    </w:p>
    <w:p w14:paraId="3ECAF8D9" w14:textId="77777777" w:rsidR="00902210" w:rsidRPr="00902210" w:rsidRDefault="00902210" w:rsidP="00226714">
      <w:pPr>
        <w:spacing w:after="160" w:line="259" w:lineRule="auto"/>
        <w:ind w:left="-288"/>
        <w:contextualSpacing/>
        <w:jc w:val="left"/>
        <w:rPr>
          <w:rFonts w:cs="Times New Roman"/>
          <w:szCs w:val="24"/>
          <w:lang w:val="en"/>
        </w:rPr>
      </w:pPr>
    </w:p>
    <w:p w14:paraId="0BB96238" w14:textId="77777777" w:rsidR="00902210" w:rsidRPr="00902210" w:rsidRDefault="00902210" w:rsidP="00226714">
      <w:pPr>
        <w:spacing w:after="160" w:line="259" w:lineRule="auto"/>
        <w:ind w:left="-288"/>
        <w:contextualSpacing/>
        <w:jc w:val="left"/>
        <w:rPr>
          <w:rFonts w:cs="Times New Roman"/>
          <w:szCs w:val="24"/>
          <w:lang w:val="en"/>
        </w:rPr>
      </w:pPr>
      <w:r w:rsidRPr="00902210">
        <w:rPr>
          <w:rFonts w:cs="Times New Roman"/>
          <w:szCs w:val="24"/>
          <w:lang w:val="en"/>
        </w:rPr>
        <w:t>Munch, P., “An Economic Analysis of Eminent Domain,” Journal of Political Economy 84: 473-497. (1976)</w:t>
      </w:r>
    </w:p>
    <w:p w14:paraId="61F9B976" w14:textId="77777777" w:rsidR="00902210" w:rsidRPr="00902210" w:rsidRDefault="00902210" w:rsidP="00226714">
      <w:pPr>
        <w:spacing w:after="160" w:line="259" w:lineRule="auto"/>
        <w:ind w:left="-288"/>
        <w:contextualSpacing/>
        <w:jc w:val="left"/>
        <w:rPr>
          <w:rFonts w:cs="Times New Roman"/>
          <w:szCs w:val="24"/>
          <w:lang w:val="en"/>
        </w:rPr>
      </w:pPr>
    </w:p>
    <w:p w14:paraId="444CC9C5" w14:textId="77777777" w:rsidR="00902210" w:rsidRPr="00902210" w:rsidRDefault="00902210" w:rsidP="00226714">
      <w:pPr>
        <w:spacing w:after="160" w:line="259" w:lineRule="auto"/>
        <w:ind w:left="-288"/>
        <w:contextualSpacing/>
        <w:jc w:val="left"/>
        <w:rPr>
          <w:rFonts w:cs="Times New Roman"/>
          <w:szCs w:val="24"/>
          <w:lang w:val="en"/>
        </w:rPr>
      </w:pPr>
      <w:r w:rsidRPr="00902210">
        <w:rPr>
          <w:rFonts w:cs="Times New Roman"/>
          <w:szCs w:val="24"/>
          <w:lang w:val="en"/>
        </w:rPr>
        <w:t>Nader, R., “Foreward: Poletown: Community Betrayed.” University of Illinois Press, (1990)</w:t>
      </w:r>
    </w:p>
    <w:p w14:paraId="50E5659B" w14:textId="77777777" w:rsidR="00902210" w:rsidRPr="00902210" w:rsidRDefault="00902210" w:rsidP="00226714">
      <w:pPr>
        <w:spacing w:after="160" w:line="259" w:lineRule="auto"/>
        <w:ind w:left="-288" w:firstLine="0"/>
        <w:contextualSpacing/>
        <w:jc w:val="left"/>
        <w:rPr>
          <w:rFonts w:cs="Times New Roman"/>
          <w:szCs w:val="24"/>
          <w:lang w:val="en"/>
        </w:rPr>
      </w:pPr>
    </w:p>
    <w:p w14:paraId="0B77B963"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Nash, J., "Non-Cooperative Games" The Annals of Mathematics 54(2):286-295. (1951)</w:t>
      </w:r>
    </w:p>
    <w:p w14:paraId="0B0FC8C9" w14:textId="77777777" w:rsidR="00902210" w:rsidRPr="00902210" w:rsidRDefault="00902210" w:rsidP="00226714">
      <w:pPr>
        <w:spacing w:after="160" w:line="259" w:lineRule="auto"/>
        <w:ind w:left="-288" w:firstLine="0"/>
        <w:contextualSpacing/>
        <w:jc w:val="left"/>
        <w:rPr>
          <w:rFonts w:cs="Times New Roman"/>
          <w:szCs w:val="24"/>
          <w:lang w:val="en"/>
        </w:rPr>
      </w:pPr>
    </w:p>
    <w:p w14:paraId="779674DF"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O’Flaherty, B., “Land Assembly and Urban Renewal,” Regional Science and Urban Economics 24: 287-300. (1994)</w:t>
      </w:r>
    </w:p>
    <w:p w14:paraId="620E9582" w14:textId="77777777" w:rsidR="00902210" w:rsidRPr="00902210" w:rsidRDefault="00902210" w:rsidP="00226714">
      <w:pPr>
        <w:spacing w:after="160" w:line="259" w:lineRule="auto"/>
        <w:ind w:left="-288" w:firstLine="0"/>
        <w:contextualSpacing/>
        <w:jc w:val="left"/>
        <w:rPr>
          <w:rFonts w:cs="Times New Roman"/>
          <w:szCs w:val="24"/>
          <w:lang w:val="en"/>
        </w:rPr>
      </w:pPr>
    </w:p>
    <w:p w14:paraId="648A77DD"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Olsen, J., “Better Places for Better Lives: A Biography of James Rouse,” ULI- The Urban Land Institute. (2003)</w:t>
      </w:r>
    </w:p>
    <w:p w14:paraId="2F2538BF" w14:textId="77777777" w:rsidR="00902210" w:rsidRPr="00902210" w:rsidRDefault="00902210" w:rsidP="00226714">
      <w:pPr>
        <w:spacing w:after="160" w:line="259" w:lineRule="auto"/>
        <w:ind w:left="-288" w:firstLine="0"/>
        <w:contextualSpacing/>
        <w:jc w:val="left"/>
        <w:rPr>
          <w:rFonts w:cs="Times New Roman"/>
          <w:szCs w:val="24"/>
          <w:lang w:val="en"/>
        </w:rPr>
      </w:pPr>
    </w:p>
    <w:p w14:paraId="41FEBA99"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Parisi, F. “Entropy in Property,” American Journal of Comparative Law 50: 595-632. (2002)</w:t>
      </w:r>
    </w:p>
    <w:p w14:paraId="644956CC" w14:textId="77777777" w:rsidR="00902210" w:rsidRPr="00902210" w:rsidRDefault="00902210" w:rsidP="00226714">
      <w:pPr>
        <w:spacing w:after="160" w:line="259" w:lineRule="auto"/>
        <w:ind w:left="-288" w:firstLine="0"/>
        <w:contextualSpacing/>
        <w:jc w:val="left"/>
        <w:rPr>
          <w:rFonts w:cs="Times New Roman"/>
          <w:szCs w:val="24"/>
          <w:lang w:val="en"/>
        </w:rPr>
      </w:pPr>
    </w:p>
    <w:p w14:paraId="6C93BA6E"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lastRenderedPageBreak/>
        <w:t>Pigou, A.</w:t>
      </w:r>
      <w:r w:rsidRPr="00902210">
        <w:t xml:space="preserve"> </w:t>
      </w:r>
      <w:r w:rsidRPr="00902210">
        <w:rPr>
          <w:rFonts w:cs="Times New Roman"/>
          <w:szCs w:val="24"/>
          <w:lang w:val="en"/>
        </w:rPr>
        <w:t xml:space="preserve">The </w:t>
      </w:r>
      <w:r w:rsidRPr="00902210">
        <w:rPr>
          <w:rFonts w:cs="Times New Roman"/>
          <w:i/>
          <w:iCs/>
          <w:szCs w:val="24"/>
          <w:lang w:val="en"/>
        </w:rPr>
        <w:t>Economics of Welfare</w:t>
      </w:r>
      <w:r w:rsidRPr="00902210">
        <w:rPr>
          <w:rFonts w:cs="Times New Roman"/>
          <w:szCs w:val="24"/>
          <w:lang w:val="en"/>
        </w:rPr>
        <w:t xml:space="preserve"> (1938)</w:t>
      </w:r>
    </w:p>
    <w:p w14:paraId="7A64047F" w14:textId="77777777" w:rsidR="00902210" w:rsidRPr="00902210" w:rsidRDefault="00902210" w:rsidP="00226714">
      <w:pPr>
        <w:spacing w:after="160" w:line="259" w:lineRule="auto"/>
        <w:ind w:left="-288" w:firstLine="0"/>
        <w:contextualSpacing/>
        <w:jc w:val="left"/>
        <w:rPr>
          <w:rFonts w:cs="Times New Roman"/>
          <w:szCs w:val="24"/>
          <w:lang w:val="en"/>
        </w:rPr>
      </w:pPr>
    </w:p>
    <w:p w14:paraId="6A0D63C3"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Peterson, A., “OU takes long-term approach to property acquisitions”. Norman Transcript Feb. 18, 2007</w:t>
      </w:r>
    </w:p>
    <w:p w14:paraId="1EB911C6" w14:textId="77777777" w:rsidR="00902210" w:rsidRPr="00902210" w:rsidRDefault="00902210" w:rsidP="00226714">
      <w:pPr>
        <w:spacing w:after="160" w:line="259" w:lineRule="auto"/>
        <w:ind w:left="-288" w:firstLine="0"/>
        <w:contextualSpacing/>
        <w:jc w:val="left"/>
        <w:rPr>
          <w:rFonts w:cs="Times New Roman"/>
          <w:szCs w:val="24"/>
          <w:lang w:val="en"/>
        </w:rPr>
      </w:pPr>
    </w:p>
    <w:p w14:paraId="3CEB9BEB"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i/>
          <w:iCs/>
          <w:szCs w:val="24"/>
          <w:lang w:val="en"/>
        </w:rPr>
        <w:t>Poletown Neighborhood Council v. Detroit</w:t>
      </w:r>
      <w:r w:rsidRPr="00902210">
        <w:rPr>
          <w:rFonts w:cs="Times New Roman"/>
          <w:szCs w:val="24"/>
          <w:lang w:val="en"/>
        </w:rPr>
        <w:t xml:space="preserve"> - 410 Mich. 616, 304 N.W.2d 455 (1981)</w:t>
      </w:r>
    </w:p>
    <w:p w14:paraId="35C948AF"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 xml:space="preserve">. </w:t>
      </w:r>
    </w:p>
    <w:p w14:paraId="05F631E7"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Posner, R., "Foreward." Harvard Law Review Vol 119:31 November: 98. (2005)</w:t>
      </w:r>
    </w:p>
    <w:p w14:paraId="50E5139A" w14:textId="77777777" w:rsidR="00902210" w:rsidRPr="00902210" w:rsidRDefault="00902210" w:rsidP="00226714">
      <w:pPr>
        <w:spacing w:after="160" w:line="259" w:lineRule="auto"/>
        <w:ind w:left="-288" w:firstLine="0"/>
        <w:contextualSpacing/>
        <w:jc w:val="left"/>
        <w:rPr>
          <w:rFonts w:cs="Times New Roman"/>
          <w:szCs w:val="24"/>
          <w:lang w:val="en"/>
        </w:rPr>
      </w:pPr>
    </w:p>
    <w:p w14:paraId="7F2DECFC"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Samuelson, P. “The Pure Theory of Public Expenditure,” Review of Economics and Statistics 36: 387-389.  (1954)</w:t>
      </w:r>
    </w:p>
    <w:p w14:paraId="1FE96AEC" w14:textId="77777777" w:rsidR="00902210" w:rsidRPr="00902210" w:rsidRDefault="00902210" w:rsidP="00226714">
      <w:pPr>
        <w:spacing w:after="160" w:line="259" w:lineRule="auto"/>
        <w:ind w:left="-288" w:firstLine="0"/>
        <w:contextualSpacing/>
        <w:jc w:val="left"/>
        <w:rPr>
          <w:rFonts w:cs="Times New Roman"/>
          <w:szCs w:val="24"/>
          <w:lang w:val="en"/>
        </w:rPr>
      </w:pPr>
    </w:p>
    <w:p w14:paraId="58B79E73" w14:textId="77777777" w:rsidR="00902210" w:rsidRPr="00902210" w:rsidRDefault="00902210" w:rsidP="00226714">
      <w:pPr>
        <w:spacing w:after="160" w:line="259" w:lineRule="auto"/>
        <w:ind w:left="-288" w:firstLine="0"/>
        <w:contextualSpacing/>
        <w:rPr>
          <w:rFonts w:cs="Times New Roman"/>
          <w:i/>
          <w:iCs/>
          <w:szCs w:val="24"/>
          <w:lang w:val="en"/>
        </w:rPr>
      </w:pPr>
      <w:r w:rsidRPr="00902210">
        <w:rPr>
          <w:rFonts w:cs="Times New Roman"/>
          <w:szCs w:val="24"/>
          <w:lang w:val="en"/>
        </w:rPr>
        <w:t>Samuelson, P. (1964) E</w:t>
      </w:r>
      <w:r w:rsidRPr="00902210">
        <w:rPr>
          <w:rFonts w:cs="Times New Roman"/>
          <w:i/>
          <w:iCs/>
          <w:szCs w:val="24"/>
          <w:lang w:val="en"/>
        </w:rPr>
        <w:t>conomics: An Introductory Analysis: “</w:t>
      </w:r>
      <w:r w:rsidRPr="00902210">
        <w:rPr>
          <w:rFonts w:cs="Times New Roman"/>
          <w:szCs w:val="24"/>
          <w:lang w:val="en"/>
        </w:rPr>
        <w:t>Economic Role of Government” p. 45 (6</w:t>
      </w:r>
      <w:r w:rsidRPr="00902210">
        <w:rPr>
          <w:rFonts w:cs="Times New Roman"/>
          <w:szCs w:val="24"/>
          <w:vertAlign w:val="superscript"/>
          <w:lang w:val="en"/>
        </w:rPr>
        <w:t>th</w:t>
      </w:r>
      <w:r w:rsidRPr="00902210">
        <w:rPr>
          <w:rFonts w:cs="Times New Roman"/>
          <w:szCs w:val="24"/>
          <w:lang w:val="en"/>
        </w:rPr>
        <w:t xml:space="preserve"> edition), (1964)</w:t>
      </w:r>
    </w:p>
    <w:p w14:paraId="17467CE5" w14:textId="77777777" w:rsidR="00902210" w:rsidRPr="00902210" w:rsidRDefault="00902210" w:rsidP="00226714">
      <w:pPr>
        <w:spacing w:after="160" w:line="259" w:lineRule="auto"/>
        <w:ind w:left="-288" w:firstLine="0"/>
        <w:contextualSpacing/>
        <w:jc w:val="left"/>
        <w:rPr>
          <w:rFonts w:cs="Times New Roman"/>
          <w:szCs w:val="24"/>
          <w:lang w:val="en"/>
        </w:rPr>
      </w:pPr>
    </w:p>
    <w:p w14:paraId="06320BE0"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Shavell, S. “Eminent Domain versus Government Purchase of Land Given Imperfect Information about Owners Valuations,” Journal of Law and Economics 53: 1-27. (2010)</w:t>
      </w:r>
    </w:p>
    <w:p w14:paraId="48FE4A12" w14:textId="77777777" w:rsidR="00902210" w:rsidRPr="00902210" w:rsidRDefault="00902210" w:rsidP="00226714">
      <w:pPr>
        <w:spacing w:after="160" w:line="259" w:lineRule="auto"/>
        <w:ind w:left="-288" w:firstLine="0"/>
        <w:contextualSpacing/>
        <w:jc w:val="left"/>
        <w:rPr>
          <w:rFonts w:cs="Times New Roman"/>
          <w:szCs w:val="24"/>
          <w:lang w:val="en"/>
        </w:rPr>
      </w:pPr>
    </w:p>
    <w:p w14:paraId="5E6C6922"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Sidgwick, H. “Principles of Political Economy” in the chapter “The System of Natural Liberty Considered in Relation to Production” (1883)</w:t>
      </w:r>
    </w:p>
    <w:p w14:paraId="000A19F8" w14:textId="77777777" w:rsidR="00902210" w:rsidRPr="00902210" w:rsidRDefault="00902210" w:rsidP="00226714">
      <w:pPr>
        <w:spacing w:after="160" w:line="259" w:lineRule="auto"/>
        <w:ind w:left="-288" w:firstLine="0"/>
        <w:contextualSpacing/>
        <w:jc w:val="left"/>
        <w:rPr>
          <w:rFonts w:cs="Times New Roman"/>
          <w:szCs w:val="24"/>
          <w:lang w:val="en"/>
        </w:rPr>
      </w:pPr>
    </w:p>
    <w:p w14:paraId="1E92DFB1"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Smith, A., “</w:t>
      </w:r>
      <w:r w:rsidRPr="00902210">
        <w:rPr>
          <w:rFonts w:cs="Times New Roman"/>
          <w:i/>
          <w:iCs/>
          <w:szCs w:val="24"/>
          <w:lang w:val="en"/>
        </w:rPr>
        <w:t xml:space="preserve">An Inquiry into </w:t>
      </w:r>
      <w:proofErr w:type="gramStart"/>
      <w:r w:rsidRPr="00902210">
        <w:rPr>
          <w:rFonts w:cs="Times New Roman"/>
          <w:i/>
          <w:iCs/>
          <w:szCs w:val="24"/>
          <w:lang w:val="en"/>
        </w:rPr>
        <w:t>the Nature</w:t>
      </w:r>
      <w:proofErr w:type="gramEnd"/>
      <w:r w:rsidRPr="00902210">
        <w:rPr>
          <w:rFonts w:cs="Times New Roman"/>
          <w:i/>
          <w:iCs/>
          <w:szCs w:val="24"/>
          <w:lang w:val="en"/>
        </w:rPr>
        <w:t xml:space="preserve"> and Causes of the Wealth of Nations”. </w:t>
      </w:r>
      <w:r w:rsidRPr="00902210">
        <w:rPr>
          <w:rFonts w:cs="Times New Roman"/>
          <w:szCs w:val="24"/>
          <w:lang w:val="en"/>
        </w:rPr>
        <w:t>Vol. 1 (2 ed.). (1778)</w:t>
      </w:r>
    </w:p>
    <w:p w14:paraId="039C3D4E" w14:textId="77777777" w:rsidR="00902210" w:rsidRPr="00902210" w:rsidRDefault="00902210" w:rsidP="00226714">
      <w:pPr>
        <w:spacing w:after="160" w:line="259" w:lineRule="auto"/>
        <w:ind w:left="-288" w:firstLine="0"/>
        <w:contextualSpacing/>
        <w:jc w:val="left"/>
        <w:rPr>
          <w:rFonts w:cs="Times New Roman"/>
          <w:szCs w:val="24"/>
          <w:lang w:val="en"/>
        </w:rPr>
      </w:pPr>
    </w:p>
    <w:p w14:paraId="1BE89CB3"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Somin, I., “The Grasping Hand: "Kelo v. City of New London" and the Limits of Eminent Domain” University of Chicago Press, Chicago, (2015)</w:t>
      </w:r>
    </w:p>
    <w:p w14:paraId="45D03DD1" w14:textId="77777777" w:rsidR="00902210" w:rsidRPr="00902210" w:rsidRDefault="00902210" w:rsidP="00226714">
      <w:pPr>
        <w:spacing w:after="160" w:line="259" w:lineRule="auto"/>
        <w:ind w:left="-288" w:firstLine="0"/>
        <w:contextualSpacing/>
        <w:jc w:val="left"/>
        <w:rPr>
          <w:rFonts w:cs="Times New Roman"/>
          <w:szCs w:val="24"/>
          <w:lang w:val="en"/>
        </w:rPr>
      </w:pPr>
    </w:p>
    <w:p w14:paraId="60E05D01"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 xml:space="preserve">Spulber, D. L., </w:t>
      </w:r>
      <w:r w:rsidRPr="00902210">
        <w:rPr>
          <w:rFonts w:cs="Times New Roman"/>
          <w:i/>
          <w:iCs/>
          <w:szCs w:val="24"/>
          <w:lang w:val="en"/>
        </w:rPr>
        <w:t>Famous Fables of Economics</w:t>
      </w:r>
      <w:r w:rsidRPr="00902210">
        <w:rPr>
          <w:rFonts w:cs="Times New Roman"/>
          <w:szCs w:val="24"/>
          <w:lang w:val="en"/>
        </w:rPr>
        <w:t>. Blackwell Publishers Ltd, (2002)</w:t>
      </w:r>
    </w:p>
    <w:p w14:paraId="79094EBC" w14:textId="77777777" w:rsidR="00902210" w:rsidRPr="00902210" w:rsidRDefault="00902210" w:rsidP="00226714">
      <w:pPr>
        <w:spacing w:after="160" w:line="259" w:lineRule="auto"/>
        <w:ind w:left="-288" w:firstLine="0"/>
        <w:contextualSpacing/>
        <w:jc w:val="left"/>
        <w:rPr>
          <w:rFonts w:cs="Times New Roman"/>
          <w:szCs w:val="24"/>
          <w:lang w:val="en"/>
        </w:rPr>
      </w:pPr>
    </w:p>
    <w:p w14:paraId="751E79BB"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Strange, W., “Information, Holdouts, and Land Assembly,” Journal of Urban Economics 38: 317-332. (1995)</w:t>
      </w:r>
    </w:p>
    <w:p w14:paraId="2D30E974" w14:textId="77777777" w:rsidR="00902210" w:rsidRPr="00902210" w:rsidRDefault="00902210" w:rsidP="00226714">
      <w:pPr>
        <w:spacing w:after="160" w:line="259" w:lineRule="auto"/>
        <w:ind w:left="-288" w:firstLine="0"/>
        <w:contextualSpacing/>
        <w:jc w:val="left"/>
        <w:rPr>
          <w:rFonts w:cs="Times New Roman"/>
          <w:szCs w:val="24"/>
          <w:lang w:val="en"/>
        </w:rPr>
      </w:pPr>
    </w:p>
    <w:p w14:paraId="4878DDFB"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 xml:space="preserve">Tabarrok, A. ed. </w:t>
      </w:r>
      <w:r w:rsidRPr="00902210">
        <w:rPr>
          <w:rFonts w:cs="Times New Roman"/>
          <w:i/>
          <w:iCs/>
          <w:szCs w:val="24"/>
          <w:lang w:val="en"/>
        </w:rPr>
        <w:t>The Voluntary City</w:t>
      </w:r>
      <w:r w:rsidRPr="00902210">
        <w:rPr>
          <w:rFonts w:cs="Times New Roman"/>
          <w:szCs w:val="24"/>
          <w:lang w:val="en"/>
        </w:rPr>
        <w:t>. University of Michigan Press. p. 406. (2002)</w:t>
      </w:r>
    </w:p>
    <w:p w14:paraId="5FE8D407" w14:textId="77777777" w:rsidR="00902210" w:rsidRPr="00902210" w:rsidRDefault="00902210" w:rsidP="00226714">
      <w:pPr>
        <w:spacing w:after="160" w:line="259" w:lineRule="auto"/>
        <w:ind w:left="-288" w:firstLine="0"/>
        <w:contextualSpacing/>
        <w:jc w:val="left"/>
        <w:rPr>
          <w:rFonts w:cs="Times New Roman"/>
          <w:szCs w:val="24"/>
          <w:lang w:val="en"/>
        </w:rPr>
      </w:pPr>
    </w:p>
    <w:p w14:paraId="021AF553" w14:textId="77777777" w:rsidR="00902210" w:rsidRPr="00902210" w:rsidRDefault="00902210" w:rsidP="00226714">
      <w:pPr>
        <w:spacing w:after="160" w:line="259" w:lineRule="auto"/>
        <w:ind w:left="-288" w:firstLine="0"/>
        <w:contextualSpacing/>
        <w:jc w:val="left"/>
      </w:pPr>
      <w:r w:rsidRPr="00902210">
        <w:rPr>
          <w:rFonts w:cs="Times New Roman"/>
          <w:szCs w:val="24"/>
          <w:lang w:val="en"/>
        </w:rPr>
        <w:t>Tennenbaum, R., ed.</w:t>
      </w:r>
      <w:r w:rsidRPr="00902210">
        <w:t xml:space="preserve"> “</w:t>
      </w:r>
      <w:r w:rsidRPr="00902210">
        <w:rPr>
          <w:rFonts w:cs="Times New Roman"/>
          <w:i/>
          <w:iCs/>
          <w:szCs w:val="24"/>
          <w:lang w:val="en"/>
        </w:rPr>
        <w:t>Creating a New City: Columbia, Maryland</w:t>
      </w:r>
      <w:r w:rsidRPr="00902210">
        <w:rPr>
          <w:rFonts w:cs="Times New Roman"/>
          <w:szCs w:val="24"/>
          <w:lang w:val="en"/>
        </w:rPr>
        <w:t>” Perry Publishing (1996)</w:t>
      </w:r>
    </w:p>
    <w:p w14:paraId="5F423064" w14:textId="77777777" w:rsidR="00902210" w:rsidRPr="00902210" w:rsidRDefault="00902210" w:rsidP="00226714">
      <w:pPr>
        <w:spacing w:after="160" w:line="259" w:lineRule="auto"/>
        <w:ind w:left="-288" w:firstLine="0"/>
        <w:contextualSpacing/>
        <w:jc w:val="left"/>
        <w:rPr>
          <w:rFonts w:cs="Times New Roman"/>
          <w:szCs w:val="24"/>
          <w:lang w:val="en"/>
        </w:rPr>
      </w:pPr>
    </w:p>
    <w:p w14:paraId="094751DD"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 xml:space="preserve">Trimble, L., “Eminent Domain a Decade After </w:t>
      </w:r>
      <w:r w:rsidRPr="00902210">
        <w:rPr>
          <w:rFonts w:cs="Times New Roman"/>
          <w:i/>
          <w:iCs/>
          <w:szCs w:val="24"/>
          <w:lang w:val="en"/>
        </w:rPr>
        <w:t>Kelo</w:t>
      </w:r>
      <w:r w:rsidRPr="00902210">
        <w:rPr>
          <w:rFonts w:cs="Times New Roman"/>
          <w:szCs w:val="24"/>
          <w:lang w:val="en"/>
        </w:rPr>
        <w:t>: Are Takings to Build Professional and College Sports Stadiums in Texas a Valid Public Use?”, 5 Tex. A&amp;M J. Prop. L. 1101 (2019).</w:t>
      </w:r>
    </w:p>
    <w:p w14:paraId="101C3420" w14:textId="77777777" w:rsidR="00902210" w:rsidRPr="00902210" w:rsidRDefault="00902210" w:rsidP="00226714">
      <w:pPr>
        <w:spacing w:after="160" w:line="259" w:lineRule="auto"/>
        <w:ind w:left="-288" w:firstLine="0"/>
        <w:contextualSpacing/>
        <w:jc w:val="left"/>
        <w:rPr>
          <w:rFonts w:cs="Times New Roman"/>
          <w:szCs w:val="24"/>
          <w:lang w:val="en"/>
        </w:rPr>
      </w:pPr>
    </w:p>
    <w:p w14:paraId="250862E1" w14:textId="77777777" w:rsidR="00902210" w:rsidRPr="00902210" w:rsidRDefault="00902210" w:rsidP="00226714">
      <w:pPr>
        <w:spacing w:after="160" w:line="259" w:lineRule="auto"/>
        <w:ind w:left="-288" w:firstLine="0"/>
        <w:contextualSpacing/>
        <w:jc w:val="left"/>
        <w:rPr>
          <w:rFonts w:cs="Times New Roman"/>
          <w:szCs w:val="24"/>
          <w:lang w:val="en"/>
        </w:rPr>
      </w:pPr>
      <w:r w:rsidRPr="00902210">
        <w:rPr>
          <w:rFonts w:cs="Times New Roman"/>
          <w:szCs w:val="24"/>
          <w:lang w:val="en"/>
        </w:rPr>
        <w:t>Williamson, O. “</w:t>
      </w:r>
      <w:r w:rsidRPr="00902210">
        <w:rPr>
          <w:rFonts w:cs="Times New Roman"/>
          <w:i/>
          <w:iCs/>
          <w:szCs w:val="24"/>
          <w:lang w:val="en"/>
        </w:rPr>
        <w:t>Markets and Hierarchies”</w:t>
      </w:r>
      <w:r w:rsidRPr="00902210">
        <w:rPr>
          <w:rFonts w:cs="Times New Roman"/>
          <w:szCs w:val="24"/>
          <w:lang w:val="en"/>
        </w:rPr>
        <w:t>. New York: Free Press. (1975)</w:t>
      </w:r>
    </w:p>
    <w:p w14:paraId="4DC60E81" w14:textId="77777777" w:rsidR="00902210" w:rsidRPr="00902210" w:rsidRDefault="00902210" w:rsidP="00226714">
      <w:pPr>
        <w:spacing w:after="160" w:line="259" w:lineRule="auto"/>
        <w:ind w:left="-288" w:firstLine="0"/>
        <w:contextualSpacing/>
        <w:jc w:val="left"/>
        <w:rPr>
          <w:rFonts w:cs="Times New Roman"/>
          <w:szCs w:val="24"/>
          <w:lang w:val="en"/>
        </w:rPr>
      </w:pPr>
    </w:p>
    <w:p w14:paraId="4227509E" w14:textId="77777777" w:rsidR="00902210" w:rsidRPr="00902210" w:rsidRDefault="00902210" w:rsidP="00226714">
      <w:pPr>
        <w:spacing w:after="160" w:line="259" w:lineRule="auto"/>
        <w:ind w:left="-288" w:firstLine="0"/>
        <w:contextualSpacing/>
        <w:jc w:val="left"/>
        <w:rPr>
          <w:rFonts w:cs="Times New Roman"/>
          <w:szCs w:val="24"/>
          <w:lang w:val="en"/>
        </w:rPr>
      </w:pPr>
      <w:bookmarkStart w:id="158" w:name="_Hlk132093764"/>
      <w:r w:rsidRPr="00902210">
        <w:rPr>
          <w:rFonts w:cs="Times New Roman"/>
          <w:szCs w:val="24"/>
          <w:lang w:val="en"/>
        </w:rPr>
        <w:lastRenderedPageBreak/>
        <w:t>Wylie, J., “</w:t>
      </w:r>
      <w:r w:rsidRPr="00902210">
        <w:rPr>
          <w:rFonts w:cs="Times New Roman"/>
          <w:i/>
          <w:iCs/>
          <w:szCs w:val="24"/>
          <w:lang w:val="en"/>
        </w:rPr>
        <w:t>Poletown</w:t>
      </w:r>
      <w:r w:rsidRPr="00902210">
        <w:rPr>
          <w:rFonts w:cs="Times New Roman"/>
          <w:szCs w:val="24"/>
          <w:lang w:val="en"/>
        </w:rPr>
        <w:t xml:space="preserve">: </w:t>
      </w:r>
      <w:r w:rsidRPr="00902210">
        <w:rPr>
          <w:rFonts w:cs="Times New Roman"/>
          <w:i/>
          <w:iCs/>
          <w:szCs w:val="24"/>
          <w:lang w:val="en"/>
        </w:rPr>
        <w:t>Community Betrayed</w:t>
      </w:r>
      <w:r w:rsidRPr="00902210">
        <w:rPr>
          <w:rFonts w:cs="Times New Roman"/>
          <w:szCs w:val="24"/>
          <w:lang w:val="en"/>
        </w:rPr>
        <w:t>.” University of Illinois Press, (1990)</w:t>
      </w:r>
    </w:p>
    <w:p w14:paraId="557E63ED" w14:textId="4C72AC3D" w:rsidR="00054747" w:rsidRPr="00801782" w:rsidRDefault="00950190" w:rsidP="005975E9">
      <w:pPr>
        <w:pStyle w:val="Heading1"/>
        <w:ind w:left="0"/>
      </w:pPr>
      <w:bookmarkStart w:id="159" w:name="_Toc126651402"/>
      <w:bookmarkStart w:id="160" w:name="_Toc134346758"/>
      <w:bookmarkEnd w:id="1"/>
      <w:bookmarkEnd w:id="158"/>
      <w:r w:rsidRPr="00801782">
        <w:t xml:space="preserve">Appendix A: IRB </w:t>
      </w:r>
      <w:r w:rsidR="00C927DA" w:rsidRPr="00801782">
        <w:t>“Expedited Re</w:t>
      </w:r>
      <w:r w:rsidR="00EF2067" w:rsidRPr="00801782">
        <w:t>v</w:t>
      </w:r>
      <w:r w:rsidR="00C927DA" w:rsidRPr="00801782">
        <w:t>iew”</w:t>
      </w:r>
      <w:r w:rsidR="00EF2067" w:rsidRPr="00801782">
        <w:t xml:space="preserve"> </w:t>
      </w:r>
      <w:r w:rsidR="0072195A" w:rsidRPr="00801782">
        <w:t xml:space="preserve">Application </w:t>
      </w:r>
      <w:r w:rsidRPr="00801782">
        <w:t>Protocol</w:t>
      </w:r>
      <w:bookmarkEnd w:id="159"/>
      <w:bookmarkEnd w:id="160"/>
    </w:p>
    <w:p w14:paraId="77A0D8D0" w14:textId="39440D2F" w:rsidR="00414D9F" w:rsidRPr="00414D9F" w:rsidRDefault="00054747" w:rsidP="00CF3D91">
      <w:pPr>
        <w:pStyle w:val="Tables"/>
      </w:pPr>
      <w:bookmarkStart w:id="161" w:name="_Toc21516047"/>
      <w:bookmarkStart w:id="162" w:name="_Toc127439204"/>
      <w:r>
        <w:t xml:space="preserve">Table A. </w:t>
      </w:r>
      <w:fldSimple w:instr=" SEQ Table_A. \* ARABIC ">
        <w:r w:rsidR="00E153CE">
          <w:rPr>
            <w:noProof/>
          </w:rPr>
          <w:t>1</w:t>
        </w:r>
      </w:fldSimple>
      <w:r>
        <w:t xml:space="preserve"> IRB Interview Protocol</w:t>
      </w:r>
      <w:r w:rsidR="00837D83">
        <w:t xml:space="preserve"> Application</w:t>
      </w:r>
      <w:r>
        <w:t xml:space="preserve"> Form</w:t>
      </w:r>
      <w:r w:rsidR="009D675D">
        <w:t>at</w:t>
      </w:r>
      <w:bookmarkEnd w:id="161"/>
      <w:bookmarkEnd w:id="162"/>
    </w:p>
    <w:p w14:paraId="70AA8A70" w14:textId="77777777" w:rsidR="00E06C78" w:rsidRDefault="00967CCE" w:rsidP="00E06C78">
      <w:pPr>
        <w:pStyle w:val="Caption"/>
        <w:ind w:left="0" w:firstLine="0"/>
        <w:jc w:val="left"/>
      </w:pPr>
      <w:r>
        <w:rPr>
          <w:noProof/>
        </w:rPr>
        <w:drawing>
          <wp:inline distT="0" distB="0" distL="0" distR="0" wp14:anchorId="35C850F8" wp14:editId="60D7192D">
            <wp:extent cx="5176684" cy="6923249"/>
            <wp:effectExtent l="0" t="0" r="508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42">
                      <a:extLst>
                        <a:ext uri="{28A0092B-C50C-407E-A947-70E740481C1C}">
                          <a14:useLocalDpi xmlns:a14="http://schemas.microsoft.com/office/drawing/2010/main" val="0"/>
                        </a:ext>
                      </a:extLst>
                    </a:blip>
                    <a:srcRect l="8361" t="13835" r="786"/>
                    <a:stretch/>
                  </pic:blipFill>
                  <pic:spPr bwMode="auto">
                    <a:xfrm>
                      <a:off x="0" y="0"/>
                      <a:ext cx="5184750" cy="6934037"/>
                    </a:xfrm>
                    <a:prstGeom prst="rect">
                      <a:avLst/>
                    </a:prstGeom>
                    <a:noFill/>
                    <a:ln>
                      <a:noFill/>
                    </a:ln>
                    <a:extLst>
                      <a:ext uri="{53640926-AAD7-44D8-BBD7-CCE9431645EC}">
                        <a14:shadowObscured xmlns:a14="http://schemas.microsoft.com/office/drawing/2010/main"/>
                      </a:ext>
                    </a:extLst>
                  </pic:spPr>
                </pic:pic>
              </a:graphicData>
            </a:graphic>
          </wp:inline>
        </w:drawing>
      </w:r>
    </w:p>
    <w:p w14:paraId="598DD3A9" w14:textId="77777777" w:rsidR="00516F41" w:rsidRDefault="00E06C78" w:rsidP="00054747">
      <w:pPr>
        <w:pStyle w:val="Caption"/>
        <w:ind w:left="0" w:firstLine="0"/>
        <w:jc w:val="both"/>
      </w:pPr>
      <w:r>
        <w:rPr>
          <w:noProof/>
        </w:rPr>
        <w:lastRenderedPageBreak/>
        <w:drawing>
          <wp:inline distT="0" distB="0" distL="0" distR="0" wp14:anchorId="345ACCB8" wp14:editId="69054F65">
            <wp:extent cx="5427407" cy="7866130"/>
            <wp:effectExtent l="0" t="0" r="1905" b="190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3">
                      <a:extLst>
                        <a:ext uri="{28A0092B-C50C-407E-A947-70E740481C1C}">
                          <a14:useLocalDpi xmlns:a14="http://schemas.microsoft.com/office/drawing/2010/main" val="0"/>
                        </a:ext>
                      </a:extLst>
                    </a:blip>
                    <a:srcRect l="5342" t="-1094"/>
                    <a:stretch/>
                  </pic:blipFill>
                  <pic:spPr bwMode="auto">
                    <a:xfrm>
                      <a:off x="0" y="0"/>
                      <a:ext cx="5433506" cy="787496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35A4FB7E" wp14:editId="0BC3D2E6">
            <wp:extent cx="5265175" cy="8195712"/>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4">
                      <a:extLst>
                        <a:ext uri="{28A0092B-C50C-407E-A947-70E740481C1C}">
                          <a14:useLocalDpi xmlns:a14="http://schemas.microsoft.com/office/drawing/2010/main" val="0"/>
                        </a:ext>
                      </a:extLst>
                    </a:blip>
                    <a:srcRect l="4811" t="3144"/>
                    <a:stretch/>
                  </pic:blipFill>
                  <pic:spPr bwMode="auto">
                    <a:xfrm>
                      <a:off x="0" y="0"/>
                      <a:ext cx="5282024" cy="8221939"/>
                    </a:xfrm>
                    <a:prstGeom prst="rect">
                      <a:avLst/>
                    </a:prstGeom>
                    <a:noFill/>
                    <a:ln>
                      <a:noFill/>
                    </a:ln>
                    <a:extLst>
                      <a:ext uri="{53640926-AAD7-44D8-BBD7-CCE9431645EC}">
                        <a14:shadowObscured xmlns:a14="http://schemas.microsoft.com/office/drawing/2010/main"/>
                      </a:ext>
                    </a:extLst>
                  </pic:spPr>
                </pic:pic>
              </a:graphicData>
            </a:graphic>
          </wp:inline>
        </w:drawing>
      </w:r>
    </w:p>
    <w:p w14:paraId="30FDE6AB" w14:textId="77777777" w:rsidR="00E06C78" w:rsidRPr="00E06C78" w:rsidRDefault="00E06C78" w:rsidP="00CF3D91">
      <w:pPr>
        <w:jc w:val="center"/>
      </w:pPr>
      <w:r>
        <w:rPr>
          <w:noProof/>
        </w:rPr>
        <w:lastRenderedPageBreak/>
        <w:drawing>
          <wp:inline distT="0" distB="0" distL="0" distR="0" wp14:anchorId="4003659E" wp14:editId="73991279">
            <wp:extent cx="4974147" cy="6883067"/>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45">
                      <a:extLst>
                        <a:ext uri="{28A0092B-C50C-407E-A947-70E740481C1C}">
                          <a14:useLocalDpi xmlns:a14="http://schemas.microsoft.com/office/drawing/2010/main" val="0"/>
                        </a:ext>
                      </a:extLst>
                    </a:blip>
                    <a:srcRect l="5277" t="2810" b="1"/>
                    <a:stretch/>
                  </pic:blipFill>
                  <pic:spPr bwMode="auto">
                    <a:xfrm>
                      <a:off x="0" y="0"/>
                      <a:ext cx="4984170" cy="6896937"/>
                    </a:xfrm>
                    <a:prstGeom prst="rect">
                      <a:avLst/>
                    </a:prstGeom>
                    <a:noFill/>
                    <a:ln>
                      <a:noFill/>
                    </a:ln>
                    <a:extLst>
                      <a:ext uri="{53640926-AAD7-44D8-BBD7-CCE9431645EC}">
                        <a14:shadowObscured xmlns:a14="http://schemas.microsoft.com/office/drawing/2010/main"/>
                      </a:ext>
                    </a:extLst>
                  </pic:spPr>
                </pic:pic>
              </a:graphicData>
            </a:graphic>
          </wp:inline>
        </w:drawing>
      </w:r>
    </w:p>
    <w:p w14:paraId="1786F3A8" w14:textId="77777777" w:rsidR="00516F41" w:rsidRDefault="00516F41" w:rsidP="00054747">
      <w:pPr>
        <w:pStyle w:val="Caption"/>
        <w:ind w:left="0" w:firstLine="0"/>
        <w:jc w:val="both"/>
      </w:pPr>
    </w:p>
    <w:p w14:paraId="2F3E3D16" w14:textId="77777777" w:rsidR="00E06C78" w:rsidRDefault="00E06C78" w:rsidP="00054747">
      <w:pPr>
        <w:pStyle w:val="Caption"/>
        <w:ind w:left="0" w:firstLine="0"/>
        <w:jc w:val="both"/>
      </w:pPr>
    </w:p>
    <w:p w14:paraId="6D53D352" w14:textId="77777777" w:rsidR="00CA5FC1" w:rsidRPr="00CA5FC1" w:rsidRDefault="00CA5FC1" w:rsidP="00CA5FC1"/>
    <w:p w14:paraId="01BA52A8" w14:textId="250FC570" w:rsidR="00054747" w:rsidRPr="00E839E2" w:rsidRDefault="00054747" w:rsidP="00E839E2">
      <w:pPr>
        <w:pStyle w:val="Tables"/>
      </w:pPr>
      <w:bookmarkStart w:id="163" w:name="_Toc21516048"/>
      <w:bookmarkStart w:id="164" w:name="_Toc127439205"/>
      <w:r w:rsidRPr="00E839E2">
        <w:lastRenderedPageBreak/>
        <w:t xml:space="preserve">Table A. </w:t>
      </w:r>
      <w:fldSimple w:instr=" SEQ Table_A. \* ARABIC ">
        <w:r w:rsidR="00E153CE">
          <w:rPr>
            <w:noProof/>
          </w:rPr>
          <w:t>2</w:t>
        </w:r>
      </w:fldSimple>
      <w:r w:rsidRPr="00E839E2">
        <w:t xml:space="preserve"> </w:t>
      </w:r>
      <w:r w:rsidR="005443C4">
        <w:t>IRB</w:t>
      </w:r>
      <w:r w:rsidR="00A61EF4">
        <w:t xml:space="preserve"> </w:t>
      </w:r>
      <w:r w:rsidR="00B852D2">
        <w:t xml:space="preserve">Interview </w:t>
      </w:r>
      <w:r w:rsidRPr="00E839E2">
        <w:t>Recruitment/Referral Tree</w:t>
      </w:r>
      <w:bookmarkEnd w:id="163"/>
      <w:r w:rsidR="00CA5FC1">
        <w:t xml:space="preserve"> (Tier 1 &amp; 2) </w:t>
      </w:r>
      <w:r w:rsidR="00D15B0D" w:rsidRPr="00E839E2">
        <w:t xml:space="preserve"> </w:t>
      </w:r>
      <w:bookmarkEnd w:id="164"/>
    </w:p>
    <w:p w14:paraId="6401AC74" w14:textId="77777777" w:rsidR="009D675D" w:rsidRDefault="00DC23E6" w:rsidP="00054747">
      <w:pPr>
        <w:pStyle w:val="Caption"/>
        <w:ind w:left="0" w:firstLine="0"/>
        <w:jc w:val="both"/>
      </w:pPr>
      <w:r>
        <w:rPr>
          <w:noProof/>
        </w:rPr>
        <w:drawing>
          <wp:inline distT="0" distB="0" distL="0" distR="0" wp14:anchorId="13B24D36" wp14:editId="55584362">
            <wp:extent cx="5139160" cy="2749115"/>
            <wp:effectExtent l="0" t="0" r="444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62307" cy="2761497"/>
                    </a:xfrm>
                    <a:prstGeom prst="rect">
                      <a:avLst/>
                    </a:prstGeom>
                    <a:noFill/>
                  </pic:spPr>
                </pic:pic>
              </a:graphicData>
            </a:graphic>
          </wp:inline>
        </w:drawing>
      </w:r>
    </w:p>
    <w:p w14:paraId="2F41CB8A" w14:textId="77777777" w:rsidR="00DC23E6" w:rsidRPr="00DC23E6" w:rsidRDefault="00516F41" w:rsidP="00CA5FC1">
      <w:pPr>
        <w:ind w:left="14"/>
        <w:jc w:val="left"/>
      </w:pPr>
      <w:r>
        <w:rPr>
          <w:noProof/>
        </w:rPr>
        <w:drawing>
          <wp:inline distT="0" distB="0" distL="0" distR="0" wp14:anchorId="04619A40" wp14:editId="2A703A78">
            <wp:extent cx="5713095" cy="2487977"/>
            <wp:effectExtent l="0" t="0" r="1905" b="762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98052" cy="2524975"/>
                    </a:xfrm>
                    <a:prstGeom prst="rect">
                      <a:avLst/>
                    </a:prstGeom>
                    <a:noFill/>
                  </pic:spPr>
                </pic:pic>
              </a:graphicData>
            </a:graphic>
          </wp:inline>
        </w:drawing>
      </w:r>
    </w:p>
    <w:p w14:paraId="0A2A3F1C" w14:textId="77777777" w:rsidR="009D675D" w:rsidRDefault="009D675D" w:rsidP="00054747">
      <w:pPr>
        <w:pStyle w:val="Caption"/>
        <w:ind w:left="0" w:firstLine="0"/>
        <w:jc w:val="both"/>
      </w:pPr>
    </w:p>
    <w:p w14:paraId="11C3BDB6" w14:textId="77777777" w:rsidR="00516F41" w:rsidRDefault="00516F41" w:rsidP="00054747">
      <w:pPr>
        <w:pStyle w:val="Caption"/>
        <w:ind w:left="0" w:firstLine="0"/>
        <w:jc w:val="both"/>
      </w:pPr>
    </w:p>
    <w:p w14:paraId="1D51ACDC" w14:textId="77777777" w:rsidR="00516F41" w:rsidRDefault="00516F41" w:rsidP="00054747">
      <w:pPr>
        <w:pStyle w:val="Caption"/>
        <w:ind w:left="0" w:firstLine="0"/>
        <w:jc w:val="both"/>
      </w:pPr>
    </w:p>
    <w:p w14:paraId="6161412C" w14:textId="77777777" w:rsidR="00516F41" w:rsidRDefault="00516F41" w:rsidP="00054747">
      <w:pPr>
        <w:pStyle w:val="Caption"/>
        <w:ind w:left="0" w:firstLine="0"/>
        <w:jc w:val="both"/>
      </w:pPr>
    </w:p>
    <w:p w14:paraId="6B0E193C" w14:textId="77777777" w:rsidR="00516F41" w:rsidRDefault="00516F41" w:rsidP="00054747">
      <w:pPr>
        <w:pStyle w:val="Caption"/>
        <w:ind w:left="0" w:firstLine="0"/>
        <w:jc w:val="both"/>
      </w:pPr>
    </w:p>
    <w:p w14:paraId="16EB145A" w14:textId="77777777" w:rsidR="00516F41" w:rsidRDefault="00516F41" w:rsidP="00054747">
      <w:pPr>
        <w:pStyle w:val="Caption"/>
        <w:ind w:left="0" w:firstLine="0"/>
        <w:jc w:val="both"/>
      </w:pPr>
    </w:p>
    <w:p w14:paraId="394D0438" w14:textId="77777777" w:rsidR="0077136E" w:rsidRDefault="0077136E" w:rsidP="003372E1">
      <w:pPr>
        <w:pStyle w:val="Tables"/>
      </w:pPr>
      <w:bookmarkStart w:id="165" w:name="_Toc21516049"/>
      <w:bookmarkStart w:id="166" w:name="_Toc127439206"/>
    </w:p>
    <w:p w14:paraId="4240A824" w14:textId="3D3E98E3" w:rsidR="00054747" w:rsidRDefault="00054747" w:rsidP="003372E1">
      <w:pPr>
        <w:pStyle w:val="Tables"/>
      </w:pPr>
      <w:r>
        <w:lastRenderedPageBreak/>
        <w:t xml:space="preserve">Table A. </w:t>
      </w:r>
      <w:fldSimple w:instr=" SEQ Table_A. \* ARABIC ">
        <w:r w:rsidR="00E153CE">
          <w:rPr>
            <w:noProof/>
          </w:rPr>
          <w:t>3</w:t>
        </w:r>
      </w:fldSimple>
      <w:r>
        <w:t xml:space="preserve"> </w:t>
      </w:r>
      <w:r w:rsidR="00FD7EC1">
        <w:t>Master</w:t>
      </w:r>
      <w:r w:rsidR="0077136E">
        <w:t xml:space="preserve"> </w:t>
      </w:r>
      <w:r w:rsidR="004E007A">
        <w:t xml:space="preserve">Email Recruitment Log </w:t>
      </w:r>
      <w:r w:rsidR="00516F41">
        <w:t xml:space="preserve">AUREO </w:t>
      </w:r>
      <w:r>
        <w:t xml:space="preserve">Listserv </w:t>
      </w:r>
      <w:bookmarkEnd w:id="165"/>
      <w:bookmarkEnd w:id="166"/>
    </w:p>
    <w:p w14:paraId="457F468B" w14:textId="77777777" w:rsidR="00516F41" w:rsidRPr="00516F41" w:rsidRDefault="00516F41" w:rsidP="0077136E">
      <w:pPr>
        <w:ind w:left="0" w:firstLine="0"/>
        <w:jc w:val="center"/>
      </w:pPr>
      <w:r>
        <w:rPr>
          <w:noProof/>
        </w:rPr>
        <w:drawing>
          <wp:inline distT="0" distB="0" distL="0" distR="0" wp14:anchorId="0F857900" wp14:editId="083E6F71">
            <wp:extent cx="5337415" cy="3460073"/>
            <wp:effectExtent l="0" t="0" r="0" b="762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8">
                      <a:extLst>
                        <a:ext uri="{28A0092B-C50C-407E-A947-70E740481C1C}">
                          <a14:useLocalDpi xmlns:a14="http://schemas.microsoft.com/office/drawing/2010/main" val="0"/>
                        </a:ext>
                      </a:extLst>
                    </a:blip>
                    <a:srcRect l="-535" t="1857" b="12302"/>
                    <a:stretch/>
                  </pic:blipFill>
                  <pic:spPr bwMode="auto">
                    <a:xfrm>
                      <a:off x="0" y="0"/>
                      <a:ext cx="5355551" cy="3471830"/>
                    </a:xfrm>
                    <a:prstGeom prst="rect">
                      <a:avLst/>
                    </a:prstGeom>
                    <a:noFill/>
                    <a:ln>
                      <a:noFill/>
                    </a:ln>
                    <a:extLst>
                      <a:ext uri="{53640926-AAD7-44D8-BBD7-CCE9431645EC}">
                        <a14:shadowObscured xmlns:a14="http://schemas.microsoft.com/office/drawing/2010/main"/>
                      </a:ext>
                    </a:extLst>
                  </pic:spPr>
                </pic:pic>
              </a:graphicData>
            </a:graphic>
          </wp:inline>
        </w:drawing>
      </w:r>
    </w:p>
    <w:p w14:paraId="63D56A5B" w14:textId="69FED25D" w:rsidR="002D2F9A" w:rsidRDefault="002D2F9A" w:rsidP="002D2F9A">
      <w:pPr>
        <w:pStyle w:val="Caption"/>
        <w:ind w:left="0" w:firstLine="0"/>
        <w:jc w:val="both"/>
      </w:pPr>
    </w:p>
    <w:p w14:paraId="0D5E1B86" w14:textId="6FD91A5D" w:rsidR="002D2F9A" w:rsidRPr="00DC23E6" w:rsidRDefault="002D2F9A" w:rsidP="002D2F9A"/>
    <w:p w14:paraId="6E529DD2" w14:textId="77777777" w:rsidR="002D2F9A" w:rsidRDefault="002D2F9A" w:rsidP="002D2F9A">
      <w:pPr>
        <w:pStyle w:val="Caption"/>
        <w:ind w:left="0" w:firstLine="0"/>
        <w:jc w:val="both"/>
      </w:pPr>
    </w:p>
    <w:p w14:paraId="727D7FB1" w14:textId="77777777" w:rsidR="002D2F9A" w:rsidRDefault="002D2F9A" w:rsidP="002D2F9A">
      <w:pPr>
        <w:pStyle w:val="Caption"/>
        <w:ind w:left="0" w:firstLine="0"/>
        <w:jc w:val="both"/>
      </w:pPr>
    </w:p>
    <w:p w14:paraId="539893A0" w14:textId="77777777" w:rsidR="002D2F9A" w:rsidRDefault="002D2F9A" w:rsidP="002D2F9A">
      <w:pPr>
        <w:pStyle w:val="Caption"/>
        <w:ind w:left="0" w:firstLine="0"/>
        <w:jc w:val="both"/>
      </w:pPr>
    </w:p>
    <w:p w14:paraId="1F643160" w14:textId="77777777" w:rsidR="002D2F9A" w:rsidRDefault="002D2F9A" w:rsidP="002D2F9A">
      <w:pPr>
        <w:pStyle w:val="Caption"/>
        <w:ind w:left="0" w:firstLine="0"/>
        <w:jc w:val="both"/>
      </w:pPr>
    </w:p>
    <w:p w14:paraId="61C6F7F4" w14:textId="77777777" w:rsidR="002D2F9A" w:rsidRDefault="002D2F9A" w:rsidP="002D2F9A">
      <w:pPr>
        <w:pStyle w:val="Caption"/>
        <w:ind w:left="0" w:firstLine="0"/>
        <w:jc w:val="both"/>
      </w:pPr>
    </w:p>
    <w:p w14:paraId="292341CE" w14:textId="77777777" w:rsidR="002D2F9A" w:rsidRDefault="002D2F9A" w:rsidP="002D2F9A">
      <w:pPr>
        <w:pStyle w:val="Caption"/>
        <w:ind w:left="0" w:firstLine="0"/>
        <w:jc w:val="both"/>
      </w:pPr>
    </w:p>
    <w:p w14:paraId="3713A8EF" w14:textId="77777777" w:rsidR="00950190" w:rsidRDefault="00950190" w:rsidP="00906D55">
      <w:pPr>
        <w:ind w:left="0" w:firstLine="0"/>
        <w:rPr>
          <w:rFonts w:eastAsiaTheme="majorEastAsia" w:cstheme="majorBidi"/>
          <w:sz w:val="28"/>
          <w:szCs w:val="32"/>
        </w:rPr>
      </w:pPr>
      <w:r>
        <w:br w:type="page"/>
      </w:r>
    </w:p>
    <w:p w14:paraId="0844A52E" w14:textId="7C7A5C55" w:rsidR="006900CC" w:rsidRDefault="00B21674" w:rsidP="00F11372">
      <w:pPr>
        <w:pStyle w:val="Heading1"/>
      </w:pPr>
      <w:bookmarkStart w:id="167" w:name="_Toc126651403"/>
      <w:bookmarkStart w:id="168" w:name="_Toc134346759"/>
      <w:bookmarkStart w:id="169" w:name="_Hlk127273477"/>
      <w:r w:rsidRPr="00B21674">
        <w:lastRenderedPageBreak/>
        <w:t xml:space="preserve">Appendix </w:t>
      </w:r>
      <w:r w:rsidR="00934ECA">
        <w:t>B</w:t>
      </w:r>
      <w:r w:rsidRPr="00B21674">
        <w:t xml:space="preserve">: </w:t>
      </w:r>
      <w:r w:rsidR="00EC5D61">
        <w:t xml:space="preserve">Case Study </w:t>
      </w:r>
      <w:r>
        <w:t>Transaction</w:t>
      </w:r>
      <w:r w:rsidR="003F1ED9">
        <w:t>s</w:t>
      </w:r>
      <w:r>
        <w:t>/Acquisition</w:t>
      </w:r>
      <w:r w:rsidR="003F1ED9">
        <w:t>s</w:t>
      </w:r>
      <w:r>
        <w:t xml:space="preserve"> </w:t>
      </w:r>
      <w:r w:rsidR="00B37BF2">
        <w:t>Records</w:t>
      </w:r>
      <w:bookmarkEnd w:id="167"/>
      <w:bookmarkEnd w:id="168"/>
    </w:p>
    <w:p w14:paraId="4C818CB5" w14:textId="57957270" w:rsidR="003E07FD" w:rsidRPr="003E07FD" w:rsidRDefault="003E07FD" w:rsidP="003372E1">
      <w:pPr>
        <w:pStyle w:val="Tables"/>
      </w:pPr>
      <w:bookmarkStart w:id="170" w:name="_Toc126743079"/>
      <w:bookmarkStart w:id="171" w:name="_Toc127439207"/>
      <w:bookmarkEnd w:id="169"/>
      <w:r>
        <w:t xml:space="preserve">Table B. </w:t>
      </w:r>
      <w:fldSimple w:instr=" SEQ Table_B. \* ARABIC ">
        <w:r w:rsidR="00E153CE">
          <w:rPr>
            <w:noProof/>
          </w:rPr>
          <w:t>1</w:t>
        </w:r>
      </w:fldSimple>
      <w:r w:rsidR="0062330B">
        <w:t xml:space="preserve"> </w:t>
      </w:r>
      <w:bookmarkStart w:id="172" w:name="_Hlk21509596"/>
      <w:r w:rsidR="0062330B">
        <w:t>Transaction</w:t>
      </w:r>
      <w:r w:rsidR="00EE1ECA">
        <w:t>s</w:t>
      </w:r>
      <w:r w:rsidR="0062330B">
        <w:t>/Acquisition</w:t>
      </w:r>
      <w:bookmarkEnd w:id="172"/>
      <w:r w:rsidR="00EE1ECA">
        <w:t>s</w:t>
      </w:r>
      <w:r w:rsidR="00576A83">
        <w:t xml:space="preserve"> Data</w:t>
      </w:r>
      <w:r w:rsidR="00EE1ECA">
        <w:t xml:space="preserve">: </w:t>
      </w:r>
      <w:r>
        <w:t>Columbia, Maryland</w:t>
      </w:r>
      <w:bookmarkEnd w:id="170"/>
      <w:bookmarkEnd w:id="171"/>
    </w:p>
    <w:p w14:paraId="20FFE209" w14:textId="77777777" w:rsidR="003E07FD" w:rsidRDefault="003E07FD" w:rsidP="00653167">
      <w:pPr>
        <w:ind w:left="0" w:firstLine="0"/>
        <w:jc w:val="center"/>
      </w:pPr>
      <w:r>
        <w:rPr>
          <w:noProof/>
        </w:rPr>
        <w:drawing>
          <wp:inline distT="0" distB="0" distL="0" distR="0" wp14:anchorId="500B6670" wp14:editId="6E268813">
            <wp:extent cx="4623541" cy="5660123"/>
            <wp:effectExtent l="0" t="0" r="571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9">
                      <a:extLst>
                        <a:ext uri="{28A0092B-C50C-407E-A947-70E740481C1C}">
                          <a14:useLocalDpi xmlns:a14="http://schemas.microsoft.com/office/drawing/2010/main" val="0"/>
                        </a:ext>
                      </a:extLst>
                    </a:blip>
                    <a:srcRect l="4959" t="1307" r="3293"/>
                    <a:stretch/>
                  </pic:blipFill>
                  <pic:spPr bwMode="auto">
                    <a:xfrm>
                      <a:off x="0" y="0"/>
                      <a:ext cx="4643292" cy="5684303"/>
                    </a:xfrm>
                    <a:prstGeom prst="rect">
                      <a:avLst/>
                    </a:prstGeom>
                    <a:noFill/>
                    <a:ln>
                      <a:noFill/>
                    </a:ln>
                    <a:extLst>
                      <a:ext uri="{53640926-AAD7-44D8-BBD7-CCE9431645EC}">
                        <a14:shadowObscured xmlns:a14="http://schemas.microsoft.com/office/drawing/2010/main"/>
                      </a:ext>
                    </a:extLst>
                  </pic:spPr>
                </pic:pic>
              </a:graphicData>
            </a:graphic>
          </wp:inline>
        </w:drawing>
      </w:r>
    </w:p>
    <w:p w14:paraId="138F246D" w14:textId="77777777" w:rsidR="003E07FD" w:rsidRDefault="003E07FD">
      <w:r>
        <w:br w:type="page"/>
      </w:r>
    </w:p>
    <w:p w14:paraId="75752311" w14:textId="77777777" w:rsidR="003E07FD" w:rsidRDefault="003E07FD" w:rsidP="00653167">
      <w:pPr>
        <w:ind w:left="0" w:firstLine="0"/>
        <w:jc w:val="center"/>
        <w:rPr>
          <w:noProof/>
        </w:rPr>
      </w:pPr>
      <w:r>
        <w:rPr>
          <w:noProof/>
        </w:rPr>
        <w:lastRenderedPageBreak/>
        <w:drawing>
          <wp:inline distT="0" distB="0" distL="0" distR="0" wp14:anchorId="09EAA1A9" wp14:editId="56116B5F">
            <wp:extent cx="4464155" cy="5480566"/>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9">
                      <a:extLst>
                        <a:ext uri="{28A0092B-C50C-407E-A947-70E740481C1C}">
                          <a14:useLocalDpi xmlns:a14="http://schemas.microsoft.com/office/drawing/2010/main" val="0"/>
                        </a:ext>
                      </a:extLst>
                    </a:blip>
                    <a:srcRect l="4771" t="1677" r="4086"/>
                    <a:stretch/>
                  </pic:blipFill>
                  <pic:spPr bwMode="auto">
                    <a:xfrm>
                      <a:off x="0" y="0"/>
                      <a:ext cx="4474201" cy="5492899"/>
                    </a:xfrm>
                    <a:prstGeom prst="rect">
                      <a:avLst/>
                    </a:prstGeom>
                    <a:noFill/>
                    <a:ln>
                      <a:noFill/>
                    </a:ln>
                    <a:extLst>
                      <a:ext uri="{53640926-AAD7-44D8-BBD7-CCE9431645EC}">
                        <a14:shadowObscured xmlns:a14="http://schemas.microsoft.com/office/drawing/2010/main"/>
                      </a:ext>
                    </a:extLst>
                  </pic:spPr>
                </pic:pic>
              </a:graphicData>
            </a:graphic>
          </wp:inline>
        </w:drawing>
      </w:r>
    </w:p>
    <w:p w14:paraId="29CF293B" w14:textId="77777777" w:rsidR="003E07FD" w:rsidRDefault="003E07FD" w:rsidP="003E07FD">
      <w:pPr>
        <w:ind w:left="0" w:firstLine="0"/>
        <w:jc w:val="left"/>
      </w:pPr>
    </w:p>
    <w:p w14:paraId="0B6D7F33" w14:textId="77777777" w:rsidR="003E07FD" w:rsidRDefault="003E07FD" w:rsidP="003E07FD">
      <w:r>
        <w:br w:type="page"/>
      </w:r>
    </w:p>
    <w:p w14:paraId="02B574F0" w14:textId="77777777" w:rsidR="003E07FD" w:rsidRDefault="003E07FD" w:rsidP="00653167">
      <w:pPr>
        <w:ind w:left="0" w:firstLine="0"/>
        <w:jc w:val="center"/>
      </w:pPr>
      <w:r>
        <w:rPr>
          <w:noProof/>
        </w:rPr>
        <w:lastRenderedPageBreak/>
        <w:drawing>
          <wp:inline distT="0" distB="0" distL="0" distR="0" wp14:anchorId="0E1C6B10" wp14:editId="4F87868A">
            <wp:extent cx="4527588" cy="6043244"/>
            <wp:effectExtent l="0" t="0" r="635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0">
                      <a:extLst>
                        <a:ext uri="{28A0092B-C50C-407E-A947-70E740481C1C}">
                          <a14:useLocalDpi xmlns:a14="http://schemas.microsoft.com/office/drawing/2010/main" val="0"/>
                        </a:ext>
                      </a:extLst>
                    </a:blip>
                    <a:srcRect l="4084" t="608" r="2220"/>
                    <a:stretch/>
                  </pic:blipFill>
                  <pic:spPr bwMode="auto">
                    <a:xfrm>
                      <a:off x="0" y="0"/>
                      <a:ext cx="4548135" cy="6070669"/>
                    </a:xfrm>
                    <a:prstGeom prst="rect">
                      <a:avLst/>
                    </a:prstGeom>
                    <a:noFill/>
                    <a:ln>
                      <a:noFill/>
                    </a:ln>
                    <a:extLst>
                      <a:ext uri="{53640926-AAD7-44D8-BBD7-CCE9431645EC}">
                        <a14:shadowObscured xmlns:a14="http://schemas.microsoft.com/office/drawing/2010/main"/>
                      </a:ext>
                    </a:extLst>
                  </pic:spPr>
                </pic:pic>
              </a:graphicData>
            </a:graphic>
          </wp:inline>
        </w:drawing>
      </w:r>
    </w:p>
    <w:p w14:paraId="0653D184" w14:textId="77777777" w:rsidR="003E07FD" w:rsidRDefault="003E07FD">
      <w:r>
        <w:br w:type="page"/>
      </w:r>
    </w:p>
    <w:p w14:paraId="58995C84" w14:textId="77777777" w:rsidR="003E07FD" w:rsidRDefault="000E2976" w:rsidP="00653167">
      <w:pPr>
        <w:ind w:left="0" w:firstLine="0"/>
        <w:jc w:val="center"/>
      </w:pPr>
      <w:r>
        <w:rPr>
          <w:noProof/>
        </w:rPr>
        <w:lastRenderedPageBreak/>
        <w:drawing>
          <wp:inline distT="0" distB="0" distL="0" distR="0" wp14:anchorId="285D54D8" wp14:editId="12469F68">
            <wp:extent cx="4477395" cy="837332"/>
            <wp:effectExtent l="0" t="0" r="0" b="12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1">
                      <a:extLst>
                        <a:ext uri="{28A0092B-C50C-407E-A947-70E740481C1C}">
                          <a14:useLocalDpi xmlns:a14="http://schemas.microsoft.com/office/drawing/2010/main" val="0"/>
                        </a:ext>
                      </a:extLst>
                    </a:blip>
                    <a:srcRect l="3414" t="9678" r="2687" b="3216"/>
                    <a:stretch/>
                  </pic:blipFill>
                  <pic:spPr bwMode="auto">
                    <a:xfrm>
                      <a:off x="0" y="0"/>
                      <a:ext cx="4510831" cy="843585"/>
                    </a:xfrm>
                    <a:prstGeom prst="rect">
                      <a:avLst/>
                    </a:prstGeom>
                    <a:noFill/>
                    <a:ln>
                      <a:noFill/>
                    </a:ln>
                    <a:extLst>
                      <a:ext uri="{53640926-AAD7-44D8-BBD7-CCE9431645EC}">
                        <a14:shadowObscured xmlns:a14="http://schemas.microsoft.com/office/drawing/2010/main"/>
                      </a:ext>
                    </a:extLst>
                  </pic:spPr>
                </pic:pic>
              </a:graphicData>
            </a:graphic>
          </wp:inline>
        </w:drawing>
      </w:r>
    </w:p>
    <w:p w14:paraId="0E7F2131" w14:textId="5A1E540C" w:rsidR="000E2976" w:rsidRDefault="000E2976" w:rsidP="003372E1">
      <w:pPr>
        <w:pStyle w:val="Tables"/>
      </w:pPr>
      <w:bookmarkStart w:id="173" w:name="_Toc126743080"/>
      <w:bookmarkStart w:id="174" w:name="_Toc127439208"/>
      <w:r>
        <w:t xml:space="preserve">Table B. </w:t>
      </w:r>
      <w:fldSimple w:instr=" SEQ Table_B. \* ARABIC ">
        <w:r w:rsidR="00E153CE">
          <w:rPr>
            <w:noProof/>
          </w:rPr>
          <w:t>2</w:t>
        </w:r>
      </w:fldSimple>
      <w:r>
        <w:t xml:space="preserve"> </w:t>
      </w:r>
      <w:r w:rsidR="0062330B" w:rsidRPr="0062330B">
        <w:t>Transaction</w:t>
      </w:r>
      <w:r w:rsidR="00EE1ECA">
        <w:t>s</w:t>
      </w:r>
      <w:r w:rsidR="0062330B" w:rsidRPr="0062330B">
        <w:t>/Acquisition</w:t>
      </w:r>
      <w:r w:rsidR="00EE1ECA">
        <w:t>s</w:t>
      </w:r>
      <w:r w:rsidR="00576A83">
        <w:t xml:space="preserve"> Data</w:t>
      </w:r>
      <w:r w:rsidR="0062330B" w:rsidRPr="0062330B">
        <w:t xml:space="preserve">: </w:t>
      </w:r>
      <w:r>
        <w:t>Walt Disneyworld, Orlando, Florida</w:t>
      </w:r>
      <w:bookmarkEnd w:id="173"/>
      <w:bookmarkEnd w:id="174"/>
    </w:p>
    <w:p w14:paraId="3E2918E9" w14:textId="77777777" w:rsidR="000E2976" w:rsidRDefault="000E2976" w:rsidP="00653167">
      <w:pPr>
        <w:ind w:left="0" w:firstLine="0"/>
        <w:jc w:val="center"/>
      </w:pPr>
      <w:r>
        <w:rPr>
          <w:noProof/>
        </w:rPr>
        <w:drawing>
          <wp:inline distT="0" distB="0" distL="0" distR="0" wp14:anchorId="16978F9C" wp14:editId="55575517">
            <wp:extent cx="4928976" cy="5259874"/>
            <wp:effectExtent l="0" t="0" r="508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43221" cy="5275075"/>
                    </a:xfrm>
                    <a:prstGeom prst="rect">
                      <a:avLst/>
                    </a:prstGeom>
                    <a:noFill/>
                  </pic:spPr>
                </pic:pic>
              </a:graphicData>
            </a:graphic>
          </wp:inline>
        </w:drawing>
      </w:r>
    </w:p>
    <w:p w14:paraId="49AD80C1" w14:textId="77777777" w:rsidR="000E2976" w:rsidRDefault="000E2976" w:rsidP="00653167">
      <w:pPr>
        <w:jc w:val="center"/>
      </w:pPr>
      <w:r>
        <w:br w:type="page"/>
      </w:r>
      <w:r>
        <w:rPr>
          <w:noProof/>
        </w:rPr>
        <w:lastRenderedPageBreak/>
        <w:drawing>
          <wp:inline distT="0" distB="0" distL="0" distR="0" wp14:anchorId="5CE20D13" wp14:editId="3A49F8C9">
            <wp:extent cx="4733080" cy="6629989"/>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53107" cy="6658042"/>
                    </a:xfrm>
                    <a:prstGeom prst="rect">
                      <a:avLst/>
                    </a:prstGeom>
                    <a:noFill/>
                  </pic:spPr>
                </pic:pic>
              </a:graphicData>
            </a:graphic>
          </wp:inline>
        </w:drawing>
      </w:r>
      <w:r>
        <w:br w:type="page"/>
      </w:r>
    </w:p>
    <w:p w14:paraId="20314B59" w14:textId="77777777" w:rsidR="000E2976" w:rsidRDefault="000E2976" w:rsidP="00653167">
      <w:pPr>
        <w:ind w:left="0" w:firstLine="0"/>
        <w:jc w:val="center"/>
      </w:pPr>
      <w:r>
        <w:rPr>
          <w:noProof/>
        </w:rPr>
        <w:lastRenderedPageBreak/>
        <w:drawing>
          <wp:inline distT="0" distB="0" distL="0" distR="0" wp14:anchorId="08A66AE4" wp14:editId="429042A0">
            <wp:extent cx="4780344" cy="1240408"/>
            <wp:effectExtent l="0" t="0" r="127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91792" cy="1243379"/>
                    </a:xfrm>
                    <a:prstGeom prst="rect">
                      <a:avLst/>
                    </a:prstGeom>
                    <a:noFill/>
                  </pic:spPr>
                </pic:pic>
              </a:graphicData>
            </a:graphic>
          </wp:inline>
        </w:drawing>
      </w:r>
    </w:p>
    <w:p w14:paraId="1E246A01" w14:textId="1D02EE85" w:rsidR="000E2976" w:rsidRDefault="000E2976" w:rsidP="003372E1">
      <w:pPr>
        <w:pStyle w:val="Tables"/>
      </w:pPr>
      <w:bookmarkStart w:id="175" w:name="_Toc126743081"/>
      <w:bookmarkStart w:id="176" w:name="_Toc127439209"/>
      <w:r>
        <w:t xml:space="preserve">Table B. </w:t>
      </w:r>
      <w:fldSimple w:instr=" SEQ Table_B. \* ARABIC ">
        <w:r w:rsidR="00E153CE">
          <w:rPr>
            <w:noProof/>
          </w:rPr>
          <w:t>3</w:t>
        </w:r>
      </w:fldSimple>
      <w:r>
        <w:t xml:space="preserve"> </w:t>
      </w:r>
      <w:r w:rsidR="0062330B" w:rsidRPr="0062330B">
        <w:t>Transaction</w:t>
      </w:r>
      <w:r w:rsidR="00EE1ECA">
        <w:t>s</w:t>
      </w:r>
      <w:r w:rsidR="0062330B" w:rsidRPr="0062330B">
        <w:t>/Acquisition</w:t>
      </w:r>
      <w:r w:rsidR="00EE1ECA">
        <w:t>s</w:t>
      </w:r>
      <w:r w:rsidR="00576A83">
        <w:t xml:space="preserve"> Data</w:t>
      </w:r>
      <w:r w:rsidR="0062330B" w:rsidRPr="0062330B">
        <w:t xml:space="preserve">: </w:t>
      </w:r>
      <w:r>
        <w:t>World Trade Center, NYC</w:t>
      </w:r>
      <w:bookmarkEnd w:id="175"/>
      <w:bookmarkEnd w:id="176"/>
    </w:p>
    <w:p w14:paraId="76036594" w14:textId="77777777" w:rsidR="000E2976" w:rsidRDefault="000E2976" w:rsidP="005975E9">
      <w:pPr>
        <w:jc w:val="center"/>
      </w:pPr>
      <w:r>
        <w:rPr>
          <w:noProof/>
        </w:rPr>
        <w:drawing>
          <wp:inline distT="0" distB="0" distL="0" distR="0" wp14:anchorId="78E8B3CB" wp14:editId="6D14E997">
            <wp:extent cx="3392129" cy="5927298"/>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5">
                      <a:extLst>
                        <a:ext uri="{28A0092B-C50C-407E-A947-70E740481C1C}">
                          <a14:useLocalDpi xmlns:a14="http://schemas.microsoft.com/office/drawing/2010/main" val="0"/>
                        </a:ext>
                      </a:extLst>
                    </a:blip>
                    <a:srcRect l="4895" t="11196" r="10575" b="4312"/>
                    <a:stretch/>
                  </pic:blipFill>
                  <pic:spPr bwMode="auto">
                    <a:xfrm>
                      <a:off x="0" y="0"/>
                      <a:ext cx="3410481" cy="5959366"/>
                    </a:xfrm>
                    <a:prstGeom prst="rect">
                      <a:avLst/>
                    </a:prstGeom>
                    <a:noFill/>
                    <a:ln>
                      <a:noFill/>
                    </a:ln>
                    <a:extLst>
                      <a:ext uri="{53640926-AAD7-44D8-BBD7-CCE9431645EC}">
                        <a14:shadowObscured xmlns:a14="http://schemas.microsoft.com/office/drawing/2010/main"/>
                      </a:ext>
                    </a:extLst>
                  </pic:spPr>
                </pic:pic>
              </a:graphicData>
            </a:graphic>
          </wp:inline>
        </w:drawing>
      </w:r>
    </w:p>
    <w:p w14:paraId="04ADF9A9" w14:textId="77777777" w:rsidR="00B632B9" w:rsidRDefault="000E2976" w:rsidP="00653167">
      <w:pPr>
        <w:spacing w:after="160"/>
        <w:ind w:left="0" w:firstLine="0"/>
        <w:jc w:val="center"/>
      </w:pPr>
      <w:r>
        <w:rPr>
          <w:noProof/>
        </w:rPr>
        <w:lastRenderedPageBreak/>
        <w:drawing>
          <wp:inline distT="0" distB="0" distL="0" distR="0" wp14:anchorId="0C43776D" wp14:editId="56524A8D">
            <wp:extent cx="3261360" cy="744982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61360" cy="7449820"/>
                    </a:xfrm>
                    <a:prstGeom prst="rect">
                      <a:avLst/>
                    </a:prstGeom>
                    <a:noFill/>
                  </pic:spPr>
                </pic:pic>
              </a:graphicData>
            </a:graphic>
          </wp:inline>
        </w:drawing>
      </w:r>
      <w:r>
        <w:br w:type="page"/>
      </w:r>
    </w:p>
    <w:p w14:paraId="5D5B9977" w14:textId="504FDEC6" w:rsidR="00B632B9" w:rsidRPr="00865F9D" w:rsidRDefault="00B632B9" w:rsidP="00F11372">
      <w:pPr>
        <w:pStyle w:val="Heading1"/>
      </w:pPr>
      <w:bookmarkStart w:id="177" w:name="_Toc134346760"/>
      <w:r w:rsidRPr="00865F9D">
        <w:lastRenderedPageBreak/>
        <w:t xml:space="preserve">Appendix C: </w:t>
      </w:r>
      <w:r w:rsidR="005B3E4C" w:rsidRPr="00865F9D">
        <w:t>3D Synthesis Matrix Analysis of</w:t>
      </w:r>
      <w:r w:rsidR="00AD0A0E" w:rsidRPr="00865F9D">
        <w:t xml:space="preserve"> </w:t>
      </w:r>
      <w:r w:rsidR="00626243">
        <w:t>Coursework Readings</w:t>
      </w:r>
      <w:bookmarkEnd w:id="177"/>
      <w:r w:rsidR="00174CB4" w:rsidRPr="00865F9D">
        <w:t xml:space="preserve"> </w:t>
      </w:r>
    </w:p>
    <w:p w14:paraId="76A8F517" w14:textId="5F93B77D" w:rsidR="00094E9B" w:rsidRDefault="00B632B9" w:rsidP="00B632B9">
      <w:pPr>
        <w:spacing w:after="160"/>
        <w:ind w:left="0" w:firstLine="0"/>
        <w:jc w:val="left"/>
        <w:rPr>
          <w:rFonts w:cs="Times New Roman"/>
          <w:szCs w:val="24"/>
        </w:rPr>
      </w:pPr>
      <w:r w:rsidRPr="001642FE">
        <w:rPr>
          <w:rFonts w:cs="Times New Roman"/>
          <w:szCs w:val="24"/>
        </w:rPr>
        <w:t xml:space="preserve">All </w:t>
      </w:r>
      <w:r w:rsidR="009E7F2F">
        <w:rPr>
          <w:rFonts w:cs="Times New Roman"/>
          <w:szCs w:val="24"/>
        </w:rPr>
        <w:t xml:space="preserve">academic </w:t>
      </w:r>
      <w:r w:rsidRPr="001642FE">
        <w:rPr>
          <w:rFonts w:cs="Times New Roman"/>
          <w:szCs w:val="24"/>
        </w:rPr>
        <w:t>citations</w:t>
      </w:r>
      <w:r w:rsidR="00627468">
        <w:rPr>
          <w:rFonts w:cs="Times New Roman"/>
          <w:szCs w:val="24"/>
        </w:rPr>
        <w:t xml:space="preserve"> for this study</w:t>
      </w:r>
      <w:r w:rsidRPr="001642FE">
        <w:rPr>
          <w:rFonts w:cs="Times New Roman"/>
          <w:szCs w:val="24"/>
        </w:rPr>
        <w:t xml:space="preserve"> were originally sourced from assigned readings in required PhD coursework from two formal disciplines: Urban Planning and Economics. </w:t>
      </w:r>
      <w:r w:rsidR="00125038">
        <w:rPr>
          <w:rFonts w:cs="Times New Roman"/>
          <w:szCs w:val="24"/>
        </w:rPr>
        <w:t>These</w:t>
      </w:r>
      <w:r w:rsidRPr="001642FE">
        <w:rPr>
          <w:rFonts w:cs="Times New Roman"/>
          <w:szCs w:val="24"/>
        </w:rPr>
        <w:t xml:space="preserve"> also include citations from graduate-level Directed Readings courses specifically targeting the general research topic of land assembly/holdouts/ eminent domain. The complete list of citations was first indexed in the order they appeared in their respective course syllabi, or in the Directed Readings schedule. Each group of citations was then compiled as a single bibliography by course, content area, and academic discipline. Each formal citation was then modified according to (1) index number, (2) date of publication (3) author(s), (4) title, and (5) content area. These data were then entered into a spreadsheet for analysis as a simple synthesis matrix. The master dataset of citations was first sorted by date of publication, then content area. These citation blocks were then grouped by successive decades</w:t>
      </w:r>
      <w:bookmarkStart w:id="178" w:name="_Hlk524417634"/>
      <w:r w:rsidR="00627468">
        <w:rPr>
          <w:rFonts w:cs="Times New Roman"/>
          <w:szCs w:val="24"/>
        </w:rPr>
        <w:t>:</w:t>
      </w:r>
    </w:p>
    <w:p w14:paraId="39833DB4" w14:textId="39C34F9E" w:rsidR="00670A39" w:rsidRDefault="00670A39" w:rsidP="00653167">
      <w:pPr>
        <w:pStyle w:val="Caption"/>
      </w:pPr>
      <w:r w:rsidRPr="001642FE">
        <w:rPr>
          <w:rFonts w:cs="Times New Roman"/>
          <w:noProof/>
        </w:rPr>
        <w:drawing>
          <wp:inline distT="0" distB="0" distL="0" distR="0" wp14:anchorId="71C50BA9" wp14:editId="34E7C026">
            <wp:extent cx="4213185" cy="131856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269266" cy="1336116"/>
                    </a:xfrm>
                    <a:prstGeom prst="rect">
                      <a:avLst/>
                    </a:prstGeom>
                    <a:noFill/>
                    <a:ln>
                      <a:noFill/>
                    </a:ln>
                  </pic:spPr>
                </pic:pic>
              </a:graphicData>
            </a:graphic>
          </wp:inline>
        </w:drawing>
      </w:r>
    </w:p>
    <w:p w14:paraId="0115AFAA" w14:textId="7C1186FF" w:rsidR="005D3295" w:rsidRDefault="00670A39" w:rsidP="002E53DE">
      <w:pPr>
        <w:pStyle w:val="Tables"/>
        <w:jc w:val="center"/>
      </w:pPr>
      <w:bookmarkStart w:id="179" w:name="_Toc21426538"/>
      <w:bookmarkStart w:id="180" w:name="_Toc127439210"/>
      <w:r w:rsidRPr="00AA05D4">
        <w:t xml:space="preserve">Table </w:t>
      </w:r>
      <w:r w:rsidR="00AA05D4" w:rsidRPr="00AA05D4">
        <w:t>C</w:t>
      </w:r>
      <w:r w:rsidRPr="00AA05D4">
        <w:t xml:space="preserve">. </w:t>
      </w:r>
      <w:fldSimple w:instr=" SEQ Table_2. \* ARABIC ">
        <w:r w:rsidR="00E153CE">
          <w:rPr>
            <w:noProof/>
          </w:rPr>
          <w:t>1</w:t>
        </w:r>
      </w:fldSimple>
      <w:r w:rsidRPr="00AA05D4">
        <w:t xml:space="preserve"> Chronological Distribution Table of Relevant Literature (1945-present)</w:t>
      </w:r>
      <w:bookmarkEnd w:id="179"/>
      <w:bookmarkEnd w:id="180"/>
    </w:p>
    <w:p w14:paraId="456181CD" w14:textId="77777777" w:rsidR="002E53DE" w:rsidRPr="002E53DE" w:rsidRDefault="002E53DE" w:rsidP="002E53DE">
      <w:pPr>
        <w:pStyle w:val="Tables"/>
        <w:jc w:val="center"/>
      </w:pPr>
    </w:p>
    <w:p w14:paraId="4402DCB3" w14:textId="4EBB7190" w:rsidR="005D3295" w:rsidRPr="001642FE" w:rsidRDefault="005D3295" w:rsidP="005D3295">
      <w:pPr>
        <w:spacing w:after="160"/>
        <w:ind w:left="0" w:firstLine="0"/>
        <w:jc w:val="left"/>
        <w:rPr>
          <w:rFonts w:cs="Times New Roman"/>
          <w:szCs w:val="24"/>
        </w:rPr>
      </w:pPr>
      <w:r>
        <w:rPr>
          <w:rFonts w:cs="Times New Roman"/>
          <w:szCs w:val="24"/>
        </w:rPr>
        <w:t>B</w:t>
      </w:r>
      <w:r w:rsidRPr="001642FE">
        <w:rPr>
          <w:rFonts w:cs="Times New Roman"/>
          <w:szCs w:val="24"/>
        </w:rPr>
        <w:t xml:space="preserve">y overlaying well-established milestones from Urban Planning and Public/Urban Economics onto this matrix, a thematic timeline is established by which to evaluate how each content area address (either directly or indirectly) the general topic of land </w:t>
      </w:r>
      <w:r w:rsidRPr="001642FE">
        <w:rPr>
          <w:rFonts w:cs="Times New Roman"/>
          <w:szCs w:val="24"/>
        </w:rPr>
        <w:lastRenderedPageBreak/>
        <w:t xml:space="preserve">assembly/ holdouts/ eminent domain through nine successive decades. </w:t>
      </w:r>
      <w:r w:rsidR="00626B91" w:rsidRPr="00626B91">
        <w:rPr>
          <w:rFonts w:cs="Times New Roman"/>
          <w:szCs w:val="24"/>
        </w:rPr>
        <w:t>A cursory analysis of Graph 1 shows that this body of literature includes 151 citations from two academic disciplines, covering nine formal content areas and spanning nine successive decades. In fact, this bibliography includes citations dating back to Fredrich Engels (1845) and Camillo Sitte (1889). Moreover, it includes publications by Childe (1965), Davis (1950), Kitto (1951) and Bass-Warner (2015) who collectively examine the earliest stages of urbanization circa 4000 BCE through the full evolution of Urban Industrialism in 1945. Thus, this synthesis matrix maps the full range and scope of all relevant publications pertinent for addressing the general topic of land assembly/holdouts/eminent domain.</w:t>
      </w:r>
    </w:p>
    <w:p w14:paraId="6799BF0E" w14:textId="77777777" w:rsidR="005D3295" w:rsidRPr="005D3295" w:rsidRDefault="005D3295" w:rsidP="005D3295"/>
    <w:p w14:paraId="1617D417" w14:textId="77777777" w:rsidR="00C62F99" w:rsidRPr="001642FE" w:rsidRDefault="00C62F99" w:rsidP="00653167">
      <w:pPr>
        <w:spacing w:after="160"/>
        <w:ind w:left="0" w:firstLine="0"/>
        <w:jc w:val="center"/>
        <w:rPr>
          <w:rFonts w:cs="Times New Roman"/>
          <w:szCs w:val="24"/>
        </w:rPr>
      </w:pPr>
      <w:r w:rsidRPr="001642FE">
        <w:rPr>
          <w:rFonts w:cs="Times New Roman"/>
          <w:noProof/>
          <w:szCs w:val="24"/>
        </w:rPr>
        <w:drawing>
          <wp:inline distT="0" distB="0" distL="0" distR="0" wp14:anchorId="70BC0DD1" wp14:editId="480F8A08">
            <wp:extent cx="4525701" cy="1744151"/>
            <wp:effectExtent l="0" t="0" r="8255"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555902" cy="1755790"/>
                    </a:xfrm>
                    <a:prstGeom prst="rect">
                      <a:avLst/>
                    </a:prstGeom>
                    <a:noFill/>
                    <a:ln>
                      <a:noFill/>
                    </a:ln>
                  </pic:spPr>
                </pic:pic>
              </a:graphicData>
            </a:graphic>
          </wp:inline>
        </w:drawing>
      </w:r>
    </w:p>
    <w:p w14:paraId="2B302304" w14:textId="442AA47B" w:rsidR="00C62F99" w:rsidRPr="003372E1" w:rsidRDefault="00C62F99" w:rsidP="00653167">
      <w:pPr>
        <w:pStyle w:val="Tables"/>
        <w:jc w:val="center"/>
      </w:pPr>
      <w:bookmarkStart w:id="181" w:name="_Toc21426539"/>
      <w:bookmarkStart w:id="182" w:name="_Toc127439211"/>
      <w:r w:rsidRPr="003372E1">
        <w:t xml:space="preserve">Table </w:t>
      </w:r>
      <w:r w:rsidR="00AA05D4" w:rsidRPr="003372E1">
        <w:t>C</w:t>
      </w:r>
      <w:r w:rsidRPr="003372E1">
        <w:t xml:space="preserve">. </w:t>
      </w:r>
      <w:fldSimple w:instr=" SEQ Table_2. \* ARABIC ">
        <w:r w:rsidR="00E153CE">
          <w:rPr>
            <w:noProof/>
          </w:rPr>
          <w:t>2</w:t>
        </w:r>
      </w:fldSimple>
      <w:r w:rsidRPr="003372E1">
        <w:t xml:space="preserve"> Chronological Table of Relevant Literature by Content Area and Decade</w:t>
      </w:r>
      <w:bookmarkEnd w:id="181"/>
      <w:bookmarkEnd w:id="182"/>
    </w:p>
    <w:p w14:paraId="2B1075D2" w14:textId="77777777" w:rsidR="005233BF" w:rsidRDefault="005233BF" w:rsidP="00B632B9">
      <w:pPr>
        <w:spacing w:after="160"/>
        <w:ind w:left="0" w:firstLine="0"/>
        <w:jc w:val="left"/>
        <w:rPr>
          <w:rFonts w:cs="Times New Roman"/>
          <w:szCs w:val="24"/>
        </w:rPr>
      </w:pPr>
    </w:p>
    <w:p w14:paraId="50062643" w14:textId="77777777" w:rsidR="005233BF" w:rsidRDefault="005233BF" w:rsidP="00B632B9">
      <w:pPr>
        <w:spacing w:after="160"/>
        <w:ind w:left="0" w:firstLine="0"/>
        <w:jc w:val="left"/>
        <w:rPr>
          <w:rFonts w:cs="Times New Roman"/>
          <w:szCs w:val="24"/>
        </w:rPr>
      </w:pPr>
    </w:p>
    <w:p w14:paraId="259288EB" w14:textId="13A336C3" w:rsidR="00B632B9" w:rsidRDefault="00B632B9" w:rsidP="00B632B9">
      <w:pPr>
        <w:spacing w:after="160"/>
        <w:ind w:left="0" w:firstLine="0"/>
        <w:jc w:val="left"/>
        <w:rPr>
          <w:rFonts w:cs="Times New Roman"/>
          <w:szCs w:val="24"/>
        </w:rPr>
      </w:pPr>
      <w:r w:rsidRPr="001642FE">
        <w:rPr>
          <w:rFonts w:cs="Times New Roman"/>
          <w:szCs w:val="24"/>
        </w:rPr>
        <w:lastRenderedPageBreak/>
        <w:t xml:space="preserve">The following graph </w:t>
      </w:r>
      <w:r w:rsidR="009D2E91">
        <w:rPr>
          <w:rFonts w:cs="Times New Roman"/>
          <w:szCs w:val="24"/>
        </w:rPr>
        <w:t>is a 3D-Synthesis Matrix</w:t>
      </w:r>
      <w:r w:rsidR="0066504F">
        <w:rPr>
          <w:rFonts w:cs="Times New Roman"/>
          <w:szCs w:val="24"/>
        </w:rPr>
        <w:t xml:space="preserve"> </w:t>
      </w:r>
      <w:r w:rsidRPr="001642FE">
        <w:rPr>
          <w:rFonts w:cs="Times New Roman"/>
          <w:szCs w:val="24"/>
        </w:rPr>
        <w:t>show</w:t>
      </w:r>
      <w:r w:rsidR="0066504F">
        <w:rPr>
          <w:rFonts w:cs="Times New Roman"/>
          <w:szCs w:val="24"/>
        </w:rPr>
        <w:t>ing</w:t>
      </w:r>
      <w:r w:rsidRPr="001642FE">
        <w:rPr>
          <w:rFonts w:cs="Times New Roman"/>
          <w:szCs w:val="24"/>
        </w:rPr>
        <w:t xml:space="preserve"> the distribution of total citations </w:t>
      </w:r>
      <w:r w:rsidR="00680CBD">
        <w:rPr>
          <w:rFonts w:cs="Times New Roman"/>
          <w:szCs w:val="24"/>
        </w:rPr>
        <w:t>from the Coursework Readings</w:t>
      </w:r>
      <w:r w:rsidR="00801A54">
        <w:rPr>
          <w:rFonts w:cs="Times New Roman"/>
          <w:szCs w:val="24"/>
        </w:rPr>
        <w:t xml:space="preserve">, i.e., arranged </w:t>
      </w:r>
      <w:r w:rsidR="00801A54" w:rsidRPr="001642FE">
        <w:rPr>
          <w:rFonts w:cs="Times New Roman"/>
          <w:szCs w:val="24"/>
        </w:rPr>
        <w:t xml:space="preserve">per </w:t>
      </w:r>
      <w:r w:rsidR="00801A54">
        <w:rPr>
          <w:rFonts w:cs="Times New Roman"/>
          <w:szCs w:val="24"/>
        </w:rPr>
        <w:t xml:space="preserve">academic </w:t>
      </w:r>
      <w:r w:rsidR="00801A54" w:rsidRPr="001642FE">
        <w:rPr>
          <w:rFonts w:cs="Times New Roman"/>
          <w:szCs w:val="24"/>
        </w:rPr>
        <w:t>discipline, per content area, and per</w:t>
      </w:r>
      <w:r w:rsidR="005233BF" w:rsidRPr="005233BF">
        <w:rPr>
          <w:rFonts w:cs="Times New Roman"/>
          <w:szCs w:val="24"/>
        </w:rPr>
        <w:t xml:space="preserve"> </w:t>
      </w:r>
      <w:r w:rsidR="005233BF" w:rsidRPr="001642FE">
        <w:rPr>
          <w:rFonts w:cs="Times New Roman"/>
          <w:szCs w:val="24"/>
        </w:rPr>
        <w:t>decade</w:t>
      </w:r>
      <w:r w:rsidR="005233BF">
        <w:rPr>
          <w:rFonts w:cs="Times New Roman"/>
          <w:szCs w:val="24"/>
        </w:rPr>
        <w:t>.</w:t>
      </w:r>
    </w:p>
    <w:p w14:paraId="0F8BF4FF" w14:textId="66C049A3" w:rsidR="00094E9B" w:rsidRPr="001642FE" w:rsidRDefault="00094E9B" w:rsidP="00653167">
      <w:pPr>
        <w:spacing w:after="160"/>
        <w:ind w:left="0" w:firstLine="0"/>
        <w:jc w:val="center"/>
        <w:rPr>
          <w:rFonts w:cs="Times New Roman"/>
          <w:szCs w:val="24"/>
        </w:rPr>
      </w:pPr>
      <w:r>
        <w:rPr>
          <w:rFonts w:cs="Times New Roman"/>
          <w:noProof/>
          <w:szCs w:val="24"/>
        </w:rPr>
        <w:drawing>
          <wp:inline distT="0" distB="0" distL="0" distR="0" wp14:anchorId="5ECF4EBD" wp14:editId="3849C897">
            <wp:extent cx="4965539" cy="3394279"/>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12938" cy="3426679"/>
                    </a:xfrm>
                    <a:prstGeom prst="rect">
                      <a:avLst/>
                    </a:prstGeom>
                    <a:noFill/>
                  </pic:spPr>
                </pic:pic>
              </a:graphicData>
            </a:graphic>
          </wp:inline>
        </w:drawing>
      </w:r>
    </w:p>
    <w:p w14:paraId="074E319D" w14:textId="2593AD57" w:rsidR="00036DE7" w:rsidRDefault="00036DE7" w:rsidP="00440259">
      <w:pPr>
        <w:pStyle w:val="Figures"/>
      </w:pPr>
      <w:bookmarkStart w:id="183" w:name="_Toc127439146"/>
      <w:bookmarkEnd w:id="178"/>
      <w:r w:rsidRPr="00440259">
        <w:t xml:space="preserve">Figure </w:t>
      </w:r>
      <w:r w:rsidR="00095989" w:rsidRPr="00440259">
        <w:t>A3</w:t>
      </w:r>
      <w:r w:rsidRPr="00440259">
        <w:t xml:space="preserve">.1 </w:t>
      </w:r>
      <w:r w:rsidR="00095989" w:rsidRPr="00440259">
        <w:t xml:space="preserve">Literature Review  </w:t>
      </w:r>
      <w:r w:rsidR="00440259" w:rsidRPr="00440259">
        <w:t xml:space="preserve"> </w:t>
      </w:r>
      <w:r w:rsidR="00095989" w:rsidRPr="00440259">
        <w:t>3D Synthesis Matrix</w:t>
      </w:r>
      <w:bookmarkEnd w:id="183"/>
      <w:r w:rsidR="00200214" w:rsidRPr="00440259">
        <w:t xml:space="preserve"> </w:t>
      </w:r>
    </w:p>
    <w:p w14:paraId="033FCCCA" w14:textId="77777777" w:rsidR="00642A6F" w:rsidRPr="00440259" w:rsidRDefault="00642A6F" w:rsidP="00440259">
      <w:pPr>
        <w:pStyle w:val="Figures"/>
      </w:pPr>
    </w:p>
    <w:p w14:paraId="7B5CC7F6" w14:textId="019B5ADE" w:rsidR="000E2976" w:rsidRDefault="000E2976" w:rsidP="000E2976"/>
    <w:sectPr w:rsidR="000E2976" w:rsidSect="004D790E">
      <w:footerReference w:type="default" r:id="rId60"/>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381C3" w14:textId="77777777" w:rsidR="00AA212B" w:rsidRDefault="00AA212B" w:rsidP="00702123">
      <w:pPr>
        <w:spacing w:after="0" w:line="240" w:lineRule="auto"/>
      </w:pPr>
      <w:r>
        <w:separator/>
      </w:r>
    </w:p>
  </w:endnote>
  <w:endnote w:type="continuationSeparator" w:id="0">
    <w:p w14:paraId="34D44C2C" w14:textId="77777777" w:rsidR="00AA212B" w:rsidRDefault="00AA212B" w:rsidP="00702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7067076"/>
      <w:docPartObj>
        <w:docPartGallery w:val="Page Numbers (Bottom of Page)"/>
        <w:docPartUnique/>
      </w:docPartObj>
    </w:sdtPr>
    <w:sdtEndPr>
      <w:rPr>
        <w:rFonts w:ascii="Times New Roman" w:hAnsi="Times New Roman" w:cs="Times New Roman"/>
        <w:noProof/>
        <w:sz w:val="24"/>
        <w:szCs w:val="24"/>
      </w:rPr>
    </w:sdtEndPr>
    <w:sdtContent>
      <w:p w14:paraId="65CB04BE" w14:textId="72E93FAB" w:rsidR="00EF3C38" w:rsidRPr="00E701B1" w:rsidRDefault="00EF3C38">
        <w:pPr>
          <w:pStyle w:val="Footer"/>
          <w:jc w:val="right"/>
          <w:rPr>
            <w:rFonts w:ascii="Times New Roman" w:hAnsi="Times New Roman" w:cs="Times New Roman"/>
            <w:sz w:val="24"/>
            <w:szCs w:val="24"/>
          </w:rPr>
        </w:pPr>
        <w:r w:rsidRPr="00E701B1">
          <w:rPr>
            <w:rFonts w:ascii="Times New Roman" w:hAnsi="Times New Roman" w:cs="Times New Roman"/>
            <w:sz w:val="24"/>
            <w:szCs w:val="24"/>
          </w:rPr>
          <w:fldChar w:fldCharType="begin"/>
        </w:r>
        <w:r w:rsidRPr="00E701B1">
          <w:rPr>
            <w:rFonts w:ascii="Times New Roman" w:hAnsi="Times New Roman" w:cs="Times New Roman"/>
            <w:sz w:val="24"/>
            <w:szCs w:val="24"/>
          </w:rPr>
          <w:instrText xml:space="preserve"> PAGE   \* MERGEFORMAT </w:instrText>
        </w:r>
        <w:r w:rsidRPr="00E701B1">
          <w:rPr>
            <w:rFonts w:ascii="Times New Roman" w:hAnsi="Times New Roman" w:cs="Times New Roman"/>
            <w:sz w:val="24"/>
            <w:szCs w:val="24"/>
          </w:rPr>
          <w:fldChar w:fldCharType="separate"/>
        </w:r>
        <w:r w:rsidRPr="00E701B1">
          <w:rPr>
            <w:rFonts w:ascii="Times New Roman" w:hAnsi="Times New Roman" w:cs="Times New Roman"/>
            <w:noProof/>
            <w:sz w:val="24"/>
            <w:szCs w:val="24"/>
          </w:rPr>
          <w:t>2</w:t>
        </w:r>
        <w:r w:rsidRPr="00E701B1">
          <w:rPr>
            <w:rFonts w:ascii="Times New Roman" w:hAnsi="Times New Roman" w:cs="Times New Roman"/>
            <w:noProof/>
            <w:sz w:val="24"/>
            <w:szCs w:val="24"/>
          </w:rPr>
          <w:fldChar w:fldCharType="end"/>
        </w:r>
      </w:p>
    </w:sdtContent>
  </w:sdt>
  <w:p w14:paraId="375C28E1" w14:textId="77777777" w:rsidR="00951A56" w:rsidRDefault="00951A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325101"/>
      <w:docPartObj>
        <w:docPartGallery w:val="Page Numbers (Bottom of Page)"/>
        <w:docPartUnique/>
      </w:docPartObj>
    </w:sdtPr>
    <w:sdtEndPr>
      <w:rPr>
        <w:noProof/>
      </w:rPr>
    </w:sdtEndPr>
    <w:sdtContent>
      <w:p w14:paraId="36F3B93C" w14:textId="77777777" w:rsidR="00211F88" w:rsidRDefault="00211F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160811" w14:textId="77777777" w:rsidR="00211F88" w:rsidRDefault="00211F88">
    <w:pPr>
      <w:pStyle w:val="Footer"/>
    </w:pPr>
  </w:p>
  <w:p w14:paraId="4B4042C6" w14:textId="77777777" w:rsidR="00211F88" w:rsidRDefault="00211F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9B980" w14:textId="77777777" w:rsidR="00AA212B" w:rsidRDefault="00AA212B" w:rsidP="00702123">
      <w:pPr>
        <w:spacing w:after="0" w:line="240" w:lineRule="auto"/>
      </w:pPr>
      <w:r>
        <w:separator/>
      </w:r>
    </w:p>
  </w:footnote>
  <w:footnote w:type="continuationSeparator" w:id="0">
    <w:p w14:paraId="43A86FFD" w14:textId="77777777" w:rsidR="00AA212B" w:rsidRDefault="00AA212B" w:rsidP="007021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43B9"/>
    <w:multiLevelType w:val="hybridMultilevel"/>
    <w:tmpl w:val="85429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84203"/>
    <w:multiLevelType w:val="hybridMultilevel"/>
    <w:tmpl w:val="5F36F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9F2F0E"/>
    <w:multiLevelType w:val="hybridMultilevel"/>
    <w:tmpl w:val="F110A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D420F0"/>
    <w:multiLevelType w:val="hybridMultilevel"/>
    <w:tmpl w:val="C2B898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5A2EC0"/>
    <w:multiLevelType w:val="hybridMultilevel"/>
    <w:tmpl w:val="860289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99364F"/>
    <w:multiLevelType w:val="hybridMultilevel"/>
    <w:tmpl w:val="8BAE112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6" w15:restartNumberingAfterBreak="0">
    <w:nsid w:val="1A2E1818"/>
    <w:multiLevelType w:val="hybridMultilevel"/>
    <w:tmpl w:val="EF2AB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972306"/>
    <w:multiLevelType w:val="hybridMultilevel"/>
    <w:tmpl w:val="A76EB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2871EB"/>
    <w:multiLevelType w:val="hybridMultilevel"/>
    <w:tmpl w:val="0770A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973CE2"/>
    <w:multiLevelType w:val="hybridMultilevel"/>
    <w:tmpl w:val="DD56A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FF30E2"/>
    <w:multiLevelType w:val="hybridMultilevel"/>
    <w:tmpl w:val="C336609C"/>
    <w:lvl w:ilvl="0" w:tplc="976C7D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4D6D3A"/>
    <w:multiLevelType w:val="hybridMultilevel"/>
    <w:tmpl w:val="BCD4A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217B4E"/>
    <w:multiLevelType w:val="hybridMultilevel"/>
    <w:tmpl w:val="60506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450416"/>
    <w:multiLevelType w:val="hybridMultilevel"/>
    <w:tmpl w:val="D1B48DA6"/>
    <w:lvl w:ilvl="0" w:tplc="976C7D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AE1FC0"/>
    <w:multiLevelType w:val="hybridMultilevel"/>
    <w:tmpl w:val="97A89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BF7AEB"/>
    <w:multiLevelType w:val="hybridMultilevel"/>
    <w:tmpl w:val="DBD65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F33659"/>
    <w:multiLevelType w:val="hybridMultilevel"/>
    <w:tmpl w:val="6D061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CF4F96"/>
    <w:multiLevelType w:val="hybridMultilevel"/>
    <w:tmpl w:val="D1B6EB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93973E3"/>
    <w:multiLevelType w:val="hybridMultilevel"/>
    <w:tmpl w:val="1C72C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C74EF2"/>
    <w:multiLevelType w:val="hybridMultilevel"/>
    <w:tmpl w:val="D49CE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102C21"/>
    <w:multiLevelType w:val="hybridMultilevel"/>
    <w:tmpl w:val="2F9CF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E73162"/>
    <w:multiLevelType w:val="hybridMultilevel"/>
    <w:tmpl w:val="920C7B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BA4198"/>
    <w:multiLevelType w:val="hybridMultilevel"/>
    <w:tmpl w:val="4E0C8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2578A3"/>
    <w:multiLevelType w:val="hybridMultilevel"/>
    <w:tmpl w:val="E65AA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601C19"/>
    <w:multiLevelType w:val="hybridMultilevel"/>
    <w:tmpl w:val="5ED0E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CC6C29"/>
    <w:multiLevelType w:val="hybridMultilevel"/>
    <w:tmpl w:val="5510D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A30BBA"/>
    <w:multiLevelType w:val="hybridMultilevel"/>
    <w:tmpl w:val="FB023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A611FC"/>
    <w:multiLevelType w:val="hybridMultilevel"/>
    <w:tmpl w:val="671E5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B70744"/>
    <w:multiLevelType w:val="hybridMultilevel"/>
    <w:tmpl w:val="C470B6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1A1930"/>
    <w:multiLevelType w:val="hybridMultilevel"/>
    <w:tmpl w:val="1466C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DF2292"/>
    <w:multiLevelType w:val="hybridMultilevel"/>
    <w:tmpl w:val="08B2D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7327E7"/>
    <w:multiLevelType w:val="hybridMultilevel"/>
    <w:tmpl w:val="23AA8F18"/>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5013090">
    <w:abstractNumId w:val="8"/>
  </w:num>
  <w:num w:numId="2" w16cid:durableId="1530753292">
    <w:abstractNumId w:val="3"/>
  </w:num>
  <w:num w:numId="3" w16cid:durableId="338697502">
    <w:abstractNumId w:val="31"/>
  </w:num>
  <w:num w:numId="4" w16cid:durableId="1628587736">
    <w:abstractNumId w:val="2"/>
  </w:num>
  <w:num w:numId="5" w16cid:durableId="458645067">
    <w:abstractNumId w:val="0"/>
  </w:num>
  <w:num w:numId="6" w16cid:durableId="47191932">
    <w:abstractNumId w:val="22"/>
  </w:num>
  <w:num w:numId="7" w16cid:durableId="1823043268">
    <w:abstractNumId w:val="23"/>
  </w:num>
  <w:num w:numId="8" w16cid:durableId="567037849">
    <w:abstractNumId w:val="20"/>
  </w:num>
  <w:num w:numId="9" w16cid:durableId="1566840388">
    <w:abstractNumId w:val="29"/>
  </w:num>
  <w:num w:numId="10" w16cid:durableId="1888494317">
    <w:abstractNumId w:val="24"/>
  </w:num>
  <w:num w:numId="11" w16cid:durableId="836383076">
    <w:abstractNumId w:val="6"/>
  </w:num>
  <w:num w:numId="12" w16cid:durableId="311494450">
    <w:abstractNumId w:val="5"/>
  </w:num>
  <w:num w:numId="13" w16cid:durableId="796483414">
    <w:abstractNumId w:val="14"/>
  </w:num>
  <w:num w:numId="14" w16cid:durableId="652176309">
    <w:abstractNumId w:val="19"/>
  </w:num>
  <w:num w:numId="15" w16cid:durableId="1461924915">
    <w:abstractNumId w:val="18"/>
  </w:num>
  <w:num w:numId="16" w16cid:durableId="1099790584">
    <w:abstractNumId w:val="21"/>
  </w:num>
  <w:num w:numId="17" w16cid:durableId="219483160">
    <w:abstractNumId w:val="4"/>
  </w:num>
  <w:num w:numId="18" w16cid:durableId="743912263">
    <w:abstractNumId w:val="15"/>
  </w:num>
  <w:num w:numId="19" w16cid:durableId="1796173312">
    <w:abstractNumId w:val="28"/>
  </w:num>
  <w:num w:numId="20" w16cid:durableId="1295335417">
    <w:abstractNumId w:val="11"/>
  </w:num>
  <w:num w:numId="21" w16cid:durableId="2054386220">
    <w:abstractNumId w:val="7"/>
  </w:num>
  <w:num w:numId="22" w16cid:durableId="1270118618">
    <w:abstractNumId w:val="16"/>
  </w:num>
  <w:num w:numId="23" w16cid:durableId="536698105">
    <w:abstractNumId w:val="10"/>
  </w:num>
  <w:num w:numId="24" w16cid:durableId="312562168">
    <w:abstractNumId w:val="25"/>
  </w:num>
  <w:num w:numId="25" w16cid:durableId="1638879042">
    <w:abstractNumId w:val="13"/>
  </w:num>
  <w:num w:numId="26" w16cid:durableId="1709260369">
    <w:abstractNumId w:val="27"/>
  </w:num>
  <w:num w:numId="27" w16cid:durableId="1626814479">
    <w:abstractNumId w:val="1"/>
  </w:num>
  <w:num w:numId="28" w16cid:durableId="1315069338">
    <w:abstractNumId w:val="17"/>
  </w:num>
  <w:num w:numId="29" w16cid:durableId="406999583">
    <w:abstractNumId w:val="30"/>
  </w:num>
  <w:num w:numId="30" w16cid:durableId="992563689">
    <w:abstractNumId w:val="26"/>
  </w:num>
  <w:num w:numId="31" w16cid:durableId="480317806">
    <w:abstractNumId w:val="12"/>
  </w:num>
  <w:num w:numId="32" w16cid:durableId="14907135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9FE"/>
    <w:rsid w:val="000025A3"/>
    <w:rsid w:val="000025BC"/>
    <w:rsid w:val="000033CB"/>
    <w:rsid w:val="00003531"/>
    <w:rsid w:val="00003706"/>
    <w:rsid w:val="00004FBF"/>
    <w:rsid w:val="00006BF0"/>
    <w:rsid w:val="00006E2D"/>
    <w:rsid w:val="00007873"/>
    <w:rsid w:val="0001009E"/>
    <w:rsid w:val="000102AA"/>
    <w:rsid w:val="00013064"/>
    <w:rsid w:val="000134D5"/>
    <w:rsid w:val="00013A04"/>
    <w:rsid w:val="000152B3"/>
    <w:rsid w:val="00015E17"/>
    <w:rsid w:val="000165C0"/>
    <w:rsid w:val="00017263"/>
    <w:rsid w:val="00017297"/>
    <w:rsid w:val="000179BF"/>
    <w:rsid w:val="000218D2"/>
    <w:rsid w:val="00021D27"/>
    <w:rsid w:val="000239FA"/>
    <w:rsid w:val="0002422E"/>
    <w:rsid w:val="0002679D"/>
    <w:rsid w:val="00026D97"/>
    <w:rsid w:val="00027293"/>
    <w:rsid w:val="000307E3"/>
    <w:rsid w:val="0003088E"/>
    <w:rsid w:val="00030C2E"/>
    <w:rsid w:val="000329A8"/>
    <w:rsid w:val="00032AAB"/>
    <w:rsid w:val="00032CDC"/>
    <w:rsid w:val="000335DC"/>
    <w:rsid w:val="00034051"/>
    <w:rsid w:val="000345E9"/>
    <w:rsid w:val="00034DF2"/>
    <w:rsid w:val="00035B0A"/>
    <w:rsid w:val="00036BA3"/>
    <w:rsid w:val="00036DE7"/>
    <w:rsid w:val="00036F2C"/>
    <w:rsid w:val="000371B3"/>
    <w:rsid w:val="000410E7"/>
    <w:rsid w:val="000422F7"/>
    <w:rsid w:val="00042D27"/>
    <w:rsid w:val="00042D93"/>
    <w:rsid w:val="00043373"/>
    <w:rsid w:val="000438C0"/>
    <w:rsid w:val="00044163"/>
    <w:rsid w:val="000443A7"/>
    <w:rsid w:val="0004567B"/>
    <w:rsid w:val="00046747"/>
    <w:rsid w:val="00046B7F"/>
    <w:rsid w:val="000518C8"/>
    <w:rsid w:val="0005326D"/>
    <w:rsid w:val="000537B7"/>
    <w:rsid w:val="0005406C"/>
    <w:rsid w:val="00054358"/>
    <w:rsid w:val="00054747"/>
    <w:rsid w:val="00054AE4"/>
    <w:rsid w:val="00056400"/>
    <w:rsid w:val="00060FA3"/>
    <w:rsid w:val="000612C2"/>
    <w:rsid w:val="0006288E"/>
    <w:rsid w:val="00063996"/>
    <w:rsid w:val="00064047"/>
    <w:rsid w:val="0006409C"/>
    <w:rsid w:val="00064363"/>
    <w:rsid w:val="00064B20"/>
    <w:rsid w:val="00064EBD"/>
    <w:rsid w:val="00066BBD"/>
    <w:rsid w:val="00070692"/>
    <w:rsid w:val="000717C5"/>
    <w:rsid w:val="00072F4B"/>
    <w:rsid w:val="000737D2"/>
    <w:rsid w:val="000741F1"/>
    <w:rsid w:val="00075232"/>
    <w:rsid w:val="00075C29"/>
    <w:rsid w:val="00077A25"/>
    <w:rsid w:val="00077D9B"/>
    <w:rsid w:val="00077FC8"/>
    <w:rsid w:val="0008128A"/>
    <w:rsid w:val="000819C0"/>
    <w:rsid w:val="00082812"/>
    <w:rsid w:val="00082ED0"/>
    <w:rsid w:val="000835C4"/>
    <w:rsid w:val="00083E1B"/>
    <w:rsid w:val="00085DA5"/>
    <w:rsid w:val="00086564"/>
    <w:rsid w:val="00086AD2"/>
    <w:rsid w:val="00086D8A"/>
    <w:rsid w:val="000910D9"/>
    <w:rsid w:val="0009122B"/>
    <w:rsid w:val="00094588"/>
    <w:rsid w:val="00094E9B"/>
    <w:rsid w:val="00095989"/>
    <w:rsid w:val="00095D32"/>
    <w:rsid w:val="00095E2B"/>
    <w:rsid w:val="00096AE7"/>
    <w:rsid w:val="00097653"/>
    <w:rsid w:val="000A1913"/>
    <w:rsid w:val="000A2214"/>
    <w:rsid w:val="000A29B2"/>
    <w:rsid w:val="000A2BB9"/>
    <w:rsid w:val="000A2FF8"/>
    <w:rsid w:val="000A3165"/>
    <w:rsid w:val="000A32BC"/>
    <w:rsid w:val="000A7928"/>
    <w:rsid w:val="000B136B"/>
    <w:rsid w:val="000B15C8"/>
    <w:rsid w:val="000B1786"/>
    <w:rsid w:val="000B219E"/>
    <w:rsid w:val="000B2EC6"/>
    <w:rsid w:val="000B3A72"/>
    <w:rsid w:val="000B3B13"/>
    <w:rsid w:val="000B4764"/>
    <w:rsid w:val="000B4CF9"/>
    <w:rsid w:val="000B5BF0"/>
    <w:rsid w:val="000C07F9"/>
    <w:rsid w:val="000C1750"/>
    <w:rsid w:val="000C1806"/>
    <w:rsid w:val="000C24C2"/>
    <w:rsid w:val="000C27E0"/>
    <w:rsid w:val="000C2E9E"/>
    <w:rsid w:val="000C3706"/>
    <w:rsid w:val="000C398A"/>
    <w:rsid w:val="000C41DA"/>
    <w:rsid w:val="000C5AD9"/>
    <w:rsid w:val="000C7AB7"/>
    <w:rsid w:val="000D15A4"/>
    <w:rsid w:val="000D1A6C"/>
    <w:rsid w:val="000D29AD"/>
    <w:rsid w:val="000D3799"/>
    <w:rsid w:val="000D4EAA"/>
    <w:rsid w:val="000D5A5B"/>
    <w:rsid w:val="000D5E1C"/>
    <w:rsid w:val="000D6C69"/>
    <w:rsid w:val="000D7284"/>
    <w:rsid w:val="000D7B72"/>
    <w:rsid w:val="000E0447"/>
    <w:rsid w:val="000E070B"/>
    <w:rsid w:val="000E0F27"/>
    <w:rsid w:val="000E18E6"/>
    <w:rsid w:val="000E1B46"/>
    <w:rsid w:val="000E1E41"/>
    <w:rsid w:val="000E2041"/>
    <w:rsid w:val="000E2976"/>
    <w:rsid w:val="000E2D23"/>
    <w:rsid w:val="000E659B"/>
    <w:rsid w:val="000F02A6"/>
    <w:rsid w:val="000F0A28"/>
    <w:rsid w:val="000F383A"/>
    <w:rsid w:val="000F3853"/>
    <w:rsid w:val="000F4035"/>
    <w:rsid w:val="000F4ECF"/>
    <w:rsid w:val="000F6728"/>
    <w:rsid w:val="000F745A"/>
    <w:rsid w:val="000F7CEA"/>
    <w:rsid w:val="00100268"/>
    <w:rsid w:val="001005D0"/>
    <w:rsid w:val="00100D16"/>
    <w:rsid w:val="00101336"/>
    <w:rsid w:val="00103C8E"/>
    <w:rsid w:val="00104678"/>
    <w:rsid w:val="00105103"/>
    <w:rsid w:val="00105AE4"/>
    <w:rsid w:val="00106208"/>
    <w:rsid w:val="001065D1"/>
    <w:rsid w:val="0010795B"/>
    <w:rsid w:val="00111089"/>
    <w:rsid w:val="00113DCF"/>
    <w:rsid w:val="001158EF"/>
    <w:rsid w:val="00116CBB"/>
    <w:rsid w:val="001170CF"/>
    <w:rsid w:val="001206A8"/>
    <w:rsid w:val="001213C1"/>
    <w:rsid w:val="00121ADB"/>
    <w:rsid w:val="00122908"/>
    <w:rsid w:val="00124615"/>
    <w:rsid w:val="00125038"/>
    <w:rsid w:val="001311D1"/>
    <w:rsid w:val="001321A5"/>
    <w:rsid w:val="00132B2B"/>
    <w:rsid w:val="00136720"/>
    <w:rsid w:val="00137003"/>
    <w:rsid w:val="00140C61"/>
    <w:rsid w:val="0014178F"/>
    <w:rsid w:val="00141CA7"/>
    <w:rsid w:val="00141EFD"/>
    <w:rsid w:val="001430B5"/>
    <w:rsid w:val="00143404"/>
    <w:rsid w:val="00143E49"/>
    <w:rsid w:val="00144200"/>
    <w:rsid w:val="001447A1"/>
    <w:rsid w:val="00144C89"/>
    <w:rsid w:val="00146AFD"/>
    <w:rsid w:val="001474A6"/>
    <w:rsid w:val="0015022D"/>
    <w:rsid w:val="00150421"/>
    <w:rsid w:val="001506EB"/>
    <w:rsid w:val="001515EF"/>
    <w:rsid w:val="00151982"/>
    <w:rsid w:val="001521F5"/>
    <w:rsid w:val="00152DD2"/>
    <w:rsid w:val="00154A76"/>
    <w:rsid w:val="0015563B"/>
    <w:rsid w:val="00156743"/>
    <w:rsid w:val="00157DEE"/>
    <w:rsid w:val="00160A16"/>
    <w:rsid w:val="00160ADE"/>
    <w:rsid w:val="001614E9"/>
    <w:rsid w:val="001624A6"/>
    <w:rsid w:val="00162DDB"/>
    <w:rsid w:val="0016346B"/>
    <w:rsid w:val="001642FE"/>
    <w:rsid w:val="00164BF0"/>
    <w:rsid w:val="00165D1C"/>
    <w:rsid w:val="00166465"/>
    <w:rsid w:val="0016670C"/>
    <w:rsid w:val="0017048C"/>
    <w:rsid w:val="001710B0"/>
    <w:rsid w:val="00171E0D"/>
    <w:rsid w:val="0017257E"/>
    <w:rsid w:val="00172E7D"/>
    <w:rsid w:val="00173F51"/>
    <w:rsid w:val="00174CB4"/>
    <w:rsid w:val="00175B0D"/>
    <w:rsid w:val="00176EBD"/>
    <w:rsid w:val="00177097"/>
    <w:rsid w:val="0017756D"/>
    <w:rsid w:val="00180A96"/>
    <w:rsid w:val="00181B11"/>
    <w:rsid w:val="00182321"/>
    <w:rsid w:val="001830CC"/>
    <w:rsid w:val="001838D4"/>
    <w:rsid w:val="00184591"/>
    <w:rsid w:val="00184809"/>
    <w:rsid w:val="00184F48"/>
    <w:rsid w:val="001872F2"/>
    <w:rsid w:val="00187EC1"/>
    <w:rsid w:val="00191415"/>
    <w:rsid w:val="0019281B"/>
    <w:rsid w:val="001933C0"/>
    <w:rsid w:val="001943BF"/>
    <w:rsid w:val="001947F7"/>
    <w:rsid w:val="00195175"/>
    <w:rsid w:val="0019548B"/>
    <w:rsid w:val="0019564D"/>
    <w:rsid w:val="00195BAC"/>
    <w:rsid w:val="00196324"/>
    <w:rsid w:val="00196E67"/>
    <w:rsid w:val="001976BF"/>
    <w:rsid w:val="001A07F5"/>
    <w:rsid w:val="001A1F2C"/>
    <w:rsid w:val="001A3544"/>
    <w:rsid w:val="001A4918"/>
    <w:rsid w:val="001A4F56"/>
    <w:rsid w:val="001A6321"/>
    <w:rsid w:val="001A72B6"/>
    <w:rsid w:val="001B052E"/>
    <w:rsid w:val="001B23F4"/>
    <w:rsid w:val="001B29A1"/>
    <w:rsid w:val="001B3225"/>
    <w:rsid w:val="001B3695"/>
    <w:rsid w:val="001B53F3"/>
    <w:rsid w:val="001B5510"/>
    <w:rsid w:val="001B7936"/>
    <w:rsid w:val="001B7E14"/>
    <w:rsid w:val="001C0E3D"/>
    <w:rsid w:val="001C15BA"/>
    <w:rsid w:val="001C1AE6"/>
    <w:rsid w:val="001C1D52"/>
    <w:rsid w:val="001C25EF"/>
    <w:rsid w:val="001C38F8"/>
    <w:rsid w:val="001C3EEC"/>
    <w:rsid w:val="001C4754"/>
    <w:rsid w:val="001C50FE"/>
    <w:rsid w:val="001C5509"/>
    <w:rsid w:val="001C62CD"/>
    <w:rsid w:val="001C67F3"/>
    <w:rsid w:val="001D0E12"/>
    <w:rsid w:val="001D167F"/>
    <w:rsid w:val="001D1809"/>
    <w:rsid w:val="001D1E34"/>
    <w:rsid w:val="001D294D"/>
    <w:rsid w:val="001D297D"/>
    <w:rsid w:val="001D29CF"/>
    <w:rsid w:val="001D2E9D"/>
    <w:rsid w:val="001D49FE"/>
    <w:rsid w:val="001D58D9"/>
    <w:rsid w:val="001D6999"/>
    <w:rsid w:val="001D6DBF"/>
    <w:rsid w:val="001E09E9"/>
    <w:rsid w:val="001E0C57"/>
    <w:rsid w:val="001E3F09"/>
    <w:rsid w:val="001E3F4A"/>
    <w:rsid w:val="001E487F"/>
    <w:rsid w:val="001E6657"/>
    <w:rsid w:val="001E7B5A"/>
    <w:rsid w:val="001F01F7"/>
    <w:rsid w:val="001F2342"/>
    <w:rsid w:val="001F25E5"/>
    <w:rsid w:val="001F3123"/>
    <w:rsid w:val="001F5D9F"/>
    <w:rsid w:val="001F6759"/>
    <w:rsid w:val="00200214"/>
    <w:rsid w:val="0020127E"/>
    <w:rsid w:val="00202982"/>
    <w:rsid w:val="00202CA6"/>
    <w:rsid w:val="00202CB3"/>
    <w:rsid w:val="00204ECC"/>
    <w:rsid w:val="002060B0"/>
    <w:rsid w:val="002062ED"/>
    <w:rsid w:val="0020636E"/>
    <w:rsid w:val="002117B6"/>
    <w:rsid w:val="00211F88"/>
    <w:rsid w:val="0021301D"/>
    <w:rsid w:val="002148B1"/>
    <w:rsid w:val="00214A76"/>
    <w:rsid w:val="00214D73"/>
    <w:rsid w:val="002152BA"/>
    <w:rsid w:val="0021580A"/>
    <w:rsid w:val="00216781"/>
    <w:rsid w:val="002179F2"/>
    <w:rsid w:val="00217B3B"/>
    <w:rsid w:val="00217F4A"/>
    <w:rsid w:val="00220440"/>
    <w:rsid w:val="002205E0"/>
    <w:rsid w:val="00220C52"/>
    <w:rsid w:val="002219ED"/>
    <w:rsid w:val="00221E49"/>
    <w:rsid w:val="00226714"/>
    <w:rsid w:val="00230641"/>
    <w:rsid w:val="00231162"/>
    <w:rsid w:val="002317D5"/>
    <w:rsid w:val="00231E85"/>
    <w:rsid w:val="00232430"/>
    <w:rsid w:val="0023268B"/>
    <w:rsid w:val="00232A9A"/>
    <w:rsid w:val="00233A17"/>
    <w:rsid w:val="00234ED6"/>
    <w:rsid w:val="002352F2"/>
    <w:rsid w:val="00235D2A"/>
    <w:rsid w:val="00236F95"/>
    <w:rsid w:val="0023743A"/>
    <w:rsid w:val="0024081B"/>
    <w:rsid w:val="002428A1"/>
    <w:rsid w:val="00245EBB"/>
    <w:rsid w:val="002466D1"/>
    <w:rsid w:val="00247802"/>
    <w:rsid w:val="00250061"/>
    <w:rsid w:val="002502FC"/>
    <w:rsid w:val="00250D95"/>
    <w:rsid w:val="00251234"/>
    <w:rsid w:val="00252F81"/>
    <w:rsid w:val="00254844"/>
    <w:rsid w:val="00256666"/>
    <w:rsid w:val="002577CC"/>
    <w:rsid w:val="00260168"/>
    <w:rsid w:val="00260742"/>
    <w:rsid w:val="00261588"/>
    <w:rsid w:val="002615D0"/>
    <w:rsid w:val="00262474"/>
    <w:rsid w:val="0026288D"/>
    <w:rsid w:val="00262D1E"/>
    <w:rsid w:val="002638ED"/>
    <w:rsid w:val="00263B22"/>
    <w:rsid w:val="00265AC7"/>
    <w:rsid w:val="00266894"/>
    <w:rsid w:val="00267572"/>
    <w:rsid w:val="00270926"/>
    <w:rsid w:val="00272989"/>
    <w:rsid w:val="002734FA"/>
    <w:rsid w:val="002737E9"/>
    <w:rsid w:val="00273E90"/>
    <w:rsid w:val="002749A0"/>
    <w:rsid w:val="00275B9A"/>
    <w:rsid w:val="002762B0"/>
    <w:rsid w:val="0027692A"/>
    <w:rsid w:val="00276A65"/>
    <w:rsid w:val="00277173"/>
    <w:rsid w:val="0027764B"/>
    <w:rsid w:val="00280B2F"/>
    <w:rsid w:val="00283A31"/>
    <w:rsid w:val="00285537"/>
    <w:rsid w:val="00285F4C"/>
    <w:rsid w:val="0028637E"/>
    <w:rsid w:val="002863B4"/>
    <w:rsid w:val="00287B15"/>
    <w:rsid w:val="00287E6E"/>
    <w:rsid w:val="0029192F"/>
    <w:rsid w:val="00291D8B"/>
    <w:rsid w:val="00292020"/>
    <w:rsid w:val="0029241A"/>
    <w:rsid w:val="00292C8E"/>
    <w:rsid w:val="00293A1C"/>
    <w:rsid w:val="00294915"/>
    <w:rsid w:val="00294B0D"/>
    <w:rsid w:val="0029540B"/>
    <w:rsid w:val="002956BD"/>
    <w:rsid w:val="00295D3B"/>
    <w:rsid w:val="0029654A"/>
    <w:rsid w:val="00296AEB"/>
    <w:rsid w:val="002A0834"/>
    <w:rsid w:val="002A0DBF"/>
    <w:rsid w:val="002A18D4"/>
    <w:rsid w:val="002A276D"/>
    <w:rsid w:val="002A2CA8"/>
    <w:rsid w:val="002A31A6"/>
    <w:rsid w:val="002A5658"/>
    <w:rsid w:val="002A68D1"/>
    <w:rsid w:val="002A749D"/>
    <w:rsid w:val="002A7699"/>
    <w:rsid w:val="002B08BF"/>
    <w:rsid w:val="002B24F2"/>
    <w:rsid w:val="002B419C"/>
    <w:rsid w:val="002B456F"/>
    <w:rsid w:val="002B5675"/>
    <w:rsid w:val="002B58BE"/>
    <w:rsid w:val="002B64E1"/>
    <w:rsid w:val="002C2B96"/>
    <w:rsid w:val="002C3A74"/>
    <w:rsid w:val="002C417A"/>
    <w:rsid w:val="002C7CA8"/>
    <w:rsid w:val="002C7F3C"/>
    <w:rsid w:val="002D0076"/>
    <w:rsid w:val="002D057B"/>
    <w:rsid w:val="002D0755"/>
    <w:rsid w:val="002D07DE"/>
    <w:rsid w:val="002D0B49"/>
    <w:rsid w:val="002D1AFF"/>
    <w:rsid w:val="002D1DCE"/>
    <w:rsid w:val="002D2928"/>
    <w:rsid w:val="002D2F9A"/>
    <w:rsid w:val="002D44B5"/>
    <w:rsid w:val="002D49C3"/>
    <w:rsid w:val="002D6788"/>
    <w:rsid w:val="002D7A3A"/>
    <w:rsid w:val="002E29FE"/>
    <w:rsid w:val="002E33C0"/>
    <w:rsid w:val="002E3651"/>
    <w:rsid w:val="002E3F9F"/>
    <w:rsid w:val="002E53DE"/>
    <w:rsid w:val="002E667F"/>
    <w:rsid w:val="002F0430"/>
    <w:rsid w:val="002F08A0"/>
    <w:rsid w:val="002F142F"/>
    <w:rsid w:val="002F3C09"/>
    <w:rsid w:val="002F5026"/>
    <w:rsid w:val="002F5400"/>
    <w:rsid w:val="002F6176"/>
    <w:rsid w:val="002F64FD"/>
    <w:rsid w:val="002F71F8"/>
    <w:rsid w:val="002F7B64"/>
    <w:rsid w:val="00300152"/>
    <w:rsid w:val="003002A4"/>
    <w:rsid w:val="0030149C"/>
    <w:rsid w:val="00302429"/>
    <w:rsid w:val="00305152"/>
    <w:rsid w:val="00305323"/>
    <w:rsid w:val="00306848"/>
    <w:rsid w:val="003101BD"/>
    <w:rsid w:val="00311946"/>
    <w:rsid w:val="00314014"/>
    <w:rsid w:val="0031597C"/>
    <w:rsid w:val="00316314"/>
    <w:rsid w:val="00316F6E"/>
    <w:rsid w:val="0031761C"/>
    <w:rsid w:val="00317974"/>
    <w:rsid w:val="003225B8"/>
    <w:rsid w:val="0032266C"/>
    <w:rsid w:val="00322869"/>
    <w:rsid w:val="0032339E"/>
    <w:rsid w:val="00323716"/>
    <w:rsid w:val="0032508B"/>
    <w:rsid w:val="003254E5"/>
    <w:rsid w:val="00325EC6"/>
    <w:rsid w:val="003260E2"/>
    <w:rsid w:val="00326328"/>
    <w:rsid w:val="00330F43"/>
    <w:rsid w:val="00331359"/>
    <w:rsid w:val="003323EB"/>
    <w:rsid w:val="00332571"/>
    <w:rsid w:val="00332A48"/>
    <w:rsid w:val="00332DF6"/>
    <w:rsid w:val="003353BE"/>
    <w:rsid w:val="0033588C"/>
    <w:rsid w:val="003372E1"/>
    <w:rsid w:val="00337C7C"/>
    <w:rsid w:val="0034059C"/>
    <w:rsid w:val="003437C7"/>
    <w:rsid w:val="00343B79"/>
    <w:rsid w:val="00343EE9"/>
    <w:rsid w:val="0034402F"/>
    <w:rsid w:val="00347E18"/>
    <w:rsid w:val="00351737"/>
    <w:rsid w:val="003518D8"/>
    <w:rsid w:val="00354E16"/>
    <w:rsid w:val="003560A9"/>
    <w:rsid w:val="0035621C"/>
    <w:rsid w:val="0035642D"/>
    <w:rsid w:val="0036110C"/>
    <w:rsid w:val="00362EC6"/>
    <w:rsid w:val="0036305B"/>
    <w:rsid w:val="00363E8C"/>
    <w:rsid w:val="00363FA3"/>
    <w:rsid w:val="00365379"/>
    <w:rsid w:val="0036556E"/>
    <w:rsid w:val="0036649C"/>
    <w:rsid w:val="00373CE3"/>
    <w:rsid w:val="00373E3D"/>
    <w:rsid w:val="00374327"/>
    <w:rsid w:val="003758C9"/>
    <w:rsid w:val="00376356"/>
    <w:rsid w:val="00376606"/>
    <w:rsid w:val="00376E63"/>
    <w:rsid w:val="003776EF"/>
    <w:rsid w:val="00377CB5"/>
    <w:rsid w:val="00377E02"/>
    <w:rsid w:val="00380679"/>
    <w:rsid w:val="00381852"/>
    <w:rsid w:val="00381EA4"/>
    <w:rsid w:val="0038274B"/>
    <w:rsid w:val="0038468F"/>
    <w:rsid w:val="00385F43"/>
    <w:rsid w:val="0038675C"/>
    <w:rsid w:val="003901B5"/>
    <w:rsid w:val="00391C17"/>
    <w:rsid w:val="00391F21"/>
    <w:rsid w:val="0039328D"/>
    <w:rsid w:val="003936E1"/>
    <w:rsid w:val="00393B2E"/>
    <w:rsid w:val="00393B90"/>
    <w:rsid w:val="00394636"/>
    <w:rsid w:val="00395595"/>
    <w:rsid w:val="003955B3"/>
    <w:rsid w:val="00396FD9"/>
    <w:rsid w:val="003A1C11"/>
    <w:rsid w:val="003A2407"/>
    <w:rsid w:val="003A32E5"/>
    <w:rsid w:val="003A4D70"/>
    <w:rsid w:val="003A4DA4"/>
    <w:rsid w:val="003A4E18"/>
    <w:rsid w:val="003A533B"/>
    <w:rsid w:val="003A5F6D"/>
    <w:rsid w:val="003A61C5"/>
    <w:rsid w:val="003A728F"/>
    <w:rsid w:val="003B373E"/>
    <w:rsid w:val="003B4A37"/>
    <w:rsid w:val="003B4BFA"/>
    <w:rsid w:val="003B55FA"/>
    <w:rsid w:val="003B6067"/>
    <w:rsid w:val="003B639D"/>
    <w:rsid w:val="003B6F85"/>
    <w:rsid w:val="003C00C0"/>
    <w:rsid w:val="003C00EC"/>
    <w:rsid w:val="003C0426"/>
    <w:rsid w:val="003C1720"/>
    <w:rsid w:val="003C1950"/>
    <w:rsid w:val="003C1C3C"/>
    <w:rsid w:val="003C22E3"/>
    <w:rsid w:val="003C32E4"/>
    <w:rsid w:val="003C41B2"/>
    <w:rsid w:val="003C56BF"/>
    <w:rsid w:val="003D1F01"/>
    <w:rsid w:val="003D1F9D"/>
    <w:rsid w:val="003D21F8"/>
    <w:rsid w:val="003D4729"/>
    <w:rsid w:val="003D4DA2"/>
    <w:rsid w:val="003D6E06"/>
    <w:rsid w:val="003D79C9"/>
    <w:rsid w:val="003E07FD"/>
    <w:rsid w:val="003E1E9D"/>
    <w:rsid w:val="003E4CFB"/>
    <w:rsid w:val="003E56B2"/>
    <w:rsid w:val="003E6F1A"/>
    <w:rsid w:val="003F1030"/>
    <w:rsid w:val="003F179E"/>
    <w:rsid w:val="003F1ED9"/>
    <w:rsid w:val="003F39B4"/>
    <w:rsid w:val="003F4169"/>
    <w:rsid w:val="003F46DF"/>
    <w:rsid w:val="003F4EAC"/>
    <w:rsid w:val="003F5294"/>
    <w:rsid w:val="003F52EC"/>
    <w:rsid w:val="003F5471"/>
    <w:rsid w:val="003F64D8"/>
    <w:rsid w:val="00400B6F"/>
    <w:rsid w:val="004012C4"/>
    <w:rsid w:val="00401430"/>
    <w:rsid w:val="00401AA6"/>
    <w:rsid w:val="0040200D"/>
    <w:rsid w:val="00403914"/>
    <w:rsid w:val="004060F5"/>
    <w:rsid w:val="00407153"/>
    <w:rsid w:val="00407719"/>
    <w:rsid w:val="00407C52"/>
    <w:rsid w:val="00410E9A"/>
    <w:rsid w:val="004119DB"/>
    <w:rsid w:val="004123C7"/>
    <w:rsid w:val="0041471C"/>
    <w:rsid w:val="00414D9F"/>
    <w:rsid w:val="004161B4"/>
    <w:rsid w:val="00416A54"/>
    <w:rsid w:val="00417CD9"/>
    <w:rsid w:val="00417E6B"/>
    <w:rsid w:val="00421445"/>
    <w:rsid w:val="00422276"/>
    <w:rsid w:val="004235F7"/>
    <w:rsid w:val="00423B6B"/>
    <w:rsid w:val="00425CA9"/>
    <w:rsid w:val="0042674D"/>
    <w:rsid w:val="00426BAD"/>
    <w:rsid w:val="0042704B"/>
    <w:rsid w:val="0042719E"/>
    <w:rsid w:val="00427365"/>
    <w:rsid w:val="00430812"/>
    <w:rsid w:val="004317E9"/>
    <w:rsid w:val="00431D76"/>
    <w:rsid w:val="00432ED0"/>
    <w:rsid w:val="0043320C"/>
    <w:rsid w:val="00433B28"/>
    <w:rsid w:val="0043428B"/>
    <w:rsid w:val="004350E7"/>
    <w:rsid w:val="004351EA"/>
    <w:rsid w:val="004369DB"/>
    <w:rsid w:val="00436D3E"/>
    <w:rsid w:val="00440259"/>
    <w:rsid w:val="00440C65"/>
    <w:rsid w:val="00440E3C"/>
    <w:rsid w:val="00442915"/>
    <w:rsid w:val="0044423A"/>
    <w:rsid w:val="00444BFC"/>
    <w:rsid w:val="00445261"/>
    <w:rsid w:val="00445EBD"/>
    <w:rsid w:val="00446071"/>
    <w:rsid w:val="0044641E"/>
    <w:rsid w:val="00446C2C"/>
    <w:rsid w:val="0044762B"/>
    <w:rsid w:val="00447DA1"/>
    <w:rsid w:val="00447F80"/>
    <w:rsid w:val="00452849"/>
    <w:rsid w:val="00452D63"/>
    <w:rsid w:val="00453ED8"/>
    <w:rsid w:val="00455594"/>
    <w:rsid w:val="00455777"/>
    <w:rsid w:val="00455A78"/>
    <w:rsid w:val="00455B73"/>
    <w:rsid w:val="004608CF"/>
    <w:rsid w:val="00463C9A"/>
    <w:rsid w:val="00463FA6"/>
    <w:rsid w:val="004650C8"/>
    <w:rsid w:val="00466F55"/>
    <w:rsid w:val="00467996"/>
    <w:rsid w:val="004701AE"/>
    <w:rsid w:val="00471074"/>
    <w:rsid w:val="00471EF5"/>
    <w:rsid w:val="00472340"/>
    <w:rsid w:val="00473CF0"/>
    <w:rsid w:val="00473E6E"/>
    <w:rsid w:val="004741A9"/>
    <w:rsid w:val="0047590E"/>
    <w:rsid w:val="004768EA"/>
    <w:rsid w:val="004776D7"/>
    <w:rsid w:val="004777E0"/>
    <w:rsid w:val="0048054F"/>
    <w:rsid w:val="00480C4F"/>
    <w:rsid w:val="00483142"/>
    <w:rsid w:val="00486098"/>
    <w:rsid w:val="004864E9"/>
    <w:rsid w:val="00486B45"/>
    <w:rsid w:val="004870E2"/>
    <w:rsid w:val="004875DD"/>
    <w:rsid w:val="00487842"/>
    <w:rsid w:val="00487AE6"/>
    <w:rsid w:val="004906E0"/>
    <w:rsid w:val="004908ED"/>
    <w:rsid w:val="004918CD"/>
    <w:rsid w:val="00492F43"/>
    <w:rsid w:val="00494487"/>
    <w:rsid w:val="0049693D"/>
    <w:rsid w:val="00496C72"/>
    <w:rsid w:val="00497576"/>
    <w:rsid w:val="0049780E"/>
    <w:rsid w:val="00497998"/>
    <w:rsid w:val="00497E2F"/>
    <w:rsid w:val="00497EAA"/>
    <w:rsid w:val="004A0234"/>
    <w:rsid w:val="004A29C6"/>
    <w:rsid w:val="004A46F9"/>
    <w:rsid w:val="004B16B0"/>
    <w:rsid w:val="004B2216"/>
    <w:rsid w:val="004B3909"/>
    <w:rsid w:val="004B48E1"/>
    <w:rsid w:val="004B4FC6"/>
    <w:rsid w:val="004B63E9"/>
    <w:rsid w:val="004B7228"/>
    <w:rsid w:val="004B791F"/>
    <w:rsid w:val="004C0161"/>
    <w:rsid w:val="004C066A"/>
    <w:rsid w:val="004C127E"/>
    <w:rsid w:val="004C1536"/>
    <w:rsid w:val="004C19AF"/>
    <w:rsid w:val="004C2BFC"/>
    <w:rsid w:val="004C2EC0"/>
    <w:rsid w:val="004D0AD8"/>
    <w:rsid w:val="004D1355"/>
    <w:rsid w:val="004D166B"/>
    <w:rsid w:val="004D1FF4"/>
    <w:rsid w:val="004D2753"/>
    <w:rsid w:val="004D2951"/>
    <w:rsid w:val="004D30BF"/>
    <w:rsid w:val="004D3313"/>
    <w:rsid w:val="004D4E34"/>
    <w:rsid w:val="004D790E"/>
    <w:rsid w:val="004E007A"/>
    <w:rsid w:val="004E1DF4"/>
    <w:rsid w:val="004E4640"/>
    <w:rsid w:val="004E4A36"/>
    <w:rsid w:val="004E4AC5"/>
    <w:rsid w:val="004E75D9"/>
    <w:rsid w:val="004F0B0F"/>
    <w:rsid w:val="004F187C"/>
    <w:rsid w:val="004F1E66"/>
    <w:rsid w:val="004F3D57"/>
    <w:rsid w:val="004F4727"/>
    <w:rsid w:val="004F49D6"/>
    <w:rsid w:val="004F4AD9"/>
    <w:rsid w:val="004F4CD3"/>
    <w:rsid w:val="004F5052"/>
    <w:rsid w:val="004F5B8F"/>
    <w:rsid w:val="004F66E2"/>
    <w:rsid w:val="005002A4"/>
    <w:rsid w:val="00503754"/>
    <w:rsid w:val="005046D5"/>
    <w:rsid w:val="00504F0E"/>
    <w:rsid w:val="005059A1"/>
    <w:rsid w:val="0050745F"/>
    <w:rsid w:val="005076FC"/>
    <w:rsid w:val="00507C56"/>
    <w:rsid w:val="00511187"/>
    <w:rsid w:val="00513644"/>
    <w:rsid w:val="00516866"/>
    <w:rsid w:val="00516F41"/>
    <w:rsid w:val="0052239F"/>
    <w:rsid w:val="005233BF"/>
    <w:rsid w:val="00523AB0"/>
    <w:rsid w:val="00523B09"/>
    <w:rsid w:val="00525750"/>
    <w:rsid w:val="00527040"/>
    <w:rsid w:val="00527053"/>
    <w:rsid w:val="0053133F"/>
    <w:rsid w:val="00531F94"/>
    <w:rsid w:val="005343A5"/>
    <w:rsid w:val="0053494F"/>
    <w:rsid w:val="00536371"/>
    <w:rsid w:val="00536895"/>
    <w:rsid w:val="00537704"/>
    <w:rsid w:val="00537A55"/>
    <w:rsid w:val="00537D37"/>
    <w:rsid w:val="00541651"/>
    <w:rsid w:val="005443C4"/>
    <w:rsid w:val="005448BF"/>
    <w:rsid w:val="00544B2C"/>
    <w:rsid w:val="005460BA"/>
    <w:rsid w:val="0054755E"/>
    <w:rsid w:val="005478E8"/>
    <w:rsid w:val="0055090C"/>
    <w:rsid w:val="0055130D"/>
    <w:rsid w:val="0055196C"/>
    <w:rsid w:val="00552E6A"/>
    <w:rsid w:val="00553A00"/>
    <w:rsid w:val="00553CA5"/>
    <w:rsid w:val="0055436A"/>
    <w:rsid w:val="00554467"/>
    <w:rsid w:val="005552CA"/>
    <w:rsid w:val="00555D40"/>
    <w:rsid w:val="00556974"/>
    <w:rsid w:val="00557196"/>
    <w:rsid w:val="00560441"/>
    <w:rsid w:val="00561F7B"/>
    <w:rsid w:val="00562D3A"/>
    <w:rsid w:val="00563717"/>
    <w:rsid w:val="00563EFA"/>
    <w:rsid w:val="005645DF"/>
    <w:rsid w:val="005646D2"/>
    <w:rsid w:val="005649CF"/>
    <w:rsid w:val="00566181"/>
    <w:rsid w:val="00570204"/>
    <w:rsid w:val="00570D9F"/>
    <w:rsid w:val="00571E76"/>
    <w:rsid w:val="00573BA6"/>
    <w:rsid w:val="005743A0"/>
    <w:rsid w:val="00575578"/>
    <w:rsid w:val="005763E3"/>
    <w:rsid w:val="00576A83"/>
    <w:rsid w:val="00577D9E"/>
    <w:rsid w:val="005809E5"/>
    <w:rsid w:val="00580E08"/>
    <w:rsid w:val="00582772"/>
    <w:rsid w:val="00582AFB"/>
    <w:rsid w:val="005865FE"/>
    <w:rsid w:val="005866B0"/>
    <w:rsid w:val="0058689F"/>
    <w:rsid w:val="00587AF5"/>
    <w:rsid w:val="00587C3B"/>
    <w:rsid w:val="00587CA0"/>
    <w:rsid w:val="00590275"/>
    <w:rsid w:val="00591AC9"/>
    <w:rsid w:val="00591F3E"/>
    <w:rsid w:val="0059310F"/>
    <w:rsid w:val="00593201"/>
    <w:rsid w:val="00593B54"/>
    <w:rsid w:val="00594448"/>
    <w:rsid w:val="00596C95"/>
    <w:rsid w:val="005975E9"/>
    <w:rsid w:val="005A002A"/>
    <w:rsid w:val="005A0CF7"/>
    <w:rsid w:val="005A1DEB"/>
    <w:rsid w:val="005A2A23"/>
    <w:rsid w:val="005A354D"/>
    <w:rsid w:val="005A4002"/>
    <w:rsid w:val="005A4570"/>
    <w:rsid w:val="005A4868"/>
    <w:rsid w:val="005A5700"/>
    <w:rsid w:val="005A605D"/>
    <w:rsid w:val="005A7813"/>
    <w:rsid w:val="005B1CA1"/>
    <w:rsid w:val="005B225C"/>
    <w:rsid w:val="005B2879"/>
    <w:rsid w:val="005B2F0C"/>
    <w:rsid w:val="005B3E4C"/>
    <w:rsid w:val="005B445D"/>
    <w:rsid w:val="005B4DCD"/>
    <w:rsid w:val="005B4FE5"/>
    <w:rsid w:val="005B5F19"/>
    <w:rsid w:val="005B6FD6"/>
    <w:rsid w:val="005C0C31"/>
    <w:rsid w:val="005C1056"/>
    <w:rsid w:val="005C1D48"/>
    <w:rsid w:val="005C1FC4"/>
    <w:rsid w:val="005C2165"/>
    <w:rsid w:val="005C54B6"/>
    <w:rsid w:val="005C62A3"/>
    <w:rsid w:val="005C669F"/>
    <w:rsid w:val="005C6FD5"/>
    <w:rsid w:val="005C7449"/>
    <w:rsid w:val="005C7D51"/>
    <w:rsid w:val="005D0299"/>
    <w:rsid w:val="005D0416"/>
    <w:rsid w:val="005D08C5"/>
    <w:rsid w:val="005D0E04"/>
    <w:rsid w:val="005D2280"/>
    <w:rsid w:val="005D3295"/>
    <w:rsid w:val="005D3544"/>
    <w:rsid w:val="005D3EF4"/>
    <w:rsid w:val="005D71F6"/>
    <w:rsid w:val="005D7CB9"/>
    <w:rsid w:val="005D7CC2"/>
    <w:rsid w:val="005E11DD"/>
    <w:rsid w:val="005E148B"/>
    <w:rsid w:val="005E14BB"/>
    <w:rsid w:val="005E1A20"/>
    <w:rsid w:val="005E299A"/>
    <w:rsid w:val="005E5EFE"/>
    <w:rsid w:val="005E651E"/>
    <w:rsid w:val="005E672C"/>
    <w:rsid w:val="005F0953"/>
    <w:rsid w:val="005F2D1F"/>
    <w:rsid w:val="005F524C"/>
    <w:rsid w:val="005F5DB9"/>
    <w:rsid w:val="005F7199"/>
    <w:rsid w:val="005F7EB0"/>
    <w:rsid w:val="0060174C"/>
    <w:rsid w:val="006026FF"/>
    <w:rsid w:val="006048E8"/>
    <w:rsid w:val="00604FD8"/>
    <w:rsid w:val="00605B14"/>
    <w:rsid w:val="006072A1"/>
    <w:rsid w:val="006072D0"/>
    <w:rsid w:val="0060735E"/>
    <w:rsid w:val="00607C86"/>
    <w:rsid w:val="00610C57"/>
    <w:rsid w:val="00611BB5"/>
    <w:rsid w:val="0061399C"/>
    <w:rsid w:val="0061421E"/>
    <w:rsid w:val="0061502B"/>
    <w:rsid w:val="00616A6C"/>
    <w:rsid w:val="006208CA"/>
    <w:rsid w:val="0062330B"/>
    <w:rsid w:val="0062487C"/>
    <w:rsid w:val="00624D92"/>
    <w:rsid w:val="006257EF"/>
    <w:rsid w:val="00625A6D"/>
    <w:rsid w:val="00625ED1"/>
    <w:rsid w:val="00626243"/>
    <w:rsid w:val="00626505"/>
    <w:rsid w:val="00626B91"/>
    <w:rsid w:val="00627468"/>
    <w:rsid w:val="0063233E"/>
    <w:rsid w:val="006325B0"/>
    <w:rsid w:val="0063358C"/>
    <w:rsid w:val="00634FF8"/>
    <w:rsid w:val="00635081"/>
    <w:rsid w:val="006353D9"/>
    <w:rsid w:val="006360F2"/>
    <w:rsid w:val="0063646B"/>
    <w:rsid w:val="006364F5"/>
    <w:rsid w:val="00636B8E"/>
    <w:rsid w:val="00637178"/>
    <w:rsid w:val="00637E78"/>
    <w:rsid w:val="006404C7"/>
    <w:rsid w:val="006405EE"/>
    <w:rsid w:val="00640CED"/>
    <w:rsid w:val="00642A6F"/>
    <w:rsid w:val="006432C9"/>
    <w:rsid w:val="00643F7E"/>
    <w:rsid w:val="00644ACD"/>
    <w:rsid w:val="00645AE8"/>
    <w:rsid w:val="0064672F"/>
    <w:rsid w:val="006514C8"/>
    <w:rsid w:val="0065243A"/>
    <w:rsid w:val="00652DFB"/>
    <w:rsid w:val="00653167"/>
    <w:rsid w:val="0065339D"/>
    <w:rsid w:val="00654378"/>
    <w:rsid w:val="00655457"/>
    <w:rsid w:val="0065650C"/>
    <w:rsid w:val="00656B33"/>
    <w:rsid w:val="00656B3A"/>
    <w:rsid w:val="0065729C"/>
    <w:rsid w:val="00660BA1"/>
    <w:rsid w:val="00660C56"/>
    <w:rsid w:val="00662B84"/>
    <w:rsid w:val="00663EC9"/>
    <w:rsid w:val="006642E4"/>
    <w:rsid w:val="00664600"/>
    <w:rsid w:val="0066504F"/>
    <w:rsid w:val="00665EFD"/>
    <w:rsid w:val="00666EA9"/>
    <w:rsid w:val="0066706C"/>
    <w:rsid w:val="006672DE"/>
    <w:rsid w:val="00667526"/>
    <w:rsid w:val="00667DA8"/>
    <w:rsid w:val="0067067A"/>
    <w:rsid w:val="00670A39"/>
    <w:rsid w:val="00670BC3"/>
    <w:rsid w:val="006713C1"/>
    <w:rsid w:val="00673272"/>
    <w:rsid w:val="00674873"/>
    <w:rsid w:val="00675009"/>
    <w:rsid w:val="0067559C"/>
    <w:rsid w:val="00675652"/>
    <w:rsid w:val="006758CF"/>
    <w:rsid w:val="00680CBD"/>
    <w:rsid w:val="00681467"/>
    <w:rsid w:val="00682115"/>
    <w:rsid w:val="00683272"/>
    <w:rsid w:val="006840B9"/>
    <w:rsid w:val="006844CF"/>
    <w:rsid w:val="00684535"/>
    <w:rsid w:val="00684A47"/>
    <w:rsid w:val="00686E39"/>
    <w:rsid w:val="00687956"/>
    <w:rsid w:val="00687E77"/>
    <w:rsid w:val="006900CC"/>
    <w:rsid w:val="00691391"/>
    <w:rsid w:val="006949A3"/>
    <w:rsid w:val="00694F86"/>
    <w:rsid w:val="00696FAC"/>
    <w:rsid w:val="006970F1"/>
    <w:rsid w:val="006A1218"/>
    <w:rsid w:val="006A2D4E"/>
    <w:rsid w:val="006A34AA"/>
    <w:rsid w:val="006A352C"/>
    <w:rsid w:val="006A4A44"/>
    <w:rsid w:val="006A4B9A"/>
    <w:rsid w:val="006A6313"/>
    <w:rsid w:val="006A6937"/>
    <w:rsid w:val="006B12F8"/>
    <w:rsid w:val="006B1649"/>
    <w:rsid w:val="006B379E"/>
    <w:rsid w:val="006B72C2"/>
    <w:rsid w:val="006C019C"/>
    <w:rsid w:val="006C09F6"/>
    <w:rsid w:val="006C0A3A"/>
    <w:rsid w:val="006C0B6F"/>
    <w:rsid w:val="006C1A85"/>
    <w:rsid w:val="006C1BA7"/>
    <w:rsid w:val="006C1D60"/>
    <w:rsid w:val="006C267A"/>
    <w:rsid w:val="006C366A"/>
    <w:rsid w:val="006C37DF"/>
    <w:rsid w:val="006C3CFA"/>
    <w:rsid w:val="006C4630"/>
    <w:rsid w:val="006C493E"/>
    <w:rsid w:val="006C51AF"/>
    <w:rsid w:val="006C5232"/>
    <w:rsid w:val="006D1233"/>
    <w:rsid w:val="006D12A6"/>
    <w:rsid w:val="006D12F1"/>
    <w:rsid w:val="006D18A1"/>
    <w:rsid w:val="006D3361"/>
    <w:rsid w:val="006D3BE3"/>
    <w:rsid w:val="006D449E"/>
    <w:rsid w:val="006D5B9F"/>
    <w:rsid w:val="006D6B0B"/>
    <w:rsid w:val="006D705D"/>
    <w:rsid w:val="006E0103"/>
    <w:rsid w:val="006E0199"/>
    <w:rsid w:val="006E0503"/>
    <w:rsid w:val="006E054C"/>
    <w:rsid w:val="006E0A19"/>
    <w:rsid w:val="006E1C16"/>
    <w:rsid w:val="006E245A"/>
    <w:rsid w:val="006E24F1"/>
    <w:rsid w:val="006E24FE"/>
    <w:rsid w:val="006E2828"/>
    <w:rsid w:val="006E28DF"/>
    <w:rsid w:val="006E3537"/>
    <w:rsid w:val="006E3976"/>
    <w:rsid w:val="006E3C9A"/>
    <w:rsid w:val="006E4EE3"/>
    <w:rsid w:val="006E6234"/>
    <w:rsid w:val="006E6424"/>
    <w:rsid w:val="006F027E"/>
    <w:rsid w:val="006F2B5A"/>
    <w:rsid w:val="006F2DB3"/>
    <w:rsid w:val="006F30D6"/>
    <w:rsid w:val="006F3A11"/>
    <w:rsid w:val="006F506A"/>
    <w:rsid w:val="006F6503"/>
    <w:rsid w:val="006F67B1"/>
    <w:rsid w:val="006F6FB2"/>
    <w:rsid w:val="006F70AF"/>
    <w:rsid w:val="006F7DC7"/>
    <w:rsid w:val="007011FB"/>
    <w:rsid w:val="0070186F"/>
    <w:rsid w:val="00701EC5"/>
    <w:rsid w:val="00701F92"/>
    <w:rsid w:val="00702123"/>
    <w:rsid w:val="0070323F"/>
    <w:rsid w:val="007034BE"/>
    <w:rsid w:val="00704AEC"/>
    <w:rsid w:val="00704CD6"/>
    <w:rsid w:val="00705AAF"/>
    <w:rsid w:val="0070635A"/>
    <w:rsid w:val="007063F2"/>
    <w:rsid w:val="00707160"/>
    <w:rsid w:val="007074E6"/>
    <w:rsid w:val="00710318"/>
    <w:rsid w:val="00710997"/>
    <w:rsid w:val="00711B26"/>
    <w:rsid w:val="00712196"/>
    <w:rsid w:val="00712906"/>
    <w:rsid w:val="00712DBF"/>
    <w:rsid w:val="007133B8"/>
    <w:rsid w:val="00713E55"/>
    <w:rsid w:val="00714430"/>
    <w:rsid w:val="00714811"/>
    <w:rsid w:val="00715A76"/>
    <w:rsid w:val="00716E93"/>
    <w:rsid w:val="00717F76"/>
    <w:rsid w:val="00720045"/>
    <w:rsid w:val="0072037B"/>
    <w:rsid w:val="0072195A"/>
    <w:rsid w:val="00722018"/>
    <w:rsid w:val="007222AC"/>
    <w:rsid w:val="00724368"/>
    <w:rsid w:val="0072479A"/>
    <w:rsid w:val="00726A86"/>
    <w:rsid w:val="00726C16"/>
    <w:rsid w:val="00730678"/>
    <w:rsid w:val="007317BC"/>
    <w:rsid w:val="0073188D"/>
    <w:rsid w:val="00731A91"/>
    <w:rsid w:val="00731DF6"/>
    <w:rsid w:val="0073235D"/>
    <w:rsid w:val="00732ABD"/>
    <w:rsid w:val="00732CF6"/>
    <w:rsid w:val="00733779"/>
    <w:rsid w:val="00734D3D"/>
    <w:rsid w:val="00735458"/>
    <w:rsid w:val="00735635"/>
    <w:rsid w:val="007356A7"/>
    <w:rsid w:val="00735C38"/>
    <w:rsid w:val="0073655B"/>
    <w:rsid w:val="0073705B"/>
    <w:rsid w:val="00737187"/>
    <w:rsid w:val="00737859"/>
    <w:rsid w:val="007401F3"/>
    <w:rsid w:val="00741EA1"/>
    <w:rsid w:val="007424AE"/>
    <w:rsid w:val="00744AC2"/>
    <w:rsid w:val="0074531A"/>
    <w:rsid w:val="00745685"/>
    <w:rsid w:val="007460C1"/>
    <w:rsid w:val="007461FF"/>
    <w:rsid w:val="0074663A"/>
    <w:rsid w:val="00746A9E"/>
    <w:rsid w:val="00747FF0"/>
    <w:rsid w:val="00750C5C"/>
    <w:rsid w:val="007520A6"/>
    <w:rsid w:val="00752824"/>
    <w:rsid w:val="00752B52"/>
    <w:rsid w:val="00752E98"/>
    <w:rsid w:val="007532F1"/>
    <w:rsid w:val="007537E1"/>
    <w:rsid w:val="0075416E"/>
    <w:rsid w:val="00755B2D"/>
    <w:rsid w:val="00757587"/>
    <w:rsid w:val="00757868"/>
    <w:rsid w:val="00757CFC"/>
    <w:rsid w:val="00757D5F"/>
    <w:rsid w:val="00760D5A"/>
    <w:rsid w:val="0076131E"/>
    <w:rsid w:val="00762732"/>
    <w:rsid w:val="00763381"/>
    <w:rsid w:val="00763540"/>
    <w:rsid w:val="007639AF"/>
    <w:rsid w:val="00766672"/>
    <w:rsid w:val="007675D6"/>
    <w:rsid w:val="00770332"/>
    <w:rsid w:val="00770713"/>
    <w:rsid w:val="00770EDE"/>
    <w:rsid w:val="0077136E"/>
    <w:rsid w:val="0077494D"/>
    <w:rsid w:val="00775116"/>
    <w:rsid w:val="007752FE"/>
    <w:rsid w:val="0077544A"/>
    <w:rsid w:val="00776E9B"/>
    <w:rsid w:val="00777B73"/>
    <w:rsid w:val="00781DBE"/>
    <w:rsid w:val="00782000"/>
    <w:rsid w:val="007820F7"/>
    <w:rsid w:val="00782704"/>
    <w:rsid w:val="00784076"/>
    <w:rsid w:val="0078725D"/>
    <w:rsid w:val="0078755A"/>
    <w:rsid w:val="007876FA"/>
    <w:rsid w:val="00790642"/>
    <w:rsid w:val="0079089B"/>
    <w:rsid w:val="007916DF"/>
    <w:rsid w:val="00792A9B"/>
    <w:rsid w:val="00793002"/>
    <w:rsid w:val="007942C3"/>
    <w:rsid w:val="007946B2"/>
    <w:rsid w:val="00794D6A"/>
    <w:rsid w:val="007951B3"/>
    <w:rsid w:val="007957F7"/>
    <w:rsid w:val="007970C9"/>
    <w:rsid w:val="007A0325"/>
    <w:rsid w:val="007A0F38"/>
    <w:rsid w:val="007A0FBB"/>
    <w:rsid w:val="007A17E4"/>
    <w:rsid w:val="007A1853"/>
    <w:rsid w:val="007A21E3"/>
    <w:rsid w:val="007A30F2"/>
    <w:rsid w:val="007A49FB"/>
    <w:rsid w:val="007A4A23"/>
    <w:rsid w:val="007A4D90"/>
    <w:rsid w:val="007A4FF8"/>
    <w:rsid w:val="007A78EE"/>
    <w:rsid w:val="007B1053"/>
    <w:rsid w:val="007B3D97"/>
    <w:rsid w:val="007B55BA"/>
    <w:rsid w:val="007B635B"/>
    <w:rsid w:val="007B715A"/>
    <w:rsid w:val="007B7850"/>
    <w:rsid w:val="007C064A"/>
    <w:rsid w:val="007C0B0E"/>
    <w:rsid w:val="007C0FD8"/>
    <w:rsid w:val="007C200B"/>
    <w:rsid w:val="007C2133"/>
    <w:rsid w:val="007C2FD7"/>
    <w:rsid w:val="007C3A60"/>
    <w:rsid w:val="007C4554"/>
    <w:rsid w:val="007C497A"/>
    <w:rsid w:val="007C6275"/>
    <w:rsid w:val="007C69B4"/>
    <w:rsid w:val="007C6D0E"/>
    <w:rsid w:val="007C7A95"/>
    <w:rsid w:val="007D02ED"/>
    <w:rsid w:val="007D03BC"/>
    <w:rsid w:val="007D0CB7"/>
    <w:rsid w:val="007D4DB9"/>
    <w:rsid w:val="007D5541"/>
    <w:rsid w:val="007D6877"/>
    <w:rsid w:val="007D6FD5"/>
    <w:rsid w:val="007D7D88"/>
    <w:rsid w:val="007E0459"/>
    <w:rsid w:val="007E09C7"/>
    <w:rsid w:val="007E192B"/>
    <w:rsid w:val="007E2239"/>
    <w:rsid w:val="007E4BD8"/>
    <w:rsid w:val="007E7FC2"/>
    <w:rsid w:val="007F1206"/>
    <w:rsid w:val="007F1711"/>
    <w:rsid w:val="007F2ECD"/>
    <w:rsid w:val="007F3C63"/>
    <w:rsid w:val="007F41E6"/>
    <w:rsid w:val="007F5777"/>
    <w:rsid w:val="007F58D9"/>
    <w:rsid w:val="007F62A9"/>
    <w:rsid w:val="007F6858"/>
    <w:rsid w:val="007F6E0A"/>
    <w:rsid w:val="007F78DC"/>
    <w:rsid w:val="007F7A38"/>
    <w:rsid w:val="00801782"/>
    <w:rsid w:val="00801A54"/>
    <w:rsid w:val="00801ED4"/>
    <w:rsid w:val="00802338"/>
    <w:rsid w:val="0080249D"/>
    <w:rsid w:val="008034D5"/>
    <w:rsid w:val="008050B5"/>
    <w:rsid w:val="00806CE2"/>
    <w:rsid w:val="008077FC"/>
    <w:rsid w:val="00807EB5"/>
    <w:rsid w:val="00811632"/>
    <w:rsid w:val="00811AE7"/>
    <w:rsid w:val="00813DF2"/>
    <w:rsid w:val="00815215"/>
    <w:rsid w:val="00815C79"/>
    <w:rsid w:val="00816B23"/>
    <w:rsid w:val="00817EB4"/>
    <w:rsid w:val="00817F75"/>
    <w:rsid w:val="008211BB"/>
    <w:rsid w:val="00821917"/>
    <w:rsid w:val="008231AE"/>
    <w:rsid w:val="008233A3"/>
    <w:rsid w:val="008255CD"/>
    <w:rsid w:val="00826386"/>
    <w:rsid w:val="00826A0F"/>
    <w:rsid w:val="00826D70"/>
    <w:rsid w:val="00831022"/>
    <w:rsid w:val="00831139"/>
    <w:rsid w:val="0083277B"/>
    <w:rsid w:val="00832E36"/>
    <w:rsid w:val="008331F1"/>
    <w:rsid w:val="00833BD5"/>
    <w:rsid w:val="008341CA"/>
    <w:rsid w:val="0083485E"/>
    <w:rsid w:val="0083510A"/>
    <w:rsid w:val="00835525"/>
    <w:rsid w:val="0083569F"/>
    <w:rsid w:val="00835859"/>
    <w:rsid w:val="00835B83"/>
    <w:rsid w:val="00835E81"/>
    <w:rsid w:val="00836AB5"/>
    <w:rsid w:val="008371FB"/>
    <w:rsid w:val="00837D83"/>
    <w:rsid w:val="008416D8"/>
    <w:rsid w:val="0084338F"/>
    <w:rsid w:val="0084532D"/>
    <w:rsid w:val="0085011C"/>
    <w:rsid w:val="008510A3"/>
    <w:rsid w:val="00851A00"/>
    <w:rsid w:val="0085437D"/>
    <w:rsid w:val="00854F5A"/>
    <w:rsid w:val="00855ADA"/>
    <w:rsid w:val="00856577"/>
    <w:rsid w:val="008569D4"/>
    <w:rsid w:val="00857AE4"/>
    <w:rsid w:val="00857D16"/>
    <w:rsid w:val="00860C64"/>
    <w:rsid w:val="00860CA5"/>
    <w:rsid w:val="00861750"/>
    <w:rsid w:val="0086198B"/>
    <w:rsid w:val="00862750"/>
    <w:rsid w:val="00864F4E"/>
    <w:rsid w:val="00865700"/>
    <w:rsid w:val="00865F9D"/>
    <w:rsid w:val="0086658E"/>
    <w:rsid w:val="00866686"/>
    <w:rsid w:val="0087021C"/>
    <w:rsid w:val="008704CB"/>
    <w:rsid w:val="00871AA6"/>
    <w:rsid w:val="00873010"/>
    <w:rsid w:val="00873BFE"/>
    <w:rsid w:val="008747ED"/>
    <w:rsid w:val="00874982"/>
    <w:rsid w:val="0087698F"/>
    <w:rsid w:val="00876E33"/>
    <w:rsid w:val="0087714D"/>
    <w:rsid w:val="008773AC"/>
    <w:rsid w:val="00877DDF"/>
    <w:rsid w:val="00880B99"/>
    <w:rsid w:val="00882971"/>
    <w:rsid w:val="00883726"/>
    <w:rsid w:val="008839B8"/>
    <w:rsid w:val="008864D9"/>
    <w:rsid w:val="008871A4"/>
    <w:rsid w:val="00887A47"/>
    <w:rsid w:val="00892582"/>
    <w:rsid w:val="00892C99"/>
    <w:rsid w:val="008936E5"/>
    <w:rsid w:val="0089383C"/>
    <w:rsid w:val="00893907"/>
    <w:rsid w:val="008954DB"/>
    <w:rsid w:val="00897C68"/>
    <w:rsid w:val="008A0677"/>
    <w:rsid w:val="008A0B59"/>
    <w:rsid w:val="008A165E"/>
    <w:rsid w:val="008A330D"/>
    <w:rsid w:val="008A4701"/>
    <w:rsid w:val="008A4CF4"/>
    <w:rsid w:val="008A5637"/>
    <w:rsid w:val="008A5F9A"/>
    <w:rsid w:val="008A610D"/>
    <w:rsid w:val="008A76B5"/>
    <w:rsid w:val="008A797C"/>
    <w:rsid w:val="008B0233"/>
    <w:rsid w:val="008B15B4"/>
    <w:rsid w:val="008B16FA"/>
    <w:rsid w:val="008B1BBA"/>
    <w:rsid w:val="008B243B"/>
    <w:rsid w:val="008B2790"/>
    <w:rsid w:val="008B5607"/>
    <w:rsid w:val="008B59A9"/>
    <w:rsid w:val="008B5DDF"/>
    <w:rsid w:val="008B6E16"/>
    <w:rsid w:val="008C3392"/>
    <w:rsid w:val="008C3F36"/>
    <w:rsid w:val="008C48CC"/>
    <w:rsid w:val="008C5DEA"/>
    <w:rsid w:val="008C64E5"/>
    <w:rsid w:val="008C6B79"/>
    <w:rsid w:val="008C7220"/>
    <w:rsid w:val="008C78DB"/>
    <w:rsid w:val="008D0C61"/>
    <w:rsid w:val="008D190F"/>
    <w:rsid w:val="008D2295"/>
    <w:rsid w:val="008D24ED"/>
    <w:rsid w:val="008D41ED"/>
    <w:rsid w:val="008D4908"/>
    <w:rsid w:val="008D50D4"/>
    <w:rsid w:val="008D638F"/>
    <w:rsid w:val="008D65D6"/>
    <w:rsid w:val="008D7513"/>
    <w:rsid w:val="008E0E55"/>
    <w:rsid w:val="008E14C4"/>
    <w:rsid w:val="008E1889"/>
    <w:rsid w:val="008E214E"/>
    <w:rsid w:val="008E2FDB"/>
    <w:rsid w:val="008E4D4B"/>
    <w:rsid w:val="008E532C"/>
    <w:rsid w:val="008E586E"/>
    <w:rsid w:val="008E627F"/>
    <w:rsid w:val="008E7318"/>
    <w:rsid w:val="008E7D77"/>
    <w:rsid w:val="008F1A13"/>
    <w:rsid w:val="008F1B17"/>
    <w:rsid w:val="008F1F25"/>
    <w:rsid w:val="008F2612"/>
    <w:rsid w:val="008F2BDA"/>
    <w:rsid w:val="008F45CE"/>
    <w:rsid w:val="008F4CAC"/>
    <w:rsid w:val="008F6013"/>
    <w:rsid w:val="008F6365"/>
    <w:rsid w:val="00901406"/>
    <w:rsid w:val="00901D55"/>
    <w:rsid w:val="00902210"/>
    <w:rsid w:val="00902221"/>
    <w:rsid w:val="00902C1F"/>
    <w:rsid w:val="00902D33"/>
    <w:rsid w:val="009039C0"/>
    <w:rsid w:val="0090433C"/>
    <w:rsid w:val="00905957"/>
    <w:rsid w:val="00905FA5"/>
    <w:rsid w:val="00906D55"/>
    <w:rsid w:val="00906E4B"/>
    <w:rsid w:val="0091132F"/>
    <w:rsid w:val="00912A20"/>
    <w:rsid w:val="009158C7"/>
    <w:rsid w:val="009178B2"/>
    <w:rsid w:val="00920A90"/>
    <w:rsid w:val="00920BE3"/>
    <w:rsid w:val="00920C16"/>
    <w:rsid w:val="00920F36"/>
    <w:rsid w:val="0092106A"/>
    <w:rsid w:val="009234B9"/>
    <w:rsid w:val="00924E1E"/>
    <w:rsid w:val="0092506C"/>
    <w:rsid w:val="00926AAB"/>
    <w:rsid w:val="009279DB"/>
    <w:rsid w:val="009301D2"/>
    <w:rsid w:val="009303BF"/>
    <w:rsid w:val="00930F66"/>
    <w:rsid w:val="009313A9"/>
    <w:rsid w:val="00931470"/>
    <w:rsid w:val="009314FF"/>
    <w:rsid w:val="00932DBE"/>
    <w:rsid w:val="00933137"/>
    <w:rsid w:val="009338D2"/>
    <w:rsid w:val="00934AD9"/>
    <w:rsid w:val="00934CD5"/>
    <w:rsid w:val="00934ECA"/>
    <w:rsid w:val="009351AC"/>
    <w:rsid w:val="009351CC"/>
    <w:rsid w:val="00935629"/>
    <w:rsid w:val="00936B1F"/>
    <w:rsid w:val="00940E12"/>
    <w:rsid w:val="00941673"/>
    <w:rsid w:val="0094265D"/>
    <w:rsid w:val="00942D88"/>
    <w:rsid w:val="00944B53"/>
    <w:rsid w:val="00945920"/>
    <w:rsid w:val="009461D6"/>
    <w:rsid w:val="009469FE"/>
    <w:rsid w:val="00947F3B"/>
    <w:rsid w:val="00950190"/>
    <w:rsid w:val="00950D33"/>
    <w:rsid w:val="009517F2"/>
    <w:rsid w:val="00951949"/>
    <w:rsid w:val="00951A56"/>
    <w:rsid w:val="00952270"/>
    <w:rsid w:val="0095276A"/>
    <w:rsid w:val="009534E5"/>
    <w:rsid w:val="00954D02"/>
    <w:rsid w:val="00955A5D"/>
    <w:rsid w:val="009562A4"/>
    <w:rsid w:val="00956887"/>
    <w:rsid w:val="00957D60"/>
    <w:rsid w:val="00960F17"/>
    <w:rsid w:val="0096378D"/>
    <w:rsid w:val="009641A8"/>
    <w:rsid w:val="00965137"/>
    <w:rsid w:val="009654C1"/>
    <w:rsid w:val="00966175"/>
    <w:rsid w:val="0096633E"/>
    <w:rsid w:val="00966A43"/>
    <w:rsid w:val="00966DC5"/>
    <w:rsid w:val="00967BAB"/>
    <w:rsid w:val="00967CCE"/>
    <w:rsid w:val="0097098B"/>
    <w:rsid w:val="00971DF7"/>
    <w:rsid w:val="00971EE7"/>
    <w:rsid w:val="00971FBF"/>
    <w:rsid w:val="009721B7"/>
    <w:rsid w:val="00972209"/>
    <w:rsid w:val="009722A2"/>
    <w:rsid w:val="009726CE"/>
    <w:rsid w:val="00973061"/>
    <w:rsid w:val="009739DE"/>
    <w:rsid w:val="009742FF"/>
    <w:rsid w:val="00976431"/>
    <w:rsid w:val="00981137"/>
    <w:rsid w:val="00982AFE"/>
    <w:rsid w:val="00982C6A"/>
    <w:rsid w:val="00982CDB"/>
    <w:rsid w:val="009834DB"/>
    <w:rsid w:val="0098424F"/>
    <w:rsid w:val="00984F93"/>
    <w:rsid w:val="00985092"/>
    <w:rsid w:val="00985FED"/>
    <w:rsid w:val="00987ADA"/>
    <w:rsid w:val="00990A33"/>
    <w:rsid w:val="00991208"/>
    <w:rsid w:val="00992984"/>
    <w:rsid w:val="009939C9"/>
    <w:rsid w:val="00996007"/>
    <w:rsid w:val="00997655"/>
    <w:rsid w:val="009A0BBF"/>
    <w:rsid w:val="009A31B7"/>
    <w:rsid w:val="009A346C"/>
    <w:rsid w:val="009A410A"/>
    <w:rsid w:val="009A4C8C"/>
    <w:rsid w:val="009A529D"/>
    <w:rsid w:val="009A5C7F"/>
    <w:rsid w:val="009A6018"/>
    <w:rsid w:val="009A6031"/>
    <w:rsid w:val="009A78DA"/>
    <w:rsid w:val="009A7A15"/>
    <w:rsid w:val="009A7B90"/>
    <w:rsid w:val="009B0358"/>
    <w:rsid w:val="009B06C8"/>
    <w:rsid w:val="009B0894"/>
    <w:rsid w:val="009B15F0"/>
    <w:rsid w:val="009B22ED"/>
    <w:rsid w:val="009B2586"/>
    <w:rsid w:val="009B42B0"/>
    <w:rsid w:val="009B4FCE"/>
    <w:rsid w:val="009B6A3A"/>
    <w:rsid w:val="009B73E9"/>
    <w:rsid w:val="009B752C"/>
    <w:rsid w:val="009C1746"/>
    <w:rsid w:val="009C190C"/>
    <w:rsid w:val="009C1C69"/>
    <w:rsid w:val="009C2D91"/>
    <w:rsid w:val="009C3293"/>
    <w:rsid w:val="009C3C74"/>
    <w:rsid w:val="009C40E2"/>
    <w:rsid w:val="009C41CB"/>
    <w:rsid w:val="009C5A6A"/>
    <w:rsid w:val="009C6D34"/>
    <w:rsid w:val="009C70F6"/>
    <w:rsid w:val="009C7AD5"/>
    <w:rsid w:val="009D12DB"/>
    <w:rsid w:val="009D2A8A"/>
    <w:rsid w:val="009D2DCB"/>
    <w:rsid w:val="009D2E91"/>
    <w:rsid w:val="009D2F39"/>
    <w:rsid w:val="009D434E"/>
    <w:rsid w:val="009D4558"/>
    <w:rsid w:val="009D4834"/>
    <w:rsid w:val="009D57C0"/>
    <w:rsid w:val="009D675D"/>
    <w:rsid w:val="009D6B84"/>
    <w:rsid w:val="009D79FA"/>
    <w:rsid w:val="009E0027"/>
    <w:rsid w:val="009E100D"/>
    <w:rsid w:val="009E2CD7"/>
    <w:rsid w:val="009E34A9"/>
    <w:rsid w:val="009E52F2"/>
    <w:rsid w:val="009E5BF8"/>
    <w:rsid w:val="009E5E35"/>
    <w:rsid w:val="009E7849"/>
    <w:rsid w:val="009E7F2F"/>
    <w:rsid w:val="009E7FDC"/>
    <w:rsid w:val="009F0B19"/>
    <w:rsid w:val="009F139F"/>
    <w:rsid w:val="009F2707"/>
    <w:rsid w:val="009F2990"/>
    <w:rsid w:val="009F2C1E"/>
    <w:rsid w:val="009F3B4E"/>
    <w:rsid w:val="009F4462"/>
    <w:rsid w:val="009F4B15"/>
    <w:rsid w:val="009F59E7"/>
    <w:rsid w:val="009F7E6E"/>
    <w:rsid w:val="00A023FA"/>
    <w:rsid w:val="00A02EA4"/>
    <w:rsid w:val="00A02EFB"/>
    <w:rsid w:val="00A046A0"/>
    <w:rsid w:val="00A101AE"/>
    <w:rsid w:val="00A10A21"/>
    <w:rsid w:val="00A10DC4"/>
    <w:rsid w:val="00A11A39"/>
    <w:rsid w:val="00A1227A"/>
    <w:rsid w:val="00A12BD5"/>
    <w:rsid w:val="00A136CF"/>
    <w:rsid w:val="00A13906"/>
    <w:rsid w:val="00A141D6"/>
    <w:rsid w:val="00A14F60"/>
    <w:rsid w:val="00A16C70"/>
    <w:rsid w:val="00A2061F"/>
    <w:rsid w:val="00A20735"/>
    <w:rsid w:val="00A227CC"/>
    <w:rsid w:val="00A2281F"/>
    <w:rsid w:val="00A22C3F"/>
    <w:rsid w:val="00A22D98"/>
    <w:rsid w:val="00A23364"/>
    <w:rsid w:val="00A24FC7"/>
    <w:rsid w:val="00A25E02"/>
    <w:rsid w:val="00A27198"/>
    <w:rsid w:val="00A2753A"/>
    <w:rsid w:val="00A27B86"/>
    <w:rsid w:val="00A27E0B"/>
    <w:rsid w:val="00A304B0"/>
    <w:rsid w:val="00A306EE"/>
    <w:rsid w:val="00A3104F"/>
    <w:rsid w:val="00A33B91"/>
    <w:rsid w:val="00A33C1A"/>
    <w:rsid w:val="00A36D20"/>
    <w:rsid w:val="00A3776A"/>
    <w:rsid w:val="00A37C7B"/>
    <w:rsid w:val="00A45506"/>
    <w:rsid w:val="00A4744D"/>
    <w:rsid w:val="00A47708"/>
    <w:rsid w:val="00A51527"/>
    <w:rsid w:val="00A516BD"/>
    <w:rsid w:val="00A519BD"/>
    <w:rsid w:val="00A52843"/>
    <w:rsid w:val="00A5324F"/>
    <w:rsid w:val="00A540F3"/>
    <w:rsid w:val="00A57FF5"/>
    <w:rsid w:val="00A57FFA"/>
    <w:rsid w:val="00A601FC"/>
    <w:rsid w:val="00A60413"/>
    <w:rsid w:val="00A60550"/>
    <w:rsid w:val="00A60C89"/>
    <w:rsid w:val="00A60D77"/>
    <w:rsid w:val="00A61BA1"/>
    <w:rsid w:val="00A61EF4"/>
    <w:rsid w:val="00A62E93"/>
    <w:rsid w:val="00A63A75"/>
    <w:rsid w:val="00A63D31"/>
    <w:rsid w:val="00A648D6"/>
    <w:rsid w:val="00A65C7C"/>
    <w:rsid w:val="00A702A6"/>
    <w:rsid w:val="00A70D20"/>
    <w:rsid w:val="00A7108F"/>
    <w:rsid w:val="00A74026"/>
    <w:rsid w:val="00A743CD"/>
    <w:rsid w:val="00A748B8"/>
    <w:rsid w:val="00A7554A"/>
    <w:rsid w:val="00A772F2"/>
    <w:rsid w:val="00A777ED"/>
    <w:rsid w:val="00A77DE0"/>
    <w:rsid w:val="00A81A77"/>
    <w:rsid w:val="00A82732"/>
    <w:rsid w:val="00A82962"/>
    <w:rsid w:val="00A833AE"/>
    <w:rsid w:val="00A833F2"/>
    <w:rsid w:val="00A845CE"/>
    <w:rsid w:val="00A85508"/>
    <w:rsid w:val="00A85996"/>
    <w:rsid w:val="00A85B90"/>
    <w:rsid w:val="00A85D43"/>
    <w:rsid w:val="00A86237"/>
    <w:rsid w:val="00A864E5"/>
    <w:rsid w:val="00A870AB"/>
    <w:rsid w:val="00A874BA"/>
    <w:rsid w:val="00A87A91"/>
    <w:rsid w:val="00A9095E"/>
    <w:rsid w:val="00A90A4F"/>
    <w:rsid w:val="00A914EE"/>
    <w:rsid w:val="00A916A8"/>
    <w:rsid w:val="00A9213D"/>
    <w:rsid w:val="00A92C12"/>
    <w:rsid w:val="00A92FFB"/>
    <w:rsid w:val="00A94363"/>
    <w:rsid w:val="00A952BF"/>
    <w:rsid w:val="00A9615F"/>
    <w:rsid w:val="00A97296"/>
    <w:rsid w:val="00A9747B"/>
    <w:rsid w:val="00AA0446"/>
    <w:rsid w:val="00AA05D4"/>
    <w:rsid w:val="00AA1E8F"/>
    <w:rsid w:val="00AA212B"/>
    <w:rsid w:val="00AA249E"/>
    <w:rsid w:val="00AA2B82"/>
    <w:rsid w:val="00AA5429"/>
    <w:rsid w:val="00AA55EF"/>
    <w:rsid w:val="00AA5784"/>
    <w:rsid w:val="00AA5964"/>
    <w:rsid w:val="00AA5EBF"/>
    <w:rsid w:val="00AA6AAE"/>
    <w:rsid w:val="00AA6F62"/>
    <w:rsid w:val="00AB004A"/>
    <w:rsid w:val="00AB225C"/>
    <w:rsid w:val="00AB235D"/>
    <w:rsid w:val="00AB2790"/>
    <w:rsid w:val="00AB29D5"/>
    <w:rsid w:val="00AB2A14"/>
    <w:rsid w:val="00AB2FDA"/>
    <w:rsid w:val="00AB31F1"/>
    <w:rsid w:val="00AB32B6"/>
    <w:rsid w:val="00AB49AD"/>
    <w:rsid w:val="00AB6119"/>
    <w:rsid w:val="00AB669F"/>
    <w:rsid w:val="00AB6C9D"/>
    <w:rsid w:val="00AB7088"/>
    <w:rsid w:val="00AB7379"/>
    <w:rsid w:val="00AB79D6"/>
    <w:rsid w:val="00AC0099"/>
    <w:rsid w:val="00AC367B"/>
    <w:rsid w:val="00AC3D90"/>
    <w:rsid w:val="00AC3E10"/>
    <w:rsid w:val="00AC54AB"/>
    <w:rsid w:val="00AC5B89"/>
    <w:rsid w:val="00AC7907"/>
    <w:rsid w:val="00AC797C"/>
    <w:rsid w:val="00AC7ED1"/>
    <w:rsid w:val="00AD0A0E"/>
    <w:rsid w:val="00AD1F50"/>
    <w:rsid w:val="00AD3324"/>
    <w:rsid w:val="00AD35EF"/>
    <w:rsid w:val="00AD3F03"/>
    <w:rsid w:val="00AD4964"/>
    <w:rsid w:val="00AD5885"/>
    <w:rsid w:val="00AD7C0E"/>
    <w:rsid w:val="00AD7DD6"/>
    <w:rsid w:val="00AE00D5"/>
    <w:rsid w:val="00AE1BFD"/>
    <w:rsid w:val="00AE338D"/>
    <w:rsid w:val="00AE3AA8"/>
    <w:rsid w:val="00AE3EF6"/>
    <w:rsid w:val="00AE4506"/>
    <w:rsid w:val="00AE6808"/>
    <w:rsid w:val="00AE77A8"/>
    <w:rsid w:val="00AF0F6F"/>
    <w:rsid w:val="00AF15DE"/>
    <w:rsid w:val="00AF1909"/>
    <w:rsid w:val="00AF2E3D"/>
    <w:rsid w:val="00AF2FA3"/>
    <w:rsid w:val="00AF55F4"/>
    <w:rsid w:val="00AF596D"/>
    <w:rsid w:val="00AF5B67"/>
    <w:rsid w:val="00AF639C"/>
    <w:rsid w:val="00AF6881"/>
    <w:rsid w:val="00B00C80"/>
    <w:rsid w:val="00B012B4"/>
    <w:rsid w:val="00B03648"/>
    <w:rsid w:val="00B03906"/>
    <w:rsid w:val="00B04308"/>
    <w:rsid w:val="00B0438A"/>
    <w:rsid w:val="00B043F2"/>
    <w:rsid w:val="00B04F6E"/>
    <w:rsid w:val="00B114A0"/>
    <w:rsid w:val="00B12577"/>
    <w:rsid w:val="00B12733"/>
    <w:rsid w:val="00B12FC7"/>
    <w:rsid w:val="00B1610F"/>
    <w:rsid w:val="00B16271"/>
    <w:rsid w:val="00B16C4F"/>
    <w:rsid w:val="00B2152A"/>
    <w:rsid w:val="00B21674"/>
    <w:rsid w:val="00B2386C"/>
    <w:rsid w:val="00B264D9"/>
    <w:rsid w:val="00B26619"/>
    <w:rsid w:val="00B26E02"/>
    <w:rsid w:val="00B27172"/>
    <w:rsid w:val="00B31410"/>
    <w:rsid w:val="00B326E0"/>
    <w:rsid w:val="00B34C9A"/>
    <w:rsid w:val="00B35605"/>
    <w:rsid w:val="00B35741"/>
    <w:rsid w:val="00B35822"/>
    <w:rsid w:val="00B36582"/>
    <w:rsid w:val="00B378A5"/>
    <w:rsid w:val="00B37B99"/>
    <w:rsid w:val="00B37BF2"/>
    <w:rsid w:val="00B4172F"/>
    <w:rsid w:val="00B41EBD"/>
    <w:rsid w:val="00B4212D"/>
    <w:rsid w:val="00B425DD"/>
    <w:rsid w:val="00B44332"/>
    <w:rsid w:val="00B44D52"/>
    <w:rsid w:val="00B454AA"/>
    <w:rsid w:val="00B4562F"/>
    <w:rsid w:val="00B45807"/>
    <w:rsid w:val="00B45B16"/>
    <w:rsid w:val="00B45B4A"/>
    <w:rsid w:val="00B46242"/>
    <w:rsid w:val="00B4630B"/>
    <w:rsid w:val="00B46D85"/>
    <w:rsid w:val="00B476CF"/>
    <w:rsid w:val="00B47FB7"/>
    <w:rsid w:val="00B5051A"/>
    <w:rsid w:val="00B50B71"/>
    <w:rsid w:val="00B52C93"/>
    <w:rsid w:val="00B52EF3"/>
    <w:rsid w:val="00B555FC"/>
    <w:rsid w:val="00B55954"/>
    <w:rsid w:val="00B55DB4"/>
    <w:rsid w:val="00B57586"/>
    <w:rsid w:val="00B60602"/>
    <w:rsid w:val="00B61FE8"/>
    <w:rsid w:val="00B62F67"/>
    <w:rsid w:val="00B632B9"/>
    <w:rsid w:val="00B63953"/>
    <w:rsid w:val="00B63C9B"/>
    <w:rsid w:val="00B63ED2"/>
    <w:rsid w:val="00B72759"/>
    <w:rsid w:val="00B72BC9"/>
    <w:rsid w:val="00B72F20"/>
    <w:rsid w:val="00B73B9E"/>
    <w:rsid w:val="00B754FC"/>
    <w:rsid w:val="00B8155C"/>
    <w:rsid w:val="00B81A97"/>
    <w:rsid w:val="00B8217B"/>
    <w:rsid w:val="00B8378B"/>
    <w:rsid w:val="00B852D2"/>
    <w:rsid w:val="00B85B56"/>
    <w:rsid w:val="00B86FE7"/>
    <w:rsid w:val="00B903C0"/>
    <w:rsid w:val="00B91AAA"/>
    <w:rsid w:val="00B94764"/>
    <w:rsid w:val="00B961E8"/>
    <w:rsid w:val="00B9653C"/>
    <w:rsid w:val="00B97E36"/>
    <w:rsid w:val="00BA0578"/>
    <w:rsid w:val="00BA127B"/>
    <w:rsid w:val="00BA2204"/>
    <w:rsid w:val="00BA3A2B"/>
    <w:rsid w:val="00BA3E85"/>
    <w:rsid w:val="00BA41F1"/>
    <w:rsid w:val="00BA49FF"/>
    <w:rsid w:val="00BA5B51"/>
    <w:rsid w:val="00BA646A"/>
    <w:rsid w:val="00BA67B6"/>
    <w:rsid w:val="00BA700D"/>
    <w:rsid w:val="00BA7D03"/>
    <w:rsid w:val="00BB094A"/>
    <w:rsid w:val="00BB2540"/>
    <w:rsid w:val="00BB2AC0"/>
    <w:rsid w:val="00BB4211"/>
    <w:rsid w:val="00BB5103"/>
    <w:rsid w:val="00BB7984"/>
    <w:rsid w:val="00BC0396"/>
    <w:rsid w:val="00BC0565"/>
    <w:rsid w:val="00BC171D"/>
    <w:rsid w:val="00BC193E"/>
    <w:rsid w:val="00BC1A86"/>
    <w:rsid w:val="00BC1D00"/>
    <w:rsid w:val="00BC1FA0"/>
    <w:rsid w:val="00BC37A0"/>
    <w:rsid w:val="00BC43AF"/>
    <w:rsid w:val="00BC4E73"/>
    <w:rsid w:val="00BC58FB"/>
    <w:rsid w:val="00BC62E2"/>
    <w:rsid w:val="00BC6482"/>
    <w:rsid w:val="00BC65CA"/>
    <w:rsid w:val="00BC6666"/>
    <w:rsid w:val="00BC7AF3"/>
    <w:rsid w:val="00BD0528"/>
    <w:rsid w:val="00BD1AB8"/>
    <w:rsid w:val="00BD23EB"/>
    <w:rsid w:val="00BD25C7"/>
    <w:rsid w:val="00BD3788"/>
    <w:rsid w:val="00BD3C49"/>
    <w:rsid w:val="00BD4089"/>
    <w:rsid w:val="00BD4696"/>
    <w:rsid w:val="00BD46D9"/>
    <w:rsid w:val="00BD4DAF"/>
    <w:rsid w:val="00BD67DD"/>
    <w:rsid w:val="00BD72F3"/>
    <w:rsid w:val="00BD7C33"/>
    <w:rsid w:val="00BE1C13"/>
    <w:rsid w:val="00BE2C47"/>
    <w:rsid w:val="00BE2E2C"/>
    <w:rsid w:val="00BE491F"/>
    <w:rsid w:val="00BE4ABF"/>
    <w:rsid w:val="00BE50B9"/>
    <w:rsid w:val="00BE5A9A"/>
    <w:rsid w:val="00BE5E1A"/>
    <w:rsid w:val="00BE6172"/>
    <w:rsid w:val="00BF04F8"/>
    <w:rsid w:val="00BF1251"/>
    <w:rsid w:val="00BF2A17"/>
    <w:rsid w:val="00BF4730"/>
    <w:rsid w:val="00BF53BB"/>
    <w:rsid w:val="00BF5810"/>
    <w:rsid w:val="00BF59A6"/>
    <w:rsid w:val="00BF66F4"/>
    <w:rsid w:val="00BF6FE4"/>
    <w:rsid w:val="00C0038D"/>
    <w:rsid w:val="00C00B8C"/>
    <w:rsid w:val="00C01A92"/>
    <w:rsid w:val="00C01B14"/>
    <w:rsid w:val="00C03475"/>
    <w:rsid w:val="00C03CF2"/>
    <w:rsid w:val="00C057AC"/>
    <w:rsid w:val="00C05AE0"/>
    <w:rsid w:val="00C06F34"/>
    <w:rsid w:val="00C071E4"/>
    <w:rsid w:val="00C11397"/>
    <w:rsid w:val="00C118F7"/>
    <w:rsid w:val="00C1309A"/>
    <w:rsid w:val="00C13B82"/>
    <w:rsid w:val="00C1495C"/>
    <w:rsid w:val="00C1518E"/>
    <w:rsid w:val="00C15D93"/>
    <w:rsid w:val="00C17DD6"/>
    <w:rsid w:val="00C21163"/>
    <w:rsid w:val="00C21629"/>
    <w:rsid w:val="00C22A9A"/>
    <w:rsid w:val="00C22B97"/>
    <w:rsid w:val="00C236A4"/>
    <w:rsid w:val="00C24BAF"/>
    <w:rsid w:val="00C24FC0"/>
    <w:rsid w:val="00C25C90"/>
    <w:rsid w:val="00C27801"/>
    <w:rsid w:val="00C31209"/>
    <w:rsid w:val="00C3159F"/>
    <w:rsid w:val="00C3185F"/>
    <w:rsid w:val="00C327E1"/>
    <w:rsid w:val="00C33214"/>
    <w:rsid w:val="00C346FB"/>
    <w:rsid w:val="00C34A24"/>
    <w:rsid w:val="00C34C5D"/>
    <w:rsid w:val="00C35714"/>
    <w:rsid w:val="00C359D6"/>
    <w:rsid w:val="00C373E9"/>
    <w:rsid w:val="00C41F5B"/>
    <w:rsid w:val="00C42F6C"/>
    <w:rsid w:val="00C43513"/>
    <w:rsid w:val="00C43F10"/>
    <w:rsid w:val="00C4471F"/>
    <w:rsid w:val="00C46457"/>
    <w:rsid w:val="00C46E03"/>
    <w:rsid w:val="00C47A3C"/>
    <w:rsid w:val="00C50279"/>
    <w:rsid w:val="00C50598"/>
    <w:rsid w:val="00C50BA3"/>
    <w:rsid w:val="00C50E78"/>
    <w:rsid w:val="00C5144D"/>
    <w:rsid w:val="00C51C7D"/>
    <w:rsid w:val="00C53D38"/>
    <w:rsid w:val="00C541A6"/>
    <w:rsid w:val="00C5497F"/>
    <w:rsid w:val="00C54E6A"/>
    <w:rsid w:val="00C56776"/>
    <w:rsid w:val="00C6232B"/>
    <w:rsid w:val="00C625F1"/>
    <w:rsid w:val="00C62F99"/>
    <w:rsid w:val="00C6372F"/>
    <w:rsid w:val="00C653BE"/>
    <w:rsid w:val="00C654F9"/>
    <w:rsid w:val="00C65A1F"/>
    <w:rsid w:val="00C65B66"/>
    <w:rsid w:val="00C67324"/>
    <w:rsid w:val="00C67A64"/>
    <w:rsid w:val="00C67DC1"/>
    <w:rsid w:val="00C70596"/>
    <w:rsid w:val="00C70B13"/>
    <w:rsid w:val="00C7124B"/>
    <w:rsid w:val="00C74F9B"/>
    <w:rsid w:val="00C761D2"/>
    <w:rsid w:val="00C77098"/>
    <w:rsid w:val="00C804A9"/>
    <w:rsid w:val="00C80649"/>
    <w:rsid w:val="00C80E0C"/>
    <w:rsid w:val="00C81D34"/>
    <w:rsid w:val="00C8240E"/>
    <w:rsid w:val="00C82A25"/>
    <w:rsid w:val="00C84690"/>
    <w:rsid w:val="00C852B5"/>
    <w:rsid w:val="00C85778"/>
    <w:rsid w:val="00C86928"/>
    <w:rsid w:val="00C869F5"/>
    <w:rsid w:val="00C86FCC"/>
    <w:rsid w:val="00C9051C"/>
    <w:rsid w:val="00C9071A"/>
    <w:rsid w:val="00C90CFA"/>
    <w:rsid w:val="00C90E67"/>
    <w:rsid w:val="00C917B6"/>
    <w:rsid w:val="00C91E70"/>
    <w:rsid w:val="00C927DA"/>
    <w:rsid w:val="00C93462"/>
    <w:rsid w:val="00C938D0"/>
    <w:rsid w:val="00C93AB1"/>
    <w:rsid w:val="00C93E7E"/>
    <w:rsid w:val="00C93F62"/>
    <w:rsid w:val="00C94154"/>
    <w:rsid w:val="00C948A1"/>
    <w:rsid w:val="00C94B18"/>
    <w:rsid w:val="00C94B8B"/>
    <w:rsid w:val="00C94DCC"/>
    <w:rsid w:val="00C95D7C"/>
    <w:rsid w:val="00C971F5"/>
    <w:rsid w:val="00C9742F"/>
    <w:rsid w:val="00C97541"/>
    <w:rsid w:val="00C97864"/>
    <w:rsid w:val="00C97A5F"/>
    <w:rsid w:val="00C97AB7"/>
    <w:rsid w:val="00CA0AFA"/>
    <w:rsid w:val="00CA0E9E"/>
    <w:rsid w:val="00CA212A"/>
    <w:rsid w:val="00CA22C4"/>
    <w:rsid w:val="00CA3CD6"/>
    <w:rsid w:val="00CA4247"/>
    <w:rsid w:val="00CA5FC1"/>
    <w:rsid w:val="00CA615B"/>
    <w:rsid w:val="00CA6BFF"/>
    <w:rsid w:val="00CA7AFA"/>
    <w:rsid w:val="00CB0997"/>
    <w:rsid w:val="00CB0B36"/>
    <w:rsid w:val="00CB2505"/>
    <w:rsid w:val="00CB5AE3"/>
    <w:rsid w:val="00CB6355"/>
    <w:rsid w:val="00CB6585"/>
    <w:rsid w:val="00CC1BA5"/>
    <w:rsid w:val="00CC3345"/>
    <w:rsid w:val="00CC46DD"/>
    <w:rsid w:val="00CC5637"/>
    <w:rsid w:val="00CC5B29"/>
    <w:rsid w:val="00CC5FBB"/>
    <w:rsid w:val="00CC6C5F"/>
    <w:rsid w:val="00CD05EC"/>
    <w:rsid w:val="00CD3700"/>
    <w:rsid w:val="00CD3B82"/>
    <w:rsid w:val="00CD4EBB"/>
    <w:rsid w:val="00CD5293"/>
    <w:rsid w:val="00CD5E48"/>
    <w:rsid w:val="00CD664A"/>
    <w:rsid w:val="00CD6D04"/>
    <w:rsid w:val="00CD7AF1"/>
    <w:rsid w:val="00CE24AD"/>
    <w:rsid w:val="00CE2CDD"/>
    <w:rsid w:val="00CE318D"/>
    <w:rsid w:val="00CE3210"/>
    <w:rsid w:val="00CE38E5"/>
    <w:rsid w:val="00CE3C1A"/>
    <w:rsid w:val="00CE490E"/>
    <w:rsid w:val="00CE4E90"/>
    <w:rsid w:val="00CE5517"/>
    <w:rsid w:val="00CE66D0"/>
    <w:rsid w:val="00CE6947"/>
    <w:rsid w:val="00CE6D28"/>
    <w:rsid w:val="00CE6E83"/>
    <w:rsid w:val="00CE71B6"/>
    <w:rsid w:val="00CF0D41"/>
    <w:rsid w:val="00CF2321"/>
    <w:rsid w:val="00CF2BB4"/>
    <w:rsid w:val="00CF3032"/>
    <w:rsid w:val="00CF3526"/>
    <w:rsid w:val="00CF35A2"/>
    <w:rsid w:val="00CF3D91"/>
    <w:rsid w:val="00CF409A"/>
    <w:rsid w:val="00CF4CE7"/>
    <w:rsid w:val="00CF502D"/>
    <w:rsid w:val="00CF5511"/>
    <w:rsid w:val="00CF5795"/>
    <w:rsid w:val="00CF61E8"/>
    <w:rsid w:val="00CF691E"/>
    <w:rsid w:val="00D02E77"/>
    <w:rsid w:val="00D0494B"/>
    <w:rsid w:val="00D0495B"/>
    <w:rsid w:val="00D04F56"/>
    <w:rsid w:val="00D06822"/>
    <w:rsid w:val="00D073E3"/>
    <w:rsid w:val="00D109AD"/>
    <w:rsid w:val="00D10B14"/>
    <w:rsid w:val="00D12021"/>
    <w:rsid w:val="00D12170"/>
    <w:rsid w:val="00D12B40"/>
    <w:rsid w:val="00D13ADC"/>
    <w:rsid w:val="00D1521B"/>
    <w:rsid w:val="00D15B0D"/>
    <w:rsid w:val="00D15DDE"/>
    <w:rsid w:val="00D21321"/>
    <w:rsid w:val="00D21EC3"/>
    <w:rsid w:val="00D240A1"/>
    <w:rsid w:val="00D25727"/>
    <w:rsid w:val="00D2691C"/>
    <w:rsid w:val="00D26C97"/>
    <w:rsid w:val="00D30F77"/>
    <w:rsid w:val="00D327A6"/>
    <w:rsid w:val="00D34243"/>
    <w:rsid w:val="00D34A58"/>
    <w:rsid w:val="00D35B77"/>
    <w:rsid w:val="00D35CA4"/>
    <w:rsid w:val="00D35DE1"/>
    <w:rsid w:val="00D36FDF"/>
    <w:rsid w:val="00D40874"/>
    <w:rsid w:val="00D409DF"/>
    <w:rsid w:val="00D433AE"/>
    <w:rsid w:val="00D44D18"/>
    <w:rsid w:val="00D451D1"/>
    <w:rsid w:val="00D45282"/>
    <w:rsid w:val="00D45DBB"/>
    <w:rsid w:val="00D467F5"/>
    <w:rsid w:val="00D46D6D"/>
    <w:rsid w:val="00D47265"/>
    <w:rsid w:val="00D478BD"/>
    <w:rsid w:val="00D50912"/>
    <w:rsid w:val="00D50A97"/>
    <w:rsid w:val="00D51E7F"/>
    <w:rsid w:val="00D529E8"/>
    <w:rsid w:val="00D54497"/>
    <w:rsid w:val="00D556DB"/>
    <w:rsid w:val="00D55AB7"/>
    <w:rsid w:val="00D56DC8"/>
    <w:rsid w:val="00D56FD1"/>
    <w:rsid w:val="00D64B31"/>
    <w:rsid w:val="00D64CF9"/>
    <w:rsid w:val="00D66667"/>
    <w:rsid w:val="00D66850"/>
    <w:rsid w:val="00D700AE"/>
    <w:rsid w:val="00D70163"/>
    <w:rsid w:val="00D701ED"/>
    <w:rsid w:val="00D70A12"/>
    <w:rsid w:val="00D70E7B"/>
    <w:rsid w:val="00D715F8"/>
    <w:rsid w:val="00D72883"/>
    <w:rsid w:val="00D73611"/>
    <w:rsid w:val="00D73FF0"/>
    <w:rsid w:val="00D74BD8"/>
    <w:rsid w:val="00D7506A"/>
    <w:rsid w:val="00D82517"/>
    <w:rsid w:val="00D82F0C"/>
    <w:rsid w:val="00D82F7C"/>
    <w:rsid w:val="00D85D32"/>
    <w:rsid w:val="00D86278"/>
    <w:rsid w:val="00D92C85"/>
    <w:rsid w:val="00D92DCA"/>
    <w:rsid w:val="00D930AC"/>
    <w:rsid w:val="00D94F89"/>
    <w:rsid w:val="00D96078"/>
    <w:rsid w:val="00DA0980"/>
    <w:rsid w:val="00DA0B22"/>
    <w:rsid w:val="00DA1222"/>
    <w:rsid w:val="00DA1C9D"/>
    <w:rsid w:val="00DA27C4"/>
    <w:rsid w:val="00DA344B"/>
    <w:rsid w:val="00DA3A5A"/>
    <w:rsid w:val="00DA3DA9"/>
    <w:rsid w:val="00DA4522"/>
    <w:rsid w:val="00DA46FC"/>
    <w:rsid w:val="00DA4C07"/>
    <w:rsid w:val="00DA76E2"/>
    <w:rsid w:val="00DB037B"/>
    <w:rsid w:val="00DB115E"/>
    <w:rsid w:val="00DB3CFA"/>
    <w:rsid w:val="00DB3E52"/>
    <w:rsid w:val="00DB455B"/>
    <w:rsid w:val="00DB495D"/>
    <w:rsid w:val="00DB5B36"/>
    <w:rsid w:val="00DC0235"/>
    <w:rsid w:val="00DC0362"/>
    <w:rsid w:val="00DC0746"/>
    <w:rsid w:val="00DC10E3"/>
    <w:rsid w:val="00DC2108"/>
    <w:rsid w:val="00DC23E6"/>
    <w:rsid w:val="00DC3C5C"/>
    <w:rsid w:val="00DC4346"/>
    <w:rsid w:val="00DC43D0"/>
    <w:rsid w:val="00DC4B12"/>
    <w:rsid w:val="00DC4FC6"/>
    <w:rsid w:val="00DC5052"/>
    <w:rsid w:val="00DC556D"/>
    <w:rsid w:val="00DC6CC5"/>
    <w:rsid w:val="00DD055D"/>
    <w:rsid w:val="00DD2293"/>
    <w:rsid w:val="00DD2D0F"/>
    <w:rsid w:val="00DD3777"/>
    <w:rsid w:val="00DD4088"/>
    <w:rsid w:val="00DD40D3"/>
    <w:rsid w:val="00DD567A"/>
    <w:rsid w:val="00DD56EA"/>
    <w:rsid w:val="00DD5895"/>
    <w:rsid w:val="00DD6AB8"/>
    <w:rsid w:val="00DD6B57"/>
    <w:rsid w:val="00DD77C5"/>
    <w:rsid w:val="00DD7A49"/>
    <w:rsid w:val="00DD7DD8"/>
    <w:rsid w:val="00DE050A"/>
    <w:rsid w:val="00DE07D6"/>
    <w:rsid w:val="00DE21DE"/>
    <w:rsid w:val="00DE2B00"/>
    <w:rsid w:val="00DE2EE2"/>
    <w:rsid w:val="00DE341C"/>
    <w:rsid w:val="00DE381E"/>
    <w:rsid w:val="00DE40E4"/>
    <w:rsid w:val="00DE60E4"/>
    <w:rsid w:val="00DE6294"/>
    <w:rsid w:val="00DE6D17"/>
    <w:rsid w:val="00DE6E7A"/>
    <w:rsid w:val="00DF004D"/>
    <w:rsid w:val="00DF01A5"/>
    <w:rsid w:val="00DF0857"/>
    <w:rsid w:val="00DF1FE6"/>
    <w:rsid w:val="00DF2031"/>
    <w:rsid w:val="00DF2BDF"/>
    <w:rsid w:val="00DF30FD"/>
    <w:rsid w:val="00DF31C4"/>
    <w:rsid w:val="00DF3819"/>
    <w:rsid w:val="00DF3BE1"/>
    <w:rsid w:val="00DF3CBB"/>
    <w:rsid w:val="00DF3F84"/>
    <w:rsid w:val="00DF4F86"/>
    <w:rsid w:val="00DF5BE0"/>
    <w:rsid w:val="00DF62C8"/>
    <w:rsid w:val="00DF766B"/>
    <w:rsid w:val="00DF7EDA"/>
    <w:rsid w:val="00E00BA0"/>
    <w:rsid w:val="00E00CFC"/>
    <w:rsid w:val="00E021F7"/>
    <w:rsid w:val="00E02AAA"/>
    <w:rsid w:val="00E04448"/>
    <w:rsid w:val="00E060FB"/>
    <w:rsid w:val="00E06C78"/>
    <w:rsid w:val="00E11548"/>
    <w:rsid w:val="00E14191"/>
    <w:rsid w:val="00E153CE"/>
    <w:rsid w:val="00E1662B"/>
    <w:rsid w:val="00E17BB8"/>
    <w:rsid w:val="00E226E0"/>
    <w:rsid w:val="00E22822"/>
    <w:rsid w:val="00E22FFF"/>
    <w:rsid w:val="00E2323E"/>
    <w:rsid w:val="00E234FF"/>
    <w:rsid w:val="00E2461E"/>
    <w:rsid w:val="00E25E34"/>
    <w:rsid w:val="00E25ED5"/>
    <w:rsid w:val="00E25FE9"/>
    <w:rsid w:val="00E26F9B"/>
    <w:rsid w:val="00E27D5B"/>
    <w:rsid w:val="00E30E23"/>
    <w:rsid w:val="00E31A4E"/>
    <w:rsid w:val="00E31D9F"/>
    <w:rsid w:val="00E3247A"/>
    <w:rsid w:val="00E328F8"/>
    <w:rsid w:val="00E3321F"/>
    <w:rsid w:val="00E35CA6"/>
    <w:rsid w:val="00E36820"/>
    <w:rsid w:val="00E372CC"/>
    <w:rsid w:val="00E37D5C"/>
    <w:rsid w:val="00E40267"/>
    <w:rsid w:val="00E40A7F"/>
    <w:rsid w:val="00E41556"/>
    <w:rsid w:val="00E425AC"/>
    <w:rsid w:val="00E4270A"/>
    <w:rsid w:val="00E42858"/>
    <w:rsid w:val="00E43A82"/>
    <w:rsid w:val="00E44816"/>
    <w:rsid w:val="00E44D4B"/>
    <w:rsid w:val="00E44E9D"/>
    <w:rsid w:val="00E46163"/>
    <w:rsid w:val="00E46954"/>
    <w:rsid w:val="00E47162"/>
    <w:rsid w:val="00E47325"/>
    <w:rsid w:val="00E4732D"/>
    <w:rsid w:val="00E51E80"/>
    <w:rsid w:val="00E52623"/>
    <w:rsid w:val="00E526A2"/>
    <w:rsid w:val="00E52C77"/>
    <w:rsid w:val="00E53106"/>
    <w:rsid w:val="00E53E34"/>
    <w:rsid w:val="00E54474"/>
    <w:rsid w:val="00E545CD"/>
    <w:rsid w:val="00E54CE6"/>
    <w:rsid w:val="00E553BC"/>
    <w:rsid w:val="00E563D8"/>
    <w:rsid w:val="00E56961"/>
    <w:rsid w:val="00E57051"/>
    <w:rsid w:val="00E57E46"/>
    <w:rsid w:val="00E604D0"/>
    <w:rsid w:val="00E6165E"/>
    <w:rsid w:val="00E63BB7"/>
    <w:rsid w:val="00E63CC8"/>
    <w:rsid w:val="00E643DB"/>
    <w:rsid w:val="00E64499"/>
    <w:rsid w:val="00E64986"/>
    <w:rsid w:val="00E6579C"/>
    <w:rsid w:val="00E658B9"/>
    <w:rsid w:val="00E65C08"/>
    <w:rsid w:val="00E66B84"/>
    <w:rsid w:val="00E67070"/>
    <w:rsid w:val="00E701B1"/>
    <w:rsid w:val="00E7061F"/>
    <w:rsid w:val="00E70D9A"/>
    <w:rsid w:val="00E710AD"/>
    <w:rsid w:val="00E720E9"/>
    <w:rsid w:val="00E721AA"/>
    <w:rsid w:val="00E746E9"/>
    <w:rsid w:val="00E749A3"/>
    <w:rsid w:val="00E74E3E"/>
    <w:rsid w:val="00E75C00"/>
    <w:rsid w:val="00E763D8"/>
    <w:rsid w:val="00E8080E"/>
    <w:rsid w:val="00E8208B"/>
    <w:rsid w:val="00E839E2"/>
    <w:rsid w:val="00E8419E"/>
    <w:rsid w:val="00E84D96"/>
    <w:rsid w:val="00E858AA"/>
    <w:rsid w:val="00E85DF6"/>
    <w:rsid w:val="00E87F0C"/>
    <w:rsid w:val="00E91C3E"/>
    <w:rsid w:val="00E92759"/>
    <w:rsid w:val="00E944F5"/>
    <w:rsid w:val="00E9511B"/>
    <w:rsid w:val="00E95321"/>
    <w:rsid w:val="00E96A57"/>
    <w:rsid w:val="00E97560"/>
    <w:rsid w:val="00E97C31"/>
    <w:rsid w:val="00EA1164"/>
    <w:rsid w:val="00EA3D2C"/>
    <w:rsid w:val="00EA5F6C"/>
    <w:rsid w:val="00EA77F5"/>
    <w:rsid w:val="00EB0E94"/>
    <w:rsid w:val="00EB1BD0"/>
    <w:rsid w:val="00EB3710"/>
    <w:rsid w:val="00EB3A16"/>
    <w:rsid w:val="00EB3C69"/>
    <w:rsid w:val="00EB4661"/>
    <w:rsid w:val="00EB5BCA"/>
    <w:rsid w:val="00EB7218"/>
    <w:rsid w:val="00EC20EA"/>
    <w:rsid w:val="00EC3CDD"/>
    <w:rsid w:val="00EC5D61"/>
    <w:rsid w:val="00EC6C3A"/>
    <w:rsid w:val="00ED0671"/>
    <w:rsid w:val="00ED0B29"/>
    <w:rsid w:val="00ED2534"/>
    <w:rsid w:val="00ED31DD"/>
    <w:rsid w:val="00ED42EC"/>
    <w:rsid w:val="00ED4886"/>
    <w:rsid w:val="00ED5076"/>
    <w:rsid w:val="00ED5CB6"/>
    <w:rsid w:val="00ED73C2"/>
    <w:rsid w:val="00ED7A49"/>
    <w:rsid w:val="00ED7C41"/>
    <w:rsid w:val="00EE1863"/>
    <w:rsid w:val="00EE1B70"/>
    <w:rsid w:val="00EE1ECA"/>
    <w:rsid w:val="00EE36C2"/>
    <w:rsid w:val="00EE37AF"/>
    <w:rsid w:val="00EE382B"/>
    <w:rsid w:val="00EE5193"/>
    <w:rsid w:val="00EE618F"/>
    <w:rsid w:val="00EE6A7A"/>
    <w:rsid w:val="00EE6DB4"/>
    <w:rsid w:val="00EF2067"/>
    <w:rsid w:val="00EF27AA"/>
    <w:rsid w:val="00EF3C38"/>
    <w:rsid w:val="00EF5114"/>
    <w:rsid w:val="00EF6F31"/>
    <w:rsid w:val="00F00704"/>
    <w:rsid w:val="00F021D4"/>
    <w:rsid w:val="00F02252"/>
    <w:rsid w:val="00F02353"/>
    <w:rsid w:val="00F03921"/>
    <w:rsid w:val="00F03BB7"/>
    <w:rsid w:val="00F04842"/>
    <w:rsid w:val="00F07215"/>
    <w:rsid w:val="00F07731"/>
    <w:rsid w:val="00F11372"/>
    <w:rsid w:val="00F1626F"/>
    <w:rsid w:val="00F162CC"/>
    <w:rsid w:val="00F16C1A"/>
    <w:rsid w:val="00F1769A"/>
    <w:rsid w:val="00F177A2"/>
    <w:rsid w:val="00F177E3"/>
    <w:rsid w:val="00F17956"/>
    <w:rsid w:val="00F21225"/>
    <w:rsid w:val="00F22B85"/>
    <w:rsid w:val="00F236A5"/>
    <w:rsid w:val="00F2370C"/>
    <w:rsid w:val="00F23A66"/>
    <w:rsid w:val="00F242B4"/>
    <w:rsid w:val="00F24B3E"/>
    <w:rsid w:val="00F254C8"/>
    <w:rsid w:val="00F2570F"/>
    <w:rsid w:val="00F262F5"/>
    <w:rsid w:val="00F26631"/>
    <w:rsid w:val="00F26B80"/>
    <w:rsid w:val="00F26F95"/>
    <w:rsid w:val="00F27B11"/>
    <w:rsid w:val="00F3081C"/>
    <w:rsid w:val="00F30E1C"/>
    <w:rsid w:val="00F30FCE"/>
    <w:rsid w:val="00F3175F"/>
    <w:rsid w:val="00F32A52"/>
    <w:rsid w:val="00F33348"/>
    <w:rsid w:val="00F3363C"/>
    <w:rsid w:val="00F36257"/>
    <w:rsid w:val="00F364BE"/>
    <w:rsid w:val="00F366A3"/>
    <w:rsid w:val="00F401BC"/>
    <w:rsid w:val="00F40A47"/>
    <w:rsid w:val="00F412AF"/>
    <w:rsid w:val="00F417B0"/>
    <w:rsid w:val="00F4220D"/>
    <w:rsid w:val="00F428EB"/>
    <w:rsid w:val="00F429C6"/>
    <w:rsid w:val="00F42A0B"/>
    <w:rsid w:val="00F42AF6"/>
    <w:rsid w:val="00F44024"/>
    <w:rsid w:val="00F45E06"/>
    <w:rsid w:val="00F45EB9"/>
    <w:rsid w:val="00F4652D"/>
    <w:rsid w:val="00F4658D"/>
    <w:rsid w:val="00F4691C"/>
    <w:rsid w:val="00F4711F"/>
    <w:rsid w:val="00F51960"/>
    <w:rsid w:val="00F53AD3"/>
    <w:rsid w:val="00F53D95"/>
    <w:rsid w:val="00F54113"/>
    <w:rsid w:val="00F55C61"/>
    <w:rsid w:val="00F56A98"/>
    <w:rsid w:val="00F57250"/>
    <w:rsid w:val="00F605D4"/>
    <w:rsid w:val="00F6157E"/>
    <w:rsid w:val="00F617D5"/>
    <w:rsid w:val="00F62DD3"/>
    <w:rsid w:val="00F630B1"/>
    <w:rsid w:val="00F652F1"/>
    <w:rsid w:val="00F66C07"/>
    <w:rsid w:val="00F66E5E"/>
    <w:rsid w:val="00F6700B"/>
    <w:rsid w:val="00F671BD"/>
    <w:rsid w:val="00F671C4"/>
    <w:rsid w:val="00F6781F"/>
    <w:rsid w:val="00F718DB"/>
    <w:rsid w:val="00F72B3B"/>
    <w:rsid w:val="00F73C39"/>
    <w:rsid w:val="00F73F7C"/>
    <w:rsid w:val="00F741A1"/>
    <w:rsid w:val="00F75AEF"/>
    <w:rsid w:val="00F75BB5"/>
    <w:rsid w:val="00F75BD1"/>
    <w:rsid w:val="00F76E23"/>
    <w:rsid w:val="00F77D18"/>
    <w:rsid w:val="00F802F6"/>
    <w:rsid w:val="00F8044B"/>
    <w:rsid w:val="00F81865"/>
    <w:rsid w:val="00F81CC8"/>
    <w:rsid w:val="00F82B56"/>
    <w:rsid w:val="00F83094"/>
    <w:rsid w:val="00F834F1"/>
    <w:rsid w:val="00F84485"/>
    <w:rsid w:val="00F85BDE"/>
    <w:rsid w:val="00F907FE"/>
    <w:rsid w:val="00F9102C"/>
    <w:rsid w:val="00F93421"/>
    <w:rsid w:val="00F93523"/>
    <w:rsid w:val="00F94D38"/>
    <w:rsid w:val="00F953C4"/>
    <w:rsid w:val="00F979BD"/>
    <w:rsid w:val="00FA008D"/>
    <w:rsid w:val="00FA0793"/>
    <w:rsid w:val="00FA35B8"/>
    <w:rsid w:val="00FA406D"/>
    <w:rsid w:val="00FA4EA2"/>
    <w:rsid w:val="00FA5E13"/>
    <w:rsid w:val="00FA6B6F"/>
    <w:rsid w:val="00FA6BEB"/>
    <w:rsid w:val="00FA78AC"/>
    <w:rsid w:val="00FB01A0"/>
    <w:rsid w:val="00FB0353"/>
    <w:rsid w:val="00FB0D81"/>
    <w:rsid w:val="00FB0EEE"/>
    <w:rsid w:val="00FB1255"/>
    <w:rsid w:val="00FB2213"/>
    <w:rsid w:val="00FB28FA"/>
    <w:rsid w:val="00FB3CD7"/>
    <w:rsid w:val="00FB4990"/>
    <w:rsid w:val="00FB6A36"/>
    <w:rsid w:val="00FB6B8D"/>
    <w:rsid w:val="00FB6C16"/>
    <w:rsid w:val="00FB6E56"/>
    <w:rsid w:val="00FB6E7B"/>
    <w:rsid w:val="00FC19CE"/>
    <w:rsid w:val="00FC281A"/>
    <w:rsid w:val="00FC2E21"/>
    <w:rsid w:val="00FC3457"/>
    <w:rsid w:val="00FC3592"/>
    <w:rsid w:val="00FC3EBE"/>
    <w:rsid w:val="00FC5FC7"/>
    <w:rsid w:val="00FC6AA6"/>
    <w:rsid w:val="00FC747A"/>
    <w:rsid w:val="00FD0672"/>
    <w:rsid w:val="00FD1A3E"/>
    <w:rsid w:val="00FD1A83"/>
    <w:rsid w:val="00FD1F1D"/>
    <w:rsid w:val="00FD30A6"/>
    <w:rsid w:val="00FD3219"/>
    <w:rsid w:val="00FD6F36"/>
    <w:rsid w:val="00FD7CBE"/>
    <w:rsid w:val="00FD7EC1"/>
    <w:rsid w:val="00FE0B02"/>
    <w:rsid w:val="00FE1931"/>
    <w:rsid w:val="00FE2042"/>
    <w:rsid w:val="00FE2A63"/>
    <w:rsid w:val="00FE5147"/>
    <w:rsid w:val="00FE5E99"/>
    <w:rsid w:val="00FE6729"/>
    <w:rsid w:val="00FE6B85"/>
    <w:rsid w:val="00FE6C59"/>
    <w:rsid w:val="00FE6EA0"/>
    <w:rsid w:val="00FF1D47"/>
    <w:rsid w:val="00FF2C8D"/>
    <w:rsid w:val="00FF3FC6"/>
    <w:rsid w:val="00FF4D3C"/>
    <w:rsid w:val="00FF6685"/>
    <w:rsid w:val="00FF7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6189A"/>
  <w15:chartTrackingRefBased/>
  <w15:docId w15:val="{6B35AE52-8D29-4BAD-A97C-E01C61CDE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Calibri"/>
        <w:sz w:val="24"/>
        <w:szCs w:val="22"/>
        <w:lang w:val="en-US" w:eastAsia="en-US" w:bidi="ar-SA"/>
      </w:rPr>
    </w:rPrDefault>
    <w:pPrDefault>
      <w:pPr>
        <w:spacing w:after="5" w:line="480" w:lineRule="auto"/>
        <w:ind w:left="302" w:hanging="1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859"/>
  </w:style>
  <w:style w:type="paragraph" w:styleId="Heading1">
    <w:name w:val="heading 1"/>
    <w:basedOn w:val="Normal"/>
    <w:next w:val="Normal"/>
    <w:link w:val="Heading1Char"/>
    <w:autoRedefine/>
    <w:uiPriority w:val="9"/>
    <w:qFormat/>
    <w:rsid w:val="00F11372"/>
    <w:pPr>
      <w:keepNext/>
      <w:keepLines/>
      <w:spacing w:before="240" w:after="0"/>
      <w:ind w:left="-288" w:firstLine="0"/>
      <w:jc w:val="left"/>
      <w:outlineLvl w:val="0"/>
    </w:pPr>
    <w:rPr>
      <w:rFonts w:eastAsiaTheme="majorEastAsia" w:cstheme="majorBidi"/>
      <w:b/>
      <w:noProof/>
      <w:sz w:val="28"/>
      <w:szCs w:val="32"/>
    </w:rPr>
  </w:style>
  <w:style w:type="paragraph" w:styleId="Heading2">
    <w:name w:val="heading 2"/>
    <w:basedOn w:val="Normal"/>
    <w:next w:val="Normal"/>
    <w:link w:val="Heading2Char"/>
    <w:autoRedefine/>
    <w:uiPriority w:val="9"/>
    <w:unhideWhenUsed/>
    <w:qFormat/>
    <w:rsid w:val="00EE6A7A"/>
    <w:pPr>
      <w:keepNext/>
      <w:keepLines/>
      <w:spacing w:before="40" w:after="0"/>
      <w:ind w:left="14"/>
      <w:outlineLvl w:val="1"/>
    </w:pPr>
    <w:rPr>
      <w:rFonts w:eastAsiaTheme="majorEastAsia" w:cstheme="majorBidi"/>
      <w:bCs/>
      <w:color w:val="000000" w:themeColor="text1"/>
      <w:szCs w:val="26"/>
      <w:u w:val="single"/>
    </w:rPr>
  </w:style>
  <w:style w:type="paragraph" w:styleId="Heading3">
    <w:name w:val="heading 3"/>
    <w:basedOn w:val="Normal"/>
    <w:next w:val="Normal"/>
    <w:link w:val="Heading3Char"/>
    <w:uiPriority w:val="9"/>
    <w:unhideWhenUsed/>
    <w:qFormat/>
    <w:rsid w:val="0070323F"/>
    <w:pPr>
      <w:keepNext/>
      <w:keepLines/>
      <w:spacing w:before="40" w:after="0"/>
      <w:ind w:left="14"/>
      <w:outlineLvl w:val="2"/>
    </w:pPr>
    <w:rPr>
      <w:rFonts w:eastAsiaTheme="majorEastAsia" w:cstheme="majorBidi"/>
      <w:b/>
      <w:szCs w:val="24"/>
    </w:rPr>
  </w:style>
  <w:style w:type="paragraph" w:styleId="Heading6">
    <w:name w:val="heading 6"/>
    <w:basedOn w:val="Normal"/>
    <w:next w:val="Normal"/>
    <w:link w:val="Heading6Char"/>
    <w:uiPriority w:val="9"/>
    <w:semiHidden/>
    <w:unhideWhenUsed/>
    <w:qFormat/>
    <w:rsid w:val="00952270"/>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1372"/>
    <w:rPr>
      <w:rFonts w:eastAsiaTheme="majorEastAsia" w:cstheme="majorBidi"/>
      <w:b/>
      <w:noProof/>
      <w:sz w:val="28"/>
      <w:szCs w:val="32"/>
    </w:rPr>
  </w:style>
  <w:style w:type="paragraph" w:styleId="TOCHeading">
    <w:name w:val="TOC Heading"/>
    <w:basedOn w:val="Heading1"/>
    <w:next w:val="Normal"/>
    <w:uiPriority w:val="39"/>
    <w:unhideWhenUsed/>
    <w:qFormat/>
    <w:rsid w:val="0006409C"/>
    <w:pPr>
      <w:spacing w:line="259" w:lineRule="auto"/>
      <w:outlineLvl w:val="9"/>
    </w:pPr>
    <w:rPr>
      <w:b w:val="0"/>
    </w:rPr>
  </w:style>
  <w:style w:type="numbering" w:customStyle="1" w:styleId="NoList1">
    <w:name w:val="No List1"/>
    <w:next w:val="NoList"/>
    <w:uiPriority w:val="99"/>
    <w:semiHidden/>
    <w:unhideWhenUsed/>
    <w:rsid w:val="00B0438A"/>
  </w:style>
  <w:style w:type="paragraph" w:styleId="Header">
    <w:name w:val="header"/>
    <w:basedOn w:val="Normal"/>
    <w:link w:val="HeaderChar"/>
    <w:uiPriority w:val="99"/>
    <w:unhideWhenUsed/>
    <w:rsid w:val="00B0438A"/>
    <w:pPr>
      <w:tabs>
        <w:tab w:val="center" w:pos="4680"/>
        <w:tab w:val="right" w:pos="9360"/>
      </w:tabs>
      <w:spacing w:after="0" w:line="240" w:lineRule="auto"/>
      <w:ind w:left="0" w:firstLine="0"/>
      <w:jc w:val="left"/>
    </w:pPr>
    <w:rPr>
      <w:rFonts w:asciiTheme="minorHAnsi" w:hAnsiTheme="minorHAnsi" w:cstheme="minorBidi"/>
      <w:sz w:val="22"/>
    </w:rPr>
  </w:style>
  <w:style w:type="character" w:customStyle="1" w:styleId="HeaderChar">
    <w:name w:val="Header Char"/>
    <w:basedOn w:val="DefaultParagraphFont"/>
    <w:link w:val="Header"/>
    <w:uiPriority w:val="99"/>
    <w:rsid w:val="00B0438A"/>
  </w:style>
  <w:style w:type="paragraph" w:styleId="Footer">
    <w:name w:val="footer"/>
    <w:basedOn w:val="Normal"/>
    <w:link w:val="FooterChar"/>
    <w:uiPriority w:val="99"/>
    <w:unhideWhenUsed/>
    <w:rsid w:val="00B0438A"/>
    <w:pPr>
      <w:tabs>
        <w:tab w:val="center" w:pos="4680"/>
        <w:tab w:val="right" w:pos="9360"/>
      </w:tabs>
      <w:spacing w:after="0" w:line="240" w:lineRule="auto"/>
      <w:ind w:left="0" w:firstLine="0"/>
      <w:jc w:val="left"/>
    </w:pPr>
    <w:rPr>
      <w:rFonts w:asciiTheme="minorHAnsi" w:hAnsiTheme="minorHAnsi" w:cstheme="minorBidi"/>
      <w:sz w:val="22"/>
    </w:rPr>
  </w:style>
  <w:style w:type="character" w:customStyle="1" w:styleId="FooterChar">
    <w:name w:val="Footer Char"/>
    <w:basedOn w:val="DefaultParagraphFont"/>
    <w:link w:val="Footer"/>
    <w:uiPriority w:val="99"/>
    <w:rsid w:val="00B0438A"/>
  </w:style>
  <w:style w:type="paragraph" w:styleId="ListParagraph">
    <w:name w:val="List Paragraph"/>
    <w:basedOn w:val="Normal"/>
    <w:uiPriority w:val="34"/>
    <w:qFormat/>
    <w:rsid w:val="00B0438A"/>
    <w:pPr>
      <w:spacing w:after="160" w:line="259" w:lineRule="auto"/>
      <w:ind w:left="720" w:firstLine="0"/>
      <w:contextualSpacing/>
      <w:jc w:val="left"/>
    </w:pPr>
    <w:rPr>
      <w:rFonts w:asciiTheme="minorHAnsi" w:hAnsiTheme="minorHAnsi" w:cstheme="minorBidi"/>
      <w:sz w:val="22"/>
    </w:rPr>
  </w:style>
  <w:style w:type="character" w:styleId="Emphasis">
    <w:name w:val="Emphasis"/>
    <w:basedOn w:val="DefaultParagraphFont"/>
    <w:uiPriority w:val="20"/>
    <w:qFormat/>
    <w:rsid w:val="00B0438A"/>
    <w:rPr>
      <w:i/>
      <w:iCs/>
    </w:rPr>
  </w:style>
  <w:style w:type="paragraph" w:styleId="BalloonText">
    <w:name w:val="Balloon Text"/>
    <w:basedOn w:val="Normal"/>
    <w:link w:val="BalloonTextChar"/>
    <w:uiPriority w:val="99"/>
    <w:semiHidden/>
    <w:unhideWhenUsed/>
    <w:rsid w:val="00B0438A"/>
    <w:pPr>
      <w:spacing w:after="0" w:line="240" w:lineRule="auto"/>
      <w:ind w:left="0" w:firstLine="0"/>
      <w:jc w:val="left"/>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438A"/>
    <w:rPr>
      <w:rFonts w:ascii="Segoe UI" w:hAnsi="Segoe UI" w:cs="Segoe UI"/>
      <w:sz w:val="18"/>
      <w:szCs w:val="18"/>
    </w:rPr>
  </w:style>
  <w:style w:type="paragraph" w:styleId="TOC1">
    <w:name w:val="toc 1"/>
    <w:basedOn w:val="Normal"/>
    <w:next w:val="Normal"/>
    <w:autoRedefine/>
    <w:uiPriority w:val="39"/>
    <w:unhideWhenUsed/>
    <w:rsid w:val="00E44E9D"/>
    <w:pPr>
      <w:tabs>
        <w:tab w:val="right" w:leader="dot" w:pos="9350"/>
      </w:tabs>
      <w:spacing w:after="100" w:line="360" w:lineRule="auto"/>
      <w:ind w:left="0"/>
    </w:pPr>
    <w:rPr>
      <w:rFonts w:eastAsiaTheme="majorEastAsia" w:cstheme="majorBidi"/>
      <w:b/>
      <w:bCs/>
      <w:noProof/>
    </w:rPr>
  </w:style>
  <w:style w:type="character" w:styleId="Hyperlink">
    <w:name w:val="Hyperlink"/>
    <w:basedOn w:val="DefaultParagraphFont"/>
    <w:uiPriority w:val="99"/>
    <w:unhideWhenUsed/>
    <w:rsid w:val="00DA0980"/>
    <w:rPr>
      <w:color w:val="0563C1" w:themeColor="hyperlink"/>
      <w:u w:val="single"/>
    </w:rPr>
  </w:style>
  <w:style w:type="character" w:customStyle="1" w:styleId="Heading2Char">
    <w:name w:val="Heading 2 Char"/>
    <w:basedOn w:val="DefaultParagraphFont"/>
    <w:link w:val="Heading2"/>
    <w:uiPriority w:val="9"/>
    <w:rsid w:val="00EE6A7A"/>
    <w:rPr>
      <w:rFonts w:eastAsiaTheme="majorEastAsia" w:cstheme="majorBidi"/>
      <w:bCs/>
      <w:color w:val="000000" w:themeColor="text1"/>
      <w:szCs w:val="26"/>
      <w:u w:val="single"/>
    </w:rPr>
  </w:style>
  <w:style w:type="paragraph" w:styleId="TOC2">
    <w:name w:val="toc 2"/>
    <w:basedOn w:val="Normal"/>
    <w:next w:val="Normal"/>
    <w:autoRedefine/>
    <w:uiPriority w:val="39"/>
    <w:unhideWhenUsed/>
    <w:rsid w:val="00BC43AF"/>
    <w:pPr>
      <w:tabs>
        <w:tab w:val="right" w:leader="dot" w:pos="9350"/>
      </w:tabs>
      <w:spacing w:after="100" w:line="240" w:lineRule="auto"/>
      <w:ind w:left="201"/>
    </w:pPr>
  </w:style>
  <w:style w:type="character" w:customStyle="1" w:styleId="Heading3Char">
    <w:name w:val="Heading 3 Char"/>
    <w:basedOn w:val="DefaultParagraphFont"/>
    <w:link w:val="Heading3"/>
    <w:uiPriority w:val="9"/>
    <w:rsid w:val="0070323F"/>
    <w:rPr>
      <w:rFonts w:eastAsiaTheme="majorEastAsia" w:cstheme="majorBidi"/>
      <w:b/>
      <w:szCs w:val="24"/>
    </w:rPr>
  </w:style>
  <w:style w:type="paragraph" w:styleId="TOC3">
    <w:name w:val="toc 3"/>
    <w:basedOn w:val="Normal"/>
    <w:next w:val="Normal"/>
    <w:autoRedefine/>
    <w:uiPriority w:val="39"/>
    <w:unhideWhenUsed/>
    <w:rsid w:val="0070323F"/>
    <w:pPr>
      <w:spacing w:after="100"/>
      <w:ind w:left="480"/>
    </w:pPr>
  </w:style>
  <w:style w:type="numbering" w:customStyle="1" w:styleId="NoList2">
    <w:name w:val="No List2"/>
    <w:next w:val="NoList"/>
    <w:uiPriority w:val="99"/>
    <w:semiHidden/>
    <w:unhideWhenUsed/>
    <w:rsid w:val="001642FE"/>
  </w:style>
  <w:style w:type="character" w:styleId="CommentReference">
    <w:name w:val="annotation reference"/>
    <w:basedOn w:val="DefaultParagraphFont"/>
    <w:uiPriority w:val="99"/>
    <w:semiHidden/>
    <w:unhideWhenUsed/>
    <w:rsid w:val="001642FE"/>
    <w:rPr>
      <w:sz w:val="16"/>
      <w:szCs w:val="16"/>
    </w:rPr>
  </w:style>
  <w:style w:type="paragraph" w:styleId="CommentText">
    <w:name w:val="annotation text"/>
    <w:basedOn w:val="Normal"/>
    <w:link w:val="CommentTextChar"/>
    <w:uiPriority w:val="99"/>
    <w:semiHidden/>
    <w:unhideWhenUsed/>
    <w:rsid w:val="001642FE"/>
    <w:pPr>
      <w:spacing w:after="160" w:line="240" w:lineRule="auto"/>
      <w:ind w:left="0" w:firstLine="0"/>
      <w:jc w:val="left"/>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1642FE"/>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1642FE"/>
    <w:rPr>
      <w:b/>
      <w:bCs/>
    </w:rPr>
  </w:style>
  <w:style w:type="character" w:customStyle="1" w:styleId="CommentSubjectChar">
    <w:name w:val="Comment Subject Char"/>
    <w:basedOn w:val="CommentTextChar"/>
    <w:link w:val="CommentSubject"/>
    <w:uiPriority w:val="99"/>
    <w:semiHidden/>
    <w:rsid w:val="001642FE"/>
    <w:rPr>
      <w:rFonts w:asciiTheme="minorHAnsi" w:hAnsiTheme="minorHAnsi" w:cstheme="minorBidi"/>
      <w:b/>
      <w:bCs/>
      <w:sz w:val="20"/>
      <w:szCs w:val="20"/>
    </w:rPr>
  </w:style>
  <w:style w:type="paragraph" w:styleId="EndnoteText">
    <w:name w:val="endnote text"/>
    <w:basedOn w:val="Normal"/>
    <w:link w:val="EndnoteTextChar"/>
    <w:semiHidden/>
    <w:unhideWhenUsed/>
    <w:rsid w:val="001642FE"/>
    <w:pPr>
      <w:spacing w:after="0" w:line="240" w:lineRule="auto"/>
      <w:ind w:left="0" w:firstLine="0"/>
      <w:jc w:val="left"/>
    </w:pPr>
    <w:rPr>
      <w:rFonts w:asciiTheme="minorHAnsi" w:hAnsiTheme="minorHAnsi" w:cstheme="minorBidi"/>
      <w:sz w:val="20"/>
      <w:szCs w:val="20"/>
    </w:rPr>
  </w:style>
  <w:style w:type="character" w:customStyle="1" w:styleId="EndnoteTextChar">
    <w:name w:val="Endnote Text Char"/>
    <w:basedOn w:val="DefaultParagraphFont"/>
    <w:link w:val="EndnoteText"/>
    <w:semiHidden/>
    <w:rsid w:val="001642FE"/>
    <w:rPr>
      <w:rFonts w:asciiTheme="minorHAnsi" w:hAnsiTheme="minorHAnsi" w:cstheme="minorBidi"/>
      <w:sz w:val="20"/>
      <w:szCs w:val="20"/>
    </w:rPr>
  </w:style>
  <w:style w:type="character" w:styleId="EndnoteReference">
    <w:name w:val="endnote reference"/>
    <w:basedOn w:val="DefaultParagraphFont"/>
    <w:semiHidden/>
    <w:unhideWhenUsed/>
    <w:rsid w:val="001642FE"/>
    <w:rPr>
      <w:vertAlign w:val="superscript"/>
    </w:rPr>
  </w:style>
  <w:style w:type="numbering" w:customStyle="1" w:styleId="NoList3">
    <w:name w:val="No List3"/>
    <w:next w:val="NoList"/>
    <w:uiPriority w:val="99"/>
    <w:semiHidden/>
    <w:unhideWhenUsed/>
    <w:rsid w:val="00EA5F6C"/>
  </w:style>
  <w:style w:type="numbering" w:customStyle="1" w:styleId="NoList4">
    <w:name w:val="No List4"/>
    <w:next w:val="NoList"/>
    <w:uiPriority w:val="99"/>
    <w:semiHidden/>
    <w:unhideWhenUsed/>
    <w:rsid w:val="00EA5F6C"/>
  </w:style>
  <w:style w:type="paragraph" w:styleId="NoSpacing">
    <w:name w:val="No Spacing"/>
    <w:uiPriority w:val="1"/>
    <w:qFormat/>
    <w:rsid w:val="00835859"/>
    <w:pPr>
      <w:spacing w:after="0" w:line="240" w:lineRule="auto"/>
    </w:pPr>
  </w:style>
  <w:style w:type="character" w:styleId="SubtleEmphasis">
    <w:name w:val="Subtle Emphasis"/>
    <w:basedOn w:val="DefaultParagraphFont"/>
    <w:uiPriority w:val="19"/>
    <w:qFormat/>
    <w:rsid w:val="00D10B14"/>
    <w:rPr>
      <w:i/>
      <w:iCs/>
      <w:color w:val="404040" w:themeColor="text1" w:themeTint="BF"/>
    </w:rPr>
  </w:style>
  <w:style w:type="character" w:styleId="IntenseEmphasis">
    <w:name w:val="Intense Emphasis"/>
    <w:basedOn w:val="DefaultParagraphFont"/>
    <w:uiPriority w:val="21"/>
    <w:qFormat/>
    <w:rsid w:val="00D10B14"/>
    <w:rPr>
      <w:i/>
      <w:iCs/>
      <w:color w:val="4472C4" w:themeColor="accent1"/>
    </w:rPr>
  </w:style>
  <w:style w:type="paragraph" w:styleId="Caption">
    <w:name w:val="caption"/>
    <w:basedOn w:val="Normal"/>
    <w:next w:val="Normal"/>
    <w:uiPriority w:val="35"/>
    <w:unhideWhenUsed/>
    <w:qFormat/>
    <w:rsid w:val="004A0234"/>
    <w:pPr>
      <w:spacing w:after="200" w:line="240" w:lineRule="auto"/>
      <w:jc w:val="center"/>
    </w:pPr>
    <w:rPr>
      <w:iCs/>
      <w:szCs w:val="24"/>
    </w:rPr>
  </w:style>
  <w:style w:type="paragraph" w:styleId="TableofFigures">
    <w:name w:val="table of figures"/>
    <w:basedOn w:val="Normal"/>
    <w:next w:val="Normal"/>
    <w:uiPriority w:val="99"/>
    <w:unhideWhenUsed/>
    <w:rsid w:val="00DC2108"/>
    <w:pPr>
      <w:spacing w:after="0"/>
      <w:ind w:left="0"/>
    </w:pPr>
  </w:style>
  <w:style w:type="character" w:customStyle="1" w:styleId="Heading6Char">
    <w:name w:val="Heading 6 Char"/>
    <w:basedOn w:val="DefaultParagraphFont"/>
    <w:link w:val="Heading6"/>
    <w:uiPriority w:val="9"/>
    <w:semiHidden/>
    <w:rsid w:val="00952270"/>
    <w:rPr>
      <w:rFonts w:asciiTheme="majorHAnsi" w:eastAsiaTheme="majorEastAsia" w:hAnsiTheme="majorHAnsi" w:cstheme="majorBidi"/>
      <w:color w:val="1F3763" w:themeColor="accent1" w:themeShade="7F"/>
    </w:rPr>
  </w:style>
  <w:style w:type="numbering" w:customStyle="1" w:styleId="NoList5">
    <w:name w:val="No List5"/>
    <w:next w:val="NoList"/>
    <w:uiPriority w:val="99"/>
    <w:semiHidden/>
    <w:unhideWhenUsed/>
    <w:rsid w:val="002D1DCE"/>
  </w:style>
  <w:style w:type="numbering" w:customStyle="1" w:styleId="NoList6">
    <w:name w:val="No List6"/>
    <w:next w:val="NoList"/>
    <w:uiPriority w:val="99"/>
    <w:semiHidden/>
    <w:unhideWhenUsed/>
    <w:rsid w:val="00C43513"/>
  </w:style>
  <w:style w:type="paragraph" w:customStyle="1" w:styleId="Figures">
    <w:name w:val="Figures"/>
    <w:basedOn w:val="Normal"/>
    <w:link w:val="FiguresChar"/>
    <w:qFormat/>
    <w:rsid w:val="00AB6119"/>
    <w:pPr>
      <w:jc w:val="center"/>
    </w:pPr>
  </w:style>
  <w:style w:type="character" w:customStyle="1" w:styleId="FiguresChar">
    <w:name w:val="Figures Char"/>
    <w:basedOn w:val="DefaultParagraphFont"/>
    <w:link w:val="Figures"/>
    <w:rsid w:val="00AB6119"/>
  </w:style>
  <w:style w:type="paragraph" w:customStyle="1" w:styleId="reference">
    <w:name w:val="reference"/>
    <w:basedOn w:val="Normal"/>
    <w:qFormat/>
    <w:rsid w:val="009B15F0"/>
  </w:style>
  <w:style w:type="paragraph" w:customStyle="1" w:styleId="Tables">
    <w:name w:val="Tables"/>
    <w:basedOn w:val="Caption"/>
    <w:qFormat/>
    <w:rsid w:val="0078755A"/>
    <w:pPr>
      <w:ind w:left="0" w:firstLine="0"/>
      <w:jc w:val="both"/>
    </w:pPr>
  </w:style>
  <w:style w:type="numbering" w:customStyle="1" w:styleId="NoList7">
    <w:name w:val="No List7"/>
    <w:next w:val="NoList"/>
    <w:uiPriority w:val="99"/>
    <w:semiHidden/>
    <w:unhideWhenUsed/>
    <w:rsid w:val="00A952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571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JP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JP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emf"/><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1.png"/><Relationship Id="rId14" Type="http://schemas.openxmlformats.org/officeDocument/2006/relationships/image" Target="media/image6.JPG"/><Relationship Id="rId22" Type="http://schemas.openxmlformats.org/officeDocument/2006/relationships/image" Target="media/image14.png"/><Relationship Id="rId27" Type="http://schemas.openxmlformats.org/officeDocument/2006/relationships/image" Target="media/image19.emf"/><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8" Type="http://schemas.openxmlformats.org/officeDocument/2006/relationships/footer" Target="footer1.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20" Type="http://schemas.openxmlformats.org/officeDocument/2006/relationships/image" Target="media/image12.JP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emf"/><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CC020-D964-41D5-904A-E94071734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129</Pages>
  <Words>23930</Words>
  <Characters>136402</Characters>
  <Application>Microsoft Office Word</Application>
  <DocSecurity>0</DocSecurity>
  <Lines>1136</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Ridley, Bill L.</dc:creator>
  <cp:keywords/>
  <dc:description/>
  <cp:lastModifiedBy>Ridley, Bill L.</cp:lastModifiedBy>
  <cp:revision>37</cp:revision>
  <cp:lastPrinted>2023-05-07T16:38:00Z</cp:lastPrinted>
  <dcterms:created xsi:type="dcterms:W3CDTF">2023-05-05T20:22:00Z</dcterms:created>
  <dcterms:modified xsi:type="dcterms:W3CDTF">2023-05-07T16:39:00Z</dcterms:modified>
</cp:coreProperties>
</file>